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color w:val="000000" w:themeColor="text1"/>
          <w:highlight w:val="none"/>
          <w14:textFill>
            <w14:solidFill>
              <w14:schemeClr w14:val="tx1"/>
            </w14:solidFill>
          </w14:textFill>
        </w:rPr>
      </w:pPr>
      <w:bookmarkStart w:id="0" w:name="_Hlk143245390"/>
      <w:bookmarkEnd w:id="0"/>
    </w:p>
    <w:p>
      <w:pPr>
        <w:ind w:firstLine="400"/>
        <w:rPr>
          <w:rFonts w:cs="Times New Roman"/>
          <w:color w:val="000000" w:themeColor="text1"/>
          <w:sz w:val="20"/>
          <w:szCs w:val="20"/>
          <w:highlight w:val="none"/>
          <w14:textFill>
            <w14:solidFill>
              <w14:schemeClr w14:val="tx1"/>
            </w14:solidFill>
          </w14:textFill>
        </w:rPr>
      </w:pPr>
    </w:p>
    <w:p>
      <w:pPr>
        <w:ind w:firstLine="400"/>
        <w:rPr>
          <w:rFonts w:cs="Times New Roman"/>
          <w:color w:val="000000" w:themeColor="text1"/>
          <w:sz w:val="20"/>
          <w:szCs w:val="20"/>
          <w:highlight w:val="none"/>
          <w14:textFill>
            <w14:solidFill>
              <w14:schemeClr w14:val="tx1"/>
            </w14:solidFill>
          </w14:textFill>
        </w:rPr>
      </w:pPr>
    </w:p>
    <w:p>
      <w:pPr>
        <w:ind w:firstLine="480"/>
        <w:rPr>
          <w:rFonts w:eastAsia="Times New Roman" w:cs="Times New Roman"/>
          <w:color w:val="000000" w:themeColor="text1"/>
          <w:szCs w:val="24"/>
          <w:highlight w:val="none"/>
          <w14:textFill>
            <w14:solidFill>
              <w14:schemeClr w14:val="tx1"/>
            </w14:solidFill>
          </w14:textFill>
        </w:rPr>
      </w:pPr>
    </w:p>
    <w:p>
      <w:pPr>
        <w:ind w:firstLine="0" w:firstLineChars="0"/>
        <w:jc w:val="center"/>
        <w:rPr>
          <w:rFonts w:eastAsia="黑体" w:cs="Times New Roman"/>
          <w:color w:val="000000" w:themeColor="text1"/>
          <w:spacing w:val="-37"/>
          <w:w w:val="95"/>
          <w:sz w:val="52"/>
          <w:szCs w:val="52"/>
          <w:highlight w:val="none"/>
          <w14:textFill>
            <w14:solidFill>
              <w14:schemeClr w14:val="tx1"/>
            </w14:solidFill>
          </w14:textFill>
        </w:rPr>
      </w:pPr>
      <w:r>
        <w:rPr>
          <w:rFonts w:hint="eastAsia" w:eastAsia="黑体" w:cs="Times New Roman"/>
          <w:color w:val="000000" w:themeColor="text1"/>
          <w:spacing w:val="-37"/>
          <w:w w:val="95"/>
          <w:sz w:val="52"/>
          <w:szCs w:val="52"/>
          <w:highlight w:val="none"/>
          <w:lang w:eastAsia="zh-CN"/>
          <w14:textFill>
            <w14:solidFill>
              <w14:schemeClr w14:val="tx1"/>
            </w14:solidFill>
          </w14:textFill>
        </w:rPr>
        <w:t>普光气田雷页1井组试验项目</w:t>
      </w:r>
    </w:p>
    <w:p>
      <w:pPr>
        <w:ind w:firstLine="0" w:firstLineChars="0"/>
        <w:jc w:val="center"/>
        <w:rPr>
          <w:rFonts w:eastAsia="黑体" w:cs="Times New Roman"/>
          <w:color w:val="000000" w:themeColor="text1"/>
          <w:sz w:val="52"/>
          <w:szCs w:val="52"/>
          <w:highlight w:val="none"/>
          <w14:textFill>
            <w14:solidFill>
              <w14:schemeClr w14:val="tx1"/>
            </w14:solidFill>
          </w14:textFill>
        </w:rPr>
      </w:pPr>
      <w:r>
        <w:rPr>
          <w:rFonts w:eastAsia="黑体" w:cs="Times New Roman"/>
          <w:color w:val="000000" w:themeColor="text1"/>
          <w:sz w:val="52"/>
          <w:szCs w:val="52"/>
          <w:highlight w:val="none"/>
          <w14:textFill>
            <w14:solidFill>
              <w14:schemeClr w14:val="tx1"/>
            </w14:solidFill>
          </w14:textFill>
        </w:rPr>
        <w:t>环境影响报告书</w:t>
      </w:r>
    </w:p>
    <w:p>
      <w:pPr>
        <w:ind w:firstLine="0" w:firstLineChars="0"/>
        <w:jc w:val="center"/>
        <w:rPr>
          <w:rFonts w:eastAsia="楷体" w:cs="Times New Roman"/>
          <w:color w:val="000000" w:themeColor="text1"/>
          <w:sz w:val="44"/>
          <w:szCs w:val="44"/>
          <w:highlight w:val="none"/>
          <w14:textFill>
            <w14:solidFill>
              <w14:schemeClr w14:val="tx1"/>
            </w14:solidFill>
          </w14:textFill>
        </w:rPr>
      </w:pPr>
      <w:r>
        <w:rPr>
          <w:rFonts w:eastAsia="楷体" w:cs="Times New Roman"/>
          <w:color w:val="000000" w:themeColor="text1"/>
          <w:sz w:val="44"/>
          <w:szCs w:val="44"/>
          <w:highlight w:val="none"/>
          <w14:textFill>
            <w14:solidFill>
              <w14:schemeClr w14:val="tx1"/>
            </w14:solidFill>
          </w14:textFill>
        </w:rPr>
        <w:t>（</w:t>
      </w:r>
      <w:r>
        <w:rPr>
          <w:rFonts w:hint="eastAsia" w:eastAsia="楷体" w:cs="Times New Roman"/>
          <w:color w:val="000000" w:themeColor="text1"/>
          <w:sz w:val="44"/>
          <w:szCs w:val="44"/>
          <w:highlight w:val="none"/>
          <w:lang w:val="en-US" w:eastAsia="zh-CN"/>
          <w14:textFill>
            <w14:solidFill>
              <w14:schemeClr w14:val="tx1"/>
            </w14:solidFill>
          </w14:textFill>
        </w:rPr>
        <w:t>公示</w:t>
      </w:r>
      <w:r>
        <w:rPr>
          <w:rFonts w:eastAsia="楷体" w:cs="Times New Roman"/>
          <w:color w:val="000000" w:themeColor="text1"/>
          <w:sz w:val="44"/>
          <w:szCs w:val="44"/>
          <w:highlight w:val="none"/>
          <w14:textFill>
            <w14:solidFill>
              <w14:schemeClr w14:val="tx1"/>
            </w14:solidFill>
          </w14:textFill>
        </w:rPr>
        <w:t>本）</w:t>
      </w: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400"/>
        <w:rPr>
          <w:rFonts w:eastAsia="隶书" w:cs="Times New Roman"/>
          <w:color w:val="000000" w:themeColor="text1"/>
          <w:sz w:val="20"/>
          <w:szCs w:val="20"/>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eastAsia="隶书" w:cs="Times New Roman"/>
          <w:b/>
          <w:bCs/>
          <w:color w:val="000000" w:themeColor="text1"/>
          <w:sz w:val="16"/>
          <w:szCs w:val="16"/>
          <w:highlight w:val="none"/>
          <w14:textFill>
            <w14:solidFill>
              <w14:schemeClr w14:val="tx1"/>
            </w14:solidFill>
          </w14:textFill>
        </w:rPr>
      </w:pPr>
    </w:p>
    <w:p>
      <w:pPr>
        <w:ind w:firstLine="321"/>
        <w:rPr>
          <w:rFonts w:hint="default" w:ascii="Times New Roman" w:hAnsi="Times New Roman" w:eastAsia="隶书" w:cs="Times New Roman"/>
          <w:b/>
          <w:bCs/>
          <w:color w:val="000000" w:themeColor="text1"/>
          <w:sz w:val="16"/>
          <w:szCs w:val="16"/>
          <w:highlight w:val="none"/>
          <w14:textFill>
            <w14:solidFill>
              <w14:schemeClr w14:val="tx1"/>
            </w14:solidFill>
          </w14:textFill>
        </w:rPr>
      </w:pPr>
    </w:p>
    <w:p>
      <w:pPr>
        <w:keepNext w:val="0"/>
        <w:keepLines w:val="0"/>
        <w:pageBreakBefore w:val="0"/>
        <w:widowControl w:val="0"/>
        <w:tabs>
          <w:tab w:val="left" w:pos="567"/>
        </w:tabs>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pPr>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建设单位：</w:t>
      </w:r>
      <w:r>
        <w:rPr>
          <w:rFonts w:hint="eastAsia"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中国石油化工股份有限公司中原油田</w:t>
      </w:r>
      <w:bookmarkStart w:id="1" w:name="_Hlk107154433"/>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普光分公司</w:t>
      </w:r>
      <w:bookmarkEnd w:id="1"/>
      <w:r>
        <w:rPr>
          <w:rFonts w:hint="eastAsia"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pPr>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 xml:space="preserve">环评单位：      </w:t>
      </w:r>
      <w:r>
        <w:rPr>
          <w:rFonts w:hint="eastAsia"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 xml:space="preserve"> 成都维清环保科技有限公司 </w:t>
      </w:r>
      <w:r>
        <w:rPr>
          <w:rFonts w:hint="eastAsia"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32"/>
          <w:szCs w:val="32"/>
          <w:highlight w:val="none"/>
          <w:u w:val="single"/>
          <w14:textFill>
            <w14:solidFill>
              <w14:schemeClr w14:val="tx1"/>
            </w14:solidFill>
          </w14:textFill>
        </w:rPr>
        <w:t xml:space="preserve"> </w:t>
      </w:r>
      <w:r>
        <w:rPr>
          <w:rFonts w:hint="eastAsia" w:ascii="Times New Roman" w:hAnsi="Times New Roman" w:eastAsia="黑体" w:cs="Times New Roman"/>
          <w:bCs/>
          <w:color w:val="000000" w:themeColor="text1"/>
          <w:sz w:val="32"/>
          <w:szCs w:val="32"/>
          <w:highlight w:val="none"/>
          <w:u w:val="single"/>
          <w:lang w:val="en-US" w:eastAsia="zh-CN"/>
          <w14:textFill>
            <w14:solidFill>
              <w14:schemeClr w14:val="tx1"/>
            </w14:solidFill>
          </w14:textFill>
        </w:rPr>
        <w:t xml:space="preserve">        </w:t>
      </w:r>
    </w:p>
    <w:p>
      <w:pPr>
        <w:ind w:firstLine="0" w:firstLineChars="0"/>
        <w:jc w:val="center"/>
        <w:rPr>
          <w:rFonts w:eastAsia="黑体" w:cs="Times New Roman"/>
          <w:bCs/>
          <w:color w:val="000000" w:themeColor="text1"/>
          <w:sz w:val="32"/>
          <w:szCs w:val="32"/>
          <w:highlight w:val="none"/>
          <w14:textFill>
            <w14:solidFill>
              <w14:schemeClr w14:val="tx1"/>
            </w14:solidFill>
          </w14:textFill>
        </w:rPr>
      </w:pPr>
      <w:r>
        <w:rPr>
          <w:rFonts w:eastAsia="黑体" w:cs="Times New Roman"/>
          <w:bCs/>
          <w:color w:val="000000" w:themeColor="text1"/>
          <w:sz w:val="32"/>
          <w:szCs w:val="32"/>
          <w:highlight w:val="none"/>
          <w14:textFill>
            <w14:solidFill>
              <w14:schemeClr w14:val="tx1"/>
            </w14:solidFill>
          </w14:textFill>
        </w:rPr>
        <w:t>二〇二</w:t>
      </w:r>
      <w:r>
        <w:rPr>
          <w:rFonts w:hint="eastAsia" w:eastAsia="黑体" w:cs="Times New Roman"/>
          <w:bCs/>
          <w:color w:val="000000" w:themeColor="text1"/>
          <w:sz w:val="32"/>
          <w:szCs w:val="32"/>
          <w:highlight w:val="none"/>
          <w14:textFill>
            <w14:solidFill>
              <w14:schemeClr w14:val="tx1"/>
            </w14:solidFill>
          </w14:textFill>
        </w:rPr>
        <w:t>四</w:t>
      </w:r>
      <w:r>
        <w:rPr>
          <w:rFonts w:eastAsia="黑体" w:cs="Times New Roman"/>
          <w:bCs/>
          <w:color w:val="000000" w:themeColor="text1"/>
          <w:sz w:val="32"/>
          <w:szCs w:val="32"/>
          <w:highlight w:val="none"/>
          <w14:textFill>
            <w14:solidFill>
              <w14:schemeClr w14:val="tx1"/>
            </w14:solidFill>
          </w14:textFill>
        </w:rPr>
        <w:t>年</w:t>
      </w:r>
      <w:r>
        <w:rPr>
          <w:rFonts w:hint="eastAsia" w:eastAsia="黑体" w:cs="Times New Roman"/>
          <w:bCs/>
          <w:color w:val="000000" w:themeColor="text1"/>
          <w:sz w:val="32"/>
          <w:szCs w:val="32"/>
          <w:highlight w:val="none"/>
          <w:lang w:val="en-US" w:eastAsia="zh-CN"/>
          <w14:textFill>
            <w14:solidFill>
              <w14:schemeClr w14:val="tx1"/>
            </w14:solidFill>
          </w14:textFill>
        </w:rPr>
        <w:t>八</w:t>
      </w:r>
      <w:r>
        <w:rPr>
          <w:rFonts w:eastAsia="黑体" w:cs="Times New Roman"/>
          <w:bCs/>
          <w:color w:val="000000" w:themeColor="text1"/>
          <w:sz w:val="32"/>
          <w:szCs w:val="32"/>
          <w:highlight w:val="none"/>
          <w14:textFill>
            <w14:solidFill>
              <w14:schemeClr w14:val="tx1"/>
            </w14:solidFill>
          </w14:textFill>
        </w:rPr>
        <w:t>月</w:t>
      </w:r>
    </w:p>
    <w:p>
      <w:pPr>
        <w:ind w:firstLine="0" w:firstLineChars="0"/>
        <w:jc w:val="center"/>
        <w:rPr>
          <w:rFonts w:eastAsia="黑体" w:cs="Times New Roman"/>
          <w:bCs/>
          <w:color w:val="000000" w:themeColor="text1"/>
          <w:sz w:val="32"/>
          <w:szCs w:val="32"/>
          <w:highlight w:val="none"/>
          <w14:textFill>
            <w14:solidFill>
              <w14:schemeClr w14:val="tx1"/>
            </w14:solidFill>
          </w14:textFill>
        </w:rPr>
      </w:pPr>
    </w:p>
    <w:p>
      <w:pPr>
        <w:ind w:firstLine="480"/>
        <w:rPr>
          <w:rFonts w:cs="Times New Roman"/>
          <w:color w:val="000000" w:themeColor="text1"/>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562"/>
        <w:jc w:val="center"/>
        <w:rPr>
          <w:b/>
          <w:bCs/>
          <w:color w:val="000000" w:themeColor="text1"/>
          <w:sz w:val="28"/>
          <w:szCs w:val="28"/>
          <w:highlight w:val="none"/>
          <w14:textFill>
            <w14:solidFill>
              <w14:schemeClr w14:val="tx1"/>
            </w14:solidFill>
          </w14:textFill>
        </w:rPr>
      </w:pPr>
    </w:p>
    <w:p>
      <w:pPr>
        <w:ind w:firstLine="480"/>
        <w:rPr>
          <w:rFonts w:cs="Times New Roman"/>
          <w:color w:val="000000" w:themeColor="text1"/>
          <w:highlight w:val="none"/>
          <w14:textFill>
            <w14:solidFill>
              <w14:schemeClr w14:val="tx1"/>
            </w14:solidFill>
          </w14:textFill>
        </w:rPr>
        <w:sectPr>
          <w:headerReference r:id="rId7" w:type="first"/>
          <w:footerReference r:id="rId8" w:type="first"/>
          <w:headerReference r:id="rId5" w:type="default"/>
          <w:headerReference r:id="rId6" w:type="even"/>
          <w:type w:val="nextColumn"/>
          <w:pgSz w:w="11910" w:h="16840"/>
          <w:pgMar w:top="1440" w:right="1644" w:bottom="1440" w:left="1644" w:header="1020" w:footer="964" w:gutter="0"/>
          <w:pgBorders>
            <w:top w:val="none" w:sz="0" w:space="0"/>
            <w:left w:val="none" w:sz="0" w:space="0"/>
            <w:bottom w:val="none" w:sz="0" w:space="0"/>
            <w:right w:val="none" w:sz="0" w:space="0"/>
          </w:pgBorders>
          <w:pgNumType w:fmt="upperRoman"/>
          <w:cols w:space="720" w:num="1"/>
          <w:docGrid w:linePitch="326" w:charSpace="0"/>
        </w:sectPr>
      </w:pPr>
    </w:p>
    <w:p>
      <w:pPr>
        <w:rPr>
          <w:rFonts w:cs="Times New Roman"/>
          <w:color w:val="000000" w:themeColor="text1"/>
          <w:sz w:val="2"/>
          <w:szCs w:val="2"/>
          <w:highlight w:val="none"/>
          <w14:textFill>
            <w14:solidFill>
              <w14:schemeClr w14:val="tx1"/>
            </w14:solidFill>
          </w14:textFill>
        </w:rPr>
      </w:pPr>
      <w:r>
        <w:rPr>
          <w:rFonts w:cs="Times New Roman"/>
          <w:color w:val="000000" w:themeColor="text1"/>
          <w:sz w:val="2"/>
          <w:szCs w:val="2"/>
          <w:highlight w:val="none"/>
          <w14:textFill>
            <w14:solidFill>
              <w14:schemeClr w14:val="tx1"/>
            </w14:solidFill>
          </w14:textFill>
        </w:rPr>
        <w:br w:type="page"/>
      </w:r>
    </w:p>
    <w:p>
      <w:pPr>
        <w:ind w:firstLine="40"/>
        <w:rPr>
          <w:rFonts w:cs="Times New Roman"/>
          <w:color w:val="000000" w:themeColor="text1"/>
          <w:sz w:val="2"/>
          <w:szCs w:val="2"/>
          <w:highlight w:val="none"/>
          <w14:textFill>
            <w14:solidFill>
              <w14:schemeClr w14:val="tx1"/>
            </w14:solidFill>
          </w14:textFill>
        </w:rPr>
      </w:pPr>
    </w:p>
    <w:p>
      <w:pPr>
        <w:ind w:firstLine="40"/>
        <w:rPr>
          <w:rFonts w:cs="Times New Roman"/>
          <w:color w:val="000000" w:themeColor="text1"/>
          <w:sz w:val="2"/>
          <w:szCs w:val="2"/>
          <w:highlight w:val="none"/>
          <w14:textFill>
            <w14:solidFill>
              <w14:schemeClr w14:val="tx1"/>
            </w14:solidFill>
          </w14:textFill>
        </w:rPr>
      </w:pPr>
    </w:p>
    <w:p>
      <w:pPr>
        <w:pStyle w:val="2"/>
        <w:rPr>
          <w:b/>
          <w:color w:val="000000" w:themeColor="text1"/>
          <w:highlight w:val="none"/>
          <w14:textFill>
            <w14:solidFill>
              <w14:schemeClr w14:val="tx1"/>
            </w14:solidFill>
          </w14:textFill>
        </w:rPr>
      </w:pPr>
      <w:bookmarkStart w:id="2" w:name="_Toc12745"/>
      <w:r>
        <w:rPr>
          <w:color w:val="000000" w:themeColor="text1"/>
          <w:highlight w:val="none"/>
          <w14:textFill>
            <w14:solidFill>
              <w14:schemeClr w14:val="tx1"/>
            </w14:solidFill>
          </w14:textFill>
        </w:rPr>
        <w:t>概述</w:t>
      </w:r>
      <w:bookmarkEnd w:id="2"/>
    </w:p>
    <w:p>
      <w:pPr>
        <w:pStyle w:val="3"/>
        <w:keepNext/>
        <w:keepLines/>
        <w:pageBreakBefore w:val="0"/>
        <w:widowControl w:val="0"/>
        <w:kinsoku/>
        <w:wordWrap/>
        <w:overflowPunct/>
        <w:topLinePunct w:val="0"/>
        <w:autoSpaceDE/>
        <w:autoSpaceDN/>
        <w:bidi w:val="0"/>
        <w:adjustRightInd w:val="0"/>
        <w:snapToGrid w:val="0"/>
        <w:spacing w:before="120"/>
        <w:ind w:firstLineChars="0"/>
        <w:textAlignment w:val="auto"/>
        <w:rPr>
          <w:color w:val="000000" w:themeColor="text1"/>
          <w:highlight w:val="none"/>
          <w14:textFill>
            <w14:solidFill>
              <w14:schemeClr w14:val="tx1"/>
            </w14:solidFill>
          </w14:textFill>
        </w:rPr>
      </w:pPr>
      <w:bookmarkStart w:id="3" w:name="_Toc12314"/>
      <w:r>
        <w:rPr>
          <w:color w:val="000000" w:themeColor="text1"/>
          <w:highlight w:val="none"/>
          <w14:textFill>
            <w14:solidFill>
              <w14:schemeClr w14:val="tx1"/>
            </w14:solidFill>
          </w14:textFill>
        </w:rPr>
        <w:t>项目背景</w:t>
      </w:r>
      <w:bookmarkEnd w:id="3"/>
    </w:p>
    <w:p>
      <w:pPr>
        <w:spacing w:line="440" w:lineRule="exact"/>
        <w:ind w:firstLine="480"/>
        <w:rPr>
          <w:rFonts w:hint="eastAsia" w:eastAsia="宋体" w:cs="Times New Roman"/>
          <w:color w:val="000000" w:themeColor="text1"/>
          <w:szCs w:val="24"/>
          <w:lang w:eastAsia="zh-CN"/>
          <w14:textFill>
            <w14:solidFill>
              <w14:schemeClr w14:val="tx1"/>
            </w14:solidFill>
          </w14:textFill>
        </w:rPr>
      </w:pPr>
      <w:bookmarkStart w:id="4" w:name="_Hlk80477079"/>
      <w:bookmarkStart w:id="5" w:name="_Hlk89782517"/>
      <w:r>
        <w:rPr>
          <w:rFonts w:ascii="Times New Roman" w:hAnsi="Times New Roman"/>
          <w:color w:val="000000" w:themeColor="text1"/>
          <w:sz w:val="24"/>
          <w14:textFill>
            <w14:solidFill>
              <w14:schemeClr w14:val="tx1"/>
            </w14:solidFill>
          </w14:textFill>
        </w:rPr>
        <w:t>普光气田位于四川省宣汉县境内，</w:t>
      </w:r>
      <w:r>
        <w:rPr>
          <w:rFonts w:hint="eastAsia" w:ascii="Times New Roman" w:hAnsi="Times New Roman"/>
          <w:color w:val="000000" w:themeColor="text1"/>
          <w:sz w:val="24"/>
          <w14:textFill>
            <w14:solidFill>
              <w14:schemeClr w14:val="tx1"/>
            </w14:solidFill>
          </w14:textFill>
        </w:rPr>
        <w:t>距</w:t>
      </w:r>
      <w:r>
        <w:rPr>
          <w:rFonts w:ascii="Times New Roman" w:hAnsi="Times New Roman"/>
          <w:color w:val="000000" w:themeColor="text1"/>
          <w:sz w:val="24"/>
          <w14:textFill>
            <w14:solidFill>
              <w14:schemeClr w14:val="tx1"/>
            </w14:solidFill>
          </w14:textFill>
        </w:rPr>
        <w:t>宣汉县城北约60km。该区地形复杂，地面海拔为300m～900m，相对高差可达600m，为中～低山区，总体地势偏陡。气候温暖潮湿，水系发育，前、中、后河纵横，具有春雨、夏洪、秋涝、冬湿的气候特征</w:t>
      </w:r>
      <w:r>
        <w:rPr>
          <w:rFonts w:hint="eastAsia" w:ascii="Times New Roman" w:hAnsi="Times New Roman"/>
          <w:color w:val="000000" w:themeColor="text1"/>
          <w:sz w:val="24"/>
          <w:lang w:eastAsia="zh-CN"/>
          <w14:textFill>
            <w14:solidFill>
              <w14:schemeClr w14:val="tx1"/>
            </w14:solidFill>
          </w14:textFill>
        </w:rPr>
        <w:t>。</w:t>
      </w:r>
    </w:p>
    <w:p>
      <w:pPr>
        <w:ind w:firstLine="480"/>
        <w:rPr>
          <w:rFonts w:hint="eastAsia"/>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为加快普光</w:t>
      </w:r>
      <w:r>
        <w:rPr>
          <w:rFonts w:hint="eastAsia"/>
          <w:color w:val="000000" w:themeColor="text1"/>
          <w14:textFill>
            <w14:solidFill>
              <w14:schemeClr w14:val="tx1"/>
            </w14:solidFill>
          </w14:textFill>
        </w:rPr>
        <w:t>气田内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的页岩气勘探开发进程</w:t>
      </w:r>
      <w:r>
        <w:rPr>
          <w:rFonts w:hint="eastAsia"/>
          <w:color w:val="000000" w:themeColor="text1"/>
          <w:szCs w:val="36"/>
          <w14:textFill>
            <w14:solidFill>
              <w14:schemeClr w14:val="tx1"/>
            </w14:solidFill>
          </w14:textFill>
        </w:rPr>
        <w:t>，进一步研究普光</w:t>
      </w:r>
      <w:r>
        <w:rPr>
          <w:rFonts w:hint="eastAsia"/>
          <w:color w:val="000000" w:themeColor="text1"/>
          <w:szCs w:val="36"/>
          <w:lang w:eastAsia="zh-CN"/>
          <w14:textFill>
            <w14:solidFill>
              <w14:schemeClr w14:val="tx1"/>
            </w14:solidFill>
          </w14:textFill>
        </w:rPr>
        <w:t>******</w:t>
      </w:r>
      <w:r>
        <w:rPr>
          <w:rFonts w:hint="eastAsia"/>
          <w:color w:val="000000" w:themeColor="text1"/>
          <w:szCs w:val="36"/>
          <w14:textFill>
            <w14:solidFill>
              <w14:schemeClr w14:val="tx1"/>
            </w14:solidFill>
          </w14:textFill>
        </w:rPr>
        <w:t>页岩气勘探潜力，重点明确</w:t>
      </w:r>
      <w:r>
        <w:rPr>
          <w:rFonts w:hint="eastAsia"/>
          <w:color w:val="000000" w:themeColor="text1"/>
          <w:szCs w:val="36"/>
          <w:lang w:eastAsia="zh-CN"/>
          <w14:textFill>
            <w14:solidFill>
              <w14:schemeClr w14:val="tx1"/>
            </w14:solidFill>
          </w14:textFill>
        </w:rPr>
        <w:t>***</w:t>
      </w:r>
      <w:r>
        <w:rPr>
          <w:rFonts w:hint="eastAsia"/>
          <w:color w:val="000000" w:themeColor="text1"/>
          <w:szCs w:val="36"/>
          <w14:textFill>
            <w14:solidFill>
              <w14:schemeClr w14:val="tx1"/>
            </w14:solidFill>
          </w14:textFill>
        </w:rPr>
        <w:t>页岩气产能</w:t>
      </w:r>
      <w:r>
        <w:rPr>
          <w:rFonts w:hint="eastAsia"/>
          <w:color w:val="000000" w:themeColor="text1"/>
          <w14:textFill>
            <w14:solidFill>
              <w14:schemeClr w14:val="tx1"/>
            </w14:solidFill>
          </w14:textFill>
        </w:rPr>
        <w:t>，中国石油化工股份有限公司普光分公司在四川省达州市宣汉县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部署了雷页</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井钻探工程</w:t>
      </w:r>
      <w:r>
        <w:rPr>
          <w:rFonts w:hint="eastAsia"/>
          <w:color w:val="000000" w:themeColor="text1"/>
          <w:lang w:val="en-US" w:eastAsia="zh-CN"/>
          <w14:textFill>
            <w14:solidFill>
              <w14:schemeClr w14:val="tx1"/>
            </w14:solidFill>
          </w14:textFill>
        </w:rPr>
        <w:t>该井于</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年已取得环评批复</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宣环审〔2021〕15号）</w:t>
      </w:r>
      <w:r>
        <w:rPr>
          <w:rFonts w:hint="eastAsia"/>
          <w:color w:val="000000" w:themeColor="text1"/>
          <w14:textFill>
            <w14:solidFill>
              <w14:schemeClr w14:val="tx1"/>
            </w14:solidFill>
          </w14:textFill>
        </w:rPr>
        <w:t>，并于</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年完成竣工环保验收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勘探元坝〔2023〕28号）</w:t>
      </w:r>
      <w:r>
        <w:rPr>
          <w:rFonts w:hint="eastAsia"/>
          <w:color w:val="000000" w:themeColor="text1"/>
          <w14:textFill>
            <w14:solidFill>
              <w14:schemeClr w14:val="tx1"/>
            </w14:solidFill>
          </w14:textFill>
        </w:rPr>
        <w:t>，该井</w:t>
      </w:r>
      <w:r>
        <w:rPr>
          <w:rFonts w:hint="eastAsia"/>
          <w:color w:val="000000" w:themeColor="text1"/>
          <w:szCs w:val="36"/>
          <w14:textFill>
            <w14:solidFill>
              <w14:schemeClr w14:val="tx1"/>
            </w14:solidFill>
          </w14:textFill>
        </w:rPr>
        <w:t>在</w:t>
      </w:r>
      <w:r>
        <w:rPr>
          <w:rFonts w:hint="eastAsia"/>
          <w:color w:val="000000" w:themeColor="text1"/>
          <w:szCs w:val="36"/>
          <w:lang w:eastAsia="zh-CN"/>
          <w14:textFill>
            <w14:solidFill>
              <w14:schemeClr w14:val="tx1"/>
            </w14:solidFill>
          </w14:textFill>
        </w:rPr>
        <w:t>******</w:t>
      </w:r>
      <w:r>
        <w:rPr>
          <w:rFonts w:hint="eastAsia"/>
          <w:color w:val="000000" w:themeColor="text1"/>
          <w:szCs w:val="36"/>
          <w14:textFill>
            <w14:solidFill>
              <w14:schemeClr w14:val="tx1"/>
            </w14:solidFill>
          </w14:textFill>
        </w:rPr>
        <w:t>部署的雷页</w:t>
      </w:r>
      <w:r>
        <w:rPr>
          <w:color w:val="000000" w:themeColor="text1"/>
          <w:szCs w:val="36"/>
          <w14:textFill>
            <w14:solidFill>
              <w14:schemeClr w14:val="tx1"/>
            </w14:solidFill>
          </w14:textFill>
        </w:rPr>
        <w:t>1</w:t>
      </w:r>
      <w:r>
        <w:rPr>
          <w:rFonts w:hint="eastAsia"/>
          <w:color w:val="000000" w:themeColor="text1"/>
          <w:szCs w:val="36"/>
          <w14:textFill>
            <w14:solidFill>
              <w14:schemeClr w14:val="tx1"/>
            </w14:solidFill>
          </w14:textFill>
        </w:rPr>
        <w:t>井取得良好的钻探效果，证实了</w:t>
      </w:r>
      <w:r>
        <w:rPr>
          <w:rFonts w:hint="eastAsia"/>
          <w:color w:val="000000" w:themeColor="text1"/>
          <w:szCs w:val="36"/>
          <w:lang w:eastAsia="zh-CN"/>
          <w14:textFill>
            <w14:solidFill>
              <w14:schemeClr w14:val="tx1"/>
            </w14:solidFill>
          </w14:textFill>
        </w:rPr>
        <w:t>******</w:t>
      </w:r>
      <w:r>
        <w:rPr>
          <w:rFonts w:hint="eastAsia"/>
          <w:color w:val="000000" w:themeColor="text1"/>
          <w:szCs w:val="36"/>
          <w14:textFill>
            <w14:solidFill>
              <w14:schemeClr w14:val="tx1"/>
            </w14:solidFill>
          </w14:textFill>
        </w:rPr>
        <w:t>页岩气勘探潜力。</w:t>
      </w:r>
    </w:p>
    <w:p>
      <w:pPr>
        <w:spacing w:before="1" w:beforeLines="0" w:afterLines="0" w:line="353" w:lineRule="auto"/>
        <w:ind w:right="157"/>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lang w:val="en-US" w:eastAsia="zh-CN"/>
          <w14:textFill>
            <w14:solidFill>
              <w14:schemeClr w14:val="tx1"/>
            </w14:solidFill>
          </w14:textFill>
        </w:rPr>
        <w:t>结合中国石油化工股份有限公司中原油田普光分公司2024年度勘探开发计划，为进一步加深对四川盆地川东北普光地区</w:t>
      </w:r>
      <w:r>
        <w:rPr>
          <w:rFonts w:hint="eastAsia"/>
          <w:b/>
          <w:bCs/>
          <w:color w:val="000000" w:themeColor="text1"/>
          <w:lang w:val="en-US" w:eastAsia="zh-CN"/>
          <w14:textFill>
            <w14:solidFill>
              <w14:schemeClr w14:val="tx1"/>
            </w14:solidFill>
          </w14:textFill>
        </w:rPr>
        <w:t>*********</w:t>
      </w:r>
      <w:r>
        <w:rPr>
          <w:rFonts w:hint="eastAsia" w:ascii="Times New Roman" w:hAnsi="Times New Roman" w:eastAsia="宋体"/>
          <w:b/>
          <w:bCs/>
          <w:color w:val="000000" w:themeColor="text1"/>
          <w:lang w:val="en-US" w:eastAsia="zh-CN"/>
          <w14:textFill>
            <w14:solidFill>
              <w14:schemeClr w14:val="tx1"/>
            </w14:solidFill>
          </w14:textFill>
        </w:rPr>
        <w:t>页岩气的认知，</w:t>
      </w:r>
      <w:r>
        <w:rPr>
          <w:rFonts w:hint="eastAsia"/>
          <w:b/>
          <w:bCs/>
          <w:color w:val="000000" w:themeColor="text1"/>
          <w:lang w:val="en-US" w:eastAsia="zh-CN"/>
          <w14:textFill>
            <w14:solidFill>
              <w14:schemeClr w14:val="tx1"/>
            </w14:solidFill>
          </w14:textFill>
        </w:rPr>
        <w:t>**</w:t>
      </w:r>
      <w:r>
        <w:rPr>
          <w:rFonts w:hint="eastAsia" w:ascii="Times New Roman" w:hAnsi="Times New Roman" w:eastAsia="宋体"/>
          <w:b/>
          <w:bCs/>
          <w:color w:val="000000" w:themeColor="text1"/>
          <w:lang w:val="en-US" w:eastAsia="zh-CN"/>
          <w14:textFill>
            <w14:solidFill>
              <w14:schemeClr w14:val="tx1"/>
            </w14:solidFill>
          </w14:textFill>
        </w:rPr>
        <w:t>。中国石油化工股份有限公司中原油田普光分公司拟于四川省达州市宣汉县</w:t>
      </w:r>
      <w:r>
        <w:rPr>
          <w:rFonts w:hint="eastAsia"/>
          <w:b/>
          <w:bCs/>
          <w:color w:val="000000" w:themeColor="text1"/>
          <w:lang w:val="en-US" w:eastAsia="zh-CN"/>
          <w14:textFill>
            <w14:solidFill>
              <w14:schemeClr w14:val="tx1"/>
            </w14:solidFill>
          </w14:textFill>
        </w:rPr>
        <w:t>***</w:t>
      </w:r>
      <w:r>
        <w:rPr>
          <w:rFonts w:hint="eastAsia" w:ascii="Times New Roman" w:hAnsi="Times New Roman" w:eastAsia="宋体"/>
          <w:b/>
          <w:bCs/>
          <w:color w:val="000000" w:themeColor="text1"/>
          <w:lang w:val="en-US" w:eastAsia="zh-CN"/>
          <w14:textFill>
            <w14:solidFill>
              <w14:schemeClr w14:val="tx1"/>
            </w14:solidFill>
          </w14:textFill>
        </w:rPr>
        <w:t>实施</w:t>
      </w:r>
      <w:r>
        <w:rPr>
          <w:rFonts w:hint="eastAsia"/>
          <w:b/>
          <w:bCs/>
          <w:color w:val="000000" w:themeColor="text1"/>
          <w:lang w:val="en-US" w:eastAsia="zh-CN"/>
          <w14:textFill>
            <w14:solidFill>
              <w14:schemeClr w14:val="tx1"/>
            </w14:solidFill>
          </w14:textFill>
        </w:rPr>
        <w:t>普光气田雷页1井组试验项目</w:t>
      </w:r>
      <w:r>
        <w:rPr>
          <w:rFonts w:hint="eastAsia" w:ascii="Times New Roman" w:hAnsi="Times New Roman" w:eastAsia="宋体"/>
          <w:b/>
          <w:bCs/>
          <w:color w:val="000000" w:themeColor="text1"/>
          <w:lang w:val="en-US" w:eastAsia="zh-CN"/>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hint="eastAsia" w:cs="Times New Roman"/>
          <w:b w:val="0"/>
          <w:bCs w:val="0"/>
          <w:color w:val="000000" w:themeColor="text1"/>
          <w:szCs w:val="24"/>
          <w14:textFill>
            <w14:solidFill>
              <w14:schemeClr w14:val="tx1"/>
            </w14:solidFill>
          </w14:textFill>
        </w:rPr>
        <w:t>由于该层位还处于勘探阶段，其气质层位的产能储量仍未探明，暂不具备区块开发条件，因此</w:t>
      </w:r>
      <w:r>
        <w:rPr>
          <w:rFonts w:cs="Times New Roman"/>
          <w:color w:val="000000" w:themeColor="text1"/>
          <w:szCs w:val="24"/>
          <w:highlight w:val="none"/>
          <w14:textFill>
            <w14:solidFill>
              <w14:schemeClr w14:val="tx1"/>
            </w14:solidFill>
          </w14:textFill>
        </w:rPr>
        <w:t>本项目试采期2年，探明后为下一步</w:t>
      </w:r>
      <w:r>
        <w:rPr>
          <w:rFonts w:hint="eastAsia" w:cs="Times New Roman"/>
          <w:color w:val="000000" w:themeColor="text1"/>
          <w:szCs w:val="24"/>
          <w:highlight w:val="none"/>
          <w:lang w:val="en-US" w:eastAsia="zh-CN"/>
          <w14:textFill>
            <w14:solidFill>
              <w14:schemeClr w14:val="tx1"/>
            </w14:solidFill>
          </w14:textFill>
        </w:rPr>
        <w:t>普光</w:t>
      </w:r>
      <w:r>
        <w:rPr>
          <w:rFonts w:cs="Times New Roman"/>
          <w:color w:val="000000" w:themeColor="text1"/>
          <w:szCs w:val="24"/>
          <w:highlight w:val="none"/>
          <w14:textFill>
            <w14:solidFill>
              <w14:schemeClr w14:val="tx1"/>
            </w14:solidFill>
          </w14:textFill>
        </w:rPr>
        <w:t>主体区块开发做准备。</w:t>
      </w:r>
      <w:r>
        <w:rPr>
          <w:rFonts w:ascii="Times New Roman" w:hAnsi="Times New Roman"/>
          <w:color w:val="000000" w:themeColor="text1"/>
          <w:sz w:val="24"/>
          <w:highlight w:val="none"/>
          <w:lang w:eastAsia="zh-CN"/>
          <w14:textFill>
            <w14:solidFill>
              <w14:schemeClr w14:val="tx1"/>
            </w14:solidFill>
          </w14:textFill>
        </w:rPr>
        <w:t>本项目试采（2年）结束后，若天然气井采气后期不具备商业开采价值时（若无进一步勘探开发计划）将按照行业规范采取闭井作业。首先，采用水泥对套管及套管壁进行固封，防止天然气串入地层；同时在射孔段上部注入水泥，形成水泥塞封隔天然气层。在井口套管头上安装丝扣法兰，其工作压力大于最上气层的地层压力，装放气阀，盖井口房，在丝扣法兰上标注井号、完井日期，并设置醒目的警示标志，加以保护，防止人为破坏和气体泄漏污染及环境风险事故。拆除地面集输流程和放喷池、清水池等，并编制闭井期土地复垦方案，对井场进行复垦（若有后续开采计划则纳入后续开采计划复垦）。通过拆除构筑物及对占地区域进行复垦，不存在遗留环境问题，不会造成持续环境影响。</w:t>
      </w:r>
      <w:r>
        <w:rPr>
          <w:rFonts w:ascii="Times New Roman" w:hAnsi="Times New Roman"/>
          <w:b/>
          <w:bCs/>
          <w:color w:val="000000" w:themeColor="text1"/>
          <w:sz w:val="24"/>
          <w:highlight w:val="none"/>
          <w:lang w:eastAsia="zh-CN"/>
          <w14:textFill>
            <w14:solidFill>
              <w14:schemeClr w14:val="tx1"/>
            </w14:solidFill>
          </w14:textFill>
        </w:rPr>
        <w:t>试采结束后，若具备开采价值，</w:t>
      </w:r>
      <w:r>
        <w:rPr>
          <w:rFonts w:cs="Times New Roman"/>
          <w:b/>
          <w:bCs/>
          <w:color w:val="000000" w:themeColor="text1"/>
          <w:szCs w:val="24"/>
          <w:highlight w:val="none"/>
          <w14:textFill>
            <w14:solidFill>
              <w14:schemeClr w14:val="tx1"/>
            </w14:solidFill>
          </w14:textFill>
        </w:rPr>
        <w:t>能够满足后期普光主体区块开发需要，则现有设施设备继续服务于普光主体区块开发，并需按照相关要求另行办理环评手续。</w:t>
      </w:r>
    </w:p>
    <w:bookmarkEnd w:id="4"/>
    <w:p>
      <w:pPr>
        <w:ind w:firstLine="480"/>
        <w:rPr>
          <w:rFonts w:cs="Times New Roman"/>
          <w:color w:val="000000" w:themeColor="text1"/>
          <w:szCs w:val="24"/>
          <w:highlight w:val="none"/>
          <w14:textFill>
            <w14:solidFill>
              <w14:schemeClr w14:val="tx1"/>
            </w14:solidFill>
          </w14:textFill>
        </w:rPr>
      </w:pPr>
      <w:bookmarkStart w:id="6" w:name="OLE_LINK248"/>
      <w:r>
        <w:rPr>
          <w:rFonts w:hint="eastAsia" w:cs="Times New Roman"/>
          <w:color w:val="000000" w:themeColor="text1"/>
          <w:szCs w:val="24"/>
          <w:highlight w:val="none"/>
          <w:lang w:eastAsia="zh-CN"/>
          <w14:textFill>
            <w14:solidFill>
              <w14:schemeClr w14:val="tx1"/>
            </w14:solidFill>
          </w14:textFill>
        </w:rPr>
        <w:t>普光气田雷页1井组试验项目</w:t>
      </w:r>
      <w:bookmarkStart w:id="7" w:name="OLE_LINK232"/>
      <w:bookmarkStart w:id="8" w:name="OLE_LINK300"/>
      <w:bookmarkStart w:id="9" w:name="OLE_LINK313"/>
      <w:r>
        <w:rPr>
          <w:rFonts w:hint="eastAsia" w:cs="Times New Roman"/>
          <w:color w:val="000000" w:themeColor="text1"/>
          <w:szCs w:val="24"/>
          <w:highlight w:val="none"/>
          <w14:textFill>
            <w14:solidFill>
              <w14:schemeClr w14:val="tx1"/>
            </w14:solidFill>
          </w14:textFill>
        </w:rPr>
        <w:t>为</w:t>
      </w:r>
      <w:r>
        <w:rPr>
          <w:rFonts w:cs="Times New Roman"/>
          <w:color w:val="000000" w:themeColor="text1"/>
          <w:szCs w:val="24"/>
          <w:highlight w:val="none"/>
          <w14:textFill>
            <w14:solidFill>
              <w14:schemeClr w14:val="tx1"/>
            </w14:solidFill>
          </w14:textFill>
        </w:rPr>
        <w:t>新建，</w:t>
      </w:r>
      <w:r>
        <w:rPr>
          <w:rFonts w:hint="eastAsia" w:cs="Times New Roman"/>
          <w:color w:val="000000" w:themeColor="text1"/>
          <w:szCs w:val="24"/>
          <w:highlight w:val="none"/>
          <w:lang w:val="en-US" w:eastAsia="zh-CN"/>
          <w14:textFill>
            <w14:solidFill>
              <w14:schemeClr w14:val="tx1"/>
            </w14:solidFill>
          </w14:textFill>
        </w:rPr>
        <w:t>为页岩气井，根据</w:t>
      </w:r>
      <w:r>
        <w:rPr>
          <w:rFonts w:cs="Times New Roman"/>
          <w:color w:val="000000" w:themeColor="text1"/>
          <w:szCs w:val="24"/>
          <w:highlight w:val="none"/>
          <w14:textFill>
            <w14:solidFill>
              <w14:schemeClr w14:val="tx1"/>
            </w14:solidFill>
          </w14:textFill>
        </w:rPr>
        <w:t>普光分公司天然气技术管理部提供的相关资料，参考周边已建的目的层为</w:t>
      </w:r>
      <w:r>
        <w:rPr>
          <w:rFonts w:hint="eastAsia"/>
          <w:color w:val="000000" w:themeColor="text1"/>
          <w:highlight w:val="none"/>
          <w:lang w:eastAsia="zh-CN"/>
          <w14:textFill>
            <w14:solidFill>
              <w14:schemeClr w14:val="tx1"/>
            </w14:solidFill>
          </w14:textFill>
        </w:rPr>
        <w:t>雷页1井</w:t>
      </w:r>
      <w:r>
        <w:rPr>
          <w:rFonts w:hint="eastAsia"/>
          <w:bCs/>
          <w:color w:val="000000" w:themeColor="text1"/>
          <w:highlight w:val="none"/>
          <w14:textFill>
            <w14:solidFill>
              <w14:schemeClr w14:val="tx1"/>
            </w14:solidFill>
          </w14:textFill>
        </w:rPr>
        <w:t>等井</w:t>
      </w:r>
      <w:r>
        <w:rPr>
          <w:rFonts w:cs="Times New Roman"/>
          <w:color w:val="000000" w:themeColor="text1"/>
          <w:szCs w:val="24"/>
          <w:highlight w:val="none"/>
          <w14:textFill>
            <w14:solidFill>
              <w14:schemeClr w14:val="tx1"/>
            </w14:solidFill>
          </w14:textFill>
        </w:rPr>
        <w:t>的气质组成及物性</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本项目天然气不含硫化氢，</w:t>
      </w:r>
      <w:r>
        <w:rPr>
          <w:rFonts w:cs="Times New Roman"/>
          <w:color w:val="000000" w:themeColor="text1"/>
          <w:szCs w:val="24"/>
          <w:highlight w:val="none"/>
          <w14:textFill>
            <w14:solidFill>
              <w14:schemeClr w14:val="tx1"/>
            </w14:solidFill>
          </w14:textFill>
        </w:rPr>
        <w:t>具体建设内容为：</w:t>
      </w:r>
      <w:bookmarkEnd w:id="7"/>
      <w:bookmarkEnd w:id="8"/>
      <w:bookmarkEnd w:id="9"/>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（1）钻前工程</w:t>
      </w:r>
    </w:p>
    <w:p>
      <w:pPr>
        <w:pStyle w:val="123"/>
        <w:rPr>
          <w:color w:val="000000" w:themeColor="text1"/>
          <w:highlight w:val="none"/>
          <w14:textFill>
            <w14:solidFill>
              <w14:schemeClr w14:val="tx1"/>
            </w14:solidFill>
          </w14:textFill>
        </w:rPr>
      </w:pPr>
      <w:bookmarkStart w:id="10" w:name="OLE_LINK90"/>
      <w:bookmarkStart w:id="11" w:name="OLE_LINK91"/>
      <w:bookmarkStart w:id="12" w:name="OLE_LINK37"/>
      <w:r>
        <w:rPr>
          <w:rFonts w:hint="eastAsia"/>
          <w:color w:val="000000" w:themeColor="text1"/>
          <w:highlight w:val="none"/>
          <w:lang w:eastAsia="zh-CN"/>
          <w14:textFill>
            <w14:solidFill>
              <w14:schemeClr w14:val="tx1"/>
            </w14:solidFill>
          </w14:textFill>
        </w:rPr>
        <w:t>新建井场1座，配套建设方井及井架基础各2座，泥浆泵、发电机房、循环罐、储备罐等设备基础各1座，进场道路100米，井场配套设施及边坡支护工程；利旧放喷池、清水池1座等</w:t>
      </w:r>
      <w:r>
        <w:rPr>
          <w:color w:val="000000" w:themeColor="text1"/>
          <w:highlight w:val="none"/>
          <w14:textFill>
            <w14:solidFill>
              <w14:schemeClr w14:val="tx1"/>
            </w14:solidFill>
          </w14:textFill>
        </w:rPr>
        <w:t>。</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（2）钻井工程</w:t>
      </w:r>
    </w:p>
    <w:p>
      <w:pPr>
        <w:widowControl/>
        <w:adjustRightInd w:val="0"/>
        <w:snapToGrid w:val="0"/>
        <w:spacing w:line="360" w:lineRule="auto"/>
        <w:ind w:firstLine="480" w:firstLineChars="200"/>
        <w:jc w:val="both"/>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bookmarkStart w:id="13" w:name="_Hlk156337346"/>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新钻井2口（分别为雷页1-2HF、雷页1-3HF），总进尺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w:t>
      </w:r>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其中：雷页1-2HF井设计井深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米（垂深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米），井型为水平井，套管完井，水平段长</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米。采用导管+三开井身结构：导管Φ508毫米下深60米；一开采用Φ444.5毫米钻头钻至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米，下入Φ346.1+339.7毫米套管；二开采用Φ311.2毫米钻头钻至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米，下入Φ260.4+244.5毫米套管；三开采用Φ215.9毫米钻头钻至完钻井深，下入Φ139.7毫米套管。泥浆体系：</w:t>
      </w:r>
      <w:r>
        <w:rPr>
          <w:rFonts w:hint="eastAsia"/>
          <w:color w:val="000000" w:themeColor="text1"/>
          <w:highlight w:val="none"/>
          <w14:textFill>
            <w14:solidFill>
              <w14:schemeClr w14:val="tx1"/>
            </w14:solidFill>
          </w14:textFill>
        </w:rPr>
        <w:t>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一开采用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钻井液体系；二开采用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润滑防塌钻井液/复合盐体系；三开采用油基钻井液。测录井除常规项目外三开加测元素录井和旋转导向、自然伽马和井斜方位测井。</w:t>
      </w:r>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雷页1-3HF井设计井深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米（垂深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米），井型为水平井，套管完井，水平段长</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米。采用导管+三开井身结构：导管Φ508毫米下深60米；一开采用Φ444.5毫米钻头钻至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米，下入Φ346.1+339.7毫米套管；二开采用Φ311.2毫米钻头钻至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米，下入Φ260.4+244.5毫米套管；三开采用Φ215.9毫米钻头钻至完钻井深，下入Φ139.7毫米套管。泥浆体系：</w:t>
      </w:r>
      <w:r>
        <w:rPr>
          <w:rFonts w:hint="eastAsia"/>
          <w:color w:val="000000" w:themeColor="text1"/>
          <w:highlight w:val="none"/>
          <w14:textFill>
            <w14:solidFill>
              <w14:schemeClr w14:val="tx1"/>
            </w14:solidFill>
          </w14:textFill>
        </w:rPr>
        <w:t>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一开采用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钻井液体系；二开采用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润滑防塌钻井液/复合盐体系；三开采用油基钻井液。测录井除常规项目外，</w:t>
      </w:r>
    </w:p>
    <w:p>
      <w:pPr>
        <w:widowControl/>
        <w:adjustRightInd w:val="0"/>
        <w:snapToGrid w:val="0"/>
        <w:spacing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三开加测元素录井和旋转导向、自然伽马和井斜方位测井</w:t>
      </w:r>
      <w:r>
        <w:rPr>
          <w:rFonts w:hint="eastAsia"/>
          <w:color w:val="000000" w:themeColor="text1"/>
          <w:highlight w:val="none"/>
          <w14:textFill>
            <w14:solidFill>
              <w14:schemeClr w14:val="tx1"/>
            </w14:solidFill>
          </w14:textFill>
        </w:rPr>
        <w:t>。</w:t>
      </w:r>
    </w:p>
    <w:bookmarkEnd w:id="10"/>
    <w:bookmarkEnd w:id="11"/>
    <w:bookmarkEnd w:id="12"/>
    <w:bookmarkEnd w:id="13"/>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（3）</w:t>
      </w:r>
      <w:bookmarkStart w:id="14" w:name="_Hlk152579043"/>
      <w:r>
        <w:rPr>
          <w:rFonts w:hint="eastAsia" w:cs="Times New Roman"/>
          <w:color w:val="000000" w:themeColor="text1"/>
          <w:szCs w:val="24"/>
          <w:highlight w:val="none"/>
          <w14:textFill>
            <w14:solidFill>
              <w14:schemeClr w14:val="tx1"/>
            </w14:solidFill>
          </w14:textFill>
        </w:rPr>
        <w:t>储层改造</w:t>
      </w:r>
      <w:r>
        <w:rPr>
          <w:rFonts w:cs="Times New Roman"/>
          <w:color w:val="000000" w:themeColor="text1"/>
          <w:szCs w:val="24"/>
          <w:highlight w:val="none"/>
          <w14:textFill>
            <w14:solidFill>
              <w14:schemeClr w14:val="tx1"/>
            </w14:solidFill>
          </w14:textFill>
        </w:rPr>
        <w:t>工程</w:t>
      </w:r>
      <w:bookmarkEnd w:id="14"/>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两口井均采用连续油管处理井筒，整体采用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压裂工艺，首段采用连续油管输送射孔，后续压裂段采用泵送</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联作工艺，采用“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”的改造模式。雷页1-2HF井分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立方米，雷页1-3HF井分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立方米，两口井施工排量均为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/分钟，施工限压均为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w:t>
      </w:r>
    </w:p>
    <w:p>
      <w:pPr>
        <w:pStyle w:val="123"/>
        <w:rPr>
          <w:color w:val="000000" w:themeColor="text1"/>
          <w:kern w:val="0"/>
          <w:szCs w:val="22"/>
          <w:highlight w:val="none"/>
          <w:lang w:eastAsia="zh-CN"/>
          <w14:textFill>
            <w14:solidFill>
              <w14:schemeClr w14:val="tx1"/>
            </w14:solidFill>
          </w14:textFill>
        </w:rPr>
      </w:pPr>
      <w:r>
        <w:rPr>
          <w:rFonts w:hint="eastAsia" w:cstheme="minorBidi"/>
          <w:color w:val="000000" w:themeColor="text1"/>
          <w:sz w:val="24"/>
          <w:szCs w:val="22"/>
          <w:highlight w:val="none"/>
          <w:lang w:val="en-US" w:eastAsia="zh-CN" w:bidi="ar-SA"/>
          <w14:textFill>
            <w14:solidFill>
              <w14:schemeClr w14:val="tx1"/>
            </w14:solidFill>
          </w14:textFill>
        </w:rPr>
        <w:t>***</w:t>
      </w:r>
      <w:r>
        <w:rPr>
          <w:color w:val="000000" w:themeColor="text1"/>
          <w:kern w:val="0"/>
          <w:szCs w:val="22"/>
          <w:highlight w:val="none"/>
          <w:lang w:eastAsia="zh-CN"/>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（4）</w:t>
      </w:r>
      <w:r>
        <w:rPr>
          <w:rFonts w:hint="eastAsia" w:cs="Times New Roman"/>
          <w:color w:val="000000" w:themeColor="text1"/>
          <w:highlight w:val="none"/>
          <w14:textFill>
            <w14:solidFill>
              <w14:schemeClr w14:val="tx1"/>
            </w14:solidFill>
          </w14:textFill>
        </w:rPr>
        <w:t>油气集输工程</w:t>
      </w:r>
      <w:bookmarkStart w:id="15" w:name="_Hlk150179431"/>
      <w:bookmarkStart w:id="16" w:name="_Hlk151024029"/>
    </w:p>
    <w:p>
      <w:pPr>
        <w:ind w:firstLine="480"/>
        <w:rPr>
          <w:rFonts w:hint="default" w:cs="Times New Roman"/>
          <w:color w:val="000000" w:themeColor="text1"/>
          <w:lang w:val="en-US" w:eastAsia="zh-CN"/>
          <w14:textFill>
            <w14:solidFill>
              <w14:schemeClr w14:val="tx1"/>
            </w14:solidFill>
          </w14:textFill>
        </w:rPr>
      </w:pPr>
      <w:bookmarkStart w:id="17" w:name="_Hlk156337380"/>
      <w:bookmarkStart w:id="18" w:name="_Hlk154236201"/>
      <w:r>
        <w:rPr>
          <w:rFonts w:hint="eastAsia" w:cs="Times New Roman"/>
          <w:color w:val="000000" w:themeColor="text1"/>
          <w:lang w:val="en-US" w:eastAsia="zh-CN"/>
          <w14:textFill>
            <w14:solidFill>
              <w14:schemeClr w14:val="tx1"/>
            </w14:solidFill>
          </w14:textFill>
        </w:rPr>
        <w:t>在现有雷页1试采站内新1套地面集输流程，井口来气通过管道输（管道长度140m，管线规格DN65，材质为Q345，设计压力6.9MPa，埋深1.2m）送至雷页1试采站，再经除砂、加热、节流、单井混相计量、脱水后</w:t>
      </w:r>
      <w:r>
        <w:rPr>
          <w:rFonts w:hint="eastAsia" w:cs="Times New Roman"/>
          <w:color w:val="000000" w:themeColor="text1"/>
          <w:szCs w:val="24"/>
          <w14:textFill>
            <w14:solidFill>
              <w14:schemeClr w14:val="tx1"/>
            </w14:solidFill>
          </w14:textFill>
        </w:rPr>
        <w:t>通过已建雷页</w:t>
      </w:r>
      <w:r>
        <w:rPr>
          <w:rFonts w:cs="Times New Roman"/>
          <w:color w:val="000000" w:themeColor="text1"/>
          <w:szCs w:val="24"/>
          <w14:textFill>
            <w14:solidFill>
              <w14:schemeClr w14:val="tx1"/>
            </w14:solidFill>
          </w14:textFill>
        </w:rPr>
        <w:t>1</w:t>
      </w:r>
      <w:r>
        <w:rPr>
          <w:rFonts w:hint="eastAsia" w:cs="Times New Roman"/>
          <w:color w:val="000000" w:themeColor="text1"/>
          <w:szCs w:val="24"/>
          <w14:textFill>
            <w14:solidFill>
              <w14:schemeClr w14:val="tx1"/>
            </w14:solidFill>
          </w14:textFill>
        </w:rPr>
        <w:t>井至毛达线魏兴站</w:t>
      </w:r>
      <w:r>
        <w:rPr>
          <w:rFonts w:hint="eastAsia" w:cs="Times New Roman"/>
          <w:color w:val="000000" w:themeColor="text1"/>
          <w:szCs w:val="24"/>
          <w:lang w:val="en-US" w:eastAsia="zh-CN"/>
          <w14:textFill>
            <w14:solidFill>
              <w14:schemeClr w14:val="tx1"/>
            </w14:solidFill>
          </w14:textFill>
        </w:rPr>
        <w:t>的管线实现</w:t>
      </w:r>
      <w:r>
        <w:rPr>
          <w:rFonts w:hint="eastAsia" w:cs="Times New Roman"/>
          <w:color w:val="000000" w:themeColor="text1"/>
          <w:szCs w:val="24"/>
          <w14:textFill>
            <w14:solidFill>
              <w14:schemeClr w14:val="tx1"/>
            </w14:solidFill>
          </w14:textFill>
        </w:rPr>
        <w:t>外输</w:t>
      </w:r>
      <w:r>
        <w:rPr>
          <w:rFonts w:hint="eastAsia" w:cs="Times New Roman"/>
          <w:color w:val="000000" w:themeColor="text1"/>
          <w:lang w:val="en-US" w:eastAsia="zh-CN"/>
          <w14:textFill>
            <w14:solidFill>
              <w14:schemeClr w14:val="tx1"/>
            </w14:solidFill>
          </w14:textFill>
        </w:rPr>
        <w:t>，采出水储存后装车外运，配套电力、通信、自控等设施。</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14:textFill>
            <w14:solidFill>
              <w14:schemeClr w14:val="tx1"/>
            </w14:solidFill>
          </w14:textFill>
        </w:rPr>
        <w:t>项目投产后，</w:t>
      </w:r>
      <w:r>
        <w:rPr>
          <w:rFonts w:hint="eastAsia" w:cs="Times New Roman"/>
          <w:color w:val="000000" w:themeColor="text1"/>
          <w:lang w:val="en-US" w:eastAsia="zh-CN"/>
          <w14:textFill>
            <w14:solidFill>
              <w14:schemeClr w14:val="tx1"/>
            </w14:solidFill>
          </w14:textFill>
        </w:rPr>
        <w:t>总</w:t>
      </w:r>
      <w:r>
        <w:rPr>
          <w:rFonts w:hint="eastAsia" w:cs="Times New Roman"/>
          <w:color w:val="000000" w:themeColor="text1"/>
          <w14:textFill>
            <w14:solidFill>
              <w14:schemeClr w14:val="tx1"/>
            </w14:solidFill>
          </w14:textFill>
        </w:rPr>
        <w:t>配产</w:t>
      </w: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万立方米</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天</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单井配产规模为10</w:t>
      </w:r>
      <w:r>
        <w:rPr>
          <w:rFonts w:hint="eastAsia" w:cs="Times New Roman"/>
          <w:color w:val="000000" w:themeColor="text1"/>
          <w14:textFill>
            <w14:solidFill>
              <w14:schemeClr w14:val="tx1"/>
            </w14:solidFill>
          </w14:textFill>
        </w:rPr>
        <w:t>万立方米</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天</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14:textFill>
            <w14:solidFill>
              <w14:schemeClr w14:val="tx1"/>
            </w14:solidFill>
          </w14:textFill>
        </w:rPr>
        <w:t>试采期为</w:t>
      </w:r>
      <w:r>
        <w:rPr>
          <w:rFonts w:hint="eastAsia" w:cs="Times New Roman"/>
          <w:color w:val="000000" w:themeColor="text1"/>
          <w:highlight w:val="none"/>
          <w:lang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年。</w:t>
      </w:r>
    </w:p>
    <w:bookmarkEnd w:id="6"/>
    <w:bookmarkEnd w:id="15"/>
    <w:bookmarkEnd w:id="16"/>
    <w:bookmarkEnd w:id="17"/>
    <w:bookmarkEnd w:id="18"/>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总投资</w:t>
      </w:r>
      <w:r>
        <w:rPr>
          <w:rFonts w:hint="eastAsia" w:cs="Times New Roman"/>
          <w:color w:val="000000" w:themeColor="text1"/>
          <w:highlight w:val="none"/>
          <w:lang w:val="en-US" w:eastAsia="zh-CN"/>
          <w14:textFill>
            <w14:solidFill>
              <w14:schemeClr w14:val="tx1"/>
            </w14:solidFill>
          </w14:textFill>
        </w:rPr>
        <w:t>***万元</w:t>
      </w:r>
      <w:r>
        <w:rPr>
          <w:rFonts w:cs="Times New Roman"/>
          <w:color w:val="000000" w:themeColor="text1"/>
          <w:highlight w:val="none"/>
          <w14:textFill>
            <w14:solidFill>
              <w14:schemeClr w14:val="tx1"/>
            </w14:solidFill>
          </w14:textFill>
        </w:rPr>
        <w:t>，其中</w:t>
      </w:r>
      <w:r>
        <w:rPr>
          <w:rFonts w:hint="eastAsia" w:cs="Times New Roman"/>
          <w:color w:val="000000" w:themeColor="text1"/>
          <w:highlight w:val="none"/>
          <w:lang w:val="en-US" w:eastAsia="zh-CN"/>
          <w14:textFill>
            <w14:solidFill>
              <w14:schemeClr w14:val="tx1"/>
            </w14:solidFill>
          </w14:textFill>
        </w:rPr>
        <w:t>环保投资***万元，环保投资占总投资2.44%</w:t>
      </w:r>
      <w:r>
        <w:rPr>
          <w:rFonts w:cs="Times New Roman"/>
          <w:color w:val="000000" w:themeColor="text1"/>
          <w:highlight w:val="none"/>
          <w14:textFill>
            <w14:solidFill>
              <w14:schemeClr w14:val="tx1"/>
            </w14:solidFill>
          </w14:textFill>
        </w:rPr>
        <w:t>。</w:t>
      </w:r>
    </w:p>
    <w:p>
      <w:pPr>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本项目位于达州市</w:t>
      </w:r>
      <w:r>
        <w:rPr>
          <w:rFonts w:hint="eastAsia" w:cs="Times New Roman"/>
          <w:color w:val="000000" w:themeColor="text1"/>
          <w:kern w:val="0"/>
          <w:highlight w:val="none"/>
          <w:lang w:eastAsia="zh-CN"/>
          <w14:textFill>
            <w14:solidFill>
              <w14:schemeClr w14:val="tx1"/>
            </w14:solidFill>
          </w14:textFill>
        </w:rPr>
        <w:t>宣汉县***</w:t>
      </w:r>
      <w:r>
        <w:rPr>
          <w:rFonts w:cs="Times New Roman"/>
          <w:color w:val="000000" w:themeColor="text1"/>
          <w:kern w:val="0"/>
          <w:highlight w:val="none"/>
          <w14:textFill>
            <w14:solidFill>
              <w14:schemeClr w14:val="tx1"/>
            </w14:solidFill>
          </w14:textFill>
        </w:rPr>
        <w:t>，根据水利部办公厅关于印发《全国水土保持规划国家级水土流失重点预防区和重点治理区复核划分成果》（办水保〔2013〕188号）的通知，本项目</w:t>
      </w:r>
      <w:r>
        <w:rPr>
          <w:rFonts w:hint="eastAsia" w:cs="Times New Roman"/>
          <w:color w:val="000000" w:themeColor="text1"/>
          <w:kern w:val="0"/>
          <w:highlight w:val="none"/>
          <w:lang w:val="en-US" w:eastAsia="zh-CN"/>
          <w14:textFill>
            <w14:solidFill>
              <w14:schemeClr w14:val="tx1"/>
            </w14:solidFill>
          </w14:textFill>
        </w:rPr>
        <w:t>所在地</w:t>
      </w:r>
      <w:r>
        <w:rPr>
          <w:rFonts w:cs="Times New Roman"/>
          <w:color w:val="000000" w:themeColor="text1"/>
          <w:kern w:val="0"/>
          <w:highlight w:val="none"/>
          <w14:textFill>
            <w14:solidFill>
              <w14:schemeClr w14:val="tx1"/>
            </w14:solidFill>
          </w14:textFill>
        </w:rPr>
        <w:t>属于四川省国家级水土流失重点治理区名单中所列区县，详见下表。</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四川省国家级水土流失重点治理区名单</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6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重点治理区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嘉陵江及沱江中下游国家级水土流失重点治理区</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GII2</w:t>
            </w:r>
          </w:p>
        </w:tc>
        <w:tc>
          <w:tcPr>
            <w:tcW w:w="6747"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巴中市：巴州区、恩阳区、平昌县；成都市：金堂县、简阳市；达州市：达川区、大竹县、开江县、渠县、通川区、</w:t>
            </w:r>
            <w:r>
              <w:rPr>
                <w:rFonts w:hint="default"/>
                <w:b/>
                <w:bCs/>
                <w:color w:val="000000" w:themeColor="text1"/>
                <w:szCs w:val="20"/>
                <w:highlight w:val="none"/>
                <w14:textFill>
                  <w14:solidFill>
                    <w14:schemeClr w14:val="tx1"/>
                  </w14:solidFill>
                </w14:textFill>
              </w:rPr>
              <w:t>宣汉县</w:t>
            </w:r>
            <w:r>
              <w:rPr>
                <w:rFonts w:hint="default"/>
                <w:color w:val="000000" w:themeColor="text1"/>
                <w:szCs w:val="20"/>
                <w:highlight w:val="none"/>
                <w14:textFill>
                  <w14:solidFill>
                    <w14:schemeClr w14:val="tx1"/>
                  </w14:solidFill>
                </w14:textFill>
              </w:rPr>
              <w:t>；德阳市：中江县；广元市：苍溪县、剑阁县；乐山市：犍为县、井研县；眉山市：仁寿县；绵阳市：三台县、盐亭县、梓潼县；内江市：威远县、资中县；南充市：阆中市、仪陇县、营山县；遂宁市：大英县；宜宾市：宜宾县；资阳市：安岳县、乐至县、雁江区；自贡市；柴县（31）</w:t>
            </w:r>
          </w:p>
        </w:tc>
      </w:tr>
    </w:tbl>
    <w:p>
      <w:pPr>
        <w:spacing w:before="120" w:beforeLines="50"/>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同时，</w:t>
      </w:r>
      <w:r>
        <w:rPr>
          <w:rFonts w:ascii="宋体" w:hAnsi="宋体" w:cs="Times New Roman"/>
          <w:color w:val="000000" w:themeColor="text1"/>
          <w:kern w:val="0"/>
          <w:highlight w:val="none"/>
          <w14:textFill>
            <w14:solidFill>
              <w14:schemeClr w14:val="tx1"/>
            </w14:solidFill>
          </w14:textFill>
        </w:rPr>
        <w:t>根据达州市水利局《关于水土保持“两区”划分的公告》“以下称《公告》”</w:t>
      </w:r>
      <w:r>
        <w:rPr>
          <w:rFonts w:cs="Times New Roman"/>
          <w:color w:val="000000" w:themeColor="text1"/>
          <w:kern w:val="0"/>
          <w:highlight w:val="none"/>
          <w14:textFill>
            <w14:solidFill>
              <w14:schemeClr w14:val="tx1"/>
            </w14:solidFill>
          </w14:textFill>
        </w:rPr>
        <w:t>（详见附件1</w:t>
      </w:r>
      <w:r>
        <w:rPr>
          <w:rFonts w:hint="eastAsia" w:cs="Times New Roman"/>
          <w:color w:val="000000" w:themeColor="text1"/>
          <w:kern w:val="0"/>
          <w:highlight w:val="none"/>
          <w:lang w:val="en-US" w:eastAsia="zh-CN"/>
          <w14:textFill>
            <w14:solidFill>
              <w14:schemeClr w14:val="tx1"/>
            </w14:solidFill>
          </w14:textFill>
        </w:rPr>
        <w:t>3</w:t>
      </w:r>
      <w:r>
        <w:rPr>
          <w:rFonts w:cs="Times New Roman"/>
          <w:color w:val="000000" w:themeColor="text1"/>
          <w:kern w:val="0"/>
          <w:highlight w:val="none"/>
          <w14:textFill>
            <w14:solidFill>
              <w14:schemeClr w14:val="tx1"/>
            </w14:solidFill>
          </w14:textFill>
        </w:rPr>
        <w:t>），涉及《公告》中</w:t>
      </w:r>
      <w:r>
        <w:rPr>
          <w:rFonts w:ascii="宋体" w:hAnsi="宋体" w:cs="Times New Roman"/>
          <w:color w:val="000000" w:themeColor="text1"/>
          <w:kern w:val="0"/>
          <w:highlight w:val="none"/>
          <w14:textFill>
            <w14:solidFill>
              <w14:schemeClr w14:val="tx1"/>
            </w14:solidFill>
          </w14:textFill>
        </w:rPr>
        <w:t>“附件1达州市水土流失重点防治区划分表”中所列生态分区中“</w:t>
      </w:r>
      <w:r>
        <w:rPr>
          <w:rFonts w:cs="Times New Roman"/>
          <w:color w:val="000000" w:themeColor="text1"/>
          <w:kern w:val="0"/>
          <w:highlight w:val="none"/>
          <w14:textFill>
            <w14:solidFill>
              <w14:schemeClr w14:val="tx1"/>
            </w14:solidFill>
          </w14:textFill>
        </w:rPr>
        <w:t>Ⅱ区-重点治理区</w:t>
      </w:r>
      <w:r>
        <w:rPr>
          <w:rFonts w:ascii="宋体" w:hAnsi="宋体"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，具体详见下表。</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达州市水土流失重点防治区划分表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417"/>
        <w:gridCol w:w="5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生态分区</w:t>
            </w:r>
          </w:p>
        </w:tc>
        <w:tc>
          <w:tcPr>
            <w:tcW w:w="141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治理分区</w:t>
            </w:r>
          </w:p>
        </w:tc>
        <w:tc>
          <w:tcPr>
            <w:tcW w:w="575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II区</w:t>
            </w:r>
          </w:p>
        </w:tc>
        <w:tc>
          <w:tcPr>
            <w:tcW w:w="141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重点预防区</w:t>
            </w:r>
          </w:p>
        </w:tc>
        <w:tc>
          <w:tcPr>
            <w:tcW w:w="5751"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宣汉县：龙泉乡、渡口乡、三墩乡、白马乡、大成镇、东乡镇、柳池乡、清溪镇、</w:t>
            </w:r>
            <w:r>
              <w:rPr>
                <w:rFonts w:hint="default"/>
                <w:b w:val="0"/>
                <w:bCs w:val="0"/>
                <w:color w:val="000000" w:themeColor="text1"/>
                <w:szCs w:val="20"/>
                <w:highlight w:val="none"/>
                <w14:textFill>
                  <w14:solidFill>
                    <w14:schemeClr w14:val="tx1"/>
                  </w14:solidFill>
                </w14:textFill>
              </w:rPr>
              <w:t>普光镇、</w:t>
            </w:r>
            <w:r>
              <w:rPr>
                <w:rFonts w:hint="default"/>
                <w:color w:val="000000" w:themeColor="text1"/>
                <w:szCs w:val="20"/>
                <w:highlight w:val="none"/>
                <w14:textFill>
                  <w14:solidFill>
                    <w14:schemeClr w14:val="tx1"/>
                  </w14:solidFill>
                </w14:textFill>
              </w:rPr>
              <w:t>桃花乡、双河镇、七里乡、柏树镇、天生镇、石铁乡、新华镇、厂溪乡、风鸣乡、红峰乡（19）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重点治理区</w:t>
            </w:r>
          </w:p>
        </w:tc>
        <w:tc>
          <w:tcPr>
            <w:tcW w:w="5751"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宣汉县：三墩乡、土黄镇、樊哙镇、漆碑乡、华景镇、白马乡、庆云乡、马渡乡、隘口乡、清溪镇、老君乡、普光镇、峰城镇、凤林乡、五宝镇、天台乡、三河乡、</w:t>
            </w:r>
            <w:r>
              <w:rPr>
                <w:rFonts w:hint="eastAsia"/>
                <w:color w:val="000000" w:themeColor="text1"/>
                <w:szCs w:val="20"/>
                <w:highlight w:val="none"/>
                <w:lang w:val="en-US" w:eastAsia="zh-CN"/>
                <w14:textFill>
                  <w14:solidFill>
                    <w14:schemeClr w14:val="tx1"/>
                  </w14:solidFill>
                </w14:textFill>
              </w:rPr>
              <w:t>君塘镇</w:t>
            </w:r>
            <w:r>
              <w:rPr>
                <w:rFonts w:hint="default"/>
                <w:color w:val="000000" w:themeColor="text1"/>
                <w:szCs w:val="20"/>
                <w:highlight w:val="none"/>
                <w14:textFill>
                  <w14:solidFill>
                    <w14:schemeClr w14:val="tx1"/>
                  </w14:solidFill>
                </w14:textFill>
              </w:rPr>
              <w:t>、明月乡、东乡镇、红岭乡、大成镇、柳池乡、东林乡、庙安乡、天宝乡、柏树镇、黄金镇、</w:t>
            </w:r>
            <w:r>
              <w:rPr>
                <w:rFonts w:hint="eastAsia"/>
                <w:color w:val="000000" w:themeColor="text1"/>
                <w:szCs w:val="20"/>
                <w:highlight w:val="none"/>
                <w:lang w:eastAsia="zh-CN"/>
                <w14:textFill>
                  <w14:solidFill>
                    <w14:schemeClr w14:val="tx1"/>
                  </w14:solidFill>
                </w14:textFill>
              </w:rPr>
              <w:t>老君乡、普光镇</w:t>
            </w:r>
            <w:r>
              <w:rPr>
                <w:rFonts w:hint="default"/>
                <w:color w:val="000000" w:themeColor="text1"/>
                <w:szCs w:val="20"/>
                <w:highlight w:val="none"/>
                <w14:textFill>
                  <w14:solidFill>
                    <w14:schemeClr w14:val="tx1"/>
                  </w14:solidFill>
                </w14:textFill>
              </w:rPr>
              <w:t>、胡家镇、花池乡、土主乡、南坪乡、观山乡（34）</w:t>
            </w:r>
          </w:p>
        </w:tc>
      </w:tr>
    </w:tbl>
    <w:p>
      <w:pPr>
        <w:pStyle w:val="250"/>
        <w:spacing w:before="120" w:beforeLines="5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由上表可知，</w:t>
      </w:r>
      <w:r>
        <w:rPr>
          <w:color w:val="000000" w:themeColor="text1"/>
          <w:highlight w:val="none"/>
          <w14:textFill>
            <w14:solidFill>
              <w14:schemeClr w14:val="tx1"/>
            </w14:solidFill>
          </w14:textFill>
        </w:rPr>
        <w:t>本项目涉及水土流失</w:t>
      </w:r>
      <w:r>
        <w:rPr>
          <w:rFonts w:hint="default"/>
          <w:color w:val="000000" w:themeColor="text1"/>
          <w:szCs w:val="20"/>
          <w:highlight w:val="none"/>
          <w14:textFill>
            <w14:solidFill>
              <w14:schemeClr w14:val="tx1"/>
            </w14:solidFill>
          </w14:textFill>
        </w:rPr>
        <w:t>重点预防区</w:t>
      </w:r>
      <w:r>
        <w:rPr>
          <w:rFonts w:hint="eastAsia"/>
          <w:color w:val="000000" w:themeColor="text1"/>
          <w:szCs w:val="20"/>
          <w:highlight w:val="none"/>
          <w:lang w:val="en-US" w:eastAsia="zh-CN"/>
          <w14:textFill>
            <w14:solidFill>
              <w14:schemeClr w14:val="tx1"/>
            </w14:solidFill>
          </w14:textFill>
        </w:rPr>
        <w:t>和</w:t>
      </w:r>
      <w:r>
        <w:rPr>
          <w:color w:val="000000" w:themeColor="text1"/>
          <w:highlight w:val="none"/>
          <w14:textFill>
            <w14:solidFill>
              <w14:schemeClr w14:val="tx1"/>
            </w14:solidFill>
          </w14:textFill>
        </w:rPr>
        <w:t>重点治理区</w:t>
      </w:r>
      <w:r>
        <w:rPr>
          <w:rFonts w:hint="eastAsia"/>
          <w:color w:val="000000" w:themeColor="text1"/>
          <w:highlight w:val="none"/>
          <w14:textFill>
            <w14:solidFill>
              <w14:schemeClr w14:val="tx1"/>
            </w14:solidFill>
          </w14:textFill>
        </w:rPr>
        <w:t>，此外，根据后文分析，本项目还涉及部分基本农田占用</w:t>
      </w:r>
      <w:r>
        <w:rPr>
          <w:color w:val="000000" w:themeColor="text1"/>
          <w:highlight w:val="none"/>
          <w14:textFill>
            <w14:solidFill>
              <w14:schemeClr w14:val="tx1"/>
            </w14:solidFill>
          </w14:textFill>
        </w:rPr>
        <w:t>。</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根据《中华人民共和国环境保护法》（2015年1月1日实施）、《中华人民共和国环境影响评价法》（2018年12月29日实施）、《建设项目环境影响评价分类管理名录》（2021年版）等的有关规定，建设过程中或者建成投产后可能对环境产生影响的新建、扩建、改建、迁建项目及区域开发建设项目，必须执行环境影响评价制度。根据</w:t>
      </w:r>
      <w:r>
        <w:rPr>
          <w:rFonts w:hint="eastAsia" w:cs="Times New Roman"/>
          <w:color w:val="000000" w:themeColor="text1"/>
          <w:kern w:val="0"/>
          <w:highlight w:val="none"/>
          <w:lang w:eastAsia="zh-CN"/>
          <w14:textFill>
            <w14:solidFill>
              <w14:schemeClr w14:val="tx1"/>
            </w14:solidFill>
          </w14:textFill>
        </w:rPr>
        <w:t>生态环境部</w:t>
      </w:r>
      <w:r>
        <w:rPr>
          <w:rFonts w:cs="Times New Roman"/>
          <w:color w:val="000000" w:themeColor="text1"/>
          <w:kern w:val="0"/>
          <w:highlight w:val="none"/>
          <w14:textFill>
            <w14:solidFill>
              <w14:schemeClr w14:val="tx1"/>
            </w14:solidFill>
          </w14:textFill>
        </w:rPr>
        <w:t>制定的《建设项目环境影响评价分类管理名录》（2021年版）中的相关要求，本项目属于</w:t>
      </w:r>
      <w:r>
        <w:rPr>
          <w:rFonts w:ascii="宋体" w:hAnsi="宋体"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五、石油和天然气开采业07-8、陆地天然气开采0721-新区块开发；年生产能力1亿立方米及以上的煤层气开采；涉及环境敏感区的（含内部集输管线建设）（本项目涉及</w:t>
      </w:r>
      <w:r>
        <w:rPr>
          <w:color w:val="000000" w:themeColor="text1"/>
          <w:highlight w:val="none"/>
          <w14:textFill>
            <w14:solidFill>
              <w14:schemeClr w14:val="tx1"/>
            </w14:solidFill>
          </w14:textFill>
        </w:rPr>
        <w:t>水土流失</w:t>
      </w:r>
      <w:r>
        <w:rPr>
          <w:rFonts w:hint="default"/>
          <w:color w:val="000000" w:themeColor="text1"/>
          <w:szCs w:val="20"/>
          <w:highlight w:val="none"/>
          <w14:textFill>
            <w14:solidFill>
              <w14:schemeClr w14:val="tx1"/>
            </w14:solidFill>
          </w14:textFill>
        </w:rPr>
        <w:t>重点预防区</w:t>
      </w:r>
      <w:r>
        <w:rPr>
          <w:rFonts w:hint="eastAsia"/>
          <w:color w:val="000000" w:themeColor="text1"/>
          <w:szCs w:val="20"/>
          <w:highlight w:val="none"/>
          <w:lang w:val="en-US" w:eastAsia="zh-CN"/>
          <w14:textFill>
            <w14:solidFill>
              <w14:schemeClr w14:val="tx1"/>
            </w14:solidFill>
          </w14:textFill>
        </w:rPr>
        <w:t>和</w:t>
      </w:r>
      <w:r>
        <w:rPr>
          <w:color w:val="000000" w:themeColor="text1"/>
          <w:highlight w:val="none"/>
          <w14:textFill>
            <w14:solidFill>
              <w14:schemeClr w14:val="tx1"/>
            </w14:solidFill>
          </w14:textFill>
        </w:rPr>
        <w:t>重点治理区</w:t>
      </w:r>
      <w:r>
        <w:rPr>
          <w:rFonts w:hint="eastAsia" w:cs="Times New Roman"/>
          <w:color w:val="000000" w:themeColor="text1"/>
          <w:kern w:val="0"/>
          <w:highlight w:val="none"/>
          <w14:textFill>
            <w14:solidFill>
              <w14:schemeClr w14:val="tx1"/>
            </w14:solidFill>
          </w14:textFill>
        </w:rPr>
        <w:t>及基本农田</w:t>
      </w:r>
      <w:r>
        <w:rPr>
          <w:rFonts w:cs="Times New Roman"/>
          <w:color w:val="000000" w:themeColor="text1"/>
          <w:kern w:val="0"/>
          <w:highlight w:val="none"/>
          <w14:textFill>
            <w14:solidFill>
              <w14:schemeClr w14:val="tx1"/>
            </w14:solidFill>
          </w14:textFill>
        </w:rPr>
        <w:t>）</w:t>
      </w:r>
      <w:r>
        <w:rPr>
          <w:rFonts w:ascii="宋体" w:hAnsi="宋体"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的建设项目，环评类别为编制环境影响报告书。</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中国石油化工股份有限公司中原油田普光分公司委托成都维清环保科技有限公司承担本项目环境影响评价工作（见附件</w:t>
      </w:r>
      <w:r>
        <w:rPr>
          <w:rFonts w:hint="eastAsia" w:cs="Times New Roman"/>
          <w:color w:val="000000" w:themeColor="text1"/>
          <w:kern w:val="0"/>
          <w:szCs w:val="20"/>
          <w:highlight w:val="none"/>
          <w:lang w:val="en-US" w:eastAsia="zh-CN"/>
          <w14:textFill>
            <w14:solidFill>
              <w14:schemeClr w14:val="tx1"/>
            </w14:solidFill>
          </w14:textFill>
        </w:rPr>
        <w:t>1</w:t>
      </w:r>
      <w:r>
        <w:rPr>
          <w:rFonts w:cs="Times New Roman"/>
          <w:color w:val="000000" w:themeColor="text1"/>
          <w:kern w:val="0"/>
          <w:szCs w:val="20"/>
          <w:highlight w:val="none"/>
          <w14:textFill>
            <w14:solidFill>
              <w14:schemeClr w14:val="tx1"/>
            </w14:solidFill>
          </w14:textFill>
        </w:rPr>
        <w:t>）。成都维清环保科技有限公司接受委托后，成立项目组，并随即对该项目建设沿线及其周边的自然环境进行踏勘调查，并收集了与项目有关的建设及技术资料，根据建设项目环境影响评价导则、规范及要求</w:t>
      </w:r>
      <w:r>
        <w:rPr>
          <w:rFonts w:hint="eastAsia" w:cs="Times New Roman"/>
          <w:color w:val="000000" w:themeColor="text1"/>
          <w:kern w:val="0"/>
          <w:szCs w:val="20"/>
          <w:highlight w:val="none"/>
          <w:lang w:eastAsia="zh-CN"/>
          <w14:textFill>
            <w14:solidFill>
              <w14:schemeClr w14:val="tx1"/>
            </w14:solidFill>
          </w14:textFill>
        </w:rPr>
        <w:t>，</w:t>
      </w:r>
      <w:r>
        <w:rPr>
          <w:rFonts w:hint="eastAsia" w:cs="Times New Roman"/>
          <w:color w:val="000000" w:themeColor="text1"/>
          <w:kern w:val="0"/>
          <w:szCs w:val="20"/>
          <w:highlight w:val="none"/>
          <w:lang w:val="en-US" w:eastAsia="zh-CN"/>
          <w14:textFill>
            <w14:solidFill>
              <w14:schemeClr w14:val="tx1"/>
            </w14:solidFill>
          </w14:textFill>
        </w:rPr>
        <w:t>并结合建设单位提供的《</w:t>
      </w:r>
      <w:r>
        <w:rPr>
          <w:rFonts w:hint="eastAsia"/>
          <w:color w:val="000000" w:themeColor="text1"/>
          <w:lang w:eastAsia="zh-CN"/>
          <w14:textFill>
            <w14:solidFill>
              <w14:schemeClr w14:val="tx1"/>
            </w14:solidFill>
          </w14:textFill>
        </w:rPr>
        <w:t>普光气田雷页1试验井组产能建设可行性研究报告》</w:t>
      </w:r>
      <w:r>
        <w:rPr>
          <w:rFonts w:hint="eastAsia"/>
          <w:color w:val="000000" w:themeColor="text1"/>
          <w:lang w:val="en-US" w:eastAsia="zh-CN"/>
          <w14:textFill>
            <w14:solidFill>
              <w14:schemeClr w14:val="tx1"/>
            </w14:solidFill>
          </w14:textFill>
        </w:rPr>
        <w:t>中的工程建设内容</w:t>
      </w:r>
      <w:r>
        <w:rPr>
          <w:rFonts w:cs="Times New Roman"/>
          <w:color w:val="000000" w:themeColor="text1"/>
          <w:kern w:val="0"/>
          <w:szCs w:val="20"/>
          <w:highlight w:val="none"/>
          <w14:textFill>
            <w14:solidFill>
              <w14:schemeClr w14:val="tx1"/>
            </w14:solidFill>
          </w14:textFill>
        </w:rPr>
        <w:t>，编制《</w:t>
      </w:r>
      <w:r>
        <w:rPr>
          <w:rFonts w:hint="eastAsia" w:cs="Times New Roman"/>
          <w:color w:val="000000" w:themeColor="text1"/>
          <w:kern w:val="0"/>
          <w:szCs w:val="20"/>
          <w:highlight w:val="none"/>
          <w:lang w:eastAsia="zh-CN"/>
          <w14:textFill>
            <w14:solidFill>
              <w14:schemeClr w14:val="tx1"/>
            </w14:solidFill>
          </w14:textFill>
        </w:rPr>
        <w:t>普光气田雷页1井组试验项目</w:t>
      </w:r>
      <w:r>
        <w:rPr>
          <w:rFonts w:cs="Times New Roman"/>
          <w:color w:val="000000" w:themeColor="text1"/>
          <w:kern w:val="0"/>
          <w:szCs w:val="20"/>
          <w:highlight w:val="none"/>
          <w14:textFill>
            <w14:solidFill>
              <w14:schemeClr w14:val="tx1"/>
            </w14:solidFill>
          </w14:textFill>
        </w:rPr>
        <w:t>环境影响报告书》。</w:t>
      </w:r>
    </w:p>
    <w:bookmarkEnd w:id="5"/>
    <w:p>
      <w:pPr>
        <w:pStyle w:val="3"/>
        <w:bidi w:val="0"/>
        <w:rPr>
          <w:color w:val="000000" w:themeColor="text1"/>
          <w:highlight w:val="none"/>
          <w14:textFill>
            <w14:solidFill>
              <w14:schemeClr w14:val="tx1"/>
            </w14:solidFill>
          </w14:textFill>
        </w:rPr>
      </w:pPr>
      <w:bookmarkStart w:id="19" w:name="_Toc10969"/>
      <w:r>
        <w:rPr>
          <w:color w:val="000000" w:themeColor="text1"/>
          <w:highlight w:val="none"/>
          <w14:textFill>
            <w14:solidFill>
              <w14:schemeClr w14:val="tx1"/>
            </w14:solidFill>
          </w14:textFill>
        </w:rPr>
        <w:t>建设项目特点</w:t>
      </w:r>
      <w:bookmarkEnd w:id="19"/>
    </w:p>
    <w:p>
      <w:pPr>
        <w:ind w:firstLine="480"/>
        <w:rPr>
          <w:rFonts w:hint="eastAsia" w:cs="Times New Roman"/>
          <w:color w:val="000000" w:themeColor="text1"/>
          <w:kern w:val="0"/>
          <w:szCs w:val="20"/>
          <w:highlight w:val="none"/>
          <w:lang w:eastAsia="zh-CN"/>
          <w14:textFill>
            <w14:solidFill>
              <w14:schemeClr w14:val="tx1"/>
            </w14:solidFill>
          </w14:textFill>
        </w:rPr>
      </w:pPr>
      <w:r>
        <w:rPr>
          <w:rFonts w:cs="Times New Roman"/>
          <w:color w:val="000000" w:themeColor="text1"/>
          <w:kern w:val="0"/>
          <w:szCs w:val="20"/>
          <w:highlight w:val="none"/>
          <w14:textFill>
            <w14:solidFill>
              <w14:schemeClr w14:val="tx1"/>
            </w14:solidFill>
          </w14:textFill>
        </w:rPr>
        <w:t>本项目为天然气勘探井及</w:t>
      </w:r>
      <w:r>
        <w:rPr>
          <w:rFonts w:hint="eastAsia" w:cs="Times New Roman"/>
          <w:color w:val="000000" w:themeColor="text1"/>
          <w:kern w:val="0"/>
          <w:szCs w:val="20"/>
          <w:highlight w:val="none"/>
          <w:lang w:eastAsia="zh-CN"/>
          <w14:textFill>
            <w14:solidFill>
              <w14:schemeClr w14:val="tx1"/>
            </w14:solidFill>
          </w14:textFill>
        </w:rPr>
        <w:t>天然气勘探及试采工程</w:t>
      </w:r>
      <w:r>
        <w:rPr>
          <w:rFonts w:cs="Times New Roman"/>
          <w:color w:val="000000" w:themeColor="text1"/>
          <w:kern w:val="0"/>
          <w:szCs w:val="20"/>
          <w:highlight w:val="none"/>
          <w14:textFill>
            <w14:solidFill>
              <w14:schemeClr w14:val="tx1"/>
            </w14:solidFill>
          </w14:textFill>
        </w:rPr>
        <w:t>，</w:t>
      </w:r>
      <w:r>
        <w:rPr>
          <w:rFonts w:hint="eastAsia" w:cs="Times New Roman"/>
          <w:color w:val="000000" w:themeColor="text1"/>
          <w:kern w:val="0"/>
          <w:szCs w:val="20"/>
          <w:highlight w:val="none"/>
          <w:lang w:val="en-US" w:eastAsia="zh-CN"/>
          <w14:textFill>
            <w14:solidFill>
              <w14:schemeClr w14:val="tx1"/>
            </w14:solidFill>
          </w14:textFill>
        </w:rPr>
        <w:t>施工期（</w:t>
      </w:r>
      <w:r>
        <w:rPr>
          <w:rFonts w:hint="default" w:cs="Times New Roman"/>
          <w:color w:val="000000" w:themeColor="text1"/>
          <w:kern w:val="0"/>
          <w:szCs w:val="20"/>
          <w:highlight w:val="none"/>
          <w14:textFill>
            <w14:solidFill>
              <w14:schemeClr w14:val="tx1"/>
            </w14:solidFill>
          </w14:textFill>
        </w:rPr>
        <w:t>天然气</w:t>
      </w:r>
      <w:r>
        <w:rPr>
          <w:rFonts w:hint="eastAsia" w:cs="Times New Roman"/>
          <w:color w:val="000000" w:themeColor="text1"/>
          <w:kern w:val="0"/>
          <w:szCs w:val="20"/>
          <w:highlight w:val="none"/>
          <w:lang w:val="en-US" w:eastAsia="zh-CN"/>
          <w14:textFill>
            <w14:solidFill>
              <w14:schemeClr w14:val="tx1"/>
            </w14:solidFill>
          </w14:textFill>
        </w:rPr>
        <w:t>井的钻井施工）</w:t>
      </w:r>
      <w:r>
        <w:rPr>
          <w:rFonts w:hint="default" w:cs="Times New Roman"/>
          <w:color w:val="000000" w:themeColor="text1"/>
          <w:kern w:val="0"/>
          <w:szCs w:val="20"/>
          <w:highlight w:val="none"/>
          <w14:textFill>
            <w14:solidFill>
              <w14:schemeClr w14:val="tx1"/>
            </w14:solidFill>
          </w14:textFill>
        </w:rPr>
        <w:t>及</w:t>
      </w:r>
      <w:r>
        <w:rPr>
          <w:rFonts w:hint="eastAsia" w:cs="Times New Roman"/>
          <w:color w:val="000000" w:themeColor="text1"/>
          <w:kern w:val="0"/>
          <w:szCs w:val="20"/>
          <w:highlight w:val="none"/>
          <w:lang w:val="en-US" w:eastAsia="zh-CN"/>
          <w14:textFill>
            <w14:solidFill>
              <w14:schemeClr w14:val="tx1"/>
            </w14:solidFill>
          </w14:textFill>
        </w:rPr>
        <w:t>试采期（</w:t>
      </w:r>
      <w:r>
        <w:rPr>
          <w:rFonts w:hint="default" w:cs="Times New Roman"/>
          <w:color w:val="000000" w:themeColor="text1"/>
          <w:kern w:val="0"/>
          <w:szCs w:val="20"/>
          <w:highlight w:val="none"/>
          <w14:textFill>
            <w14:solidFill>
              <w14:schemeClr w14:val="tx1"/>
            </w14:solidFill>
          </w14:textFill>
        </w:rPr>
        <w:t>天然气试采</w:t>
      </w:r>
      <w:r>
        <w:rPr>
          <w:rFonts w:hint="eastAsia" w:cs="Times New Roman"/>
          <w:color w:val="000000" w:themeColor="text1"/>
          <w:kern w:val="0"/>
          <w:szCs w:val="20"/>
          <w:highlight w:val="none"/>
          <w:lang w:val="en-US" w:eastAsia="zh-CN"/>
          <w14:textFill>
            <w14:solidFill>
              <w14:schemeClr w14:val="tx1"/>
            </w14:solidFill>
          </w14:textFill>
        </w:rPr>
        <w:t>生产</w:t>
      </w:r>
      <w:r>
        <w:rPr>
          <w:rFonts w:hint="eastAsia" w:cs="Times New Roman"/>
          <w:color w:val="000000" w:themeColor="text1"/>
          <w:kern w:val="0"/>
          <w:szCs w:val="20"/>
          <w:highlight w:val="none"/>
          <w:lang w:eastAsia="zh-CN"/>
          <w14:textFill>
            <w14:solidFill>
              <w14:schemeClr w14:val="tx1"/>
            </w14:solidFill>
          </w14:textFill>
        </w:rPr>
        <w:t>）</w:t>
      </w:r>
      <w:r>
        <w:rPr>
          <w:rFonts w:hint="eastAsia" w:cs="Times New Roman"/>
          <w:color w:val="000000" w:themeColor="text1"/>
          <w:kern w:val="0"/>
          <w:szCs w:val="20"/>
          <w:highlight w:val="none"/>
          <w:lang w:val="en-US" w:eastAsia="zh-CN"/>
          <w14:textFill>
            <w14:solidFill>
              <w14:schemeClr w14:val="tx1"/>
            </w14:solidFill>
          </w14:textFill>
        </w:rPr>
        <w:t>两部分</w:t>
      </w:r>
      <w:r>
        <w:rPr>
          <w:rFonts w:hint="eastAsia" w:cs="Times New Roman"/>
          <w:color w:val="000000" w:themeColor="text1"/>
          <w:kern w:val="0"/>
          <w:szCs w:val="20"/>
          <w:highlight w:val="none"/>
          <w:lang w:eastAsia="zh-CN"/>
          <w14:textFill>
            <w14:solidFill>
              <w14:schemeClr w14:val="tx1"/>
            </w14:solidFill>
          </w14:textFill>
        </w:rPr>
        <w:t>。</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（1）施工期</w:t>
      </w:r>
    </w:p>
    <w:p>
      <w:pPr>
        <w:ind w:firstLine="480"/>
        <w:rPr>
          <w:rFonts w:hint="default"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本项目施工期主要为天然气井的钻井施工，包含钻前工程施工、钻井工程施工、储层改造工程及油气集输工程（试采站+管网）的建设等部分，针对施工期，具备以下特点：</w:t>
      </w:r>
    </w:p>
    <w:p>
      <w:pPr>
        <w:ind w:firstLine="480"/>
        <w:rPr>
          <w:rFonts w:hint="default"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fldChar w:fldCharType="begin"/>
      </w:r>
      <w:r>
        <w:rPr>
          <w:rFonts w:hint="eastAsia" w:cs="Times New Roman"/>
          <w:color w:val="000000" w:themeColor="text1"/>
          <w:kern w:val="0"/>
          <w:szCs w:val="20"/>
          <w:highlight w:val="none"/>
          <w:lang w:val="en-US" w:eastAsia="zh-CN"/>
          <w14:textFill>
            <w14:solidFill>
              <w14:schemeClr w14:val="tx1"/>
            </w14:solidFill>
          </w14:textFill>
        </w:rPr>
        <w:instrText xml:space="preserve"> = 1 \* GB3 \* MERGEFORMAT </w:instrText>
      </w:r>
      <w:r>
        <w:rPr>
          <w:rFonts w:hint="eastAsia" w:cs="Times New Roman"/>
          <w:color w:val="000000" w:themeColor="text1"/>
          <w:kern w:val="0"/>
          <w:szCs w:val="20"/>
          <w:highlight w:val="none"/>
          <w:lang w:val="en-US" w:eastAsia="zh-CN"/>
          <w14:textFill>
            <w14:solidFill>
              <w14:schemeClr w14:val="tx1"/>
            </w14:solidFill>
          </w14:textFill>
        </w:rPr>
        <w:fldChar w:fldCharType="separate"/>
      </w:r>
      <w:r>
        <w:rPr>
          <w:rFonts w:hint="eastAsia" w:cs="Times New Roman"/>
          <w:color w:val="000000" w:themeColor="text1"/>
          <w:kern w:val="0"/>
          <w:szCs w:val="20"/>
          <w:highlight w:val="none"/>
          <w:lang w:val="en-US" w:eastAsia="zh-CN"/>
          <w14:textFill>
            <w14:solidFill>
              <w14:schemeClr w14:val="tx1"/>
            </w14:solidFill>
          </w14:textFill>
        </w:rPr>
        <w:t>①</w:t>
      </w:r>
      <w:r>
        <w:rPr>
          <w:rFonts w:hint="eastAsia" w:cs="Times New Roman"/>
          <w:color w:val="000000" w:themeColor="text1"/>
          <w:kern w:val="0"/>
          <w:szCs w:val="20"/>
          <w:highlight w:val="none"/>
          <w:lang w:val="en-US" w:eastAsia="zh-CN"/>
          <w14:textFill>
            <w14:solidFill>
              <w14:schemeClr w14:val="tx1"/>
            </w14:solidFill>
          </w14:textFill>
        </w:rPr>
        <w:fldChar w:fldCharType="end"/>
      </w:r>
      <w:r>
        <w:rPr>
          <w:rFonts w:hint="eastAsia" w:cs="Times New Roman"/>
          <w:color w:val="000000" w:themeColor="text1"/>
          <w:kern w:val="0"/>
          <w:szCs w:val="20"/>
          <w:highlight w:val="none"/>
          <w:lang w:val="en-US" w:eastAsia="zh-CN"/>
          <w14:textFill>
            <w14:solidFill>
              <w14:schemeClr w14:val="tx1"/>
            </w14:solidFill>
          </w14:textFill>
        </w:rPr>
        <w:t>天然气钻井工程项目兼具生态影响和污染影响的特点，钻前工程量小，施工时间短，故其生态影响较小。本项目的环境影响以后续钻井工程、储层改造工程及油气集输工程等产生的污染影响为主。</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fldChar w:fldCharType="begin"/>
      </w:r>
      <w:r>
        <w:rPr>
          <w:rFonts w:hint="eastAsia" w:cs="Times New Roman"/>
          <w:color w:val="000000" w:themeColor="text1"/>
          <w:kern w:val="0"/>
          <w:szCs w:val="20"/>
          <w:highlight w:val="none"/>
          <w:lang w:val="en-US" w:eastAsia="zh-CN"/>
          <w14:textFill>
            <w14:solidFill>
              <w14:schemeClr w14:val="tx1"/>
            </w14:solidFill>
          </w14:textFill>
        </w:rPr>
        <w:instrText xml:space="preserve"> = 2 \* GB3 \* MERGEFORMAT </w:instrText>
      </w:r>
      <w:r>
        <w:rPr>
          <w:rFonts w:hint="eastAsia" w:cs="Times New Roman"/>
          <w:color w:val="000000" w:themeColor="text1"/>
          <w:kern w:val="0"/>
          <w:szCs w:val="20"/>
          <w:highlight w:val="none"/>
          <w:lang w:val="en-US" w:eastAsia="zh-CN"/>
          <w14:textFill>
            <w14:solidFill>
              <w14:schemeClr w14:val="tx1"/>
            </w14:solidFill>
          </w14:textFill>
        </w:rPr>
        <w:fldChar w:fldCharType="separate"/>
      </w:r>
      <w:r>
        <w:rPr>
          <w:rFonts w:hint="eastAsia" w:cs="Times New Roman"/>
          <w:color w:val="000000" w:themeColor="text1"/>
          <w:kern w:val="0"/>
          <w:szCs w:val="20"/>
          <w:highlight w:val="none"/>
          <w:lang w:val="en-US" w:eastAsia="zh-CN"/>
          <w14:textFill>
            <w14:solidFill>
              <w14:schemeClr w14:val="tx1"/>
            </w14:solidFill>
          </w14:textFill>
        </w:rPr>
        <w:t>②</w:t>
      </w:r>
      <w:r>
        <w:rPr>
          <w:rFonts w:hint="eastAsia" w:cs="Times New Roman"/>
          <w:color w:val="000000" w:themeColor="text1"/>
          <w:kern w:val="0"/>
          <w:szCs w:val="20"/>
          <w:highlight w:val="none"/>
          <w:lang w:val="en-US" w:eastAsia="zh-CN"/>
          <w14:textFill>
            <w14:solidFill>
              <w14:schemeClr w14:val="tx1"/>
            </w14:solidFill>
          </w14:textFill>
        </w:rPr>
        <w:fldChar w:fldCharType="end"/>
      </w:r>
      <w:r>
        <w:rPr>
          <w:rFonts w:hint="default" w:cs="Times New Roman"/>
          <w:color w:val="000000" w:themeColor="text1"/>
          <w:kern w:val="0"/>
          <w:szCs w:val="20"/>
          <w:highlight w:val="none"/>
          <w:lang w:val="en-US" w:eastAsia="zh-CN"/>
          <w14:textFill>
            <w14:solidFill>
              <w14:schemeClr w14:val="tx1"/>
            </w14:solidFill>
          </w14:textFill>
        </w:rPr>
        <w:t>本工程采用常规钻井工艺进行钻井，</w:t>
      </w:r>
      <w:r>
        <w:rPr>
          <w:rFonts w:hint="eastAsia" w:cs="Times New Roman"/>
          <w:color w:val="000000" w:themeColor="text1"/>
          <w:kern w:val="0"/>
          <w:szCs w:val="20"/>
          <w:highlight w:val="none"/>
          <w:lang w:val="en-US" w:eastAsia="zh-CN"/>
          <w14:textFill>
            <w14:solidFill>
              <w14:schemeClr w14:val="tx1"/>
            </w14:solidFill>
          </w14:textFill>
        </w:rPr>
        <w:t>钻井液优先采用清水或含封堵性聚合物的水基钻井液体系，仅三开钻井阶段才采用油基钻井体系。</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fldChar w:fldCharType="begin"/>
      </w:r>
      <w:r>
        <w:rPr>
          <w:rFonts w:hint="eastAsia" w:cs="Times New Roman"/>
          <w:color w:val="000000" w:themeColor="text1"/>
          <w:kern w:val="0"/>
          <w:szCs w:val="20"/>
          <w:highlight w:val="none"/>
          <w:lang w:val="en-US" w:eastAsia="zh-CN"/>
          <w14:textFill>
            <w14:solidFill>
              <w14:schemeClr w14:val="tx1"/>
            </w14:solidFill>
          </w14:textFill>
        </w:rPr>
        <w:instrText xml:space="preserve"> = 3 \* GB3 \* MERGEFORMAT </w:instrText>
      </w:r>
      <w:r>
        <w:rPr>
          <w:rFonts w:hint="eastAsia" w:cs="Times New Roman"/>
          <w:color w:val="000000" w:themeColor="text1"/>
          <w:kern w:val="0"/>
          <w:szCs w:val="20"/>
          <w:highlight w:val="none"/>
          <w:lang w:val="en-US" w:eastAsia="zh-CN"/>
          <w14:textFill>
            <w14:solidFill>
              <w14:schemeClr w14:val="tx1"/>
            </w14:solidFill>
          </w14:textFill>
        </w:rPr>
        <w:fldChar w:fldCharType="separate"/>
      </w:r>
      <w:r>
        <w:rPr>
          <w:rFonts w:hint="eastAsia" w:cs="Times New Roman"/>
          <w:color w:val="000000" w:themeColor="text1"/>
          <w:kern w:val="0"/>
          <w:szCs w:val="20"/>
          <w:highlight w:val="none"/>
          <w:lang w:val="en-US" w:eastAsia="zh-CN"/>
          <w14:textFill>
            <w14:solidFill>
              <w14:schemeClr w14:val="tx1"/>
            </w14:solidFill>
          </w14:textFill>
        </w:rPr>
        <w:t>③</w:t>
      </w:r>
      <w:r>
        <w:rPr>
          <w:rFonts w:hint="eastAsia" w:cs="Times New Roman"/>
          <w:color w:val="000000" w:themeColor="text1"/>
          <w:kern w:val="0"/>
          <w:szCs w:val="20"/>
          <w:highlight w:val="none"/>
          <w:lang w:val="en-US" w:eastAsia="zh-CN"/>
          <w14:textFill>
            <w14:solidFill>
              <w14:schemeClr w14:val="tx1"/>
            </w14:solidFill>
          </w14:textFill>
        </w:rPr>
        <w:fldChar w:fldCharType="end"/>
      </w:r>
      <w:r>
        <w:rPr>
          <w:rFonts w:hint="eastAsia" w:cs="Times New Roman"/>
          <w:color w:val="000000" w:themeColor="text1"/>
          <w:kern w:val="0"/>
          <w:szCs w:val="20"/>
          <w:highlight w:val="none"/>
          <w:lang w:val="en-US" w:eastAsia="zh-CN"/>
          <w14:textFill>
            <w14:solidFill>
              <w14:schemeClr w14:val="tx1"/>
            </w14:solidFill>
          </w14:textFill>
        </w:rPr>
        <w:t>为尽可能减小噪声影响，本项目优先采用网电钻井；</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fldChar w:fldCharType="begin"/>
      </w:r>
      <w:r>
        <w:rPr>
          <w:rFonts w:hint="eastAsia" w:cs="Times New Roman"/>
          <w:color w:val="000000" w:themeColor="text1"/>
          <w:kern w:val="0"/>
          <w:szCs w:val="20"/>
          <w:highlight w:val="none"/>
          <w:lang w:val="en-US" w:eastAsia="zh-CN"/>
          <w14:textFill>
            <w14:solidFill>
              <w14:schemeClr w14:val="tx1"/>
            </w14:solidFill>
          </w14:textFill>
        </w:rPr>
        <w:instrText xml:space="preserve"> = 4 \* GB3 \* MERGEFORMAT </w:instrText>
      </w:r>
      <w:r>
        <w:rPr>
          <w:rFonts w:hint="eastAsia" w:cs="Times New Roman"/>
          <w:color w:val="000000" w:themeColor="text1"/>
          <w:kern w:val="0"/>
          <w:szCs w:val="20"/>
          <w:highlight w:val="none"/>
          <w:lang w:val="en-US" w:eastAsia="zh-CN"/>
          <w14:textFill>
            <w14:solidFill>
              <w14:schemeClr w14:val="tx1"/>
            </w14:solidFill>
          </w14:textFill>
        </w:rPr>
        <w:fldChar w:fldCharType="separate"/>
      </w:r>
      <w:r>
        <w:rPr>
          <w:rFonts w:hint="eastAsia" w:cs="Times New Roman"/>
          <w:color w:val="000000" w:themeColor="text1"/>
          <w:kern w:val="0"/>
          <w:szCs w:val="20"/>
          <w:highlight w:val="none"/>
          <w:lang w:val="en-US" w:eastAsia="zh-CN"/>
          <w14:textFill>
            <w14:solidFill>
              <w14:schemeClr w14:val="tx1"/>
            </w14:solidFill>
          </w14:textFill>
        </w:rPr>
        <w:t>④</w:t>
      </w:r>
      <w:r>
        <w:rPr>
          <w:rFonts w:hint="eastAsia" w:cs="Times New Roman"/>
          <w:color w:val="000000" w:themeColor="text1"/>
          <w:kern w:val="0"/>
          <w:szCs w:val="20"/>
          <w:highlight w:val="none"/>
          <w:lang w:val="en-US" w:eastAsia="zh-CN"/>
          <w14:textFill>
            <w14:solidFill>
              <w14:schemeClr w14:val="tx1"/>
            </w14:solidFill>
          </w14:textFill>
        </w:rPr>
        <w:fldChar w:fldCharType="end"/>
      </w:r>
      <w:r>
        <w:rPr>
          <w:rFonts w:hint="eastAsia" w:cs="Times New Roman"/>
          <w:color w:val="000000" w:themeColor="text1"/>
          <w:kern w:val="0"/>
          <w:szCs w:val="20"/>
          <w:highlight w:val="none"/>
          <w:lang w:val="en-US" w:eastAsia="zh-CN"/>
          <w14:textFill>
            <w14:solidFill>
              <w14:schemeClr w14:val="tx1"/>
            </w14:solidFill>
          </w14:textFill>
        </w:rPr>
        <w:t>针对钻井工程、储层改造工程产生的钻井废水、洗井废水、场地初期雨水、压裂返排液等拟采取“减量化、资源化循环利用、无害化”的原则实施清洁生产，做到本项目产生的钻井废水、洗井废水、场地雨水、压裂返排液等均尽量回用，不能回用部分均由密闭罐车定期拉运至赵家坝污水处理站</w:t>
      </w:r>
      <w:r>
        <w:rPr>
          <w:rFonts w:hint="default" w:cs="Times New Roman"/>
          <w:color w:val="000000" w:themeColor="text1"/>
          <w:kern w:val="0"/>
          <w:szCs w:val="20"/>
          <w:highlight w:val="none"/>
          <w:lang w:val="en-US" w:eastAsia="zh-CN"/>
          <w14:textFill>
            <w14:solidFill>
              <w14:schemeClr w14:val="tx1"/>
            </w14:solidFill>
          </w14:textFill>
        </w:rPr>
        <w:t>达标后管输至</w:t>
      </w:r>
      <w:r>
        <w:rPr>
          <w:rFonts w:hint="eastAsia" w:cs="Times New Roman"/>
          <w:color w:val="000000" w:themeColor="text1"/>
          <w:kern w:val="0"/>
          <w:szCs w:val="20"/>
          <w:highlight w:val="none"/>
          <w:lang w:val="en-US" w:eastAsia="zh-CN"/>
          <w14:textFill>
            <w14:solidFill>
              <w14:schemeClr w14:val="tx1"/>
            </w14:solidFill>
          </w14:textFill>
        </w:rPr>
        <w:t>普光3井回注站回注，不外排。不向周边水体排污。</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fldChar w:fldCharType="begin"/>
      </w:r>
      <w:r>
        <w:rPr>
          <w:rFonts w:hint="eastAsia" w:cs="Times New Roman"/>
          <w:color w:val="000000" w:themeColor="text1"/>
          <w:kern w:val="0"/>
          <w:szCs w:val="20"/>
          <w:highlight w:val="none"/>
          <w:lang w:val="en-US" w:eastAsia="zh-CN"/>
          <w14:textFill>
            <w14:solidFill>
              <w14:schemeClr w14:val="tx1"/>
            </w14:solidFill>
          </w14:textFill>
        </w:rPr>
        <w:instrText xml:space="preserve"> = 5 \* GB3 \* MERGEFORMAT </w:instrText>
      </w:r>
      <w:r>
        <w:rPr>
          <w:rFonts w:hint="eastAsia" w:cs="Times New Roman"/>
          <w:color w:val="000000" w:themeColor="text1"/>
          <w:kern w:val="0"/>
          <w:szCs w:val="20"/>
          <w:highlight w:val="none"/>
          <w:lang w:val="en-US" w:eastAsia="zh-CN"/>
          <w14:textFill>
            <w14:solidFill>
              <w14:schemeClr w14:val="tx1"/>
            </w14:solidFill>
          </w14:textFill>
        </w:rPr>
        <w:fldChar w:fldCharType="separate"/>
      </w:r>
      <w:r>
        <w:rPr>
          <w:rFonts w:hint="eastAsia" w:cs="Times New Roman"/>
          <w:color w:val="000000" w:themeColor="text1"/>
          <w:kern w:val="0"/>
          <w:szCs w:val="20"/>
          <w:highlight w:val="none"/>
          <w:lang w:val="en-US" w:eastAsia="zh-CN"/>
          <w14:textFill>
            <w14:solidFill>
              <w14:schemeClr w14:val="tx1"/>
            </w14:solidFill>
          </w14:textFill>
        </w:rPr>
        <w:t>⑤</w:t>
      </w:r>
      <w:r>
        <w:rPr>
          <w:rFonts w:hint="eastAsia" w:cs="Times New Roman"/>
          <w:color w:val="000000" w:themeColor="text1"/>
          <w:kern w:val="0"/>
          <w:szCs w:val="20"/>
          <w:highlight w:val="none"/>
          <w:lang w:val="en-US" w:eastAsia="zh-CN"/>
          <w14:textFill>
            <w14:solidFill>
              <w14:schemeClr w14:val="tx1"/>
            </w14:solidFill>
          </w14:textFill>
        </w:rPr>
        <w:fldChar w:fldCharType="end"/>
      </w:r>
      <w:r>
        <w:rPr>
          <w:rFonts w:hint="eastAsia" w:cs="Times New Roman"/>
          <w:color w:val="000000" w:themeColor="text1"/>
          <w:kern w:val="0"/>
          <w:szCs w:val="20"/>
          <w:highlight w:val="none"/>
          <w:lang w:val="en-US" w:eastAsia="zh-CN"/>
          <w14:textFill>
            <w14:solidFill>
              <w14:schemeClr w14:val="tx1"/>
            </w14:solidFill>
          </w14:textFill>
        </w:rPr>
        <w:t>针对油气集输工程阶段的施工建设，本项目新建汽水外输管线，将天然气和采出水外输至西侧雷页1试采站再依托雷页1试采站进一步外输或外运，因此</w:t>
      </w:r>
      <w:r>
        <w:rPr>
          <w:rFonts w:hint="eastAsia" w:cs="Times New Roman"/>
          <w:color w:val="000000" w:themeColor="text1"/>
          <w:kern w:val="0"/>
          <w:szCs w:val="20"/>
          <w:highlight w:val="none"/>
          <w14:textFill>
            <w14:solidFill>
              <w14:schemeClr w14:val="tx1"/>
            </w14:solidFill>
          </w14:textFill>
        </w:rPr>
        <w:t>集输管线工程</w:t>
      </w:r>
      <w:r>
        <w:rPr>
          <w:rFonts w:hint="eastAsia" w:cs="Times New Roman"/>
          <w:color w:val="000000" w:themeColor="text1"/>
          <w:kern w:val="0"/>
          <w:szCs w:val="20"/>
          <w:highlight w:val="none"/>
          <w:lang w:val="en-US" w:eastAsia="zh-CN"/>
          <w14:textFill>
            <w14:solidFill>
              <w14:schemeClr w14:val="tx1"/>
            </w14:solidFill>
          </w14:textFill>
        </w:rPr>
        <w:t>建设</w:t>
      </w:r>
      <w:r>
        <w:rPr>
          <w:rFonts w:hint="eastAsia" w:cs="Times New Roman"/>
          <w:color w:val="000000" w:themeColor="text1"/>
          <w:kern w:val="0"/>
          <w:szCs w:val="20"/>
          <w:highlight w:val="none"/>
          <w14:textFill>
            <w14:solidFill>
              <w14:schemeClr w14:val="tx1"/>
            </w14:solidFill>
          </w14:textFill>
        </w:rPr>
        <w:t>主要影响为施工期临时占地对生态的影响</w:t>
      </w:r>
      <w:r>
        <w:rPr>
          <w:rFonts w:hint="eastAsia" w:cs="Times New Roman"/>
          <w:color w:val="000000" w:themeColor="text1"/>
          <w:kern w:val="0"/>
          <w:szCs w:val="20"/>
          <w:highlight w:val="none"/>
          <w:lang w:val="en-US" w:eastAsia="zh-CN"/>
          <w14:textFill>
            <w14:solidFill>
              <w14:schemeClr w14:val="tx1"/>
            </w14:solidFill>
          </w14:textFill>
        </w:rPr>
        <w:t>。</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（2）试采期</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本项目试采期主要对所产天然气进行生产和外输。本项目试采期限为2年，针对试采工程，具备以下特点：</w:t>
      </w:r>
    </w:p>
    <w:p>
      <w:pPr>
        <w:ind w:firstLine="480"/>
        <w:rPr>
          <w:rFonts w:hint="eastAsia"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（1）</w:t>
      </w:r>
      <w:r>
        <w:rPr>
          <w:rFonts w:hint="default" w:cs="Times New Roman"/>
          <w:color w:val="000000" w:themeColor="text1"/>
          <w:kern w:val="0"/>
          <w:szCs w:val="20"/>
          <w:highlight w:val="none"/>
          <w:lang w:val="en-US" w:eastAsia="zh-CN"/>
          <w14:textFill>
            <w14:solidFill>
              <w14:schemeClr w14:val="tx1"/>
            </w14:solidFill>
          </w14:textFill>
        </w:rPr>
        <w:t>本项目开采原料及输送介质为</w:t>
      </w:r>
      <w:r>
        <w:rPr>
          <w:rFonts w:hint="eastAsia" w:cs="Times New Roman"/>
          <w:color w:val="000000" w:themeColor="text1"/>
          <w:kern w:val="0"/>
          <w:szCs w:val="20"/>
          <w:highlight w:val="none"/>
          <w:lang w:val="en-US" w:eastAsia="zh-CN"/>
          <w14:textFill>
            <w14:solidFill>
              <w14:schemeClr w14:val="tx1"/>
            </w14:solidFill>
          </w14:textFill>
        </w:rPr>
        <w:t>不</w:t>
      </w:r>
      <w:r>
        <w:rPr>
          <w:rFonts w:hint="default" w:cs="Times New Roman"/>
          <w:color w:val="000000" w:themeColor="text1"/>
          <w:kern w:val="0"/>
          <w:szCs w:val="20"/>
          <w:highlight w:val="none"/>
          <w:lang w:val="en-US" w:eastAsia="zh-CN"/>
          <w14:textFill>
            <w14:solidFill>
              <w14:schemeClr w14:val="tx1"/>
            </w14:solidFill>
          </w14:textFill>
        </w:rPr>
        <w:t>含硫天然气</w:t>
      </w:r>
      <w:r>
        <w:rPr>
          <w:rFonts w:hint="eastAsia" w:cs="Times New Roman"/>
          <w:color w:val="000000" w:themeColor="text1"/>
          <w:kern w:val="0"/>
          <w:szCs w:val="20"/>
          <w:highlight w:val="none"/>
          <w:lang w:val="en-US" w:eastAsia="zh-CN"/>
          <w14:textFill>
            <w14:solidFill>
              <w14:schemeClr w14:val="tx1"/>
            </w14:solidFill>
          </w14:textFill>
        </w:rPr>
        <w:t>和采出水</w:t>
      </w:r>
      <w:r>
        <w:rPr>
          <w:rFonts w:hint="default" w:cs="Times New Roman"/>
          <w:color w:val="000000" w:themeColor="text1"/>
          <w:kern w:val="0"/>
          <w:szCs w:val="20"/>
          <w:highlight w:val="none"/>
          <w:lang w:val="en-US" w:eastAsia="zh-CN"/>
          <w14:textFill>
            <w14:solidFill>
              <w14:schemeClr w14:val="tx1"/>
            </w14:solidFill>
          </w14:textFill>
        </w:rPr>
        <w:t>，</w:t>
      </w:r>
      <w:r>
        <w:rPr>
          <w:rFonts w:hint="eastAsia" w:cs="Times New Roman"/>
          <w:color w:val="000000" w:themeColor="text1"/>
          <w:kern w:val="0"/>
          <w:szCs w:val="20"/>
          <w:highlight w:val="none"/>
          <w:lang w:val="en-US" w:eastAsia="zh-CN"/>
          <w14:textFill>
            <w14:solidFill>
              <w14:schemeClr w14:val="tx1"/>
            </w14:solidFill>
          </w14:textFill>
        </w:rPr>
        <w:t>通过新建管线外输至依托西侧已建的雷页1试采站，天然气并最终</w:t>
      </w:r>
      <w:r>
        <w:rPr>
          <w:rFonts w:hint="default" w:cs="Times New Roman"/>
          <w:color w:val="000000" w:themeColor="text1"/>
          <w:kern w:val="0"/>
          <w:szCs w:val="20"/>
          <w:highlight w:val="none"/>
          <w:lang w:val="en-US" w:eastAsia="zh-CN"/>
          <w14:textFill>
            <w14:solidFill>
              <w14:schemeClr w14:val="tx1"/>
            </w14:solidFill>
          </w14:textFill>
        </w:rPr>
        <w:t>依托已建</w:t>
      </w:r>
      <w:r>
        <w:rPr>
          <w:rFonts w:hint="eastAsia" w:cs="Times New Roman"/>
          <w:color w:val="000000" w:themeColor="text1"/>
          <w:kern w:val="0"/>
          <w:szCs w:val="20"/>
          <w:highlight w:val="none"/>
          <w:lang w:val="en-US" w:eastAsia="zh-CN"/>
          <w14:textFill>
            <w14:solidFill>
              <w14:schemeClr w14:val="tx1"/>
            </w14:solidFill>
          </w14:textFill>
        </w:rPr>
        <w:t>外输</w:t>
      </w:r>
      <w:r>
        <w:rPr>
          <w:rFonts w:hint="default" w:cs="Times New Roman"/>
          <w:color w:val="000000" w:themeColor="text1"/>
          <w:kern w:val="0"/>
          <w:szCs w:val="20"/>
          <w:highlight w:val="none"/>
          <w:lang w:val="en-US" w:eastAsia="zh-CN"/>
          <w14:textFill>
            <w14:solidFill>
              <w14:schemeClr w14:val="tx1"/>
            </w14:solidFill>
          </w14:textFill>
        </w:rPr>
        <w:t>管道进行外输</w:t>
      </w:r>
      <w:r>
        <w:rPr>
          <w:rFonts w:hint="eastAsia" w:cs="Times New Roman"/>
          <w:color w:val="000000" w:themeColor="text1"/>
          <w:kern w:val="0"/>
          <w:szCs w:val="20"/>
          <w:highlight w:val="none"/>
          <w:lang w:val="en-US" w:eastAsia="zh-CN"/>
          <w14:textFill>
            <w14:solidFill>
              <w14:schemeClr w14:val="tx1"/>
            </w14:solidFill>
          </w14:textFill>
        </w:rPr>
        <w:t>，采出水采用罐车外运处理。本项目产气为</w:t>
      </w:r>
      <w:r>
        <w:rPr>
          <w:rFonts w:cs="Times New Roman"/>
          <w:color w:val="000000" w:themeColor="text1"/>
          <w:kern w:val="0"/>
          <w:szCs w:val="20"/>
          <w:highlight w:val="none"/>
          <w:lang w:eastAsia="zh-CN"/>
          <w14:textFill>
            <w14:solidFill>
              <w14:schemeClr w14:val="tx1"/>
            </w14:solidFill>
          </w14:textFill>
        </w:rPr>
        <w:t>不含硫天然气，</w:t>
      </w:r>
      <w:r>
        <w:rPr>
          <w:rFonts w:hint="eastAsia" w:cs="Times New Roman"/>
          <w:color w:val="000000" w:themeColor="text1"/>
          <w:kern w:val="0"/>
          <w:szCs w:val="20"/>
          <w:highlight w:val="none"/>
          <w:lang w:val="en-US" w:eastAsia="zh-CN"/>
          <w14:textFill>
            <w14:solidFill>
              <w14:schemeClr w14:val="tx1"/>
            </w14:solidFill>
          </w14:textFill>
        </w:rPr>
        <w:t>试采期井站工艺简单，不涉及集输和脱硫等。</w:t>
      </w:r>
    </w:p>
    <w:p>
      <w:pPr>
        <w:ind w:firstLine="480"/>
        <w:rPr>
          <w:rFonts w:hint="default" w:cs="Times New Roman"/>
          <w:color w:val="000000" w:themeColor="text1"/>
          <w:kern w:val="0"/>
          <w:szCs w:val="20"/>
          <w:highlight w:val="none"/>
          <w:lang w:val="en-US" w:eastAsia="zh-CN"/>
          <w14:textFill>
            <w14:solidFill>
              <w14:schemeClr w14:val="tx1"/>
            </w14:solidFill>
          </w14:textFill>
        </w:rPr>
      </w:pPr>
      <w:r>
        <w:rPr>
          <w:rFonts w:hint="eastAsia" w:cs="Times New Roman"/>
          <w:color w:val="000000" w:themeColor="text1"/>
          <w:kern w:val="0"/>
          <w:szCs w:val="20"/>
          <w:highlight w:val="none"/>
          <w:lang w:val="en-US" w:eastAsia="zh-CN"/>
          <w14:textFill>
            <w14:solidFill>
              <w14:schemeClr w14:val="tx1"/>
            </w14:solidFill>
          </w14:textFill>
        </w:rPr>
        <w:t>（2）试采期原辅材料消耗较少，产生的三废均得到妥善处置，可有效减少对区域环境质量产生的不利影响。</w:t>
      </w:r>
    </w:p>
    <w:p>
      <w:pPr>
        <w:pageBreakBefore w:val="0"/>
        <w:widowControl w:val="0"/>
        <w:kinsoku/>
        <w:wordWrap/>
        <w:overflowPunct/>
        <w:topLinePunct w:val="0"/>
        <w:autoSpaceDE/>
        <w:autoSpaceDN/>
        <w:bidi w:val="0"/>
        <w:adjustRightInd w:val="0"/>
        <w:snapToGrid w:val="0"/>
        <w:ind w:firstLine="480"/>
        <w:textAlignment w:val="auto"/>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w:t>
      </w:r>
      <w:r>
        <w:rPr>
          <w:rFonts w:hint="eastAsia" w:cs="Times New Roman"/>
          <w:color w:val="000000" w:themeColor="text1"/>
          <w:kern w:val="0"/>
          <w:szCs w:val="20"/>
          <w:highlight w:val="none"/>
          <w:lang w:val="en-US" w:eastAsia="zh-CN"/>
          <w14:textFill>
            <w14:solidFill>
              <w14:schemeClr w14:val="tx1"/>
            </w14:solidFill>
          </w14:textFill>
        </w:rPr>
        <w:t>3</w:t>
      </w:r>
      <w:r>
        <w:rPr>
          <w:rFonts w:cs="Times New Roman"/>
          <w:color w:val="000000" w:themeColor="text1"/>
          <w:kern w:val="0"/>
          <w:szCs w:val="20"/>
          <w:highlight w:val="none"/>
          <w14:textFill>
            <w14:solidFill>
              <w14:schemeClr w14:val="tx1"/>
            </w14:solidFill>
          </w14:textFill>
        </w:rPr>
        <w:t>）</w:t>
      </w:r>
      <w:r>
        <w:rPr>
          <w:rFonts w:cs="Times New Roman"/>
          <w:color w:val="000000" w:themeColor="text1"/>
          <w:kern w:val="0"/>
          <w:szCs w:val="20"/>
          <w:highlight w:val="none"/>
          <w:lang w:eastAsia="zh-CN"/>
          <w14:textFill>
            <w14:solidFill>
              <w14:schemeClr w14:val="tx1"/>
            </w14:solidFill>
          </w14:textFill>
        </w:rPr>
        <w:t>本项目输送介质为不含硫天然气，需</w:t>
      </w:r>
      <w:r>
        <w:rPr>
          <w:rFonts w:hint="eastAsia" w:cs="Times New Roman"/>
          <w:color w:val="000000" w:themeColor="text1"/>
          <w:kern w:val="0"/>
          <w:szCs w:val="20"/>
          <w:highlight w:val="none"/>
          <w:lang w:val="en-US" w:eastAsia="zh-CN"/>
          <w14:textFill>
            <w14:solidFill>
              <w14:schemeClr w14:val="tx1"/>
            </w14:solidFill>
          </w14:textFill>
        </w:rPr>
        <w:t>考虑项目的</w:t>
      </w:r>
      <w:r>
        <w:rPr>
          <w:rFonts w:cs="Times New Roman"/>
          <w:color w:val="000000" w:themeColor="text1"/>
          <w:kern w:val="0"/>
          <w:szCs w:val="20"/>
          <w:highlight w:val="none"/>
          <w:lang w:eastAsia="zh-CN"/>
          <w14:textFill>
            <w14:solidFill>
              <w14:schemeClr w14:val="tx1"/>
            </w14:solidFill>
          </w14:textFill>
        </w:rPr>
        <w:t>环境风险影响</w:t>
      </w:r>
      <w:r>
        <w:rPr>
          <w:rFonts w:cs="Times New Roman"/>
          <w:color w:val="000000" w:themeColor="text1"/>
          <w:kern w:val="0"/>
          <w:szCs w:val="20"/>
          <w:highlight w:val="none"/>
          <w14:textFill>
            <w14:solidFill>
              <w14:schemeClr w14:val="tx1"/>
            </w14:solidFill>
          </w14:textFill>
        </w:rPr>
        <w:t>。</w:t>
      </w:r>
    </w:p>
    <w:p>
      <w:pPr>
        <w:pStyle w:val="3"/>
        <w:pageBreakBefore w:val="0"/>
        <w:widowControl w:val="0"/>
        <w:kinsoku/>
        <w:wordWrap/>
        <w:overflowPunct/>
        <w:topLinePunct w:val="0"/>
        <w:autoSpaceDE/>
        <w:autoSpaceDN/>
        <w:bidi w:val="0"/>
        <w:adjustRightInd w:val="0"/>
        <w:snapToGrid w:val="0"/>
        <w:spacing w:before="0" w:beforeLines="0"/>
        <w:textAlignment w:val="auto"/>
        <w:rPr>
          <w:color w:val="000000" w:themeColor="text1"/>
          <w:szCs w:val="24"/>
          <w:highlight w:val="none"/>
          <w:lang w:eastAsia="zh-CN"/>
          <w14:textFill>
            <w14:solidFill>
              <w14:schemeClr w14:val="tx1"/>
            </w14:solidFill>
          </w14:textFill>
        </w:rPr>
      </w:pPr>
      <w:bookmarkStart w:id="20" w:name="_Toc4537"/>
      <w:r>
        <w:rPr>
          <w:color w:val="000000" w:themeColor="text1"/>
          <w:highlight w:val="none"/>
          <w:lang w:eastAsia="zh-CN"/>
          <w14:textFill>
            <w14:solidFill>
              <w14:schemeClr w14:val="tx1"/>
            </w14:solidFill>
          </w14:textFill>
        </w:rPr>
        <w:t>环境影响评价的工作过程</w:t>
      </w:r>
      <w:bookmarkEnd w:id="20"/>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主要评价工作过程如下：</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（1）研究国家和地方有关环境保护的法律法规、政策、标准及相关规划等，依据相关规定确定本项目环境影响评价文件类型；</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（2）收集和研究项目相关技术文件和其他相关文件，进行初步工程分析，明确本项目的工程组成，根据工程特点确定产排污环节和主要污染物；</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（3）结合初步工程分析结果和环境现状资料，识别建设项目的环境影响因素，筛选主要的环境影响评价因子，明确评价重点，确定评价工作等级、评价范围及评价标准；</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4）制定工作方案，在进行充分的环境现状调查、监测的基础上开展环境质量现状评价，并进行进一步的工程分析，根据工程分析确定的污染源强以及结合项目区环境特征，采用模型计算和类比调查的方式预测、分析或评价项目建设对环境的影响范围以及引起的环境质量变化情况，从环境保护角度分析论证建设工程的可行性；</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（5）在对建设项目实施后可能造成的环境影响进行分析、预测的基础上，提出预防或者减轻不良环境影响的对策和措施，从环境保护的角度提出项目建设的可行性结论，完成环境影响报告书编制。</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本项目环境影响评价过程见下图：</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219700" cy="4977765"/>
            <wp:effectExtent l="0" t="0" r="0" b="13335"/>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19700" cy="4977765"/>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环境影响评价程序</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1" w:name="_Toc28460"/>
      <w:r>
        <w:rPr>
          <w:color w:val="000000" w:themeColor="text1"/>
          <w:highlight w:val="none"/>
          <w:lang w:eastAsia="zh-CN"/>
          <w14:textFill>
            <w14:solidFill>
              <w14:schemeClr w14:val="tx1"/>
            </w14:solidFill>
          </w14:textFill>
        </w:rPr>
        <w:t>分析判定相关情况</w:t>
      </w:r>
      <w:bookmarkEnd w:id="21"/>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本项目符合《产业结构调整指导目录（20</w:t>
      </w:r>
      <w:r>
        <w:rPr>
          <w:rFonts w:hint="eastAsia" w:cs="Times New Roman"/>
          <w:color w:val="000000" w:themeColor="text1"/>
          <w:kern w:val="0"/>
          <w:szCs w:val="20"/>
          <w:highlight w:val="none"/>
          <w:lang w:val="en-US" w:eastAsia="zh-CN"/>
          <w14:textFill>
            <w14:solidFill>
              <w14:schemeClr w14:val="tx1"/>
            </w14:solidFill>
          </w14:textFill>
        </w:rPr>
        <w:t>24</w:t>
      </w:r>
      <w:r>
        <w:rPr>
          <w:rFonts w:cs="Times New Roman"/>
          <w:color w:val="000000" w:themeColor="text1"/>
          <w:kern w:val="0"/>
          <w:szCs w:val="20"/>
          <w:highlight w:val="none"/>
          <w14:textFill>
            <w14:solidFill>
              <w14:schemeClr w14:val="tx1"/>
            </w14:solidFill>
          </w14:textFill>
        </w:rPr>
        <w:t>年本）》及相关环保政策要求。</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本项目</w:t>
      </w:r>
      <w:r>
        <w:rPr>
          <w:rFonts w:hint="eastAsia" w:cs="Times New Roman"/>
          <w:color w:val="000000" w:themeColor="text1"/>
          <w:kern w:val="0"/>
          <w:szCs w:val="20"/>
          <w:highlight w:val="none"/>
          <w14:textFill>
            <w14:solidFill>
              <w14:schemeClr w14:val="tx1"/>
            </w14:solidFill>
          </w14:textFill>
        </w:rPr>
        <w:t>不</w:t>
      </w:r>
      <w:r>
        <w:rPr>
          <w:rFonts w:cs="Times New Roman"/>
          <w:color w:val="000000" w:themeColor="text1"/>
          <w:kern w:val="0"/>
          <w:szCs w:val="20"/>
          <w:highlight w:val="none"/>
          <w14:textFill>
            <w14:solidFill>
              <w14:schemeClr w14:val="tx1"/>
            </w14:solidFill>
          </w14:textFill>
        </w:rPr>
        <w:t>位于四川省达州市划定的生态保护红线区域内，与</w:t>
      </w:r>
      <w:r>
        <w:rPr>
          <w:rFonts w:hint="eastAsia" w:cs="Times New Roman"/>
          <w:color w:val="000000" w:themeColor="text1"/>
          <w:kern w:val="0"/>
          <w:szCs w:val="20"/>
          <w:highlight w:val="none"/>
          <w14:textFill>
            <w14:solidFill>
              <w14:schemeClr w14:val="tx1"/>
            </w14:solidFill>
          </w14:textFill>
        </w:rPr>
        <w:t>达州市</w:t>
      </w:r>
      <w:r>
        <w:rPr>
          <w:rFonts w:ascii="宋体" w:hAnsi="宋体" w:cs="Times New Roman"/>
          <w:color w:val="000000" w:themeColor="text1"/>
          <w:kern w:val="0"/>
          <w:szCs w:val="20"/>
          <w:highlight w:val="none"/>
          <w14:textFill>
            <w14:solidFill>
              <w14:schemeClr w14:val="tx1"/>
            </w14:solidFill>
          </w14:textFill>
        </w:rPr>
        <w:t>“三线一单”</w:t>
      </w:r>
      <w:r>
        <w:rPr>
          <w:rFonts w:cs="Times New Roman"/>
          <w:color w:val="000000" w:themeColor="text1"/>
          <w:kern w:val="0"/>
          <w:szCs w:val="20"/>
          <w:highlight w:val="none"/>
          <w14:textFill>
            <w14:solidFill>
              <w14:schemeClr w14:val="tx1"/>
            </w14:solidFill>
          </w14:textFill>
        </w:rPr>
        <w:t>不冲突；本项目未位于自然保护区、森林公园、风景名胜区等生态敏感区范围内，拟建井场</w:t>
      </w:r>
      <w:r>
        <w:rPr>
          <w:rFonts w:hint="eastAsia" w:cs="Times New Roman"/>
          <w:color w:val="000000" w:themeColor="text1"/>
          <w:kern w:val="0"/>
          <w:szCs w:val="20"/>
          <w:highlight w:val="none"/>
          <w14:textFill>
            <w14:solidFill>
              <w14:schemeClr w14:val="tx1"/>
            </w14:solidFill>
          </w14:textFill>
        </w:rPr>
        <w:t>和集输管线</w:t>
      </w:r>
      <w:r>
        <w:rPr>
          <w:rFonts w:hint="eastAsia" w:cs="Times New Roman"/>
          <w:color w:val="000000" w:themeColor="text1"/>
          <w:kern w:val="0"/>
          <w:szCs w:val="20"/>
          <w:highlight w:val="none"/>
          <w:lang w:val="en-US" w:eastAsia="zh-CN"/>
          <w14:textFill>
            <w14:solidFill>
              <w14:schemeClr w14:val="tx1"/>
            </w14:solidFill>
          </w14:textFill>
        </w:rPr>
        <w:t>均</w:t>
      </w:r>
      <w:r>
        <w:rPr>
          <w:rFonts w:cs="Times New Roman"/>
          <w:color w:val="000000" w:themeColor="text1"/>
          <w:kern w:val="0"/>
          <w:szCs w:val="20"/>
          <w:highlight w:val="none"/>
          <w14:textFill>
            <w14:solidFill>
              <w14:schemeClr w14:val="tx1"/>
            </w14:solidFill>
          </w14:textFill>
        </w:rPr>
        <w:t>不涉及集中式饮用水源保护区。</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2" w:name="_Toc6733"/>
      <w:r>
        <w:rPr>
          <w:color w:val="000000" w:themeColor="text1"/>
          <w:highlight w:val="none"/>
          <w:lang w:eastAsia="zh-CN"/>
          <w14:textFill>
            <w14:solidFill>
              <w14:schemeClr w14:val="tx1"/>
            </w14:solidFill>
          </w14:textFill>
        </w:rPr>
        <w:t>关注的主要环境问题</w:t>
      </w:r>
      <w:bookmarkEnd w:id="22"/>
    </w:p>
    <w:p>
      <w:pPr>
        <w:ind w:firstLine="480"/>
        <w:rPr>
          <w:rFonts w:hint="default" w:ascii="Times New Roman" w:hAnsi="Times New Roman" w:eastAsia="宋体"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根据本项目特点及周边外环境情况，本次环境影响评价过程中需重点关注的环境问题及环境影响如下：</w:t>
      </w:r>
    </w:p>
    <w:p>
      <w:pPr>
        <w:numPr>
          <w:ilvl w:val="0"/>
          <w:numId w:val="4"/>
        </w:numPr>
        <w:ind w:firstLine="480"/>
        <w:rPr>
          <w:rFonts w:hint="eastAsia"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本项目选址</w:t>
      </w:r>
      <w:r>
        <w:rPr>
          <w:rFonts w:hint="default" w:cs="Times New Roman"/>
          <w:bCs/>
          <w:color w:val="000000" w:themeColor="text1"/>
          <w:szCs w:val="24"/>
          <w:highlight w:val="none"/>
          <w:lang w:val="en-US" w:eastAsia="zh-CN"/>
          <w14:textFill>
            <w14:solidFill>
              <w14:schemeClr w14:val="tx1"/>
            </w14:solidFill>
          </w14:textFill>
        </w:rPr>
        <w:t>不涉及国家公园、自然保护区、世界自然遗产、重要生境、湿地、饮用水源保护区、重点生态功能保护区、沙化土地封禁保护区等敏感</w:t>
      </w:r>
      <w:r>
        <w:rPr>
          <w:rFonts w:hint="eastAsia" w:cs="Times New Roman"/>
          <w:bCs/>
          <w:color w:val="000000" w:themeColor="text1"/>
          <w:szCs w:val="24"/>
          <w:highlight w:val="none"/>
          <w:lang w:val="en-US" w:eastAsia="zh-CN"/>
          <w14:textFill>
            <w14:solidFill>
              <w14:schemeClr w14:val="tx1"/>
            </w14:solidFill>
          </w14:textFill>
        </w:rPr>
        <w:t>区域，但拟建地涉及</w:t>
      </w:r>
      <w:r>
        <w:rPr>
          <w:rFonts w:hint="default" w:cs="Times New Roman"/>
          <w:bCs/>
          <w:color w:val="000000" w:themeColor="text1"/>
          <w:szCs w:val="24"/>
          <w:highlight w:val="none"/>
          <w:lang w:val="en-US" w:eastAsia="zh-CN"/>
          <w14:textFill>
            <w14:solidFill>
              <w14:schemeClr w14:val="tx1"/>
            </w14:solidFill>
          </w14:textFill>
        </w:rPr>
        <w:t>水土流失重点预防区及水土流失重点治理区</w:t>
      </w:r>
      <w:r>
        <w:rPr>
          <w:rFonts w:hint="eastAsia" w:cs="Times New Roman"/>
          <w:bCs/>
          <w:color w:val="000000" w:themeColor="text1"/>
          <w:szCs w:val="24"/>
          <w:highlight w:val="none"/>
          <w:lang w:val="en-US" w:eastAsia="zh-CN"/>
          <w14:textFill>
            <w14:solidFill>
              <w14:schemeClr w14:val="tx1"/>
            </w14:solidFill>
          </w14:textFill>
        </w:rPr>
        <w:t>，同时项目占用基本农田，占用基本农田需依法办理占用手续。因此，本次评价重点关注项目的水土流失影响的影响分析。</w:t>
      </w:r>
    </w:p>
    <w:p>
      <w:pPr>
        <w:keepNext w:val="0"/>
        <w:keepLines w:val="0"/>
        <w:widowControl/>
        <w:numPr>
          <w:ilvl w:val="0"/>
          <w:numId w:val="4"/>
        </w:numPr>
        <w:suppressLineNumbers w:val="0"/>
        <w:ind w:left="0" w:leftChars="0" w:firstLine="480" w:firstLineChars="200"/>
        <w:jc w:val="left"/>
        <w:rPr>
          <w:rFonts w:hint="eastAsia" w:cs="Times New Roman"/>
          <w:bCs/>
          <w:color w:val="000000" w:themeColor="text1"/>
          <w:szCs w:val="24"/>
          <w:highlight w:val="none"/>
          <w:lang w:val="en-US" w:eastAsia="zh-CN"/>
          <w14:textFill>
            <w14:solidFill>
              <w14:schemeClr w14:val="tx1"/>
            </w14:solidFill>
          </w14:textFill>
        </w:rPr>
      </w:pPr>
      <w:r>
        <w:rPr>
          <w:rFonts w:hint="eastAsia" w:cs="Times New Roman"/>
          <w:b w:val="0"/>
          <w:bCs/>
          <w:color w:val="000000" w:themeColor="text1"/>
          <w:szCs w:val="24"/>
          <w:highlight w:val="none"/>
          <w:lang w:val="en-US" w:eastAsia="zh-CN"/>
          <w14:textFill>
            <w14:solidFill>
              <w14:schemeClr w14:val="tx1"/>
            </w14:solidFill>
          </w14:textFill>
        </w:rPr>
        <w:t>重点关注钻井工程、储层改造工程及油气集输工程等产生的污染影响。主要体现为重点关注废水（</w:t>
      </w:r>
      <w:r>
        <w:rPr>
          <w:rFonts w:hint="default" w:ascii="Times New Roman" w:hAnsi="Times New Roman" w:cs="Times New Roman"/>
          <w:bCs/>
          <w:color w:val="000000" w:themeColor="text1"/>
          <w:szCs w:val="24"/>
          <w:highlight w:val="none"/>
          <w14:textFill>
            <w14:solidFill>
              <w14:schemeClr w14:val="tx1"/>
            </w14:solidFill>
          </w14:textFill>
        </w:rPr>
        <w:t>钻井废水、洗井废水、压裂返排液、场地</w:t>
      </w:r>
      <w:r>
        <w:rPr>
          <w:rFonts w:hint="eastAsia" w:cs="Times New Roman"/>
          <w:bCs/>
          <w:color w:val="000000" w:themeColor="text1"/>
          <w:szCs w:val="24"/>
          <w:highlight w:val="none"/>
          <w:lang w:val="en-US" w:eastAsia="zh-CN"/>
          <w14:textFill>
            <w14:solidFill>
              <w14:schemeClr w14:val="tx1"/>
            </w14:solidFill>
          </w14:textFill>
        </w:rPr>
        <w:t>初期</w:t>
      </w:r>
      <w:r>
        <w:rPr>
          <w:rFonts w:hint="default" w:ascii="Times New Roman" w:hAnsi="Times New Roman" w:cs="Times New Roman"/>
          <w:bCs/>
          <w:color w:val="000000" w:themeColor="text1"/>
          <w:szCs w:val="24"/>
          <w:highlight w:val="none"/>
          <w14:textFill>
            <w14:solidFill>
              <w14:schemeClr w14:val="tx1"/>
            </w14:solidFill>
          </w14:textFill>
        </w:rPr>
        <w:t>雨水以及施工人员生活污水</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的</w:t>
      </w:r>
      <w:r>
        <w:rPr>
          <w:rFonts w:hint="default" w:ascii="Times New Roman" w:hAnsi="Times New Roman" w:cs="Times New Roman"/>
          <w:bCs/>
          <w:color w:val="000000" w:themeColor="text1"/>
          <w:szCs w:val="24"/>
          <w:highlight w:val="none"/>
          <w14:textFill>
            <w14:solidFill>
              <w14:schemeClr w14:val="tx1"/>
            </w14:solidFill>
          </w14:textFill>
        </w:rPr>
        <w:t>处理</w:t>
      </w:r>
      <w:r>
        <w:rPr>
          <w:rFonts w:hint="eastAsia" w:cs="Times New Roman"/>
          <w:bCs/>
          <w:color w:val="000000" w:themeColor="text1"/>
          <w:szCs w:val="24"/>
          <w:highlight w:val="none"/>
          <w:lang w:val="en-US" w:eastAsia="zh-CN"/>
          <w14:textFill>
            <w14:solidFill>
              <w14:schemeClr w14:val="tx1"/>
            </w14:solidFill>
          </w14:textFill>
        </w:rPr>
        <w:t>方式及其</w:t>
      </w:r>
      <w:r>
        <w:rPr>
          <w:rFonts w:hint="default" w:ascii="Times New Roman" w:hAnsi="Times New Roman" w:cs="Times New Roman"/>
          <w:bCs/>
          <w:color w:val="000000" w:themeColor="text1"/>
          <w:szCs w:val="24"/>
          <w:highlight w:val="none"/>
          <w14:textFill>
            <w14:solidFill>
              <w14:schemeClr w14:val="tx1"/>
            </w14:solidFill>
          </w14:textFill>
        </w:rPr>
        <w:t>可行性和可靠性论证</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固废（</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水基钻井固废、油基钻井固废、废油等</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）的</w:t>
      </w:r>
      <w:r>
        <w:rPr>
          <w:rFonts w:hint="default" w:ascii="Times New Roman" w:hAnsi="Times New Roman" w:cs="Times New Roman"/>
          <w:bCs/>
          <w:color w:val="000000" w:themeColor="text1"/>
          <w:szCs w:val="24"/>
          <w:highlight w:val="none"/>
          <w14:textFill>
            <w14:solidFill>
              <w14:schemeClr w14:val="tx1"/>
            </w14:solidFill>
          </w14:textFill>
        </w:rPr>
        <w:t>处理</w:t>
      </w:r>
      <w:r>
        <w:rPr>
          <w:rFonts w:hint="eastAsia" w:cs="Times New Roman"/>
          <w:bCs/>
          <w:color w:val="000000" w:themeColor="text1"/>
          <w:szCs w:val="24"/>
          <w:highlight w:val="none"/>
          <w:lang w:val="en-US" w:eastAsia="zh-CN"/>
          <w14:textFill>
            <w14:solidFill>
              <w14:schemeClr w14:val="tx1"/>
            </w14:solidFill>
          </w14:textFill>
        </w:rPr>
        <w:t>方式及其</w:t>
      </w:r>
      <w:r>
        <w:rPr>
          <w:rFonts w:hint="default" w:ascii="Times New Roman" w:hAnsi="Times New Roman" w:cs="Times New Roman"/>
          <w:bCs/>
          <w:color w:val="000000" w:themeColor="text1"/>
          <w:szCs w:val="24"/>
          <w:highlight w:val="none"/>
          <w14:textFill>
            <w14:solidFill>
              <w14:schemeClr w14:val="tx1"/>
            </w14:solidFill>
          </w14:textFill>
        </w:rPr>
        <w:t>可行性和可靠性论证</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尤其注重危险废物（油基钻井固废）的收集、处置措施的可行性和可靠性论证。</w:t>
      </w:r>
    </w:p>
    <w:p>
      <w:pPr>
        <w:keepNext w:val="0"/>
        <w:keepLines w:val="0"/>
        <w:widowControl/>
        <w:numPr>
          <w:ilvl w:val="0"/>
          <w:numId w:val="4"/>
        </w:numPr>
        <w:suppressLineNumbers w:val="0"/>
        <w:ind w:left="0" w:leftChars="0" w:firstLine="480" w:firstLineChars="200"/>
        <w:jc w:val="left"/>
        <w:rPr>
          <w:rFonts w:hint="default"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重点关注项目产生的噪声影响，</w:t>
      </w:r>
      <w:r>
        <w:rPr>
          <w:rFonts w:hint="default" w:ascii="Times New Roman" w:hAnsi="Times New Roman" w:cs="Times New Roman"/>
          <w:bCs/>
          <w:color w:val="000000" w:themeColor="text1"/>
          <w:szCs w:val="24"/>
          <w:highlight w:val="none"/>
          <w14:textFill>
            <w14:solidFill>
              <w14:schemeClr w14:val="tx1"/>
            </w14:solidFill>
          </w14:textFill>
        </w:rPr>
        <w:t>环评中注重</w:t>
      </w:r>
      <w:r>
        <w:rPr>
          <w:rFonts w:hint="eastAsia" w:cs="Times New Roman"/>
          <w:bCs/>
          <w:color w:val="000000" w:themeColor="text1"/>
          <w:szCs w:val="24"/>
          <w:highlight w:val="none"/>
          <w:lang w:val="en-US" w:eastAsia="zh-CN"/>
          <w14:textFill>
            <w14:solidFill>
              <w14:schemeClr w14:val="tx1"/>
            </w14:solidFill>
          </w14:textFill>
        </w:rPr>
        <w:t>分析项目各阶段（钻井、储层改造等）</w:t>
      </w:r>
      <w:r>
        <w:rPr>
          <w:rFonts w:hint="default" w:ascii="Times New Roman" w:hAnsi="Times New Roman" w:cs="Times New Roman"/>
          <w:bCs/>
          <w:color w:val="000000" w:themeColor="text1"/>
          <w:szCs w:val="24"/>
          <w:highlight w:val="none"/>
          <w14:textFill>
            <w14:solidFill>
              <w14:schemeClr w14:val="tx1"/>
            </w14:solidFill>
          </w14:textFill>
        </w:rPr>
        <w:t>噪声控制措施的可行性论证</w:t>
      </w:r>
      <w:r>
        <w:rPr>
          <w:rFonts w:hint="eastAsia" w:cs="Times New Roman"/>
          <w:bCs/>
          <w:color w:val="000000" w:themeColor="text1"/>
          <w:szCs w:val="24"/>
          <w:highlight w:val="none"/>
          <w:lang w:eastAsia="zh-CN"/>
          <w14:textFill>
            <w14:solidFill>
              <w14:schemeClr w14:val="tx1"/>
            </w14:solidFill>
          </w14:textFill>
        </w:rPr>
        <w:t>。</w:t>
      </w:r>
    </w:p>
    <w:p>
      <w:pPr>
        <w:keepNext w:val="0"/>
        <w:keepLines w:val="0"/>
        <w:widowControl/>
        <w:numPr>
          <w:ilvl w:val="0"/>
          <w:numId w:val="4"/>
        </w:numPr>
        <w:suppressLineNumbers w:val="0"/>
        <w:ind w:left="0" w:leftChars="0" w:firstLine="480" w:firstLineChars="200"/>
        <w:jc w:val="left"/>
        <w:rPr>
          <w:rFonts w:hint="default"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本项目试采期主要依托旁边雷页1试采站内新建设施和部分辅助设施实现天然气生产、外输和采出水的转运，因此试采期重点关注新增设施的环境影响和依托设施依托可行性分析，同时还需重点关注试采期主要为水套加热炉废气、长明灯燃烧废气、非正常工况下的放空废气的环境影响以及试采期试采生产</w:t>
      </w:r>
      <w:r>
        <w:rPr>
          <w:rFonts w:hint="default" w:ascii="Times New Roman" w:hAnsi="Times New Roman" w:cs="Times New Roman"/>
          <w:bCs/>
          <w:color w:val="000000" w:themeColor="text1"/>
          <w:szCs w:val="24"/>
          <w:highlight w:val="none"/>
          <w14:textFill>
            <w14:solidFill>
              <w14:schemeClr w14:val="tx1"/>
            </w14:solidFill>
          </w14:textFill>
        </w:rPr>
        <w:t>产生的气田水</w:t>
      </w:r>
      <w:r>
        <w:rPr>
          <w:rFonts w:hint="eastAsia" w:cs="Times New Roman"/>
          <w:bCs/>
          <w:color w:val="000000" w:themeColor="text1"/>
          <w:szCs w:val="24"/>
          <w:highlight w:val="none"/>
          <w:lang w:val="en-US" w:eastAsia="zh-CN"/>
          <w14:textFill>
            <w14:solidFill>
              <w14:schemeClr w14:val="tx1"/>
            </w14:solidFill>
          </w14:textFill>
        </w:rPr>
        <w:t>的</w:t>
      </w:r>
      <w:r>
        <w:rPr>
          <w:rFonts w:hint="default" w:ascii="Times New Roman" w:hAnsi="Times New Roman" w:cs="Times New Roman"/>
          <w:bCs/>
          <w:color w:val="000000" w:themeColor="text1"/>
          <w:szCs w:val="24"/>
          <w:highlight w:val="none"/>
          <w14:textFill>
            <w14:solidFill>
              <w14:schemeClr w14:val="tx1"/>
            </w14:solidFill>
          </w14:textFill>
        </w:rPr>
        <w:t>处理</w:t>
      </w:r>
      <w:r>
        <w:rPr>
          <w:rFonts w:hint="eastAsia" w:cs="Times New Roman"/>
          <w:bCs/>
          <w:color w:val="000000" w:themeColor="text1"/>
          <w:szCs w:val="24"/>
          <w:highlight w:val="none"/>
          <w:lang w:val="en-US" w:eastAsia="zh-CN"/>
          <w14:textFill>
            <w14:solidFill>
              <w14:schemeClr w14:val="tx1"/>
            </w14:solidFill>
          </w14:textFill>
        </w:rPr>
        <w:t>方式及其</w:t>
      </w:r>
      <w:r>
        <w:rPr>
          <w:rFonts w:hint="default" w:ascii="Times New Roman" w:hAnsi="Times New Roman" w:cs="Times New Roman"/>
          <w:bCs/>
          <w:color w:val="000000" w:themeColor="text1"/>
          <w:szCs w:val="24"/>
          <w:highlight w:val="none"/>
          <w14:textFill>
            <w14:solidFill>
              <w14:schemeClr w14:val="tx1"/>
            </w14:solidFill>
          </w14:textFill>
        </w:rPr>
        <w:t>可行性和可靠性论证</w:t>
      </w:r>
      <w:r>
        <w:rPr>
          <w:rFonts w:hint="eastAsia" w:cs="Times New Roman"/>
          <w:bCs/>
          <w:color w:val="000000" w:themeColor="text1"/>
          <w:szCs w:val="24"/>
          <w:highlight w:val="none"/>
          <w:lang w:val="en-US" w:eastAsia="zh-CN"/>
          <w14:textFill>
            <w14:solidFill>
              <w14:schemeClr w14:val="tx1"/>
            </w14:solidFill>
          </w14:textFill>
        </w:rPr>
        <w:t>。</w:t>
      </w:r>
    </w:p>
    <w:p>
      <w:pPr>
        <w:keepNext w:val="0"/>
        <w:keepLines w:val="0"/>
        <w:widowControl/>
        <w:numPr>
          <w:ilvl w:val="0"/>
          <w:numId w:val="4"/>
        </w:numPr>
        <w:suppressLineNumbers w:val="0"/>
        <w:ind w:left="0" w:leftChars="0" w:firstLine="480" w:firstLineChars="200"/>
        <w:jc w:val="left"/>
        <w:rPr>
          <w:rFonts w:hint="default"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本项目为天然气开采，目的层气质组分中不含硫化氢，需重点关注暂存设施、</w:t>
      </w:r>
      <w:r>
        <w:rPr>
          <w:rFonts w:hint="default" w:ascii="Times New Roman" w:hAnsi="Times New Roman" w:cs="Times New Roman"/>
          <w:bCs/>
          <w:color w:val="000000" w:themeColor="text1"/>
          <w:szCs w:val="24"/>
          <w:highlight w:val="none"/>
          <w14:textFill>
            <w14:solidFill>
              <w14:schemeClr w14:val="tx1"/>
            </w14:solidFill>
          </w14:textFill>
        </w:rPr>
        <w:t>设备</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集输管道</w:t>
      </w:r>
      <w:r>
        <w:rPr>
          <w:rFonts w:hint="default" w:ascii="Times New Roman" w:hAnsi="Times New Roman" w:cs="Times New Roman"/>
          <w:bCs/>
          <w:color w:val="000000" w:themeColor="text1"/>
          <w:szCs w:val="24"/>
          <w:highlight w:val="none"/>
          <w14:textFill>
            <w14:solidFill>
              <w14:schemeClr w14:val="tx1"/>
            </w14:solidFill>
          </w14:textFill>
        </w:rPr>
        <w:t>等</w:t>
      </w:r>
      <w:r>
        <w:rPr>
          <w:rFonts w:hint="eastAsia" w:cs="Times New Roman"/>
          <w:bCs/>
          <w:color w:val="000000" w:themeColor="text1"/>
          <w:szCs w:val="24"/>
          <w:highlight w:val="none"/>
          <w:lang w:val="en-US" w:eastAsia="zh-CN"/>
          <w14:textFill>
            <w14:solidFill>
              <w14:schemeClr w14:val="tx1"/>
            </w14:solidFill>
          </w14:textFill>
        </w:rPr>
        <w:t>发</w:t>
      </w:r>
      <w:r>
        <w:rPr>
          <w:rFonts w:hint="default" w:ascii="Times New Roman" w:hAnsi="Times New Roman" w:cs="Times New Roman"/>
          <w:bCs/>
          <w:color w:val="000000" w:themeColor="text1"/>
          <w:szCs w:val="24"/>
          <w:highlight w:val="none"/>
          <w14:textFill>
            <w14:solidFill>
              <w14:schemeClr w14:val="tx1"/>
            </w14:solidFill>
          </w14:textFill>
        </w:rPr>
        <w:t>生泄漏</w:t>
      </w:r>
      <w:r>
        <w:rPr>
          <w:rFonts w:hint="eastAsia" w:cs="Times New Roman"/>
          <w:bCs/>
          <w:color w:val="000000" w:themeColor="text1"/>
          <w:szCs w:val="24"/>
          <w:highlight w:val="none"/>
          <w:lang w:val="en-US" w:eastAsia="zh-CN"/>
          <w14:textFill>
            <w14:solidFill>
              <w14:schemeClr w14:val="tx1"/>
            </w14:solidFill>
          </w14:textFill>
        </w:rPr>
        <w:t>事故</w:t>
      </w:r>
      <w:r>
        <w:rPr>
          <w:rFonts w:hint="default" w:ascii="Times New Roman" w:hAnsi="Times New Roman" w:cs="Times New Roman"/>
          <w:bCs/>
          <w:color w:val="000000" w:themeColor="text1"/>
          <w:szCs w:val="24"/>
          <w:highlight w:val="none"/>
          <w14:textFill>
            <w14:solidFill>
              <w14:schemeClr w14:val="tx1"/>
            </w14:solidFill>
          </w14:textFill>
        </w:rPr>
        <w:t>以及钻井工程井喷事故的环境风险</w:t>
      </w:r>
      <w:r>
        <w:rPr>
          <w:rFonts w:hint="eastAsia" w:cs="Times New Roman"/>
          <w:bCs/>
          <w:color w:val="000000" w:themeColor="text1"/>
          <w:szCs w:val="24"/>
          <w:highlight w:val="none"/>
          <w:lang w:val="en-US" w:eastAsia="zh-CN"/>
          <w14:textFill>
            <w14:solidFill>
              <w14:schemeClr w14:val="tx1"/>
            </w14:solidFill>
          </w14:textFill>
        </w:rPr>
        <w:t>问题，评价过程中需对项目可能产生的环境风险进行重点评价分析；同时还需重点关注非正常工况下的检修废气和事故放空废气的环境影响。</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3" w:name="_Toc8561"/>
      <w:r>
        <w:rPr>
          <w:color w:val="000000" w:themeColor="text1"/>
          <w:highlight w:val="none"/>
          <w:lang w:eastAsia="zh-CN"/>
          <w14:textFill>
            <w14:solidFill>
              <w14:schemeClr w14:val="tx1"/>
            </w14:solidFill>
          </w14:textFill>
        </w:rPr>
        <w:t>环境影响评价的主要结论</w:t>
      </w:r>
      <w:bookmarkEnd w:id="23"/>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本项目属于清洁能源开发项目，其对于大区域能源结构调整和环境质量改善具有明显的正面环境效益。</w:t>
      </w:r>
      <w:r>
        <w:rPr>
          <w:rFonts w:cs="Times New Roman"/>
          <w:bCs/>
          <w:color w:val="000000" w:themeColor="text1"/>
          <w:szCs w:val="24"/>
          <w:highlight w:val="none"/>
          <w14:textFill>
            <w14:solidFill>
              <w14:schemeClr w14:val="tx1"/>
            </w14:solidFill>
          </w14:textFill>
        </w:rPr>
        <w:t>本项目符合国家产业政策，与当地规划相容，符合石油天然气发展规划；所在区域环境空气质量现状较好；建设期间对生态环境、地表水、地下水、大气、土壤、声环境影响</w:t>
      </w:r>
      <w:r>
        <w:rPr>
          <w:rFonts w:hint="eastAsia" w:cs="Times New Roman"/>
          <w:bCs/>
          <w:color w:val="000000" w:themeColor="text1"/>
          <w:szCs w:val="24"/>
          <w:highlight w:val="none"/>
          <w:lang w:val="en-US" w:eastAsia="zh-CN"/>
          <w14:textFill>
            <w14:solidFill>
              <w14:schemeClr w14:val="tx1"/>
            </w14:solidFill>
          </w14:textFill>
        </w:rPr>
        <w:t>较</w:t>
      </w:r>
      <w:r>
        <w:rPr>
          <w:rFonts w:cs="Times New Roman"/>
          <w:bCs/>
          <w:color w:val="000000" w:themeColor="text1"/>
          <w:szCs w:val="24"/>
          <w:highlight w:val="none"/>
          <w14:textFill>
            <w14:solidFill>
              <w14:schemeClr w14:val="tx1"/>
            </w14:solidFill>
          </w14:textFill>
        </w:rPr>
        <w:t>小，不改变区域的环境功能；该项目达到清洁生产国内先进水平，采用的环保措施可行，社会、经济效益十分显著；建设项目环境可行，选址选线合理；该工程采取的环境风险措施可靠，在落实风险防范措施后，环境风险达到可接受水平；所采取的废水、固体废物和噪声防治措施以及水土保持措施可行有效，</w:t>
      </w:r>
      <w:r>
        <w:rPr>
          <w:rFonts w:hint="default" w:cs="Times New Roman"/>
          <w:bCs/>
          <w:color w:val="000000" w:themeColor="text1"/>
          <w:szCs w:val="24"/>
          <w:highlight w:val="none"/>
          <w14:textFill>
            <w14:solidFill>
              <w14:schemeClr w14:val="tx1"/>
            </w14:solidFill>
          </w14:textFill>
        </w:rPr>
        <w:t>在建设过</w:t>
      </w:r>
      <w:r>
        <w:rPr>
          <w:rFonts w:hint="default" w:cs="Times New Roman"/>
          <w:bCs/>
          <w:color w:val="000000" w:themeColor="text1"/>
          <w:szCs w:val="24"/>
          <w:highlight w:val="none"/>
          <w:lang w:eastAsia="zh-CN"/>
          <w14:textFill>
            <w14:solidFill>
              <w14:schemeClr w14:val="tx1"/>
            </w14:solidFill>
          </w14:textFill>
        </w:rPr>
        <w:t>程中</w:t>
      </w:r>
      <w:r>
        <w:rPr>
          <w:rFonts w:hint="default" w:cs="Times New Roman"/>
          <w:bCs/>
          <w:color w:val="000000" w:themeColor="text1"/>
          <w:szCs w:val="24"/>
          <w:highlight w:val="none"/>
          <w14:textFill>
            <w14:solidFill>
              <w14:schemeClr w14:val="tx1"/>
            </w14:solidFill>
          </w14:textFill>
        </w:rPr>
        <w:t>认真落实报告提出的各项污染防治</w:t>
      </w:r>
      <w:r>
        <w:rPr>
          <w:rFonts w:hint="eastAsia" w:cs="Times New Roman"/>
          <w:bCs/>
          <w:color w:val="000000" w:themeColor="text1"/>
          <w:szCs w:val="24"/>
          <w:highlight w:val="none"/>
          <w:lang w:val="en-US" w:eastAsia="zh-CN"/>
          <w14:textFill>
            <w14:solidFill>
              <w14:schemeClr w14:val="tx1"/>
            </w14:solidFill>
          </w14:textFill>
        </w:rPr>
        <w:t>及生态保护</w:t>
      </w:r>
      <w:r>
        <w:rPr>
          <w:rFonts w:hint="default" w:cs="Times New Roman"/>
          <w:bCs/>
          <w:color w:val="000000" w:themeColor="text1"/>
          <w:szCs w:val="24"/>
          <w:highlight w:val="none"/>
          <w14:textFill>
            <w14:solidFill>
              <w14:schemeClr w14:val="tx1"/>
            </w14:solidFill>
          </w14:textFill>
        </w:rPr>
        <w:t>措施</w:t>
      </w:r>
      <w:r>
        <w:rPr>
          <w:rFonts w:hint="eastAsia" w:cs="Times New Roman"/>
          <w:bCs/>
          <w:color w:val="000000" w:themeColor="text1"/>
          <w:szCs w:val="24"/>
          <w:highlight w:val="none"/>
          <w:lang w:val="en-US" w:eastAsia="zh-CN"/>
          <w14:textFill>
            <w14:solidFill>
              <w14:schemeClr w14:val="tx1"/>
            </w14:solidFill>
          </w14:textFill>
        </w:rPr>
        <w:t>和应急预案</w:t>
      </w:r>
      <w:r>
        <w:rPr>
          <w:rFonts w:hint="default" w:cs="Times New Roman"/>
          <w:bCs/>
          <w:color w:val="000000" w:themeColor="text1"/>
          <w:szCs w:val="24"/>
          <w:highlight w:val="none"/>
          <w14:textFill>
            <w14:solidFill>
              <w14:schemeClr w14:val="tx1"/>
            </w14:solidFill>
          </w14:textFill>
        </w:rPr>
        <w:t>后，对周围环境影响</w:t>
      </w:r>
      <w:r>
        <w:rPr>
          <w:rFonts w:hint="eastAsia" w:cs="Times New Roman"/>
          <w:bCs/>
          <w:color w:val="000000" w:themeColor="text1"/>
          <w:szCs w:val="24"/>
          <w:highlight w:val="none"/>
          <w:lang w:val="en-US" w:eastAsia="zh-CN"/>
          <w14:textFill>
            <w14:solidFill>
              <w14:schemeClr w14:val="tx1"/>
            </w14:solidFill>
          </w14:textFill>
        </w:rPr>
        <w:t>较小</w:t>
      </w:r>
      <w:r>
        <w:rPr>
          <w:rFonts w:hint="default"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从环境角度而言，无明显制约项目建设的环境因素，本项目在</w:t>
      </w:r>
      <w:r>
        <w:rPr>
          <w:rFonts w:ascii="Times New Roman" w:hAnsi="Times New Roman"/>
          <w:bCs/>
          <w:color w:val="000000" w:themeColor="text1"/>
          <w:kern w:val="2"/>
          <w:sz w:val="24"/>
          <w:szCs w:val="24"/>
          <w:highlight w:val="none"/>
          <w:lang w:eastAsia="zh-CN"/>
          <w14:textFill>
            <w14:solidFill>
              <w14:schemeClr w14:val="tx1"/>
            </w14:solidFill>
          </w14:textFill>
        </w:rPr>
        <w:t>选址选线</w:t>
      </w:r>
      <w:r>
        <w:rPr>
          <w:rFonts w:cs="Times New Roman"/>
          <w:bCs/>
          <w:color w:val="000000" w:themeColor="text1"/>
          <w:szCs w:val="24"/>
          <w:highlight w:val="none"/>
          <w14:textFill>
            <w14:solidFill>
              <w14:schemeClr w14:val="tx1"/>
            </w14:solidFill>
          </w14:textFill>
        </w:rPr>
        <w:t>是可行的。</w:t>
      </w:r>
    </w:p>
    <w:p>
      <w:pPr>
        <w:tabs>
          <w:tab w:val="left" w:pos="0"/>
        </w:tabs>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综上，项目建设无明显制约的环境因素，建设过程中认真落实报告提出的各项污染防治、生态保护措施和应急预案后，从环境保护角度而言，本项目建设是可行的。</w:t>
      </w:r>
    </w:p>
    <w:p>
      <w:pPr>
        <w:ind w:firstLine="480"/>
        <w:rPr>
          <w:rFonts w:cs="Times New Roman"/>
          <w:color w:val="000000" w:themeColor="text1"/>
          <w:highlight w:val="none"/>
          <w14:textFill>
            <w14:solidFill>
              <w14:schemeClr w14:val="tx1"/>
            </w14:solidFill>
          </w14:textFill>
        </w:rPr>
        <w:sectPr>
          <w:headerReference r:id="rId9" w:type="default"/>
          <w:footerReference r:id="rId10" w:type="default"/>
          <w:footerReference r:id="rId11" w:type="even"/>
          <w:type w:val="nextColumn"/>
          <w:pgSz w:w="11910" w:h="16840"/>
          <w:pgMar w:top="1440" w:right="1800" w:bottom="1440" w:left="1800" w:header="964" w:footer="964" w:gutter="0"/>
          <w:pgBorders>
            <w:top w:val="none" w:sz="0" w:space="0"/>
            <w:left w:val="none" w:sz="0" w:space="0"/>
            <w:bottom w:val="none" w:sz="0" w:space="0"/>
            <w:right w:val="none" w:sz="0" w:space="0"/>
          </w:pgBorders>
          <w:pgNumType w:start="1"/>
          <w:cols w:space="720" w:num="1"/>
          <w:docGrid w:linePitch="326" w:charSpace="0"/>
        </w:sectPr>
      </w:pPr>
    </w:p>
    <w:p>
      <w:pPr>
        <w:pStyle w:val="2"/>
        <w:rPr>
          <w:color w:val="000000" w:themeColor="text1"/>
          <w:highlight w:val="none"/>
          <w14:textFill>
            <w14:solidFill>
              <w14:schemeClr w14:val="tx1"/>
            </w14:solidFill>
          </w14:textFill>
        </w:rPr>
      </w:pPr>
      <w:bookmarkStart w:id="24" w:name="_Toc14750"/>
      <w:r>
        <w:rPr>
          <w:color w:val="000000" w:themeColor="text1"/>
          <w:highlight w:val="none"/>
          <w14:textFill>
            <w14:solidFill>
              <w14:schemeClr w14:val="tx1"/>
            </w14:solidFill>
          </w14:textFill>
        </w:rPr>
        <w:t>总则</w:t>
      </w:r>
      <w:bookmarkEnd w:id="24"/>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5" w:name="_Toc21182"/>
      <w:r>
        <w:rPr>
          <w:color w:val="000000" w:themeColor="text1"/>
          <w:highlight w:val="none"/>
          <w:lang w:eastAsia="zh-CN"/>
          <w14:textFill>
            <w14:solidFill>
              <w14:schemeClr w14:val="tx1"/>
            </w14:solidFill>
          </w14:textFill>
        </w:rPr>
        <w:t>评价目的</w:t>
      </w:r>
      <w:bookmarkEnd w:id="25"/>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通过对区域现状环境质量、自然生态等的调查，在现状调查和工程分析的基础上，对项目及区域的主要环境影响因子进行分析、预测、评价，确定项目对区域生态、</w:t>
      </w:r>
      <w:r>
        <w:rPr>
          <w:rFonts w:hint="eastAsia" w:cs="Times New Roman"/>
          <w:bCs/>
          <w:color w:val="000000" w:themeColor="text1"/>
          <w:szCs w:val="24"/>
          <w:highlight w:val="none"/>
          <w:lang w:val="en-US" w:eastAsia="zh-CN"/>
          <w14:textFill>
            <w14:solidFill>
              <w14:schemeClr w14:val="tx1"/>
            </w14:solidFill>
          </w14:textFill>
        </w:rPr>
        <w:t>大气、</w:t>
      </w:r>
      <w:r>
        <w:rPr>
          <w:rFonts w:cs="Times New Roman"/>
          <w:bCs/>
          <w:color w:val="000000" w:themeColor="text1"/>
          <w:szCs w:val="24"/>
          <w:highlight w:val="none"/>
          <w14:textFill>
            <w14:solidFill>
              <w14:schemeClr w14:val="tx1"/>
            </w14:solidFill>
          </w14:textFill>
        </w:rPr>
        <w:t>水、声</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土壤</w:t>
      </w:r>
      <w:r>
        <w:rPr>
          <w:rFonts w:cs="Times New Roman"/>
          <w:bCs/>
          <w:color w:val="000000" w:themeColor="text1"/>
          <w:szCs w:val="24"/>
          <w:highlight w:val="none"/>
          <w14:textFill>
            <w14:solidFill>
              <w14:schemeClr w14:val="tx1"/>
            </w14:solidFill>
          </w14:textFill>
        </w:rPr>
        <w:t>等环境影响的程度及范围，分析可能存在的环境风险。同时，从环保角度提出工程拟采取的污染治理措施</w:t>
      </w:r>
      <w:r>
        <w:rPr>
          <w:rFonts w:hint="eastAsia" w:cs="Times New Roman"/>
          <w:bCs/>
          <w:color w:val="000000" w:themeColor="text1"/>
          <w:szCs w:val="24"/>
          <w:highlight w:val="none"/>
          <w:lang w:val="en-US" w:eastAsia="zh-CN"/>
          <w14:textFill>
            <w14:solidFill>
              <w14:schemeClr w14:val="tx1"/>
            </w14:solidFill>
          </w14:textFill>
        </w:rPr>
        <w:t>及生态保护措施，</w:t>
      </w:r>
      <w:r>
        <w:rPr>
          <w:rFonts w:hint="default" w:cs="Times New Roman"/>
          <w:bCs/>
          <w:color w:val="000000" w:themeColor="text1"/>
          <w:szCs w:val="24"/>
          <w:highlight w:val="none"/>
          <w14:textFill>
            <w14:solidFill>
              <w14:schemeClr w14:val="tx1"/>
            </w14:solidFill>
          </w14:textFill>
        </w:rPr>
        <w:t>并论证环保措施的可行性</w:t>
      </w:r>
      <w:r>
        <w:rPr>
          <w:rFonts w:cs="Times New Roman"/>
          <w:bCs/>
          <w:color w:val="000000" w:themeColor="text1"/>
          <w:szCs w:val="24"/>
          <w:highlight w:val="none"/>
          <w14:textFill>
            <w14:solidFill>
              <w14:schemeClr w14:val="tx1"/>
            </w14:solidFill>
          </w14:textFill>
        </w:rPr>
        <w:t>；分析污染物总量控制要求</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论证项目的选址合理性。</w:t>
      </w:r>
      <w:r>
        <w:rPr>
          <w:rFonts w:hint="default" w:ascii="Times New Roman" w:hAnsi="Times New Roman" w:cs="Times New Roman"/>
          <w:bCs/>
          <w:color w:val="000000" w:themeColor="text1"/>
          <w:szCs w:val="24"/>
          <w:highlight w:val="none"/>
          <w14:textFill>
            <w14:solidFill>
              <w14:schemeClr w14:val="tx1"/>
            </w14:solidFill>
          </w14:textFill>
        </w:rPr>
        <w:t>并就项目建设环境可行性做出结论，为环境保护</w:t>
      </w:r>
      <w:r>
        <w:rPr>
          <w:rFonts w:hint="eastAsia" w:cs="Times New Roman"/>
          <w:bCs/>
          <w:color w:val="000000" w:themeColor="text1"/>
          <w:szCs w:val="24"/>
          <w:highlight w:val="none"/>
          <w:lang w:val="en-US" w:eastAsia="zh-CN"/>
          <w14:textFill>
            <w14:solidFill>
              <w14:schemeClr w14:val="tx1"/>
            </w14:solidFill>
          </w14:textFill>
        </w:rPr>
        <w:t>管理</w:t>
      </w:r>
      <w:r>
        <w:rPr>
          <w:rFonts w:hint="default" w:ascii="Times New Roman" w:hAnsi="Times New Roman" w:cs="Times New Roman"/>
          <w:bCs/>
          <w:color w:val="000000" w:themeColor="text1"/>
          <w:szCs w:val="24"/>
          <w:highlight w:val="none"/>
          <w14:textFill>
            <w14:solidFill>
              <w14:schemeClr w14:val="tx1"/>
            </w14:solidFill>
          </w14:textFill>
        </w:rPr>
        <w:t>部门提供可靠的决策依据，为建设单位环境管理提供科学依据，</w:t>
      </w:r>
      <w:r>
        <w:rPr>
          <w:rFonts w:cs="Times New Roman"/>
          <w:bCs/>
          <w:color w:val="000000" w:themeColor="text1"/>
          <w:szCs w:val="24"/>
          <w:highlight w:val="none"/>
          <w14:textFill>
            <w14:solidFill>
              <w14:schemeClr w14:val="tx1"/>
            </w14:solidFill>
          </w14:textFill>
        </w:rPr>
        <w:t>达到保护好区域环境的目的。</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6" w:name="_Toc25366"/>
      <w:r>
        <w:rPr>
          <w:color w:val="000000" w:themeColor="text1"/>
          <w:highlight w:val="none"/>
          <w:lang w:eastAsia="zh-CN"/>
          <w14:textFill>
            <w14:solidFill>
              <w14:schemeClr w14:val="tx1"/>
            </w14:solidFill>
          </w14:textFill>
        </w:rPr>
        <w:t>评价原则</w:t>
      </w:r>
      <w:bookmarkEnd w:id="26"/>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突出环境影响评价的源头预防作用，坚持保护和改善环境质量。</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（1）依法评价</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贯彻执行我国环境保护相关法律法规、标准、政策和规划等，优化项目建设，服务环境管理。</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（2）科学评价</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规范环境影响评价方法，科学分析项目建设对环境质量的影响。</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（3）突出重点</w:t>
      </w:r>
    </w:p>
    <w:p>
      <w:pPr>
        <w:tabs>
          <w:tab w:val="left" w:pos="0"/>
        </w:tabs>
        <w:ind w:firstLine="480"/>
        <w:rPr>
          <w:rFonts w:cs="Times New Roman"/>
          <w:b/>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根据建设项目的工程内容及其特点，明确与环境要素间的作用效应关系，充分利用符合时效的数据资料及成果，对建设项目主要环境影响予以重点分析和评价。</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7" w:name="_Toc23770"/>
      <w:r>
        <w:rPr>
          <w:color w:val="000000" w:themeColor="text1"/>
          <w:highlight w:val="none"/>
          <w:lang w:eastAsia="zh-CN"/>
          <w14:textFill>
            <w14:solidFill>
              <w14:schemeClr w14:val="tx1"/>
            </w14:solidFill>
          </w14:textFill>
        </w:rPr>
        <w:t>编制依据</w:t>
      </w:r>
      <w:bookmarkEnd w:id="2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8" w:name="_Toc120173054"/>
      <w:r>
        <w:rPr>
          <w:color w:val="000000" w:themeColor="text1"/>
          <w:highlight w:val="none"/>
          <w:lang w:eastAsia="zh-CN"/>
          <w14:textFill>
            <w14:solidFill>
              <w14:schemeClr w14:val="tx1"/>
            </w14:solidFill>
          </w14:textFill>
        </w:rPr>
        <w:t>法律、法规</w:t>
      </w:r>
      <w:bookmarkEnd w:id="28"/>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（1）《中华人民共和国环境保护法》（2015.1.1）；</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（2）《中华人民共和国环境影响评价法》（2018.12.29修正）。</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（3）《中华人民共和国环境噪声污染防治法》（2021.12.24修订）；</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（4）《中华人民共和国森林法》（2019.12.28修订，2020.7.1实施）；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（5）《中华人民共和国水法》（</w:t>
      </w:r>
      <w:r>
        <w:rPr>
          <w:rFonts w:ascii="Times New Roman" w:hAnsi="Times New Roman"/>
          <w:color w:val="000000" w:themeColor="text1"/>
          <w:spacing w:val="-6"/>
          <w:highlight w:val="none"/>
          <w:lang w:eastAsia="zh-CN"/>
          <w14:textFill>
            <w14:solidFill>
              <w14:schemeClr w14:val="tx1"/>
            </w14:solidFill>
          </w14:textFill>
        </w:rPr>
        <w:t>2002年10月1日起施行</w:t>
      </w:r>
      <w:r>
        <w:rPr>
          <w:rFonts w:hint="eastAsia" w:ascii="Times New Roman" w:hAnsi="Times New Roman"/>
          <w:color w:val="000000" w:themeColor="text1"/>
          <w:spacing w:val="-6"/>
          <w:highlight w:val="none"/>
          <w:lang w:eastAsia="zh-CN"/>
          <w14:textFill>
            <w14:solidFill>
              <w14:schemeClr w14:val="tx1"/>
            </w14:solidFill>
          </w14:textFill>
        </w:rPr>
        <w:t>）；</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（6）《中华人民共和国土地管理法》（2019.8.26修订，2020.1.1实施）；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（7）《中华人民共和国节约能源法》（2018年10月）；</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（8）《中华人民共和国野生动物保护法》（2018年10月）；</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（9）《中华人民共和国农业法》（2012.12.28修订，2013.1.1实施）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（10）《中华人民共和国循环经济促进法》（2018.10修订）；</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（11）《中华人民共和国水土保持法》（2011.3）；</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（12）《中华人民共和国清洁生产促进法》（修正），2012.7.1施行；</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（13）《中华人民共和国固体废物污染环境防治法》（2020.4.29修订，2020.9.1实施）；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（14）《中华人民共和国水污染防治法》（2017.6.27修订，2018.1.1实施）；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（15）《中华人民共和国大气污染防治法》（2018.10.26修订）；</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（16）《中华人民共和国文物保护法》（2017.11.4修订，2017.11.5实施）；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（17）《中华人民共和国石油天然气管道保护法》（2010.10.1实施）；</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（18）《中华人民共和国长江保护法》（2020年12月26日第十三届全国人民代表大会常务委员会第二十四次会议通过，2021年3月1日施行）；</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（19）《中华人民共和国渔业法》（2013年12月）；</w:t>
      </w:r>
    </w:p>
    <w:p>
      <w:pPr>
        <w:pStyle w:val="21"/>
        <w:pageBreakBefore w:val="0"/>
        <w:kinsoku/>
        <w:wordWrap/>
        <w:overflowPunct/>
        <w:topLinePunct w:val="0"/>
        <w:autoSpaceDE/>
        <w:autoSpaceDN/>
        <w:bidi w:val="0"/>
        <w:adjustRightInd w:val="0"/>
        <w:snapToGrid w:val="0"/>
        <w:spacing w:before="0"/>
        <w:ind w:left="0" w:firstLine="468"/>
        <w:textAlignment w:val="auto"/>
        <w:rPr>
          <w:rFonts w:ascii="Times New Roman" w:hAnsi="Times New Roman"/>
          <w:color w:val="000000" w:themeColor="text1"/>
          <w:spacing w:val="-6"/>
          <w:highlight w:val="none"/>
          <w:lang w:eastAsia="zh-CN"/>
          <w14:textFill>
            <w14:solidFill>
              <w14:schemeClr w14:val="tx1"/>
            </w14:solidFill>
          </w14:textFill>
        </w:rPr>
      </w:pPr>
      <w:r>
        <w:rPr>
          <w:rFonts w:hint="eastAsia" w:ascii="Times New Roman" w:hAnsi="Times New Roman"/>
          <w:color w:val="000000" w:themeColor="text1"/>
          <w:spacing w:val="-6"/>
          <w:highlight w:val="none"/>
          <w:lang w:eastAsia="zh-CN"/>
          <w14:textFill>
            <w14:solidFill>
              <w14:schemeClr w14:val="tx1"/>
            </w14:solidFill>
          </w14:textFill>
        </w:rPr>
        <w:t>（20）《地下水管理条例》（2021年12月1日实施）。</w:t>
      </w:r>
    </w:p>
    <w:p>
      <w:pPr>
        <w:pStyle w:val="4"/>
        <w:pageBreakBefore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9" w:name="_Toc120173055"/>
      <w:r>
        <w:rPr>
          <w:color w:val="000000" w:themeColor="text1"/>
          <w:highlight w:val="none"/>
          <w:lang w:eastAsia="zh-CN"/>
          <w14:textFill>
            <w14:solidFill>
              <w14:schemeClr w14:val="tx1"/>
            </w14:solidFill>
          </w14:textFill>
        </w:rPr>
        <w:t>行政法规</w:t>
      </w:r>
      <w:bookmarkEnd w:id="29"/>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（1）《国务院关于环境保护若干问题的决定》（国发〔1996〕31号，1996.8）；</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（2）《建设项目环境保护管理条例》（国务院令682号，2017.7）；</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（3）《全国生态环境保护纲要》（国发〔2000〕38号，2000.12.6）；</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（4）《国务院办公厅转发发展改革委等部门关于加快推进清洁生产意见的通知》（国发〔2003〕100号，2003.12.17）；</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（5）《中华人民共和国自然保护区条例》（2017.10.7修订）；</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（6）《国务院关于印发节能减排综合性工作方案的通知》（国发〔2007〕15号，2007.5.23）；</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（7）《永久基本农田保护条例》（2011.1.8修订）；</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（8）《土地复垦条例》（国务院令592号，2011.2.22）；</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（9）《大气污染防治行动计划》（国发〔2013〕37号），2013.9.10；</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（10）《全国生态保护与建设规划》（2013~2020年），2013.10；</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（11）《水污染防治行动计划》（国发〔2015〕17号），2015.4.2；</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（12）《土壤污染防治行动计划》（国发〔2016〕31号），2016.5.28</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（13）《中华人民共和国陆生野生动物保护实施条例》（2016.2.6修订）；</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（14）《中华人民共和国野生植物保护条例》（2017.10.7修订）；</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（15）《中华人民共和国河道管理条例》，2017年10月1日修订；</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（16）《碳排放权交易管理办法（试行）》（生态环境部令第19号，2021年2月1日起施行）；</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（17）《关于进一步加强生物多样性保护的意见》（中共中央办公厅、 国务院办公厅）；</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（18）《中共中央办公厅国务院办公厅关于印发〈天然林保护修复制度方案〉的通知》（厅字〔2019〕39号）；</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（19）《关于印发”十四五”土壤、地下水和农村生态环境保护规划的通知》（环土壤〔2021〕120号）；</w:t>
      </w:r>
    </w:p>
    <w:p>
      <w:pPr>
        <w:pStyle w:val="21"/>
        <w:spacing w:before="0"/>
        <w:ind w:left="0" w:firstLine="466"/>
        <w:jc w:val="both"/>
        <w:rPr>
          <w:rFonts w:hint="eastAsia"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（20）《关于印发&lt;“十四五”生态保护监管规划&gt;的通知》（环生态〔2022〕15号）；</w:t>
      </w:r>
    </w:p>
    <w:p>
      <w:pPr>
        <w:pStyle w:val="21"/>
        <w:spacing w:before="0"/>
        <w:ind w:left="0" w:firstLine="466"/>
        <w:jc w:val="both"/>
        <w:rPr>
          <w:rFonts w:ascii="Times New Roman" w:hAnsi="Times New Roman"/>
          <w:color w:val="000000" w:themeColor="text1"/>
          <w:spacing w:val="-4"/>
          <w:highlight w:val="none"/>
          <w:lang w:eastAsia="zh-CN"/>
          <w14:textFill>
            <w14:solidFill>
              <w14:schemeClr w14:val="tx1"/>
            </w14:solidFill>
          </w14:textFill>
        </w:rPr>
      </w:pPr>
      <w:r>
        <w:rPr>
          <w:rFonts w:hint="eastAsia" w:ascii="Times New Roman" w:hAnsi="Times New Roman"/>
          <w:color w:val="000000" w:themeColor="text1"/>
          <w:spacing w:val="-4"/>
          <w:highlight w:val="none"/>
          <w:lang w:eastAsia="zh-CN"/>
          <w14:textFill>
            <w14:solidFill>
              <w14:schemeClr w14:val="tx1"/>
            </w14:solidFill>
          </w14:textFill>
        </w:rPr>
        <w:t>（</w:t>
      </w:r>
      <w:r>
        <w:rPr>
          <w:rFonts w:hint="eastAsia" w:ascii="Times New Roman" w:hAnsi="Times New Roman"/>
          <w:color w:val="000000" w:themeColor="text1"/>
          <w:spacing w:val="-4"/>
          <w:highlight w:val="none"/>
          <w:lang w:val="en-US" w:eastAsia="zh-CN"/>
          <w14:textFill>
            <w14:solidFill>
              <w14:schemeClr w14:val="tx1"/>
            </w14:solidFill>
          </w14:textFill>
        </w:rPr>
        <w:t>21</w:t>
      </w:r>
      <w:r>
        <w:rPr>
          <w:rFonts w:hint="eastAsia" w:ascii="Times New Roman" w:hAnsi="Times New Roman"/>
          <w:color w:val="000000" w:themeColor="text1"/>
          <w:spacing w:val="-4"/>
          <w:highlight w:val="none"/>
          <w:lang w:eastAsia="zh-CN"/>
          <w14:textFill>
            <w14:solidFill>
              <w14:schemeClr w14:val="tx1"/>
            </w14:solidFill>
          </w14:textFill>
        </w:rPr>
        <w:t>）《空气质量持续改善行动计划》（国发〔2023〕24号）。</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0" w:name="_Toc120173056"/>
      <w:r>
        <w:rPr>
          <w:color w:val="000000" w:themeColor="text1"/>
          <w:highlight w:val="none"/>
          <w:lang w:eastAsia="zh-CN"/>
          <w14:textFill>
            <w14:solidFill>
              <w14:schemeClr w14:val="tx1"/>
            </w14:solidFill>
          </w14:textFill>
        </w:rPr>
        <w:t>部门规章</w:t>
      </w:r>
      <w:bookmarkEnd w:id="30"/>
    </w:p>
    <w:p>
      <w:pPr>
        <w:pStyle w:val="606"/>
        <w:numPr>
          <w:ilvl w:val="0"/>
          <w:numId w:val="5"/>
        </w:numPr>
        <w:ind w:firstLine="480"/>
        <w:rPr>
          <w:color w:val="000000" w:themeColor="text1"/>
          <w14:textFill>
            <w14:solidFill>
              <w14:schemeClr w14:val="tx1"/>
            </w14:solidFill>
          </w14:textFill>
        </w:rPr>
      </w:pPr>
      <w:bookmarkStart w:id="31" w:name="_Hlk144279669"/>
      <w:bookmarkStart w:id="32" w:name="_Toc120173057"/>
      <w:r>
        <w:rPr>
          <w:rFonts w:hint="eastAsia"/>
          <w:color w:val="000000" w:themeColor="text1"/>
          <w14:textFill>
            <w14:solidFill>
              <w14:schemeClr w14:val="tx1"/>
            </w14:solidFill>
          </w14:textFill>
        </w:rPr>
        <w:t>《自然资源部关于进一步做好用地用海要素保障的通知》（自然资发〔2023〕89号）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《自然资源部 农业农村部关于加强和改进永久基本农田保护工作的通知》（自然资规﹝2019﹞1号）；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《自然资源部关于做好占用永久基本农田重大建设项目用地预审的通知》（自然资规〔2018〕3号）；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《自然资源部 农业农村部 国家林业和草原局关于严格耕地用途管制有关问题的通知》（自然资发〔2021〕166号）</w:t>
      </w:r>
      <w:bookmarkEnd w:id="31"/>
      <w:r>
        <w:rPr>
          <w:rFonts w:hint="eastAsia"/>
          <w:color w:val="000000" w:themeColor="text1"/>
          <w14:textFill>
            <w14:solidFill>
              <w14:schemeClr w14:val="tx1"/>
            </w14:solidFill>
          </w14:textFill>
        </w:rPr>
        <w:t>；</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《环境影响评价公众参与办法》（2018年7月16日）；</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《突发环境事件应急管理办法》（部令第34号，2015.6.5）；</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《关于进一步加强环境影响评价管理防范环境风险的通知》（环发〔2012〕77号，2012.7.3）；</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《关于切实加强风险防范严格环境影响评价管理的通知》（环发〔2012〕98号，2012.8.8）；</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《石油天然气开采业污染防治技术政策》（环保部公告2012年第18号，2012.03.07实施；</w:t>
      </w:r>
    </w:p>
    <w:p>
      <w:pPr>
        <w:pStyle w:val="606"/>
        <w:numPr>
          <w:ilvl w:val="0"/>
          <w:numId w:val="5"/>
        </w:numPr>
        <w:ind w:firstLine="480"/>
        <w:rPr>
          <w:color w:val="000000" w:themeColor="text1"/>
          <w14:textFill>
            <w14:solidFill>
              <w14:schemeClr w14:val="tx1"/>
            </w14:solidFill>
          </w14:textFill>
        </w:rPr>
      </w:pPr>
      <w:r>
        <w:rPr>
          <w:color w:val="000000" w:themeColor="text1"/>
          <w14:textFill>
            <w14:solidFill>
              <w14:schemeClr w14:val="tx1"/>
            </w14:solidFill>
          </w14:textFill>
        </w:rPr>
        <w:t>《产业结构调整指导目录（2024年本）》（</w:t>
      </w:r>
      <w:r>
        <w:rPr>
          <w:rFonts w:hint="eastAsia"/>
          <w:color w:val="000000" w:themeColor="text1"/>
          <w14:textFill>
            <w14:solidFill>
              <w14:schemeClr w14:val="tx1"/>
            </w14:solidFill>
          </w14:textFill>
        </w:rPr>
        <w:t>中华人民共和国国家发展和改革委员会令第7号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《打赢蓝天保卫战三年行动计划》，国务院，国发〔2018〕22号，2018.6.27；</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《关于进一步加强环境保护信息公开工作的通知》（环办〔2013〕103号）；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《关于推进环境保护公众参与的指导意见》（环办〔2014〕48号）；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《关于落实大气污染防治行动计划严格环境影响评价准入的通知》（环办〔2014〕30号）；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《建设项目环境影响评价分类管理名录》（生态环境部令第16号，2021.1.1起施行）；</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《国家危险废物名录》（环境保护部令第15号，2021.1.1起施行）；</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《关于划定并严守生态保护红线的若干意见》（中共中央办公厅、国务院办公厅，2017.2.7）；</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《全国生态环境保护纲要》（国发〔2000〕38号）；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《国家重点生态功能保护区规划纲要》（环发〔2007〕165号）；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《全国生态功能区划（修编版）》（环境保护部、中国科学院公告2015年第61号）；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《关于加强国家重点生态功能区环境保护和管理的意见》（环发〔2013〕16号）；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《关于推进污水资源化利用的指导意见》（发改环资〔2021〕13号）；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《水利部办公厅关于印发&lt;全国水土保持规划国家级水土流失重点预防区和重点治理区符合划分成果&gt;的通知》（办水保〔2013〕188号）；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《国家重点保护野生动物名录》（2021.2.5）；</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《国家重点保护野生植物名录》（国家林业和草原局 农业农村部公告2021年第15号）；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《自然资源部关于规范临时用地管理的通知》（自然资规〔2021〕2号）；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《排污许可证申请与核发技术规范 工业固体废物》（试行）（HJ1200—2021）；</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《国家林业局关于严格保护天然林的通知》（林资发〔2015〕181号）；</w:t>
      </w:r>
    </w:p>
    <w:p>
      <w:pPr>
        <w:pStyle w:val="606"/>
        <w:numPr>
          <w:ilvl w:val="0"/>
          <w:numId w:val="5"/>
        </w:numPr>
        <w:ind w:firstLine="480"/>
        <w:rPr>
          <w:color w:val="000000" w:themeColor="text1"/>
          <w14:textFill>
            <w14:solidFill>
              <w14:schemeClr w14:val="tx1"/>
            </w14:solidFill>
          </w14:textFill>
        </w:rPr>
      </w:pPr>
      <w:bookmarkStart w:id="33" w:name="_Hlk110955610"/>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"https://www.mee.gov.cn/ywgz/fgbz/bz/bzwb/pwxk/202205/W020220517396099928041.pdf"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排污单位自行监测技术指南 陆上石油天然气开采工业（HJ 1248—2022）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bookmarkEnd w:id="33"/>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《关于进一步加强石油天然气行业环境影响评价管理的通知》（环办环评函〔2019〕910号）；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《关于进一步加强建设项目环境保护管理工作的通知》（环发﹝2001﹞19号，2001.2.21）；</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《危险废物环境管理指南 陆上石油天然气开采》（生态环境部公告2021年第74号）；</w:t>
      </w:r>
    </w:p>
    <w:p>
      <w:pPr>
        <w:pStyle w:val="606"/>
        <w:numPr>
          <w:ilvl w:val="0"/>
          <w:numId w:val="5"/>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《危险废物转移管理办法》（部令第23号）</w:t>
      </w:r>
      <w:r>
        <w:rPr>
          <w:rFonts w:hint="eastAsia"/>
          <w:color w:val="000000" w:themeColor="text1"/>
          <w:lang w:eastAsia="zh-CN"/>
          <w14:textFill>
            <w14:solidFill>
              <w14:schemeClr w14:val="tx1"/>
            </w14:solidFill>
          </w14:textFill>
        </w:rPr>
        <w:t>；</w:t>
      </w:r>
    </w:p>
    <w:p>
      <w:pPr>
        <w:pStyle w:val="606"/>
        <w:numPr>
          <w:ilvl w:val="0"/>
          <w:numId w:val="5"/>
        </w:numPr>
        <w:ind w:firstLine="480"/>
        <w:rPr>
          <w:color w:val="000000" w:themeColor="text1"/>
          <w14:textFill>
            <w14:solidFill>
              <w14:schemeClr w14:val="tx1"/>
            </w14:solidFill>
          </w14:textFill>
        </w:rPr>
      </w:pPr>
      <w:r>
        <w:rPr>
          <w:rFonts w:hint="eastAsia"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《甲烷排放控制行动方案》</w:t>
      </w:r>
      <w:r>
        <w:rPr>
          <w:rFonts w:hint="eastAsia" w:cs="Times New Roman"/>
          <w:color w:val="000000" w:themeColor="text1"/>
          <w:kern w:val="21"/>
          <w:sz w:val="24"/>
          <w:szCs w:val="24"/>
          <w:highlight w:val="none"/>
          <w:lang w:val="en-US" w:eastAsia="zh-CN" w:bidi="ar-SA"/>
          <w14:textFill>
            <w14:solidFill>
              <w14:schemeClr w14:val="tx1"/>
            </w14:solidFill>
          </w14:textFill>
        </w:rPr>
        <w:t>，</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2023年11月7日印发实施</w:t>
      </w:r>
      <w:r>
        <w:rPr>
          <w:rFonts w:hint="eastAsia"/>
          <w:color w:val="000000" w:themeColor="text1"/>
          <w14:textFill>
            <w14:solidFill>
              <w14:schemeClr w14:val="tx1"/>
            </w14:solidFill>
          </w14:textFill>
        </w:rPr>
        <w:t>。</w:t>
      </w:r>
    </w:p>
    <w:p>
      <w:pPr>
        <w:pStyle w:val="4"/>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地方性法规及规范性文件</w:t>
      </w:r>
      <w:bookmarkEnd w:id="32"/>
    </w:p>
    <w:p>
      <w:pPr>
        <w:pStyle w:val="606"/>
        <w:ind w:left="0" w:firstLine="480" w:firstLineChars="0"/>
        <w:rPr>
          <w:rFonts w:ascii="Times New Roman" w:hAnsi="Times New Roman" w:eastAsia="宋体" w:cs="Times New Roman"/>
          <w:color w:val="000000" w:themeColor="text1"/>
          <w:kern w:val="0"/>
          <w14:textFill>
            <w14:solidFill>
              <w14:schemeClr w14:val="tx1"/>
            </w14:solidFill>
          </w14:textFill>
        </w:rPr>
      </w:pPr>
      <w:r>
        <w:rPr>
          <w:rFonts w:cs="Times New Roman"/>
          <w:bCs/>
          <w:color w:val="000000" w:themeColor="text1"/>
          <w:szCs w:val="24"/>
          <w:highlight w:val="none"/>
          <w14:textFill>
            <w14:solidFill>
              <w14:schemeClr w14:val="tx1"/>
            </w14:solidFill>
          </w14:textFill>
        </w:rPr>
        <w:t>（1）</w:t>
      </w:r>
      <w:r>
        <w:rPr>
          <w:rFonts w:ascii="Times New Roman" w:hAnsi="Times New Roman" w:eastAsia="宋体" w:cs="Times New Roman"/>
          <w:color w:val="000000" w:themeColor="text1"/>
          <w:kern w:val="0"/>
          <w14:textFill>
            <w14:solidFill>
              <w14:schemeClr w14:val="tx1"/>
            </w14:solidFill>
          </w14:textFill>
        </w:rPr>
        <w:t>《四川省重点保护野生动物名录》（1990.3.12）；</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《四川省新增重点保护野生动物名录》（2000.9.13）；</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《四川省永久基本农田保护实施细则》（1996.2.29）；</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《四川省环境保护条例》（2017年9月22日修订）；</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《四川省危险废物污染环境防治办法》（2004.1.1）；</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《四川省固体废物污染环境防治条例》（2</w:t>
      </w:r>
      <w:r>
        <w:rPr>
          <w:rFonts w:ascii="Times New Roman" w:hAnsi="Times New Roman" w:eastAsia="宋体" w:cs="Times New Roman"/>
          <w:color w:val="000000" w:themeColor="text1"/>
          <w:sz w:val="24"/>
          <w:szCs w:val="24"/>
          <w:lang w:val="en-US" w:eastAsia="zh-CN" w:bidi="ar-SA"/>
          <w14:textFill>
            <w14:solidFill>
              <w14:schemeClr w14:val="tx1"/>
            </w14:solidFill>
          </w14:textFill>
        </w:rPr>
        <w:t>022.6.9</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《四川省生态功能区划》（2010年）；</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《关于进一步加强我省农村饮用水水源保护区环境保护工作的通知》（川环办发〔2011〕98号）；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《四川省〈中华人民共和国野生动物保护法〉实施办法》（2012.7.27）；</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《四川省&lt;中华人民共和国水土保持法&gt;实施办法》（2012.12.1）；</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《四川省人民政府办公厅关于加强灰霾污染防治的通知》（川办发〔2013〕32号）；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《四川省灰霾污染防治实施方案》（川环发〔2013〕78号）；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《中共四川省委关于制定四川省国民经济和社会发展第十四个五年规划和二〇三五年远景目标的建议》（2020年12月4日）；</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bookmarkStart w:id="34" w:name="_Hlk148693102"/>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lang w:val="en-US" w:eastAsia="zh-CN" w:bidi="ar-SA"/>
          <w14:textFill>
            <w14:solidFill>
              <w14:schemeClr w14:val="tx1"/>
            </w14:solidFill>
          </w14:textFill>
        </w:rPr>
        <w:t>十四五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lang w:val="en-US" w:eastAsia="zh-CN" w:bidi="ar-SA"/>
          <w14:textFill>
            <w14:solidFill>
              <w14:schemeClr w14:val="tx1"/>
            </w14:solidFill>
          </w14:textFill>
        </w:rPr>
        <w:t>生态环境保护规划》（2022.1.17）</w:t>
      </w:r>
      <w:bookmarkEnd w:id="34"/>
      <w:r>
        <w:rPr>
          <w:rFonts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《四川省自然保护区管理条例》（2018.9.30修订）；</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《四川省生态保护红线实施意见》（2016.9.30）；</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《关于印发四川省生态保护红线方案的通知》（川府发〔2018〕24号）；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《四川省人民政府关于落实生态保护红线、环境质量底线、资源利用上线制定生态环境准入清单实施生态环境分区管控的通知》（川府发〔2020〕9号）。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《四川省自然资源厅关于加强重大项目用地保障工作的通知》（川自然资规〔2019〕4号）；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《四川省饮用水</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水</w:t>
      </w:r>
      <w:r>
        <w:rPr>
          <w:rFonts w:ascii="Times New Roman" w:hAnsi="Times New Roman" w:eastAsia="宋体" w:cs="Times New Roman"/>
          <w:color w:val="000000" w:themeColor="text1"/>
          <w:sz w:val="24"/>
          <w:szCs w:val="24"/>
          <w:lang w:val="en-US" w:eastAsia="zh-CN" w:bidi="ar-SA"/>
          <w14:textFill>
            <w14:solidFill>
              <w14:schemeClr w14:val="tx1"/>
            </w14:solidFill>
          </w14:textFill>
        </w:rPr>
        <w:t>源保护管理条例》（2019年修订）；</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《四川省水利厅关于印发四川省省级水土流失重点预防区和重点治理区划分成果的通知》（川水函〔2017〕482号）</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《四川省长江经济带发展负面清单实施细则（试行）》（川长江办〔2019〕8号）；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《四川省人民政府关于公布四川省重点保护野生植物名录的通知》 （川府函〔2016〕27号）；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《四川省人民政府办公厅关于进一步加强天然林保护的通知》（川办函〔2016〕91号）；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《四川省沱江流域水环境保护条例》（2019年）；</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《四川省天然林保护修复制度实施方案》（川林规发〔2020〕22号）；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《关于石油天然气钻井及配套设施用地有关问题的通知》（川国土资发〔</w:t>
      </w:r>
      <w:r>
        <w:rPr>
          <w:rFonts w:ascii="Times New Roman" w:hAnsi="Times New Roman" w:eastAsia="宋体" w:cs="Times New Roman"/>
          <w:color w:val="000000" w:themeColor="text1"/>
          <w:sz w:val="24"/>
          <w:szCs w:val="24"/>
          <w:lang w:val="en-US" w:eastAsia="zh-CN" w:bidi="ar-SA"/>
          <w14:textFill>
            <w14:solidFill>
              <w14:schemeClr w14:val="tx1"/>
            </w14:solidFill>
          </w14:textFill>
        </w:rPr>
        <w:t>2012</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《关于石油天然气钻井及配套设施用地有关问题的通知》（川国土资发〔</w:t>
      </w:r>
      <w:r>
        <w:rPr>
          <w:rFonts w:ascii="Times New Roman" w:hAnsi="Times New Roman" w:eastAsia="宋体" w:cs="Times New Roman"/>
          <w:color w:val="000000" w:themeColor="text1"/>
          <w:sz w:val="24"/>
          <w:szCs w:val="24"/>
          <w:lang w:val="en-US" w:eastAsia="zh-CN" w:bidi="ar-SA"/>
          <w14:textFill>
            <w14:solidFill>
              <w14:schemeClr w14:val="tx1"/>
            </w14:solidFill>
          </w14:textFill>
        </w:rPr>
        <w:t>2012</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lang w:val="en-US" w:eastAsia="zh-CN" w:bidi="ar-SA"/>
          <w14:textFill>
            <w14:solidFill>
              <w14:schemeClr w14:val="tx1"/>
            </w14:solidFill>
          </w14:textFill>
        </w:rPr>
        <w:t>105</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《关于解决油气勘探开发用地问题的复函》（川自然资函﹝</w:t>
      </w:r>
      <w:r>
        <w:rPr>
          <w:rFonts w:ascii="Times New Roman" w:hAnsi="Times New Roman" w:eastAsia="宋体" w:cs="Times New Roman"/>
          <w:color w:val="000000" w:themeColor="text1"/>
          <w:sz w:val="24"/>
          <w:szCs w:val="24"/>
          <w:lang w:val="en-US" w:eastAsia="zh-CN" w:bidi="ar-SA"/>
          <w14:textFill>
            <w14:solidFill>
              <w14:schemeClr w14:val="tx1"/>
            </w14:solidFill>
          </w14:textFill>
        </w:rPr>
        <w:t>2019</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ascii="Times New Roman" w:hAnsi="Times New Roman" w:eastAsia="宋体" w:cs="Times New Roman"/>
          <w:color w:val="000000" w:themeColor="text1"/>
          <w:sz w:val="24"/>
          <w:szCs w:val="24"/>
          <w:lang w:val="en-US" w:eastAsia="zh-CN" w:bidi="ar-SA"/>
          <w14:textFill>
            <w14:solidFill>
              <w14:schemeClr w14:val="tx1"/>
            </w14:solidFill>
          </w14:textFill>
        </w:rPr>
        <w:t>197</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号）；</w:t>
      </w:r>
    </w:p>
    <w:p>
      <w:pPr>
        <w:widowControl w:val="0"/>
        <w:numPr>
          <w:ilvl w:val="0"/>
          <w:numId w:val="3"/>
        </w:numPr>
        <w:adjustRightInd w:val="0"/>
        <w:snapToGrid w:val="0"/>
        <w:spacing w:line="360" w:lineRule="auto"/>
        <w:ind w:left="0"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《四川省页岩气开采业污染防治技术政策》（四川省环境保护厅公告2018年第3号）；</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《四川省生态环境厅办公室关于印发《产业园区规划环评”三线一单”符合性分析技术要点（试行）》和《项目环评”三线一单”符合性分析技术要点（试行）》的通知》（川环办函〔2021〕469号）；</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）《关于进一步加强固体废物污染防治工作的通知》（达市环办发〔2021〕24号）；</w:t>
      </w:r>
      <w:bookmarkStart w:id="35" w:name="_Hlk152591470"/>
    </w:p>
    <w:p>
      <w:pPr>
        <w:widowControl w:val="0"/>
        <w:numPr>
          <w:ilvl w:val="0"/>
          <w:numId w:val="3"/>
        </w:numPr>
        <w:adjustRightInd w:val="0"/>
        <w:snapToGrid w:val="0"/>
        <w:spacing w:line="360" w:lineRule="auto"/>
        <w:ind w:left="0" w:firstLine="480"/>
        <w:jc w:val="both"/>
        <w:rPr>
          <w:rFonts w:hint="eastAsia" w:cs="Times New Roman"/>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《四川省土壤污染防治条例》</w:t>
      </w:r>
      <w:r>
        <w:rPr>
          <w:rFonts w:hint="eastAsia" w:cs="Times New Roman"/>
          <w:color w:val="000000" w:themeColor="text1"/>
          <w:kern w:val="21"/>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2023年7月1日起施行</w:t>
      </w:r>
      <w:r>
        <w:rPr>
          <w:rFonts w:hint="eastAsia" w:cs="Times New Roman"/>
          <w:color w:val="000000" w:themeColor="text1"/>
          <w:kern w:val="21"/>
          <w:sz w:val="24"/>
          <w:szCs w:val="24"/>
          <w:highlight w:val="none"/>
          <w:lang w:val="en-US" w:eastAsia="zh-CN" w:bidi="ar-SA"/>
          <w14:textFill>
            <w14:solidFill>
              <w14:schemeClr w14:val="tx1"/>
            </w14:solidFill>
          </w14:textFill>
        </w:rPr>
        <w:t>；</w:t>
      </w:r>
    </w:p>
    <w:p>
      <w:pPr>
        <w:widowControl w:val="0"/>
        <w:numPr>
          <w:ilvl w:val="0"/>
          <w:numId w:val="3"/>
        </w:numPr>
        <w:adjustRightInd w:val="0"/>
        <w:snapToGrid w:val="0"/>
        <w:spacing w:line="360" w:lineRule="auto"/>
        <w:ind w:left="0" w:firstLine="480"/>
        <w:jc w:val="both"/>
        <w:rPr>
          <w:rFonts w:hint="eastAsia" w:cs="Times New Roman"/>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kern w:val="21"/>
          <w:sz w:val="24"/>
          <w:szCs w:val="24"/>
          <w:highlight w:val="none"/>
          <w:lang w:val="en-US" w:eastAsia="zh-CN" w:bidi="ar-SA"/>
          <w14:textFill>
            <w14:solidFill>
              <w14:schemeClr w14:val="tx1"/>
            </w14:solidFill>
          </w14:textFill>
        </w:rPr>
        <w:t>《四川省工矿用地土壤环境管理办法》（川环规〔2023〕7号）；</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达州市人民政府《关于落实生态保护红线、环境质量底线、资源利用上线制定生态环境准入清单实施生态环境分区管控的通知》达市府发〔2021〕 17号；</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达州市人民政府《关于宣汉县调整划定老君乡、普光镇集中式饮用水水源地保护区的批复》（达市府函〔2023〕112号）；</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《达州市集中式饮用水水源保护管理条例》（2020年修正）；</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达州市人民政府办公室关于加强生态环境分区管控的通知</w:t>
      </w:r>
      <w:r>
        <w:rPr>
          <w:rFonts w:hint="eastAsia"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（达市府办函〔202</w:t>
      </w:r>
      <w:r>
        <w:rPr>
          <w:rFonts w:hint="eastAsia" w:cs="Times New Roman"/>
          <w:color w:val="000000" w:themeColor="text1"/>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〕31号）</w:t>
      </w:r>
      <w:r>
        <w:rPr>
          <w:rFonts w:hint="eastAsia" w:cs="Times New Roman"/>
          <w:color w:val="000000" w:themeColor="text1"/>
          <w:sz w:val="24"/>
          <w:szCs w:val="24"/>
          <w:lang w:val="en-US" w:eastAsia="zh-CN" w:bidi="ar-SA"/>
          <w14:textFill>
            <w14:solidFill>
              <w14:schemeClr w14:val="tx1"/>
            </w14:solidFill>
          </w14:textFill>
        </w:rPr>
        <w:t>；</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《宣汉县人民政府办公室关于印发宣汉县声环境功能区划分及适用标准规定的通知》（宣府办〔2022〕106号）；</w:t>
      </w:r>
      <w:bookmarkEnd w:id="35"/>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《达州市生态环境局办公室关于加强固体废物污染防治工作的通知》（达市环办发〔2019〕49号）文件要求；</w:t>
      </w:r>
    </w:p>
    <w:p>
      <w:pPr>
        <w:widowControl w:val="0"/>
        <w:numPr>
          <w:ilvl w:val="0"/>
          <w:numId w:val="3"/>
        </w:numPr>
        <w:adjustRightInd w:val="0"/>
        <w:snapToGrid w:val="0"/>
        <w:spacing w:line="360" w:lineRule="auto"/>
        <w:ind w:left="0" w:firstLine="48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《宣汉县矿产资源总体规划（2021-2025年）》。</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 w:name="_Toc120173058"/>
      <w:r>
        <w:rPr>
          <w:color w:val="000000" w:themeColor="text1"/>
          <w:highlight w:val="none"/>
          <w:lang w:eastAsia="zh-CN"/>
          <w14:textFill>
            <w14:solidFill>
              <w14:schemeClr w14:val="tx1"/>
            </w14:solidFill>
          </w14:textFill>
        </w:rPr>
        <w:t>评价技术导则及规范</w:t>
      </w:r>
      <w:bookmarkEnd w:id="36"/>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（1）《建设项目环境影响评价技术导则 总纲》（HJ2.1-2016）；</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（2）《环境影响评价技术导则 地表水环境》（HJ2.3-2018）；</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（3）《环境影响评价技术导则 声环境》（HJ2.4-2021）；</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（4）《环境影响评价技术导则 地下水环境》（HJ610-2016）；</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（5）《环境影响评价技术导则 大气环境》（HJ2.2-2018）；</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（6）《环境影响评价技术导则 生态影响》（HJ19-2022）；</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（7）《环境影响评价技术导则 土壤环境（试行）》（HJ964-2018）；</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（8）《建设项目环境风险评价技术导则》（HJ169-2018）；</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（9）</w:t>
      </w:r>
      <w:r>
        <w:rPr>
          <w:rFonts w:hint="eastAsia" w:cs="Times New Roman"/>
          <w:bCs/>
          <w:color w:val="000000" w:themeColor="text1"/>
          <w:szCs w:val="24"/>
          <w:highlight w:val="none"/>
          <w14:textFill>
            <w14:solidFill>
              <w14:schemeClr w14:val="tx1"/>
            </w14:solidFill>
          </w14:textFill>
        </w:rPr>
        <w:t>《环境影响评价技术导则 陆地石油天然气开发建设项目》（HJ349-2023）</w:t>
      </w:r>
      <w:r>
        <w:rPr>
          <w:rFonts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（10）《建设项目危险废物环境影响评价指南》（环境保护部公告〔2017〕年第43号）；</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（11）《</w:t>
      </w:r>
      <w:r>
        <w:rPr>
          <w:rFonts w:hint="eastAsia"/>
          <w:color w:val="000000" w:themeColor="text1"/>
          <w:highlight w:val="none"/>
          <w:lang w:val="en-US" w:eastAsia="zh-CN"/>
          <w14:textFill>
            <w14:solidFill>
              <w14:schemeClr w14:val="tx1"/>
            </w14:solidFill>
          </w14:textFill>
        </w:rPr>
        <w:t>危险废物转移管理办法</w:t>
      </w:r>
      <w:r>
        <w:rPr>
          <w:rFonts w:cs="Times New Roman"/>
          <w:bCs/>
          <w:color w:val="000000" w:themeColor="text1"/>
          <w:szCs w:val="24"/>
          <w:highlight w:val="none"/>
          <w14:textFill>
            <w14:solidFill>
              <w14:schemeClr w14:val="tx1"/>
            </w14:solidFill>
          </w14:textFill>
        </w:rPr>
        <w:t>》（部令第23号，</w:t>
      </w:r>
      <w:r>
        <w:rPr>
          <w:rFonts w:hint="eastAsia" w:cs="Times New Roman"/>
          <w:bCs/>
          <w:color w:val="000000" w:themeColor="text1"/>
          <w:szCs w:val="24"/>
          <w:highlight w:val="none"/>
          <w:lang w:val="en-US" w:eastAsia="zh-CN"/>
          <w14:textFill>
            <w14:solidFill>
              <w14:schemeClr w14:val="tx1"/>
            </w14:solidFill>
          </w14:textFill>
        </w:rPr>
        <w:t>2022</w:t>
      </w:r>
      <w:r>
        <w:rPr>
          <w:rFonts w:cs="Times New Roman"/>
          <w:bCs/>
          <w:color w:val="000000" w:themeColor="text1"/>
          <w:szCs w:val="24"/>
          <w:highlight w:val="none"/>
          <w14:textFill>
            <w14:solidFill>
              <w14:schemeClr w14:val="tx1"/>
            </w14:solidFill>
          </w14:textFill>
        </w:rPr>
        <w:t>年1月1日起施行）</w:t>
      </w:r>
      <w:r>
        <w:rPr>
          <w:rFonts w:hint="eastAsia"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2</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《危险废物贮存污染控制标准》（GB18597-2023）</w:t>
      </w:r>
      <w:r>
        <w:rPr>
          <w:rFonts w:hint="eastAsia"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《危险废物收集贮存 运输技术规范》（HJ2025</w:t>
      </w:r>
      <w:r>
        <w:rPr>
          <w:rFonts w:hint="eastAsia" w:cs="Times New Roman"/>
          <w:bCs/>
          <w:color w:val="000000" w:themeColor="text1"/>
          <w:szCs w:val="24"/>
          <w:highlight w:val="none"/>
          <w:lang w:val="en-US" w:eastAsia="zh-CN"/>
          <w14:textFill>
            <w14:solidFill>
              <w14:schemeClr w14:val="tx1"/>
            </w14:solidFill>
          </w14:textFill>
        </w:rPr>
        <w:t>-2012</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危险废物识别标志设置技术规范</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HJ</w:t>
      </w:r>
      <w:r>
        <w:rPr>
          <w:rFonts w:cs="Times New Roman"/>
          <w:bCs/>
          <w:color w:val="000000" w:themeColor="text1"/>
          <w:szCs w:val="24"/>
          <w:highlight w:val="none"/>
          <w14:textFill>
            <w14:solidFill>
              <w14:schemeClr w14:val="tx1"/>
            </w14:solidFill>
          </w14:textFill>
        </w:rPr>
        <w:t xml:space="preserve"> 1276-2022）</w:t>
      </w:r>
      <w:r>
        <w:rPr>
          <w:rFonts w:hint="eastAsia"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5</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《一般工业固体废物贮存和填埋污染控制标准》（GB18599-2020）。</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7" w:name="_Toc120173059"/>
      <w:r>
        <w:rPr>
          <w:color w:val="000000" w:themeColor="text1"/>
          <w:highlight w:val="none"/>
          <w:lang w:eastAsia="zh-CN"/>
          <w14:textFill>
            <w14:solidFill>
              <w14:schemeClr w14:val="tx1"/>
            </w14:solidFill>
          </w14:textFill>
        </w:rPr>
        <w:t>石油天然气行业技术规范</w:t>
      </w:r>
      <w:bookmarkEnd w:id="37"/>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bookmarkStart w:id="38" w:name="_Hlk153366072"/>
      <w:r>
        <w:rPr>
          <w:rFonts w:ascii="Times New Roman" w:hAnsi="Times New Roman"/>
          <w:bCs/>
          <w:color w:val="000000" w:themeColor="text1"/>
          <w:kern w:val="2"/>
          <w:sz w:val="24"/>
          <w:szCs w:val="24"/>
          <w:highlight w:val="none"/>
          <w:lang w:eastAsia="zh-CN"/>
          <w14:textFill>
            <w14:solidFill>
              <w14:schemeClr w14:val="tx1"/>
            </w14:solidFill>
          </w14:textFill>
        </w:rPr>
        <w:t>（1）《</w:t>
      </w:r>
      <w:r>
        <w:rPr>
          <w:rFonts w:hint="eastAsia"/>
          <w:bCs/>
          <w:color w:val="000000" w:themeColor="text1"/>
          <w:kern w:val="2"/>
          <w:sz w:val="24"/>
          <w:szCs w:val="24"/>
          <w:highlight w:val="none"/>
          <w:lang w:eastAsia="zh-CN"/>
          <w14:textFill>
            <w14:solidFill>
              <w14:schemeClr w14:val="tx1"/>
            </w14:solidFill>
          </w14:textFill>
        </w:rPr>
        <w:t>石油天然气工业健康、安全与环境管理体系</w:t>
      </w:r>
      <w:r>
        <w:rPr>
          <w:rFonts w:ascii="Times New Roman" w:hAnsi="Times New Roman"/>
          <w:bCs/>
          <w:color w:val="000000" w:themeColor="text1"/>
          <w:kern w:val="2"/>
          <w:sz w:val="24"/>
          <w:szCs w:val="24"/>
          <w:highlight w:val="none"/>
          <w:lang w:eastAsia="zh-CN"/>
          <w14:textFill>
            <w14:solidFill>
              <w14:schemeClr w14:val="tx1"/>
            </w14:solidFill>
          </w14:textFill>
        </w:rPr>
        <w:t>》（</w:t>
      </w:r>
      <w:r>
        <w:rPr>
          <w:rFonts w:hint="eastAsia"/>
          <w:bCs/>
          <w:color w:val="000000" w:themeColor="text1"/>
          <w:kern w:val="2"/>
          <w:sz w:val="24"/>
          <w:szCs w:val="24"/>
          <w:highlight w:val="none"/>
          <w:lang w:eastAsia="zh-CN"/>
          <w14:textFill>
            <w14:solidFill>
              <w14:schemeClr w14:val="tx1"/>
            </w14:solidFill>
          </w14:textFill>
        </w:rPr>
        <w:t>SY/T 6276-2014</w:t>
      </w:r>
      <w:r>
        <w:rPr>
          <w:rFonts w:ascii="Times New Roman" w:hAnsi="Times New Roman"/>
          <w:bCs/>
          <w:color w:val="000000" w:themeColor="text1"/>
          <w:kern w:val="2"/>
          <w:sz w:val="24"/>
          <w:szCs w:val="24"/>
          <w:highlight w:val="none"/>
          <w:lang w:eastAsia="zh-CN"/>
          <w14:textFill>
            <w14:solidFill>
              <w14:schemeClr w14:val="tx1"/>
            </w14:solidFill>
          </w14:textFill>
        </w:rPr>
        <w:t>）；</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（2）《石油天然气设计防火规范》（GB50183-2004）；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（4）《钻井井控技术规程》（SY/T6426-2005）；</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（5）《石油天然气安全规程》（AQ2012-2007）；</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（6）《石油天然气井控技术规范》（GB/T31033-2014）；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（7）《井下作业安全规程》（SY5727-2014）；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（8）《气井试气、采气及动态监测工艺规程》（SYT6125-2013）；</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（9）《油气井井喷着火抢险作法》（SYT6203-2014）；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（10）《碎屑岩油藏注水水质推荐指标及分析方法》（SY/T5329）；</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（12）《丛式井井平台布置及井眼防碰技术要求》（SY/T6396-2014）；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（13）《油井井下作业防喷技术规程》（SYT5974-2014）；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（14）《石油天然气钻井、开发、储运防火防爆安全生产技术规程》（SY_T5225-2019）；</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（15）《钻井井场、设备、作业安全技术规程》（SYT 5974-2014）；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（16）《输气管道工程设计规范》（GB50251-2015）；</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（17）《气田集输设计规范》（GB50349-2015）；</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（18）《气田水注入技术要求》（SY/T 6596-2016）；</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（19）《钻前工程及井场布置技术要求》（SYT 5466-2013）；</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（20）《气田水注入技术要求》（SY/T6596-2016）；</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（21）《油气输送管道穿越工程设计规范》（GB50423-2015）；</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（22）《原油和天然气输送管道穿跨越工程设计规范穿越工程》（SY/T0015.1-98）；</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（23）《埋地钢质管道阴极保护技术规范》（GB/T21448-2017）；</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（24）《天然气管道运行规范》（SY/T5922-2003）；</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（25）《建筑设计防火规范》（GB50016-2014）；</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（26）《陆上石油天然气集输环境保护推荐作法》（SY/T7294-2016）；</w:t>
      </w:r>
    </w:p>
    <w:p>
      <w:pPr>
        <w:tabs>
          <w:tab w:val="left" w:pos="0"/>
        </w:tabs>
        <w:ind w:firstLine="480"/>
        <w:rPr>
          <w:rFonts w:cs="Times New Roman"/>
          <w:bCs/>
          <w:color w:val="000000" w:themeColor="text1"/>
          <w:szCs w:val="24"/>
          <w:highlight w:val="none"/>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（27）《陆上石油天然气开采含油污泥处理处置及污染控制技术规范》（SY/T 7300-2016）。</w:t>
      </w:r>
    </w:p>
    <w:bookmarkEnd w:id="38"/>
    <w:p>
      <w:pPr>
        <w:pStyle w:val="4"/>
        <w:keepNext/>
        <w:keepLines/>
        <w:pageBreakBefore w:val="0"/>
        <w:widowControl w:val="0"/>
        <w:numPr>
          <w:ilvl w:val="2"/>
          <w:numId w:val="1"/>
        </w:numPr>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bookmarkStart w:id="39" w:name="_Toc140495516"/>
      <w:bookmarkStart w:id="40" w:name="_Toc143681838"/>
      <w:r>
        <w:rPr>
          <w:rFonts w:hint="eastAsia"/>
          <w:color w:val="000000" w:themeColor="text1"/>
          <w:highlight w:val="none"/>
          <w14:textFill>
            <w14:solidFill>
              <w14:schemeClr w14:val="tx1"/>
            </w14:solidFill>
          </w14:textFill>
        </w:rPr>
        <w:t>相关</w:t>
      </w:r>
      <w:r>
        <w:rPr>
          <w:color w:val="000000" w:themeColor="text1"/>
          <w:highlight w:val="none"/>
          <w14:textFill>
            <w14:solidFill>
              <w14:schemeClr w14:val="tx1"/>
            </w14:solidFill>
          </w14:textFill>
        </w:rPr>
        <w:t>标准</w:t>
      </w:r>
      <w:bookmarkEnd w:id="39"/>
      <w:bookmarkEnd w:id="40"/>
    </w:p>
    <w:p>
      <w:pPr>
        <w:pStyle w:val="606"/>
        <w:numPr>
          <w:ilvl w:val="0"/>
          <w:numId w:val="6"/>
        </w:numPr>
        <w:ind w:left="0" w:firstLine="480" w:firstLineChars="200"/>
        <w:rPr>
          <w:color w:val="000000" w:themeColor="text1"/>
          <w:highlight w:val="none"/>
          <w14:textFill>
            <w14:solidFill>
              <w14:schemeClr w14:val="tx1"/>
            </w14:solidFill>
          </w14:textFill>
        </w:rPr>
      </w:pPr>
      <w:bookmarkStart w:id="41" w:name="_Hlk153366108"/>
      <w:r>
        <w:rPr>
          <w:color w:val="000000" w:themeColor="text1"/>
          <w:highlight w:val="none"/>
          <w14:textFill>
            <w14:solidFill>
              <w14:schemeClr w14:val="tx1"/>
            </w14:solidFill>
          </w14:textFill>
        </w:rPr>
        <w:t>《环境空气质量标准》（GB 3095-2012）；</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《地表水环境质量标准》（GB 3838-2002）；</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《地下水质量标准》（GB/T 14848-2017）；</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《声环境质量标准》（GB 3096-2008）； </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《土壤环境质量建设用地土壤污染风险管控标准（试行）》（GB 36600-2018）；</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《土壤环境质量农用地土壤污染风险管控标准（试行）》（GB 15618-2018）；</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 16297-1996）；</w:t>
      </w:r>
    </w:p>
    <w:p>
      <w:pPr>
        <w:pStyle w:val="606"/>
        <w:numPr>
          <w:ilvl w:val="0"/>
          <w:numId w:val="6"/>
        </w:numPr>
        <w:ind w:left="0"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《锅炉大气污染物排放标准》（GB 13271-2014）；</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《土地复垦质量控制标准》（TD/T 1036-2013）；</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 12348-2008）；</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一般工业固体废物贮存和填埋污染控制标准</w:t>
      </w:r>
      <w:r>
        <w:rPr>
          <w:color w:val="000000" w:themeColor="text1"/>
          <w:highlight w:val="none"/>
          <w14:textFill>
            <w14:solidFill>
              <w14:schemeClr w14:val="tx1"/>
            </w14:solidFill>
          </w14:textFill>
        </w:rPr>
        <w:t>》（GB 18599-2020）</w:t>
      </w:r>
      <w:r>
        <w:rPr>
          <w:rFonts w:hint="eastAsia"/>
          <w:color w:val="000000" w:themeColor="text1"/>
          <w:highlight w:val="none"/>
          <w14:textFill>
            <w14:solidFill>
              <w14:schemeClr w14:val="tx1"/>
            </w14:solidFill>
          </w14:textFill>
        </w:rPr>
        <w:t>；</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《危险废物贮存污染控制标准》（GB 18597-2023）</w:t>
      </w:r>
      <w:r>
        <w:rPr>
          <w:rFonts w:hint="eastAsia"/>
          <w:color w:val="000000" w:themeColor="text1"/>
          <w:highlight w:val="none"/>
          <w14:textFill>
            <w14:solidFill>
              <w14:schemeClr w14:val="tx1"/>
            </w14:solidFill>
          </w14:textFill>
        </w:rPr>
        <w:t>；</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《土壤侵蚀分类分级标准》（SL 190-2007）</w:t>
      </w:r>
      <w:r>
        <w:rPr>
          <w:rFonts w:hint="eastAsia"/>
          <w:color w:val="000000" w:themeColor="text1"/>
          <w:highlight w:val="none"/>
          <w14:textFill>
            <w14:solidFill>
              <w14:schemeClr w14:val="tx1"/>
            </w14:solidFill>
          </w14:textFill>
        </w:rPr>
        <w:t>；</w:t>
      </w:r>
    </w:p>
    <w:p>
      <w:pPr>
        <w:pStyle w:val="606"/>
        <w:numPr>
          <w:ilvl w:val="0"/>
          <w:numId w:val="6"/>
        </w:numPr>
        <w:ind w:left="0"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建设项目水土流失防治标准》（GB 50434-2018）</w:t>
      </w:r>
      <w:r>
        <w:rPr>
          <w:rFonts w:hint="eastAsia"/>
          <w:color w:val="000000" w:themeColor="text1"/>
          <w:highlight w:val="none"/>
          <w14:textFill>
            <w14:solidFill>
              <w14:schemeClr w14:val="tx1"/>
            </w14:solidFill>
          </w14:textFill>
        </w:rPr>
        <w:t>；</w:t>
      </w:r>
    </w:p>
    <w:p>
      <w:pPr>
        <w:pStyle w:val="606"/>
        <w:numPr>
          <w:ilvl w:val="0"/>
          <w:numId w:val="6"/>
        </w:numPr>
        <w:tabs>
          <w:tab w:val="left" w:pos="0"/>
        </w:tabs>
        <w:ind w:left="0" w:firstLine="480" w:firstLineChars="200"/>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《陆上石油天然气开采工业大气污染物排放标准》（G</w:t>
      </w:r>
      <w:r>
        <w:rPr>
          <w:color w:val="000000" w:themeColor="text1"/>
          <w:highlight w:val="none"/>
          <w14:textFill>
            <w14:solidFill>
              <w14:schemeClr w14:val="tx1"/>
            </w14:solidFill>
          </w14:textFill>
        </w:rPr>
        <w:t>B 39728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w:t>
      </w:r>
    </w:p>
    <w:p>
      <w:pPr>
        <w:pStyle w:val="606"/>
        <w:numPr>
          <w:ilvl w:val="0"/>
          <w:numId w:val="6"/>
        </w:numPr>
        <w:tabs>
          <w:tab w:val="left" w:pos="0"/>
        </w:tabs>
        <w:ind w:left="0" w:firstLine="480" w:firstLineChars="200"/>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《四川省施工场地扬尘排放标准》（DB512682-2020）</w:t>
      </w:r>
      <w:bookmarkEnd w:id="41"/>
      <w:r>
        <w:rPr>
          <w:rFonts w:hint="eastAsia"/>
          <w:color w:val="000000" w:themeColor="text1"/>
          <w:highlight w:val="none"/>
          <w:lang w:eastAsia="zh-CN"/>
          <w14:textFill>
            <w14:solidFill>
              <w14:schemeClr w14:val="tx1"/>
            </w14:solidFill>
          </w14:textFill>
        </w:rPr>
        <w:t>；</w:t>
      </w:r>
    </w:p>
    <w:p>
      <w:pPr>
        <w:pStyle w:val="606"/>
        <w:numPr>
          <w:ilvl w:val="0"/>
          <w:numId w:val="6"/>
        </w:numPr>
        <w:tabs>
          <w:tab w:val="left" w:pos="0"/>
        </w:tabs>
        <w:ind w:left="0" w:firstLine="480" w:firstLineChars="200"/>
        <w:rPr>
          <w:bCs/>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《四川省建设用地土壤污染风险管控标准》（DB51/2978</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2023）</w:t>
      </w:r>
      <w:r>
        <w:rPr>
          <w:rFonts w:hint="eastAsia"/>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2" w:name="_Toc120173060"/>
      <w:bookmarkStart w:id="43" w:name="_Hlk153366122"/>
      <w:r>
        <w:rPr>
          <w:color w:val="000000" w:themeColor="text1"/>
          <w:highlight w:val="none"/>
          <w:lang w:eastAsia="zh-CN"/>
          <w14:textFill>
            <w14:solidFill>
              <w14:schemeClr w14:val="tx1"/>
            </w14:solidFill>
          </w14:textFill>
        </w:rPr>
        <w:t>相关技术及工作文件</w:t>
      </w:r>
      <w:bookmarkEnd w:id="42"/>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（1）环境影响评价委托书；</w:t>
      </w:r>
    </w:p>
    <w:p>
      <w:pPr>
        <w:pStyle w:val="250"/>
        <w:ind w:firstLine="480"/>
        <w:rPr>
          <w:color w:val="000000" w:themeColor="text1"/>
          <w:highlight w:val="none"/>
          <w14:textFill>
            <w14:solidFill>
              <w14:schemeClr w14:val="tx1"/>
            </w14:solidFill>
          </w14:textFill>
        </w:rPr>
      </w:pPr>
      <w:bookmarkStart w:id="44" w:name="_Hlk56956483"/>
      <w:r>
        <w:rPr>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普光气田雷页1井组试验项目</w:t>
      </w:r>
      <w:r>
        <w:rPr>
          <w:color w:val="000000" w:themeColor="text1"/>
          <w:highlight w:val="none"/>
          <w14:textFill>
            <w14:solidFill>
              <w14:schemeClr w14:val="tx1"/>
            </w14:solidFill>
          </w14:textFill>
        </w:rPr>
        <w:t>可行性研究报告》</w:t>
      </w:r>
      <w:r>
        <w:rPr>
          <w:rFonts w:hint="eastAsia"/>
          <w:color w:val="000000" w:themeColor="text1"/>
          <w:highlight w:val="none"/>
          <w:lang w:val="en-US" w:eastAsia="zh-CN"/>
          <w14:textFill>
            <w14:solidFill>
              <w14:schemeClr w14:val="tx1"/>
            </w14:solidFill>
          </w14:textFill>
        </w:rPr>
        <w:t>及批复（</w:t>
      </w:r>
      <w:r>
        <w:rPr>
          <w:rFonts w:hint="eastAsia" w:cs="Times New Roman"/>
          <w:color w:val="000000" w:themeColor="text1"/>
          <w:highlight w:val="none"/>
          <w:lang w:eastAsia="zh-CN"/>
          <w14:textFill>
            <w14:solidFill>
              <w14:schemeClr w14:val="tx1"/>
            </w14:solidFill>
          </w14:textFill>
        </w:rPr>
        <w:t>中原油分投资〔2024〕63号）</w:t>
      </w:r>
      <w:r>
        <w:rPr>
          <w:color w:val="000000" w:themeColor="text1"/>
          <w:highlight w:val="none"/>
          <w14:textFill>
            <w14:solidFill>
              <w14:schemeClr w14:val="tx1"/>
            </w14:solidFill>
          </w14:textFill>
        </w:rPr>
        <w:t>；</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（3）《环境质量监测报告》；</w:t>
      </w:r>
    </w:p>
    <w:bookmarkEnd w:id="44"/>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（4）项目直接影响区、县及相关乡镇规划、土地利用规划、植被分布现状、水系分布情况、旅游区发展规划等相关文件、资料；</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（5）建设单位提供的项目其他有关资料。</w:t>
      </w:r>
    </w:p>
    <w:bookmarkEnd w:id="43"/>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5" w:name="_Toc30041"/>
      <w:r>
        <w:rPr>
          <w:color w:val="000000" w:themeColor="text1"/>
          <w:highlight w:val="none"/>
          <w:lang w:eastAsia="zh-CN"/>
          <w14:textFill>
            <w14:solidFill>
              <w14:schemeClr w14:val="tx1"/>
            </w14:solidFill>
          </w14:textFill>
        </w:rPr>
        <w:t>环境影响识别与评价因子筛选</w:t>
      </w:r>
      <w:bookmarkEnd w:id="45"/>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6" w:name="_Toc120173062"/>
      <w:r>
        <w:rPr>
          <w:color w:val="000000" w:themeColor="text1"/>
          <w:highlight w:val="none"/>
          <w:lang w:eastAsia="zh-CN"/>
          <w14:textFill>
            <w14:solidFill>
              <w14:schemeClr w14:val="tx1"/>
            </w14:solidFill>
          </w14:textFill>
        </w:rPr>
        <w:t>环境影响识别</w:t>
      </w:r>
      <w:bookmarkEnd w:id="46"/>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石油天然气钻井及试采工程项目具有</w:t>
      </w:r>
      <w:r>
        <w:rPr>
          <w:rFonts w:hint="eastAsia" w:cs="Times New Roman"/>
          <w:b w:val="0"/>
          <w:bCs/>
          <w:color w:val="000000" w:themeColor="text1"/>
          <w:szCs w:val="24"/>
          <w:highlight w:val="none"/>
          <w:lang w:val="en-US" w:eastAsia="zh-CN"/>
          <w14:textFill>
            <w14:solidFill>
              <w14:schemeClr w14:val="tx1"/>
            </w14:solidFill>
          </w14:textFill>
        </w:rPr>
        <w:t>兼具生态影响和污染影响的特点，针对本项目而言，项目钻前工程量小，生态影响较小，以后续钻井工程、储层改造工程及油气集输工程等的产生的污染影响为主。本次评价</w:t>
      </w:r>
      <w:r>
        <w:rPr>
          <w:rFonts w:hint="default" w:ascii="Times New Roman" w:hAnsi="Times New Roman" w:cs="Times New Roman"/>
          <w:color w:val="000000" w:themeColor="text1"/>
          <w:highlight w:val="none"/>
          <w14:textFill>
            <w14:solidFill>
              <w14:schemeClr w14:val="tx1"/>
            </w14:solidFill>
          </w14:textFill>
        </w:rPr>
        <w:t>就工程</w:t>
      </w:r>
      <w:r>
        <w:rPr>
          <w:rFonts w:hint="eastAsia" w:cs="Times New Roman"/>
          <w:color w:val="000000" w:themeColor="text1"/>
          <w:highlight w:val="none"/>
          <w:lang w:val="en-US"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及</w:t>
      </w:r>
      <w:r>
        <w:rPr>
          <w:rFonts w:hint="eastAsia" w:cs="Times New Roman"/>
          <w:color w:val="000000" w:themeColor="text1"/>
          <w:highlight w:val="none"/>
          <w:lang w:val="en-US" w:eastAsia="zh-CN"/>
          <w14:textFill>
            <w14:solidFill>
              <w14:schemeClr w14:val="tx1"/>
            </w14:solidFill>
          </w14:textFill>
        </w:rPr>
        <w:t>试采期</w:t>
      </w:r>
      <w:r>
        <w:rPr>
          <w:rFonts w:hint="default" w:ascii="Times New Roman" w:hAnsi="Times New Roman" w:cs="Times New Roman"/>
          <w:color w:val="000000" w:themeColor="text1"/>
          <w:highlight w:val="none"/>
          <w14:textFill>
            <w14:solidFill>
              <w14:schemeClr w14:val="tx1"/>
            </w14:solidFill>
          </w14:textFill>
        </w:rPr>
        <w:t>对区域生态环境及其他环境要素所造成的影响进行识别</w:t>
      </w:r>
      <w:r>
        <w:rPr>
          <w:rFonts w:hint="eastAsia" w:cs="Times New Roman"/>
          <w:color w:val="000000" w:themeColor="text1"/>
          <w:highlight w:val="none"/>
          <w:lang w:val="en-US" w:eastAsia="zh-CN"/>
          <w14:textFill>
            <w14:solidFill>
              <w14:schemeClr w14:val="tx1"/>
            </w14:solidFill>
          </w14:textFill>
        </w:rPr>
        <w:t>如下</w:t>
      </w:r>
      <w:r>
        <w:rPr>
          <w:rFonts w:hint="default" w:ascii="Times New Roman" w:hAnsi="Times New Roman" w:cs="Times New Roman"/>
          <w:color w:val="000000" w:themeColor="text1"/>
          <w:highlight w:val="none"/>
          <w14:textFill>
            <w14:solidFill>
              <w14:schemeClr w14:val="tx1"/>
            </w14:solidFill>
          </w14:textFill>
        </w:rPr>
        <w:t>。</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1、生态环境影响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eastAsia="zh-CN"/>
          <w14:textFill>
            <w14:solidFill>
              <w14:schemeClr w14:val="tx1"/>
            </w14:solidFill>
          </w14:textFill>
        </w:rPr>
        <w:t>（</w:t>
      </w:r>
      <w:r>
        <w:rPr>
          <w:rFonts w:hint="eastAsia" w:cs="Times New Roman"/>
          <w:color w:val="000000" w:themeColor="text1"/>
          <w:kern w:val="2"/>
          <w:szCs w:val="22"/>
          <w:highlight w:val="none"/>
          <w:lang w:val="en-US" w:eastAsia="zh-CN"/>
          <w14:textFill>
            <w14:solidFill>
              <w14:schemeClr w14:val="tx1"/>
            </w14:solidFill>
          </w14:textFill>
        </w:rPr>
        <w:t>1）施工期</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kern w:val="2"/>
          <w:szCs w:val="22"/>
          <w:highlight w:val="none"/>
          <w14:textFill>
            <w14:solidFill>
              <w14:schemeClr w14:val="tx1"/>
            </w14:solidFill>
          </w14:textFill>
        </w:rPr>
      </w:pPr>
      <w:r>
        <w:rPr>
          <w:rFonts w:hint="default" w:ascii="Times New Roman" w:hAnsi="Times New Roman" w:cs="Times New Roman"/>
          <w:color w:val="000000" w:themeColor="text1"/>
          <w:kern w:val="2"/>
          <w:szCs w:val="22"/>
          <w:highlight w:val="none"/>
          <w14:textFill>
            <w14:solidFill>
              <w14:schemeClr w14:val="tx1"/>
            </w14:solidFill>
          </w14:textFill>
        </w:rPr>
        <w:t>本项目生态环境影响主要体现在</w:t>
      </w:r>
      <w:r>
        <w:rPr>
          <w:rFonts w:hint="eastAsia" w:cs="Times New Roman"/>
          <w:color w:val="000000" w:themeColor="text1"/>
          <w:kern w:val="2"/>
          <w:szCs w:val="22"/>
          <w:highlight w:val="none"/>
          <w:lang w:val="en-US" w:eastAsia="zh-CN"/>
          <w14:textFill>
            <w14:solidFill>
              <w14:schemeClr w14:val="tx1"/>
            </w14:solidFill>
          </w14:textFill>
        </w:rPr>
        <w:t>钻前工程</w:t>
      </w:r>
      <w:r>
        <w:rPr>
          <w:rFonts w:hint="default" w:ascii="Times New Roman" w:hAnsi="Times New Roman" w:cs="Times New Roman"/>
          <w:color w:val="000000" w:themeColor="text1"/>
          <w:kern w:val="2"/>
          <w:szCs w:val="22"/>
          <w:highlight w:val="none"/>
          <w14:textFill>
            <w14:solidFill>
              <w14:schemeClr w14:val="tx1"/>
            </w14:solidFill>
          </w14:textFill>
        </w:rPr>
        <w:t>。</w:t>
      </w:r>
      <w:r>
        <w:rPr>
          <w:rFonts w:hint="eastAsia" w:cs="Times New Roman"/>
          <w:color w:val="000000" w:themeColor="text1"/>
          <w:kern w:val="2"/>
          <w:szCs w:val="22"/>
          <w:highlight w:val="none"/>
          <w:lang w:val="en-US" w:eastAsia="zh-CN"/>
          <w14:textFill>
            <w14:solidFill>
              <w14:schemeClr w14:val="tx1"/>
            </w14:solidFill>
          </w14:textFill>
        </w:rPr>
        <w:t>钻前</w:t>
      </w:r>
      <w:r>
        <w:rPr>
          <w:rFonts w:hint="default" w:ascii="Times New Roman" w:hAnsi="Times New Roman" w:cs="Times New Roman"/>
          <w:color w:val="000000" w:themeColor="text1"/>
          <w:kern w:val="2"/>
          <w:szCs w:val="22"/>
          <w:highlight w:val="none"/>
          <w14:textFill>
            <w14:solidFill>
              <w14:schemeClr w14:val="tx1"/>
            </w14:solidFill>
          </w14:textFill>
        </w:rPr>
        <w:t>工程施工期间对生态环境的影响主要是临时占地和土石方工程开挖引起的自然地貌的改变和地表自然及人工植被的破坏，进而引起对土地利用的改变，生物量和生产力的变化，由此引发区域生态系统稳定性下降，致使生态环境的破坏及水土流失。</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eastAsia="zh-CN"/>
          <w14:textFill>
            <w14:solidFill>
              <w14:schemeClr w14:val="tx1"/>
            </w14:solidFill>
          </w14:textFill>
        </w:rPr>
        <w:t>（</w:t>
      </w:r>
      <w:r>
        <w:rPr>
          <w:rFonts w:hint="eastAsia" w:cs="Times New Roman"/>
          <w:color w:val="000000" w:themeColor="text1"/>
          <w:kern w:val="2"/>
          <w:szCs w:val="22"/>
          <w:highlight w:val="none"/>
          <w:lang w:val="en-US" w:eastAsia="zh-CN"/>
          <w14:textFill>
            <w14:solidFill>
              <w14:schemeClr w14:val="tx1"/>
            </w14:solidFill>
          </w14:textFill>
        </w:rPr>
        <w:t>2）试采期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kern w:val="2"/>
          <w:szCs w:val="22"/>
          <w:highlight w:val="none"/>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试采工程主要依托钻井期占地建设，不会新增占地，不会</w:t>
      </w:r>
      <w:r>
        <w:rPr>
          <w:rFonts w:hint="default" w:ascii="Times New Roman" w:hAnsi="Times New Roman" w:cs="Times New Roman"/>
          <w:color w:val="000000" w:themeColor="text1"/>
          <w:kern w:val="2"/>
          <w:szCs w:val="22"/>
          <w:highlight w:val="none"/>
          <w14:textFill>
            <w14:solidFill>
              <w14:schemeClr w14:val="tx1"/>
            </w14:solidFill>
          </w14:textFill>
        </w:rPr>
        <w:t>带来新的生态影响，受施工期影响的生态环境按相应的环境保护措施，逐步恢复重建。</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2、地表水环境影响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eastAsia="zh-CN"/>
          <w14:textFill>
            <w14:solidFill>
              <w14:schemeClr w14:val="tx1"/>
            </w14:solidFill>
          </w14:textFill>
        </w:rPr>
        <w:t>（</w:t>
      </w:r>
      <w:r>
        <w:rPr>
          <w:rFonts w:hint="eastAsia" w:cs="Times New Roman"/>
          <w:color w:val="000000" w:themeColor="text1"/>
          <w:kern w:val="2"/>
          <w:szCs w:val="22"/>
          <w:highlight w:val="none"/>
          <w:lang w:val="en-US" w:eastAsia="zh-CN"/>
          <w14:textFill>
            <w14:solidFill>
              <w14:schemeClr w14:val="tx1"/>
            </w14:solidFill>
          </w14:textFill>
        </w:rPr>
        <w:t>1）施工期：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钻前</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工程：</w:t>
      </w:r>
      <w:r>
        <w:rPr>
          <w:rFonts w:hint="eastAsia" w:cs="Times New Roman"/>
          <w:color w:val="000000" w:themeColor="text1"/>
          <w:kern w:val="2"/>
          <w:szCs w:val="22"/>
          <w:highlight w:val="none"/>
          <w:lang w:val="en-US" w:eastAsia="zh-CN"/>
          <w14:textFill>
            <w14:solidFill>
              <w14:schemeClr w14:val="tx1"/>
            </w14:solidFill>
          </w14:textFill>
        </w:rPr>
        <w:t>施工废水、</w:t>
      </w:r>
      <w:r>
        <w:rPr>
          <w:rFonts w:hint="default" w:ascii="Times New Roman" w:hAnsi="Times New Roman" w:cs="Times New Roman"/>
          <w:color w:val="000000" w:themeColor="text1"/>
          <w:kern w:val="2"/>
          <w:szCs w:val="22"/>
          <w:highlight w:val="none"/>
          <w14:textFill>
            <w14:solidFill>
              <w14:schemeClr w14:val="tx1"/>
            </w14:solidFill>
          </w14:textFill>
        </w:rPr>
        <w:t>施工人员产生的生活污水对地表水环境的影响</w:t>
      </w:r>
      <w:r>
        <w:rPr>
          <w:rFonts w:hint="eastAsia" w:ascii="Times New Roman" w:hAnsi="Times New Roman" w:cs="Times New Roman"/>
          <w:color w:val="000000" w:themeColor="text1"/>
          <w:kern w:val="2"/>
          <w:szCs w:val="22"/>
          <w:highlight w:val="none"/>
          <w:lang w:eastAsia="zh-CN"/>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kern w:val="2"/>
          <w:szCs w:val="22"/>
          <w:highlight w:val="none"/>
          <w:lang w:val="en-US" w:eastAsia="zh-CN"/>
          <w14:textFill>
            <w14:solidFill>
              <w14:schemeClr w14:val="tx1"/>
            </w14:solidFill>
          </w14:textFill>
        </w:rPr>
      </w:pP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钻井工程：</w:t>
      </w:r>
      <w:r>
        <w:rPr>
          <w:rFonts w:hint="default" w:ascii="Times New Roman" w:hAnsi="Times New Roman" w:cs="Times New Roman"/>
          <w:color w:val="000000" w:themeColor="text1"/>
          <w:kern w:val="2"/>
          <w:szCs w:val="22"/>
          <w:highlight w:val="none"/>
          <w14:textFill>
            <w14:solidFill>
              <w14:schemeClr w14:val="tx1"/>
            </w14:solidFill>
          </w14:textFill>
        </w:rPr>
        <w:t>钻井废水、</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场地</w:t>
      </w:r>
      <w:r>
        <w:rPr>
          <w:rFonts w:hint="eastAsia" w:cs="Times New Roman"/>
          <w:color w:val="000000" w:themeColor="text1"/>
          <w:kern w:val="2"/>
          <w:szCs w:val="22"/>
          <w:highlight w:val="none"/>
          <w:lang w:val="en-US" w:eastAsia="zh-CN"/>
          <w14:textFill>
            <w14:solidFill>
              <w14:schemeClr w14:val="tx1"/>
            </w14:solidFill>
          </w14:textFill>
        </w:rPr>
        <w:t>初期</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雨水</w:t>
      </w:r>
      <w:r>
        <w:rPr>
          <w:rFonts w:hint="eastAsia" w:cs="Times New Roman"/>
          <w:color w:val="000000" w:themeColor="text1"/>
          <w:kern w:val="2"/>
          <w:szCs w:val="22"/>
          <w:highlight w:val="none"/>
          <w:lang w:val="en-US" w:eastAsia="zh-CN"/>
          <w14:textFill>
            <w14:solidFill>
              <w14:schemeClr w14:val="tx1"/>
            </w14:solidFill>
          </w14:textFill>
        </w:rPr>
        <w:t>、生活污水</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等对地表水的影响；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储层改造工程：</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洗井废水</w:t>
      </w:r>
      <w:r>
        <w:rPr>
          <w:rFonts w:hint="default" w:ascii="Times New Roman" w:hAnsi="Times New Roman" w:cs="Times New Roman"/>
          <w:color w:val="000000" w:themeColor="text1"/>
          <w:kern w:val="2"/>
          <w:szCs w:val="22"/>
          <w:highlight w:val="none"/>
          <w14:textFill>
            <w14:solidFill>
              <w14:schemeClr w14:val="tx1"/>
            </w14:solidFill>
          </w14:textFill>
        </w:rPr>
        <w:t>、</w:t>
      </w:r>
      <w:r>
        <w:rPr>
          <w:rFonts w:hint="eastAsia" w:cs="Times New Roman"/>
          <w:color w:val="000000" w:themeColor="text1"/>
          <w:kern w:val="2"/>
          <w:szCs w:val="22"/>
          <w:highlight w:val="none"/>
          <w:lang w:val="en-US" w:eastAsia="zh-CN"/>
          <w14:textFill>
            <w14:solidFill>
              <w14:schemeClr w14:val="tx1"/>
            </w14:solidFill>
          </w14:textFill>
        </w:rPr>
        <w:t>压裂返排液、生活污水</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对地表水的影响；</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（2）试采期</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kern w:val="2"/>
          <w:szCs w:val="22"/>
          <w:highlight w:val="none"/>
          <w:lang w:val="en-US" w:eastAsia="zh-CN"/>
          <w14:textFill>
            <w14:solidFill>
              <w14:schemeClr w14:val="tx1"/>
            </w14:solidFill>
          </w14:textFill>
        </w:rPr>
      </w:pPr>
      <w:r>
        <w:rPr>
          <w:rFonts w:hint="eastAsia" w:cs="Times New Roman"/>
          <w:color w:val="000000" w:themeColor="text1"/>
          <w:kern w:val="2"/>
          <w:szCs w:val="22"/>
          <w:highlight w:val="none"/>
          <w:lang w:val="en-US" w:eastAsia="zh-CN"/>
          <w14:textFill>
            <w14:solidFill>
              <w14:schemeClr w14:val="tx1"/>
            </w14:solidFill>
          </w14:textFill>
        </w:rPr>
        <w:t>试采工程：气田水（含初期压裂返排液）</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对地表水的影响</w:t>
      </w:r>
      <w:r>
        <w:rPr>
          <w:rFonts w:hint="eastAsia" w:cs="Times New Roman"/>
          <w:color w:val="000000" w:themeColor="text1"/>
          <w:kern w:val="2"/>
          <w:szCs w:val="22"/>
          <w:highlight w:val="none"/>
          <w:lang w:val="en-US" w:eastAsia="zh-CN"/>
          <w14:textFill>
            <w14:solidFill>
              <w14:schemeClr w14:val="tx1"/>
            </w14:solidFill>
          </w14:textFill>
        </w:rPr>
        <w:t>。</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3、地下水环境影响</w:t>
      </w:r>
    </w:p>
    <w:p>
      <w:pPr>
        <w:ind w:firstLine="480"/>
        <w:rPr>
          <w:rFonts w:hint="eastAsia"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施工期</w:t>
      </w:r>
    </w:p>
    <w:p>
      <w:pPr>
        <w:ind w:firstLine="480"/>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本项目的地下水污染源主要来自钻井废水、</w:t>
      </w:r>
      <w:r>
        <w:rPr>
          <w:rFonts w:hint="eastAsia" w:cs="Times New Roman"/>
          <w:color w:val="000000" w:themeColor="text1"/>
          <w:szCs w:val="24"/>
          <w:highlight w:val="none"/>
          <w:lang w:val="en-US" w:eastAsia="zh-CN"/>
          <w14:textFill>
            <w14:solidFill>
              <w14:schemeClr w14:val="tx1"/>
            </w14:solidFill>
          </w14:textFill>
        </w:rPr>
        <w:t>洗井废水、压裂返排液</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场地初期雨水及</w:t>
      </w:r>
      <w:r>
        <w:rPr>
          <w:rFonts w:hint="default" w:ascii="Times New Roman" w:hAnsi="Times New Roman" w:cs="Times New Roman"/>
          <w:color w:val="000000" w:themeColor="text1"/>
          <w:szCs w:val="24"/>
          <w:highlight w:val="none"/>
          <w14:textFill>
            <w14:solidFill>
              <w14:schemeClr w14:val="tx1"/>
            </w14:solidFill>
          </w14:textFill>
        </w:rPr>
        <w:t>钻井泥浆</w:t>
      </w:r>
      <w:r>
        <w:rPr>
          <w:rFonts w:hint="eastAsia" w:cs="Times New Roman"/>
          <w:color w:val="000000" w:themeColor="text1"/>
          <w:szCs w:val="24"/>
          <w:highlight w:val="none"/>
          <w:lang w:val="en-US"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柴油机房、储备罐中的油类物质等，这些物质都放置在相应的储备罐或储存池中，一般情况下，只要对各种地下水污染源及时采取回用、转运、防渗等方式处理，就不会对地下水水质产生大的影响。与此同时，井场选址于地质稳定地带，也不受当地河水洪灾</w:t>
      </w:r>
      <w:r>
        <w:rPr>
          <w:rFonts w:hint="eastAsia" w:cs="Times New Roman"/>
          <w:color w:val="000000" w:themeColor="text1"/>
          <w:szCs w:val="24"/>
          <w:highlight w:val="none"/>
          <w:lang w:val="en-US" w:eastAsia="zh-CN"/>
          <w14:textFill>
            <w14:solidFill>
              <w14:schemeClr w14:val="tx1"/>
            </w14:solidFill>
          </w14:textFill>
        </w:rPr>
        <w:t>威胁</w:t>
      </w:r>
      <w:r>
        <w:rPr>
          <w:rFonts w:hint="default" w:ascii="Times New Roman" w:hAnsi="Times New Roman" w:cs="Times New Roman"/>
          <w:color w:val="000000" w:themeColor="text1"/>
          <w:szCs w:val="24"/>
          <w:highlight w:val="none"/>
          <w14:textFill>
            <w14:solidFill>
              <w14:schemeClr w14:val="tx1"/>
            </w14:solidFill>
          </w14:textFill>
        </w:rPr>
        <w:t>，正常状况下废水外溢及下渗造成地下水污染的可能性极小。</w:t>
      </w:r>
      <w:r>
        <w:rPr>
          <w:rFonts w:hint="eastAsia" w:cs="Times New Roman"/>
          <w:color w:val="000000" w:themeColor="text1"/>
          <w:szCs w:val="24"/>
          <w:highlight w:val="none"/>
          <w:lang w:val="en-US" w:eastAsia="zh-CN"/>
          <w14:textFill>
            <w14:solidFill>
              <w14:schemeClr w14:val="tx1"/>
            </w14:solidFill>
          </w14:textFill>
        </w:rPr>
        <w:t>本次评价结合</w:t>
      </w:r>
      <w:r>
        <w:rPr>
          <w:rFonts w:hint="default" w:ascii="Times New Roman" w:hAnsi="Times New Roman" w:cs="Times New Roman"/>
          <w:bCs/>
          <w:color w:val="000000" w:themeColor="text1"/>
          <w:szCs w:val="24"/>
          <w:highlight w:val="none"/>
          <w14:textFill>
            <w14:solidFill>
              <w14:schemeClr w14:val="tx1"/>
            </w14:solidFill>
          </w14:textFill>
        </w:rPr>
        <w:t>《环境影响评价技术导则 地下水环境》（HJ610-2016）</w:t>
      </w:r>
      <w:r>
        <w:rPr>
          <w:rFonts w:hint="eastAsia" w:cs="Times New Roman"/>
          <w:bCs/>
          <w:color w:val="000000" w:themeColor="text1"/>
          <w:szCs w:val="24"/>
          <w:highlight w:val="none"/>
          <w:lang w:eastAsia="zh-CN"/>
          <w14:textFill>
            <w14:solidFill>
              <w14:schemeClr w14:val="tx1"/>
            </w14:solidFill>
          </w14:textFill>
        </w:rPr>
        <w:t>、</w:t>
      </w:r>
      <w:r>
        <w:rPr>
          <w:rFonts w:hint="default" w:ascii="Times New Roman" w:hAnsi="Times New Roman" w:cs="Times New Roman"/>
          <w:bCs/>
          <w:color w:val="000000" w:themeColor="text1"/>
          <w:szCs w:val="24"/>
          <w:highlight w:val="none"/>
          <w14:textFill>
            <w14:solidFill>
              <w14:schemeClr w14:val="tx1"/>
            </w14:solidFill>
          </w14:textFill>
        </w:rPr>
        <w:t>《环境影响评价技术导则 陆地石油天然气开发建设项目》（HJ/T349-2023）</w:t>
      </w:r>
      <w:r>
        <w:rPr>
          <w:rFonts w:hint="eastAsia" w:cs="Times New Roman"/>
          <w:color w:val="000000" w:themeColor="text1"/>
          <w:szCs w:val="24"/>
          <w:highlight w:val="none"/>
          <w:lang w:val="en-US" w:eastAsia="zh-CN"/>
          <w14:textFill>
            <w14:solidFill>
              <w14:schemeClr w14:val="tx1"/>
            </w14:solidFill>
          </w14:textFill>
        </w:rPr>
        <w:t>对非正常状况下的地下水环境影响进行识别如下：</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①罐体循环使用，发生腐蚀使防渗不到位出现废水渗漏，从围堰溢出或者基础防渗不到位入渗地下水，或是在雨季发生泥浆外溢情况，井场设备机油泄漏，生活污水、固废以及钻井所需材料堆放不当，井场污染物收集、存储措施不到位，在雨季产生地面溢流外溢废水进入井场未硬化地面入渗等都有可能造成不同程度的地下水污染；</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②物料跑冒滴漏，钻井过程中物料管理不严格、化学品堆放不当、柴油泄漏等物料的跑冒滴漏不同程度的污染地下水；</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③放喷池因防渗不到位</w:t>
      </w:r>
      <w:r>
        <w:rPr>
          <w:rFonts w:hint="eastAsia"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出现</w:t>
      </w:r>
      <w:r>
        <w:rPr>
          <w:rFonts w:hint="eastAsia" w:cs="Times New Roman"/>
          <w:color w:val="000000" w:themeColor="text1"/>
          <w:szCs w:val="24"/>
          <w:highlight w:val="none"/>
          <w:lang w:val="en-US" w:eastAsia="zh-CN"/>
          <w14:textFill>
            <w14:solidFill>
              <w14:schemeClr w14:val="tx1"/>
            </w14:solidFill>
          </w14:textFill>
        </w:rPr>
        <w:t>池内收集暂存的</w:t>
      </w:r>
      <w:r>
        <w:rPr>
          <w:rFonts w:hint="default" w:ascii="Times New Roman" w:hAnsi="Times New Roman" w:cs="Times New Roman"/>
          <w:color w:val="000000" w:themeColor="text1"/>
          <w:szCs w:val="24"/>
          <w:highlight w:val="none"/>
          <w14:textFill>
            <w14:solidFill>
              <w14:schemeClr w14:val="tx1"/>
            </w14:solidFill>
          </w14:textFill>
        </w:rPr>
        <w:t>返排液渗漏，有可能造成不同程度的地下水污染；</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④井口作业区、泥浆循环系统区、泥浆不落地装置区散落的泥浆、废水进入井场未硬化地面入渗；</w:t>
      </w:r>
    </w:p>
    <w:p>
      <w:pPr>
        <w:pStyle w:val="123"/>
        <w:keepNext w:val="0"/>
        <w:keepLines w:val="0"/>
        <w:pageBreakBefore w:val="0"/>
        <w:widowControl w:val="0"/>
        <w:kinsoku/>
        <w:wordWrap/>
        <w:overflowPunct/>
        <w:topLinePunct w:val="0"/>
        <w:autoSpaceDE/>
        <w:autoSpaceDN/>
        <w:bidi w:val="0"/>
        <w:adjustRightInd w:val="0"/>
        <w:snapToGrid w:val="0"/>
        <w:ind w:firstLine="482" w:firstLineChars="0"/>
        <w:textAlignment w:val="auto"/>
        <w:rPr>
          <w:rFonts w:hint="default" w:ascii="Times New Roman" w:hAnsi="Times New Roman" w:cs="Times New Roman"/>
          <w:color w:val="000000" w:themeColor="text1"/>
          <w:kern w:val="0"/>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⑤压裂过程井筒破裂，压裂液进入含水层</w:t>
      </w:r>
      <w:r>
        <w:rPr>
          <w:rFonts w:hint="default" w:ascii="Times New Roman" w:hAnsi="Times New Roman" w:cs="Times New Roman"/>
          <w:color w:val="000000" w:themeColor="text1"/>
          <w:kern w:val="0"/>
          <w:szCs w:val="20"/>
          <w:highlight w:val="none"/>
          <w14:textFill>
            <w14:solidFill>
              <w14:schemeClr w14:val="tx1"/>
            </w14:solidFill>
          </w14:textFill>
        </w:rPr>
        <w:t>。</w:t>
      </w:r>
    </w:p>
    <w:p>
      <w:pPr>
        <w:pStyle w:val="123"/>
        <w:keepNext w:val="0"/>
        <w:keepLines w:val="0"/>
        <w:pageBreakBefore w:val="0"/>
        <w:widowControl w:val="0"/>
        <w:kinsoku/>
        <w:wordWrap/>
        <w:overflowPunct/>
        <w:topLinePunct w:val="0"/>
        <w:autoSpaceDE/>
        <w:autoSpaceDN/>
        <w:bidi w:val="0"/>
        <w:adjustRightInd w:val="0"/>
        <w:snapToGrid w:val="0"/>
        <w:ind w:firstLine="482" w:firstLineChars="0"/>
        <w:textAlignment w:val="auto"/>
        <w:rPr>
          <w:rFonts w:hint="eastAsia" w:ascii="Times New Roman" w:hAnsi="Times New Roman" w:cs="Times New Roman"/>
          <w:color w:val="000000" w:themeColor="text1"/>
          <w:kern w:val="0"/>
          <w:szCs w:val="20"/>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0"/>
          <w:highlight w:val="none"/>
          <w:lang w:eastAsia="zh-CN"/>
          <w14:textFill>
            <w14:solidFill>
              <w14:schemeClr w14:val="tx1"/>
            </w14:solidFill>
          </w14:textFill>
        </w:rPr>
        <w:t>（</w:t>
      </w:r>
      <w:r>
        <w:rPr>
          <w:rFonts w:hint="eastAsia" w:ascii="Times New Roman" w:hAnsi="Times New Roman" w:cs="Times New Roman"/>
          <w:color w:val="000000" w:themeColor="text1"/>
          <w:kern w:val="0"/>
          <w:szCs w:val="20"/>
          <w:highlight w:val="none"/>
          <w:lang w:val="en-US" w:eastAsia="zh-CN"/>
          <w14:textFill>
            <w14:solidFill>
              <w14:schemeClr w14:val="tx1"/>
            </w14:solidFill>
          </w14:textFill>
        </w:rPr>
        <w:t>2</w:t>
      </w:r>
      <w:r>
        <w:rPr>
          <w:rFonts w:hint="eastAsia" w:ascii="Times New Roman" w:hAnsi="Times New Roman" w:cs="Times New Roman"/>
          <w:color w:val="000000" w:themeColor="text1"/>
          <w:kern w:val="0"/>
          <w:szCs w:val="20"/>
          <w:highlight w:val="none"/>
          <w:lang w:eastAsia="zh-CN"/>
          <w14:textFill>
            <w14:solidFill>
              <w14:schemeClr w14:val="tx1"/>
            </w14:solidFill>
          </w14:textFill>
        </w:rPr>
        <w:t>）</w:t>
      </w:r>
      <w:r>
        <w:rPr>
          <w:rFonts w:hint="eastAsia" w:ascii="Times New Roman" w:hAnsi="Times New Roman" w:cs="Times New Roman"/>
          <w:color w:val="000000" w:themeColor="text1"/>
          <w:kern w:val="0"/>
          <w:szCs w:val="20"/>
          <w:highlight w:val="none"/>
          <w:lang w:val="en-US" w:eastAsia="zh-CN"/>
          <w14:textFill>
            <w14:solidFill>
              <w14:schemeClr w14:val="tx1"/>
            </w14:solidFill>
          </w14:textFill>
        </w:rPr>
        <w:t>试采期</w:t>
      </w:r>
    </w:p>
    <w:p>
      <w:pPr>
        <w:pStyle w:val="123"/>
        <w:keepNext w:val="0"/>
        <w:keepLines w:val="0"/>
        <w:pageBreakBefore w:val="0"/>
        <w:widowControl w:val="0"/>
        <w:kinsoku/>
        <w:wordWrap/>
        <w:overflowPunct/>
        <w:topLinePunct w:val="0"/>
        <w:autoSpaceDE/>
        <w:autoSpaceDN/>
        <w:bidi w:val="0"/>
        <w:adjustRightInd w:val="0"/>
        <w:snapToGrid w:val="0"/>
        <w:ind w:firstLine="482" w:firstLineChars="0"/>
        <w:textAlignment w:val="auto"/>
        <w:rPr>
          <w:rFonts w:hint="default" w:ascii="Times New Roman" w:hAnsi="Times New Roman" w:cs="Times New Roman"/>
          <w:color w:val="000000" w:themeColor="text1"/>
          <w:kern w:val="0"/>
          <w:szCs w:val="20"/>
          <w:highlight w:val="none"/>
          <w:lang w:val="en-US" w:eastAsia="zh-CN"/>
          <w14:textFill>
            <w14:solidFill>
              <w14:schemeClr w14:val="tx1"/>
            </w14:solidFill>
          </w14:textFill>
        </w:rPr>
      </w:pPr>
      <w:r>
        <w:rPr>
          <w:color w:val="000000" w:themeColor="text1"/>
          <w:kern w:val="0"/>
          <w:szCs w:val="20"/>
          <w:highlight w:val="none"/>
          <w14:textFill>
            <w14:solidFill>
              <w14:schemeClr w14:val="tx1"/>
            </w14:solidFill>
          </w14:textFill>
        </w:rPr>
        <w:t>本项目</w:t>
      </w:r>
      <w:r>
        <w:rPr>
          <w:rFonts w:hint="eastAsia"/>
          <w:color w:val="000000" w:themeColor="text1"/>
          <w:kern w:val="0"/>
          <w:szCs w:val="20"/>
          <w:highlight w:val="none"/>
          <w:lang w:val="en-US" w:eastAsia="zh-CN"/>
          <w14:textFill>
            <w14:solidFill>
              <w14:schemeClr w14:val="tx1"/>
            </w14:solidFill>
          </w14:textFill>
        </w:rPr>
        <w:t>试采站</w:t>
      </w:r>
      <w:r>
        <w:rPr>
          <w:color w:val="000000" w:themeColor="text1"/>
          <w:kern w:val="0"/>
          <w:szCs w:val="20"/>
          <w:highlight w:val="none"/>
          <w14:textFill>
            <w14:solidFill>
              <w14:schemeClr w14:val="tx1"/>
            </w14:solidFill>
          </w14:textFill>
        </w:rPr>
        <w:t>内外集输管线破裂</w:t>
      </w:r>
      <w:r>
        <w:rPr>
          <w:rFonts w:hint="eastAsia"/>
          <w:color w:val="000000" w:themeColor="text1"/>
          <w:kern w:val="0"/>
          <w:szCs w:val="20"/>
          <w:highlight w:val="none"/>
          <w:lang w:eastAsia="zh-CN"/>
          <w14:textFill>
            <w14:solidFill>
              <w14:schemeClr w14:val="tx1"/>
            </w14:solidFill>
          </w14:textFill>
        </w:rPr>
        <w:t>出现泄漏时</w:t>
      </w:r>
      <w:r>
        <w:rPr>
          <w:color w:val="000000" w:themeColor="text1"/>
          <w:kern w:val="0"/>
          <w:szCs w:val="20"/>
          <w:highlight w:val="none"/>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管线位于地面，</w:t>
      </w:r>
      <w:r>
        <w:rPr>
          <w:color w:val="000000" w:themeColor="text1"/>
          <w:kern w:val="0"/>
          <w:szCs w:val="20"/>
          <w:highlight w:val="none"/>
          <w14:textFill>
            <w14:solidFill>
              <w14:schemeClr w14:val="tx1"/>
            </w14:solidFill>
          </w14:textFill>
        </w:rPr>
        <w:t>天然气将</w:t>
      </w:r>
      <w:r>
        <w:rPr>
          <w:rFonts w:hint="eastAsia"/>
          <w:color w:val="000000" w:themeColor="text1"/>
          <w:kern w:val="0"/>
          <w:szCs w:val="20"/>
          <w:highlight w:val="none"/>
          <w:lang w:val="en-US" w:eastAsia="zh-CN"/>
          <w14:textFill>
            <w14:solidFill>
              <w14:schemeClr w14:val="tx1"/>
            </w14:solidFill>
          </w14:textFill>
        </w:rPr>
        <w:t>扩散进入大气，难以进入地下水环境</w:t>
      </w:r>
      <w:r>
        <w:rPr>
          <w:color w:val="000000" w:themeColor="text1"/>
          <w:kern w:val="0"/>
          <w:szCs w:val="20"/>
          <w:highlight w:val="none"/>
          <w14:textFill>
            <w14:solidFill>
              <w14:schemeClr w14:val="tx1"/>
            </w14:solidFill>
          </w14:textFill>
        </w:rPr>
        <w:t>，不会对地下水产生影响</w:t>
      </w:r>
      <w:bookmarkStart w:id="47" w:name="_Hlk155946411"/>
      <w:r>
        <w:rPr>
          <w:rFonts w:hint="eastAsia"/>
          <w:color w:val="000000" w:themeColor="text1"/>
          <w:kern w:val="0"/>
          <w:szCs w:val="20"/>
          <w:highlight w:val="none"/>
          <w:lang w:eastAsia="zh-CN"/>
          <w14:textFill>
            <w14:solidFill>
              <w14:schemeClr w14:val="tx1"/>
            </w14:solidFill>
          </w14:textFill>
        </w:rPr>
        <w:t>。</w:t>
      </w:r>
      <w:r>
        <w:rPr>
          <w:rFonts w:hint="eastAsia"/>
          <w:color w:val="000000" w:themeColor="text1"/>
          <w:kern w:val="0"/>
          <w:szCs w:val="20"/>
          <w:highlight w:val="none"/>
          <w14:textFill>
            <w14:solidFill>
              <w14:schemeClr w14:val="tx1"/>
            </w14:solidFill>
          </w14:textFill>
        </w:rPr>
        <w:t>发生</w:t>
      </w:r>
      <w:r>
        <w:rPr>
          <w:rFonts w:hint="eastAsia"/>
          <w:color w:val="000000" w:themeColor="text1"/>
          <w:kern w:val="0"/>
          <w:szCs w:val="20"/>
          <w:highlight w:val="none"/>
          <w:lang w:eastAsia="zh-CN"/>
          <w14:textFill>
            <w14:solidFill>
              <w14:schemeClr w14:val="tx1"/>
            </w14:solidFill>
          </w14:textFill>
        </w:rPr>
        <w:t>泄漏事故</w:t>
      </w:r>
      <w:r>
        <w:rPr>
          <w:rFonts w:hint="eastAsia"/>
          <w:color w:val="000000" w:themeColor="text1"/>
          <w:kern w:val="0"/>
          <w:szCs w:val="20"/>
          <w:highlight w:val="none"/>
          <w14:textFill>
            <w14:solidFill>
              <w14:schemeClr w14:val="tx1"/>
            </w14:solidFill>
          </w14:textFill>
        </w:rPr>
        <w:t>后建设单位会立即对泄漏点进行检修，若发现泄漏点有少量气田水泄露</w:t>
      </w:r>
      <w:r>
        <w:rPr>
          <w:rFonts w:hint="eastAsia"/>
          <w:color w:val="000000" w:themeColor="text1"/>
          <w:kern w:val="0"/>
          <w:szCs w:val="20"/>
          <w:highlight w:val="none"/>
          <w:lang w:val="en-US" w:eastAsia="zh-CN"/>
          <w14:textFill>
            <w14:solidFill>
              <w14:schemeClr w14:val="tx1"/>
            </w14:solidFill>
          </w14:textFill>
        </w:rPr>
        <w:t>进入土壤</w:t>
      </w:r>
      <w:r>
        <w:rPr>
          <w:rFonts w:hint="eastAsia"/>
          <w:color w:val="000000" w:themeColor="text1"/>
          <w:kern w:val="0"/>
          <w:szCs w:val="20"/>
          <w:highlight w:val="none"/>
          <w14:textFill>
            <w14:solidFill>
              <w14:schemeClr w14:val="tx1"/>
            </w14:solidFill>
          </w14:textFill>
        </w:rPr>
        <w:t>会立即对泄漏点的土壤进行换填处理，</w:t>
      </w:r>
      <w:bookmarkEnd w:id="47"/>
      <w:r>
        <w:rPr>
          <w:rFonts w:hint="eastAsia"/>
          <w:color w:val="000000" w:themeColor="text1"/>
          <w:kern w:val="0"/>
          <w:szCs w:val="20"/>
          <w:highlight w:val="none"/>
          <w14:textFill>
            <w14:solidFill>
              <w14:schemeClr w14:val="tx1"/>
            </w14:solidFill>
          </w14:textFill>
        </w:rPr>
        <w:t>不会进入地下水含水层，故</w:t>
      </w:r>
      <w:r>
        <w:rPr>
          <w:rFonts w:hint="eastAsia"/>
          <w:color w:val="000000" w:themeColor="text1"/>
          <w:highlight w:val="none"/>
          <w:lang w:val="en-US" w:eastAsia="zh-CN"/>
          <w14:textFill>
            <w14:solidFill>
              <w14:schemeClr w14:val="tx1"/>
            </w14:solidFill>
          </w14:textFill>
        </w:rPr>
        <w:t>管线天然气泄漏难以</w:t>
      </w:r>
      <w:r>
        <w:rPr>
          <w:color w:val="000000" w:themeColor="text1"/>
          <w:kern w:val="0"/>
          <w:szCs w:val="20"/>
          <w:highlight w:val="none"/>
          <w14:textFill>
            <w14:solidFill>
              <w14:schemeClr w14:val="tx1"/>
            </w14:solidFill>
          </w14:textFill>
        </w:rPr>
        <w:t>对地下水环境产生影响。</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4、大气环境影响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1）施工期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钻前工程：施工扬尘、</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运输和作业车辆排放的汽车尾气</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等对大气环境的影响；</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钻井工程：</w:t>
      </w:r>
      <w:r>
        <w:rPr>
          <w:rFonts w:hint="default"/>
          <w:color w:val="000000" w:themeColor="text1"/>
          <w:highlight w:val="none"/>
          <w:lang w:val="en-US" w:eastAsia="zh-CN"/>
          <w14:textFill>
            <w14:solidFill>
              <w14:schemeClr w14:val="tx1"/>
            </w14:solidFill>
          </w14:textFill>
        </w:rPr>
        <w:t>备用柴油</w:t>
      </w:r>
      <w:r>
        <w:rPr>
          <w:rFonts w:hint="eastAsia"/>
          <w:color w:val="000000" w:themeColor="text1"/>
          <w:highlight w:val="none"/>
          <w:lang w:val="en-US" w:eastAsia="zh-CN"/>
          <w14:textFill>
            <w14:solidFill>
              <w14:schemeClr w14:val="tx1"/>
            </w14:solidFill>
          </w14:textFill>
        </w:rPr>
        <w:t>动力</w:t>
      </w:r>
      <w:r>
        <w:rPr>
          <w:rFonts w:hint="default"/>
          <w:color w:val="000000" w:themeColor="text1"/>
          <w:highlight w:val="none"/>
          <w:lang w:val="en-US" w:eastAsia="zh-CN"/>
          <w14:textFill>
            <w14:solidFill>
              <w14:schemeClr w14:val="tx1"/>
            </w14:solidFill>
          </w14:textFill>
        </w:rPr>
        <w:t>机/</w:t>
      </w:r>
      <w:r>
        <w:rPr>
          <w:rFonts w:hint="eastAsia"/>
          <w:color w:val="000000" w:themeColor="text1"/>
          <w:highlight w:val="none"/>
          <w:lang w:val="en-US" w:eastAsia="zh-CN"/>
          <w14:textFill>
            <w14:solidFill>
              <w14:schemeClr w14:val="tx1"/>
            </w14:solidFill>
          </w14:textFill>
        </w:rPr>
        <w:t>柴油</w:t>
      </w:r>
      <w:r>
        <w:rPr>
          <w:rFonts w:hint="default"/>
          <w:color w:val="000000" w:themeColor="text1"/>
          <w:highlight w:val="none"/>
          <w:lang w:val="en-US" w:eastAsia="zh-CN"/>
          <w14:textFill>
            <w14:solidFill>
              <w14:schemeClr w14:val="tx1"/>
            </w14:solidFill>
          </w14:textFill>
        </w:rPr>
        <w:t>发电机</w:t>
      </w:r>
      <w:r>
        <w:rPr>
          <w:rFonts w:hint="eastAsia"/>
          <w:color w:val="000000" w:themeColor="text1"/>
          <w:highlight w:val="none"/>
          <w:lang w:val="en-US" w:eastAsia="zh-CN"/>
          <w14:textFill>
            <w14:solidFill>
              <w14:schemeClr w14:val="tx1"/>
            </w14:solidFill>
          </w14:textFill>
        </w:rPr>
        <w:t>组（停电时使用）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等产生的燃料燃烧废气对大气环境的影响；钻遇</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地层异常高压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时可能进行的事故放喷废气影响</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储层改造工程：测试放喷废气、</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压裂车施工机械尾气</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对大气环境的影响；</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此外，上述各施工阶段使用的燃油作业设备在使用过程中还可能产生少量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无组织挥发性有机物</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，将对大气环境产生一定的影响。</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试采期</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试采工程</w:t>
      </w:r>
      <w:r>
        <w:rPr>
          <w:rFonts w:hint="eastAsia" w:ascii="Times New Roman" w:hAnsi="Times New Roman" w:cs="Times New Roman"/>
          <w:color w:val="000000" w:themeColor="text1"/>
          <w:szCs w:val="24"/>
          <w:highlight w:val="none"/>
          <w:lang w:val="en-US"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正常生产情况下，流程设备、管线、阀室等工艺设备为高压密闭作业，无天然气泄漏废气产生</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。因此，</w:t>
      </w:r>
      <w:r>
        <w:rPr>
          <w:rFonts w:hint="eastAsia" w:cs="Times New Roman"/>
          <w:color w:val="000000" w:themeColor="text1"/>
          <w:kern w:val="2"/>
          <w:sz w:val="24"/>
          <w:szCs w:val="24"/>
          <w:highlight w:val="none"/>
          <w:lang w:val="en-US" w:eastAsia="zh-CN" w:bidi="ar-SA"/>
          <w14:textFill>
            <w14:solidFill>
              <w14:schemeClr w14:val="tx1"/>
            </w14:solidFill>
          </w14:textFill>
        </w:rPr>
        <w:t>试采期主要为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水套加热炉废气、长明灯燃烧废气、非正常工况下的放空废气</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对大气环境的影响。</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5、声环境影响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1）施工期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钻前工程：</w:t>
      </w:r>
      <w:r>
        <w:rPr>
          <w:rFonts w:hint="default" w:ascii="Times New Roman" w:hAnsi="Times New Roman" w:cs="Times New Roman"/>
          <w:color w:val="000000" w:themeColor="text1"/>
          <w:highlight w:val="none"/>
          <w14:textFill>
            <w14:solidFill>
              <w14:schemeClr w14:val="tx1"/>
            </w14:solidFill>
          </w14:textFill>
        </w:rPr>
        <w:t>施工机械产生的机械噪声</w:t>
      </w:r>
      <w:r>
        <w:rPr>
          <w:rFonts w:hint="eastAsia" w:cs="Times New Roman"/>
          <w:color w:val="000000" w:themeColor="text1"/>
          <w:highlight w:val="none"/>
          <w:lang w:val="en-US" w:eastAsia="zh-CN"/>
          <w14:textFill>
            <w14:solidFill>
              <w14:schemeClr w14:val="tx1"/>
            </w14:solidFill>
          </w14:textFill>
        </w:rPr>
        <w:t>影响</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钻井工程：</w:t>
      </w:r>
      <w:r>
        <w:rPr>
          <w:rFonts w:hint="eastAsia" w:cs="Times New Roman"/>
          <w:color w:val="000000" w:themeColor="text1"/>
          <w:kern w:val="2"/>
          <w:sz w:val="24"/>
          <w:szCs w:val="24"/>
          <w:highlight w:val="none"/>
          <w:lang w:val="en-US" w:eastAsia="zh-CN" w:bidi="ar-SA"/>
          <w14:textFill>
            <w14:solidFill>
              <w14:schemeClr w14:val="tx1"/>
            </w14:solidFill>
          </w14:textFill>
        </w:rPr>
        <w:t>钻井施工作业设备（钻机、泥浆泵、振动筛等）及辅助设施（备用柴油动力机、柴油发电机组等）产生的机械噪声影响；</w:t>
      </w:r>
      <w:r>
        <w:rPr>
          <w:rFonts w:hint="default" w:cs="Times New Roman"/>
          <w:color w:val="000000" w:themeColor="text1"/>
          <w:kern w:val="2"/>
          <w:sz w:val="24"/>
          <w:szCs w:val="24"/>
          <w:highlight w:val="none"/>
          <w:lang w:val="en-US" w:eastAsia="zh-CN" w:bidi="ar-SA"/>
          <w14:textFill>
            <w14:solidFill>
              <w14:schemeClr w14:val="tx1"/>
            </w14:solidFill>
          </w14:textFill>
        </w:rPr>
        <w:t>固井作业、下套管、起下钻具、钻机气路控制系统操作时快速放气阀放气、跳钻时吊环与水龙头的撞击等所产生的</w:t>
      </w:r>
      <w:r>
        <w:rPr>
          <w:rFonts w:hint="eastAsia" w:cs="Times New Roman"/>
          <w:color w:val="000000" w:themeColor="text1"/>
          <w:kern w:val="2"/>
          <w:sz w:val="24"/>
          <w:szCs w:val="24"/>
          <w:highlight w:val="none"/>
          <w:lang w:val="en-US" w:eastAsia="zh-CN" w:bidi="ar-SA"/>
          <w14:textFill>
            <w14:solidFill>
              <w14:schemeClr w14:val="tx1"/>
            </w14:solidFill>
          </w14:textFill>
        </w:rPr>
        <w:t>其他</w:t>
      </w:r>
      <w:r>
        <w:rPr>
          <w:rFonts w:hint="default" w:cs="Times New Roman"/>
          <w:color w:val="000000" w:themeColor="text1"/>
          <w:kern w:val="2"/>
          <w:sz w:val="24"/>
          <w:szCs w:val="24"/>
          <w:highlight w:val="none"/>
          <w:lang w:val="en-US" w:eastAsia="zh-CN" w:bidi="ar-SA"/>
          <w14:textFill>
            <w14:solidFill>
              <w14:schemeClr w14:val="tx1"/>
            </w14:solidFill>
          </w14:textFill>
        </w:rPr>
        <w:t>噪声</w:t>
      </w:r>
      <w:r>
        <w:rPr>
          <w:rFonts w:hint="eastAsia" w:cs="Times New Roman"/>
          <w:color w:val="000000" w:themeColor="text1"/>
          <w:kern w:val="2"/>
          <w:sz w:val="24"/>
          <w:szCs w:val="24"/>
          <w:highlight w:val="none"/>
          <w:lang w:val="en-US" w:eastAsia="zh-CN" w:bidi="ar-SA"/>
          <w14:textFill>
            <w14:solidFill>
              <w14:schemeClr w14:val="tx1"/>
            </w14:solidFill>
          </w14:textFill>
        </w:rPr>
        <w:t>影响；钻遇</w:t>
      </w:r>
      <w:r>
        <w:rPr>
          <w:rFonts w:hint="default" w:cs="Times New Roman"/>
          <w:color w:val="000000" w:themeColor="text1"/>
          <w:kern w:val="2"/>
          <w:sz w:val="24"/>
          <w:szCs w:val="24"/>
          <w:highlight w:val="none"/>
          <w:lang w:val="en-US" w:eastAsia="zh-CN" w:bidi="ar-SA"/>
          <w14:textFill>
            <w14:solidFill>
              <w14:schemeClr w14:val="tx1"/>
            </w14:solidFill>
          </w14:textFill>
        </w:rPr>
        <w:t>地层异常高压</w:t>
      </w:r>
      <w:r>
        <w:rPr>
          <w:rFonts w:hint="eastAsia" w:cs="Times New Roman"/>
          <w:color w:val="000000" w:themeColor="text1"/>
          <w:kern w:val="2"/>
          <w:sz w:val="24"/>
          <w:szCs w:val="24"/>
          <w:highlight w:val="none"/>
          <w:lang w:val="en-US" w:eastAsia="zh-CN" w:bidi="ar-SA"/>
          <w14:textFill>
            <w14:solidFill>
              <w14:schemeClr w14:val="tx1"/>
            </w14:solidFill>
          </w14:textFill>
        </w:rPr>
        <w:t>时可能进行的事故放喷时产生的</w:t>
      </w:r>
      <w:r>
        <w:rPr>
          <w:rFonts w:hint="default" w:cs="Times New Roman"/>
          <w:color w:val="000000" w:themeColor="text1"/>
          <w:kern w:val="2"/>
          <w:sz w:val="24"/>
          <w:szCs w:val="24"/>
          <w:highlight w:val="none"/>
          <w:lang w:val="en-US" w:eastAsia="zh-CN" w:bidi="ar-SA"/>
          <w14:textFill>
            <w14:solidFill>
              <w14:schemeClr w14:val="tx1"/>
            </w14:solidFill>
          </w14:textFill>
        </w:rPr>
        <w:t>高压气流噪声</w:t>
      </w:r>
      <w:r>
        <w:rPr>
          <w:rFonts w:hint="eastAsia" w:cs="Times New Roman"/>
          <w:color w:val="000000" w:themeColor="text1"/>
          <w:kern w:val="2"/>
          <w:sz w:val="24"/>
          <w:szCs w:val="24"/>
          <w:highlight w:val="none"/>
          <w:lang w:val="en-US" w:eastAsia="zh-CN" w:bidi="ar-SA"/>
          <w14:textFill>
            <w14:solidFill>
              <w14:schemeClr w14:val="tx1"/>
            </w14:solidFill>
          </w14:textFill>
        </w:rPr>
        <w:t>影响；</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储层改造工程：测试放喷</w:t>
      </w:r>
      <w:r>
        <w:rPr>
          <w:rFonts w:hint="default" w:cs="Times New Roman"/>
          <w:color w:val="000000" w:themeColor="text1"/>
          <w:kern w:val="2"/>
          <w:sz w:val="24"/>
          <w:szCs w:val="24"/>
          <w:highlight w:val="none"/>
          <w:lang w:val="en-US" w:eastAsia="zh-CN" w:bidi="ar-SA"/>
          <w14:textFill>
            <w14:solidFill>
              <w14:schemeClr w14:val="tx1"/>
            </w14:solidFill>
          </w14:textFill>
        </w:rPr>
        <w:t>时产生的高压气流噪声</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sz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试采期</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试采工程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：各类站场设备</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产生的气流</w:t>
      </w:r>
      <w:r>
        <w:rPr>
          <w:rFonts w:hint="eastAsia" w:cs="Times New Roman"/>
          <w:color w:val="000000" w:themeColor="text1"/>
          <w:kern w:val="2"/>
          <w:sz w:val="24"/>
          <w:szCs w:val="24"/>
          <w:highlight w:val="none"/>
          <w:lang w:val="en-US" w:eastAsia="zh-CN" w:bidi="ar-SA"/>
          <w14:textFill>
            <w14:solidFill>
              <w14:schemeClr w14:val="tx1"/>
            </w14:solidFill>
          </w14:textFill>
        </w:rPr>
        <w:t>摩擦</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影响</w:t>
      </w:r>
      <w:r>
        <w:rPr>
          <w:rFonts w:hint="eastAsia" w:cs="Times New Roman"/>
          <w:color w:val="000000" w:themeColor="text1"/>
          <w:kern w:val="2"/>
          <w:sz w:val="24"/>
          <w:szCs w:val="24"/>
          <w:highlight w:val="none"/>
          <w:lang w:val="en-US" w:eastAsia="zh-CN" w:bidi="ar-SA"/>
          <w14:textFill>
            <w14:solidFill>
              <w14:schemeClr w14:val="tx1"/>
            </w14:solidFill>
          </w14:textFill>
        </w:rPr>
        <w:t>及</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非正常工况下的放空</w:t>
      </w:r>
      <w:r>
        <w:rPr>
          <w:rFonts w:hint="eastAsia" w:cs="Times New Roman"/>
          <w:color w:val="000000" w:themeColor="text1"/>
          <w:kern w:val="2"/>
          <w:sz w:val="24"/>
          <w:szCs w:val="24"/>
          <w:highlight w:val="none"/>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6、固体废物环境影响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1）施工期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钻前工程：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弃土石方、生活垃圾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、建筑垃圾等；</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钻井工程：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水基钻井固废</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（废水基岩屑、废水基泥浆等）、油基钻井固废（若钻遇复杂地层时，废油基岩屑、废油基泥浆等）、废油及其他含油废物、废包装材料、生活垃圾等</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储层改造工程：废包装材料、生活垃圾等</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sz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试采期</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试采工程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雷页1试验井组</w:t>
      </w:r>
      <w:r>
        <w:rPr>
          <w:color w:val="000000" w:themeColor="text1"/>
          <w:highlight w:val="none"/>
          <w14:textFill>
            <w14:solidFill>
              <w14:schemeClr w14:val="tx1"/>
            </w14:solidFill>
          </w14:textFill>
        </w:rPr>
        <w:t>试采站无人值守，无生活垃圾产生。</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color w:val="000000" w:themeColor="text1"/>
          <w:highlight w:val="none"/>
          <w14:textFill>
            <w14:solidFill>
              <w14:schemeClr w14:val="tx1"/>
            </w14:solidFill>
          </w14:textFill>
        </w:rPr>
      </w:pPr>
      <w:r>
        <w:rPr>
          <w:rFonts w:hint="default" w:ascii="Times New Roman" w:hAnsi="Times New Roman" w:eastAsia="黑体" w:cs="Times New Roman"/>
          <w:b w:val="0"/>
          <w:bCs/>
          <w:color w:val="000000" w:themeColor="text1"/>
          <w:highlight w:val="none"/>
          <w14:textFill>
            <w14:solidFill>
              <w14:schemeClr w14:val="tx1"/>
            </w14:solidFill>
          </w14:textFill>
        </w:rPr>
        <w:t>7、土壤环境影响</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1）施工期</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钻前工程：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钻前工程等造成的土壤扰动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施工机械等</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燃烧废气，通过</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降雨或沉降进入土壤，从而引起土壤污染</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钻井工程：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施工机械燃烧废气、钻遇异常高压时的事故放喷废气等通过降雨或沉降进入土壤，从而引起土壤污染</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泥浆不落地装置区及泥浆循环系统、泥浆料台区、储备罐区、油罐区、柴油机组区、放喷池等区域，在事故情况和降雨情况下产生的废水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及油类物质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会发生地面漫流，</w:t>
      </w:r>
      <w:r>
        <w:rPr>
          <w:rFonts w:hint="eastAsia" w:cs="Times New Roman"/>
          <w:color w:val="000000" w:themeColor="text1"/>
          <w:kern w:val="2"/>
          <w:sz w:val="24"/>
          <w:szCs w:val="24"/>
          <w:highlight w:val="none"/>
          <w:lang w:val="en-US" w:eastAsia="zh-CN" w:bidi="ar-SA"/>
          <w14:textFill>
            <w14:solidFill>
              <w14:schemeClr w14:val="tx1"/>
            </w14:solidFill>
          </w14:textFill>
        </w:rPr>
        <w:t>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土壤</w:t>
      </w:r>
      <w:r>
        <w:rPr>
          <w:rFonts w:hint="eastAsia" w:cs="Times New Roman"/>
          <w:color w:val="000000" w:themeColor="text1"/>
          <w:kern w:val="2"/>
          <w:sz w:val="24"/>
          <w:szCs w:val="24"/>
          <w:highlight w:val="none"/>
          <w:lang w:val="en-US" w:eastAsia="zh-CN" w:bidi="ar-SA"/>
          <w14:textFill>
            <w14:solidFill>
              <w14:schemeClr w14:val="tx1"/>
            </w14:solidFill>
          </w14:textFill>
        </w:rPr>
        <w:t>造成污染</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对于泥浆不落地装置区及泥浆循环系统、泥浆料台区、储备罐区、油罐区、放喷池、方井周边、钻井固废暂存区、发电机房、柴油机组区等区域，在事故情况下会造成污染物的泄露，通过垂直入渗途径污染土壤</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储层改造工程：</w:t>
      </w:r>
      <w:r>
        <w:rPr>
          <w:rFonts w:hint="default" w:ascii="Times New Roman" w:hAnsi="Times New Roman" w:cs="Times New Roman"/>
          <w:bCs/>
          <w:color w:val="000000" w:themeColor="text1"/>
          <w:szCs w:val="24"/>
          <w:highlight w:val="none"/>
          <w14:textFill>
            <w14:solidFill>
              <w14:schemeClr w14:val="tx1"/>
            </w14:solidFill>
          </w14:textFill>
        </w:rPr>
        <w:t>施工机械</w:t>
      </w:r>
      <w:r>
        <w:rPr>
          <w:rFonts w:hint="default" w:ascii="Times New Roman" w:hAnsi="Times New Roman" w:cs="Times New Roman"/>
          <w:bCs/>
          <w:color w:val="000000" w:themeColor="text1"/>
          <w:szCs w:val="24"/>
          <w:highlight w:val="none"/>
          <w:lang w:val="en-US" w:eastAsia="zh-CN"/>
          <w14:textFill>
            <w14:solidFill>
              <w14:schemeClr w14:val="tx1"/>
            </w14:solidFill>
          </w14:textFill>
        </w:rPr>
        <w:t>燃烧废气</w:t>
      </w:r>
      <w:r>
        <w:rPr>
          <w:rFonts w:hint="eastAsia" w:cs="Times New Roman"/>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Cs w:val="24"/>
          <w:highlight w:val="none"/>
          <w:lang w:val="en-US" w:eastAsia="zh-CN"/>
          <w14:textFill>
            <w14:solidFill>
              <w14:schemeClr w14:val="tx1"/>
            </w14:solidFill>
          </w14:textFill>
        </w:rPr>
        <w:t>测试放喷废气等</w:t>
      </w:r>
      <w:r>
        <w:rPr>
          <w:rFonts w:hint="default" w:ascii="Times New Roman" w:hAnsi="Times New Roman" w:cs="Times New Roman"/>
          <w:bCs/>
          <w:color w:val="000000" w:themeColor="text1"/>
          <w:szCs w:val="24"/>
          <w:highlight w:val="none"/>
          <w14:textFill>
            <w14:solidFill>
              <w14:schemeClr w14:val="tx1"/>
            </w14:solidFill>
          </w14:textFill>
        </w:rPr>
        <w:t>通过降雨或沉降进入土壤，从而引起土壤污染</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sz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SA"/>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试采期</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试采工程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：试采站内外管道破裂出现泄漏时，天然气将通过包气带土壤孔隙逸出进入大气，不会对</w:t>
      </w:r>
      <w:r>
        <w:rPr>
          <w:rFonts w:hint="eastAsia" w:cs="Times New Roman"/>
          <w:color w:val="000000" w:themeColor="text1"/>
          <w:kern w:val="2"/>
          <w:sz w:val="24"/>
          <w:szCs w:val="24"/>
          <w:highlight w:val="none"/>
          <w:lang w:val="en-US" w:eastAsia="zh-CN" w:bidi="ar-SA"/>
          <w14:textFill>
            <w14:solidFill>
              <w14:schemeClr w14:val="tx1"/>
            </w14:solidFill>
          </w14:textFill>
        </w:rPr>
        <w:t>土壤环境</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产生影响，天然气中所含少量的气田水为液态，如果发生上述泄漏，管道监测系统会立即切断并停止输气，所泄漏的气田水含量较少，发生</w:t>
      </w:r>
      <w:r>
        <w:rPr>
          <w:rFonts w:hint="eastAsia" w:cs="Times New Roman"/>
          <w:color w:val="000000" w:themeColor="text1"/>
          <w:kern w:val="2"/>
          <w:sz w:val="24"/>
          <w:szCs w:val="24"/>
          <w:highlight w:val="none"/>
          <w:lang w:val="en-US" w:eastAsia="zh-CN" w:bidi="ar-SA"/>
          <w14:textFill>
            <w14:solidFill>
              <w14:schemeClr w14:val="tx1"/>
            </w14:solidFill>
          </w14:textFill>
        </w:rPr>
        <w:t>泄漏事故</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后建设单位会立即对泄漏点进行检修，若发现泄漏点有少量气田水</w:t>
      </w:r>
      <w:r>
        <w:rPr>
          <w:rFonts w:hint="eastAsia" w:cs="Times New Roman"/>
          <w:color w:val="000000" w:themeColor="text1"/>
          <w:kern w:val="2"/>
          <w:sz w:val="24"/>
          <w:szCs w:val="24"/>
          <w:highlight w:val="none"/>
          <w:lang w:val="en-US" w:eastAsia="zh-CN" w:bidi="ar-SA"/>
          <w14:textFill>
            <w14:solidFill>
              <w14:schemeClr w14:val="tx1"/>
            </w14:solidFill>
          </w14:textFill>
        </w:rPr>
        <w:t>泄漏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会立即对泄漏点的土壤进行换填处理，管线天然气泄漏难以对土壤环境造成影响。</w:t>
      </w:r>
    </w:p>
    <w:p>
      <w:pPr>
        <w:pStyle w:val="250"/>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8、</w:t>
      </w:r>
      <w:r>
        <w:rPr>
          <w:rFonts w:hint="eastAsia" w:ascii="Times New Roman" w:hAnsi="Times New Roman" w:cs="Times New Roman"/>
          <w:b/>
          <w:bCs/>
          <w:color w:val="000000" w:themeColor="text1"/>
          <w:highlight w:val="none"/>
          <w:lang w:val="en-US" w:eastAsia="zh-CN"/>
          <w14:textFill>
            <w14:solidFill>
              <w14:schemeClr w14:val="tx1"/>
            </w14:solidFill>
          </w14:textFill>
        </w:rPr>
        <w:t>环境风险</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本项目环境风险重点关注危险物质（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天然气</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、油基钻井固废、柴油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等</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泄漏，以及火灾、爆炸、井喷等安全生产风险事故引发的伴生/次生污染物对环境的影响</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根据环境影响矩阵表，分析环境影响因子的影响类型和影响程度，其结果见</w:t>
      </w:r>
      <w:r>
        <w:rPr>
          <w:rFonts w:hint="eastAsia" w:ascii="Times New Roman" w:hAnsi="Times New Roman" w:cs="Times New Roman"/>
          <w:color w:val="000000" w:themeColor="text1"/>
          <w:highlight w:val="none"/>
          <w:lang w:val="en-US" w:eastAsia="zh-CN"/>
          <w14:textFill>
            <w14:solidFill>
              <w14:schemeClr w14:val="tx1"/>
            </w14:solidFill>
          </w14:textFill>
        </w:rPr>
        <w:t>下</w:t>
      </w:r>
      <w:r>
        <w:rPr>
          <w:rFonts w:hint="default" w:ascii="Times New Roman" w:hAnsi="Times New Roman" w:cs="Times New Roman"/>
          <w:color w:val="000000" w:themeColor="text1"/>
          <w:highlight w:val="none"/>
          <w14:textFill>
            <w14:solidFill>
              <w14:schemeClr w14:val="tx1"/>
            </w14:solidFill>
          </w14:textFill>
        </w:rPr>
        <w:t>。</w:t>
      </w:r>
    </w:p>
    <w:p>
      <w:pPr>
        <w:pStyle w:val="201"/>
        <w:spacing w:before="163"/>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环境影响要素矩阵</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
        <w:gridCol w:w="1330"/>
        <w:gridCol w:w="533"/>
        <w:gridCol w:w="534"/>
        <w:gridCol w:w="534"/>
        <w:gridCol w:w="533"/>
        <w:gridCol w:w="534"/>
        <w:gridCol w:w="534"/>
        <w:gridCol w:w="533"/>
        <w:gridCol w:w="465"/>
        <w:gridCol w:w="69"/>
        <w:gridCol w:w="534"/>
        <w:gridCol w:w="533"/>
        <w:gridCol w:w="534"/>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809" w:type="pct"/>
            <w:vMerge w:val="restar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环境因子</w:t>
            </w:r>
          </w:p>
        </w:tc>
        <w:tc>
          <w:tcPr>
            <w:tcW w:w="1298" w:type="pct"/>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工程施工</w:t>
            </w:r>
          </w:p>
        </w:tc>
        <w:tc>
          <w:tcPr>
            <w:tcW w:w="1257" w:type="pct"/>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正常运行</w:t>
            </w:r>
          </w:p>
        </w:tc>
        <w:tc>
          <w:tcPr>
            <w:tcW w:w="1341" w:type="pct"/>
            <w:gridSpan w:val="5"/>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非正常工况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809"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有利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不利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较大</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较轻</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有利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不利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较大</w:t>
            </w: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较轻</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有利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不利</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较大</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影响</w:t>
            </w:r>
          </w:p>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环境质量</w:t>
            </w: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地表水</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环境空气</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声环境</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restar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自然生态环境</w:t>
            </w: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地形地貌</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生态环境</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土壤</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植被</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水土流失</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土地利用</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 w:hRule="atLeast"/>
          <w:jc w:val="center"/>
        </w:trPr>
        <w:tc>
          <w:tcPr>
            <w:tcW w:w="295" w:type="pct"/>
            <w:vMerge w:val="continue"/>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809"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减少温室效应</w:t>
            </w: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gridSpan w:val="2"/>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4"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325" w:type="pct"/>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w:t>
      </w:r>
      <w:r>
        <w:rPr>
          <w:rFonts w:hint="eastAsia" w:cs="Times New Roman"/>
          <w:color w:val="000000" w:themeColor="text1"/>
          <w:kern w:val="2"/>
          <w:sz w:val="24"/>
          <w:szCs w:val="24"/>
          <w:highlight w:val="none"/>
          <w:lang w:val="en-US" w:eastAsia="zh-CN" w:bidi="ar-SA"/>
          <w14:textFill>
            <w14:solidFill>
              <w14:schemeClr w14:val="tx1"/>
            </w14:solidFill>
          </w14:textFill>
        </w:rPr>
        <w:t>上述环境影响识别</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结果可知，就环境影响因子影响而言，拟建工程主要影响为施工建设产生的环境影响及生态影响，同时</w:t>
      </w:r>
      <w:r>
        <w:rPr>
          <w:rFonts w:hint="eastAsia" w:cs="Times New Roman"/>
          <w:color w:val="000000" w:themeColor="text1"/>
          <w:kern w:val="2"/>
          <w:sz w:val="24"/>
          <w:szCs w:val="24"/>
          <w:highlight w:val="none"/>
          <w:lang w:val="en-US" w:eastAsia="zh-CN" w:bidi="ar-SA"/>
          <w14:textFill>
            <w14:solidFill>
              <w14:schemeClr w14:val="tx1"/>
            </w14:solidFill>
          </w14:textFill>
        </w:rPr>
        <w:t>试采期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环境空气影响也是项目环境影响的特点。</w:t>
      </w:r>
    </w:p>
    <w:p>
      <w:pPr>
        <w:pStyle w:val="4"/>
        <w:keepNext/>
        <w:keepLines/>
        <w:pageBreakBefore w:val="0"/>
        <w:widowControl w:val="0"/>
        <w:kinsoku/>
        <w:wordWrap/>
        <w:overflowPunct/>
        <w:topLinePunct w:val="0"/>
        <w:autoSpaceDE/>
        <w:autoSpaceDN/>
        <w:bidi w:val="0"/>
        <w:adjustRightInd w:val="0"/>
        <w:snapToGrid w:val="0"/>
        <w:spacing w:before="0" w:beforeLines="0" w:after="0" w:line="360" w:lineRule="auto"/>
        <w:ind w:firstLine="480" w:firstLineChars="200"/>
        <w:textAlignment w:val="auto"/>
        <w:rPr>
          <w:rFonts w:ascii="Times New Roman" w:hAnsi="Times New Roman" w:eastAsia="黑体"/>
          <w:b w:val="0"/>
          <w:color w:val="000000" w:themeColor="text1"/>
          <w:sz w:val="24"/>
          <w:szCs w:val="24"/>
          <w:highlight w:val="none"/>
          <w:lang w:eastAsia="zh-CN"/>
          <w14:textFill>
            <w14:solidFill>
              <w14:schemeClr w14:val="tx1"/>
            </w14:solidFill>
          </w14:textFill>
        </w:rPr>
      </w:pPr>
      <w:r>
        <w:rPr>
          <w:rFonts w:ascii="Times New Roman" w:hAnsi="Times New Roman" w:eastAsia="黑体"/>
          <w:b w:val="0"/>
          <w:color w:val="000000" w:themeColor="text1"/>
          <w:sz w:val="24"/>
          <w:szCs w:val="24"/>
          <w:highlight w:val="none"/>
          <w:lang w:eastAsia="zh-CN"/>
          <w14:textFill>
            <w14:solidFill>
              <w14:schemeClr w14:val="tx1"/>
            </w14:solidFill>
          </w14:textFill>
        </w:rPr>
        <w:t>评价因子筛选</w:t>
      </w:r>
    </w:p>
    <w:p>
      <w:pPr>
        <w:pStyle w:val="250"/>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根据建设项目特点、环境影响的主要特征和方式，结合区域自然生态环境情况、区域环境功能要求、环境保护目标、评价标准和环境制约因素等，筛选确定项目主要评价因子如下。</w:t>
      </w:r>
    </w:p>
    <w:p>
      <w:pPr>
        <w:pStyle w:val="201"/>
        <w:spacing w:before="163"/>
        <w:rPr>
          <w:color w:val="000000" w:themeColor="text1"/>
          <w:highlight w:val="none"/>
          <w14:textFill>
            <w14:solidFill>
              <w14:schemeClr w14:val="tx1"/>
            </w14:solidFill>
          </w14:textFill>
        </w:rPr>
        <w:sectPr>
          <w:pgSz w:w="11906" w:h="16838"/>
          <w:pgMar w:top="1440" w:right="1800" w:bottom="1440" w:left="1800" w:header="964" w:footer="964" w:gutter="0"/>
          <w:pgBorders>
            <w:top w:val="none" w:sz="0" w:space="0"/>
            <w:left w:val="none" w:sz="0" w:space="0"/>
            <w:bottom w:val="none" w:sz="0" w:space="0"/>
            <w:right w:val="none" w:sz="0" w:space="0"/>
          </w:pgBorders>
          <w:cols w:space="425" w:num="1"/>
          <w:docGrid w:type="lines" w:linePitch="326" w:charSpace="0"/>
        </w:sectPr>
      </w:pPr>
    </w:p>
    <w:p>
      <w:pPr>
        <w:pStyle w:val="201"/>
        <w:spacing w:before="163"/>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w:t>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STYLEREF 2 \s </w:instrText>
      </w:r>
      <w:r>
        <w:rPr>
          <w:rFonts w:hint="default"/>
          <w:color w:val="000000" w:themeColor="text1"/>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2.4</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noBreakHyphen/>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SEQ 表 \* ARABIC \s 2 </w:instrText>
      </w:r>
      <w:r>
        <w:rPr>
          <w:rFonts w:hint="default"/>
          <w:color w:val="000000" w:themeColor="text1"/>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2</w:t>
      </w:r>
      <w:r>
        <w:rPr>
          <w:rFonts w:hint="default"/>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本项目环境影响评价因子筛选表</w:t>
      </w:r>
    </w:p>
    <w:tbl>
      <w:tblPr>
        <w:tblStyle w:val="53"/>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376"/>
        <w:gridCol w:w="830"/>
        <w:gridCol w:w="1900"/>
        <w:gridCol w:w="1900"/>
        <w:gridCol w:w="1900"/>
        <w:gridCol w:w="1900"/>
        <w:gridCol w:w="1900"/>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tcBorders>
              <w:tl2br w:val="single" w:color="auto" w:sz="4" w:space="0"/>
            </w:tcBorders>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right"/>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环境要素</w:t>
            </w:r>
          </w:p>
          <w:p>
            <w:pPr>
              <w:pStyle w:val="20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rPr>
                <w:rFonts w:hint="default"/>
                <w:b/>
                <w:bCs/>
                <w:color w:val="000000" w:themeColor="text1"/>
                <w:kern w:val="2"/>
                <w:sz w:val="21"/>
                <w:szCs w:val="21"/>
                <w:highlight w:val="none"/>
                <w14:textFill>
                  <w14:solidFill>
                    <w14:schemeClr w14:val="tx1"/>
                  </w14:solidFill>
                </w14:textFill>
              </w:rPr>
            </w:pPr>
            <w:r>
              <w:rPr>
                <w:rFonts w:hint="eastAsia"/>
                <w:b/>
                <w:bCs/>
                <w:color w:val="000000" w:themeColor="text1"/>
                <w:kern w:val="2"/>
                <w:sz w:val="21"/>
                <w:szCs w:val="21"/>
                <w:highlight w:val="none"/>
                <w14:textFill>
                  <w14:solidFill>
                    <w14:schemeClr w14:val="tx1"/>
                  </w14:solidFill>
                </w14:textFill>
              </w:rPr>
              <w:t>单项工程</w:t>
            </w: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时期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大气</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地表水</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地下水</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土壤</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生态</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b/>
                <w:bCs/>
                <w:color w:val="000000" w:themeColor="text1"/>
                <w:highlight w:val="none"/>
                <w14:textFill>
                  <w14:solidFill>
                    <w14:schemeClr w14:val="tx1"/>
                  </w14:solidFill>
                </w14:textFill>
              </w:rPr>
            </w:pPr>
            <w:r>
              <w:rPr>
                <w:rFonts w:hint="eastAsia" w:eastAsia="宋体"/>
                <w:b/>
                <w:bCs/>
                <w:color w:val="000000" w:themeColor="text1"/>
                <w:highlight w:val="none"/>
                <w14:textFill>
                  <w14:solidFill>
                    <w14:schemeClr w14:val="tx1"/>
                  </w14:solidFill>
                </w14:textFill>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钻前工程</w:t>
            </w: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施工期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14:textFill>
                  <w14:solidFill>
                    <w14:schemeClr w14:val="tx1"/>
                  </w14:solidFill>
                </w14:textFill>
              </w:rPr>
              <w:t>颗粒物</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机械车辆燃油废气</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BOD</w:t>
            </w:r>
            <w:r>
              <w:rPr>
                <w:rFonts w:hint="default" w:eastAsia="宋体"/>
                <w:color w:val="000000" w:themeColor="text1"/>
                <w:highlight w:val="none"/>
                <w:vertAlign w:val="subscript"/>
                <w14:textFill>
                  <w14:solidFill>
                    <w14:schemeClr w14:val="tx1"/>
                  </w14:solidFill>
                </w14:textFill>
              </w:rPr>
              <w:t>5</w:t>
            </w:r>
            <w:r>
              <w:rPr>
                <w:rFonts w:hint="default" w:eastAsia="宋体"/>
                <w:color w:val="000000" w:themeColor="text1"/>
                <w:highlight w:val="none"/>
                <w14:textFill>
                  <w14:solidFill>
                    <w14:schemeClr w14:val="tx1"/>
                  </w14:solidFill>
                </w14:textFill>
              </w:rPr>
              <w:t>、COD、悬浮物、氨氮等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耗氧量、氨氮、石油类等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地表扰动面积及 类型、生态系统完整性</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钻井工程</w:t>
            </w: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施工期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SO</w:t>
            </w:r>
            <w:r>
              <w:rPr>
                <w:rFonts w:hint="default" w:eastAsia="宋体"/>
                <w:color w:val="000000" w:themeColor="text1"/>
                <w:highlight w:val="none"/>
                <w:vertAlign w:val="subscript"/>
                <w14:textFill>
                  <w14:solidFill>
                    <w14:schemeClr w14:val="tx1"/>
                  </w14:solidFill>
                </w14:textFill>
              </w:rPr>
              <w:t>2</w:t>
            </w:r>
            <w:r>
              <w:rPr>
                <w:rFonts w:hint="default" w:eastAsia="宋体"/>
                <w:color w:val="000000" w:themeColor="text1"/>
                <w:highlight w:val="none"/>
                <w14:textFill>
                  <w14:solidFill>
                    <w14:schemeClr w14:val="tx1"/>
                  </w14:solidFill>
                </w14:textFill>
              </w:rPr>
              <w:t>、NOx、非甲烷总烃</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/（进行污水处理设施依托可行性分析）</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pH值、挥发酚、耗氧量、氨氮、硫化物、氯化物、石油类、总硬度、溶解性总固体、钡、汞、砷、六价铬等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pH值、石油类、石油烃（C</w:t>
            </w:r>
            <w:r>
              <w:rPr>
                <w:rFonts w:hint="default" w:eastAsia="宋体"/>
                <w:color w:val="000000" w:themeColor="text1"/>
                <w:highlight w:val="none"/>
                <w:vertAlign w:val="subscript"/>
                <w14:textFill>
                  <w14:solidFill>
                    <w14:schemeClr w14:val="tx1"/>
                  </w14:solidFill>
                </w14:textFill>
              </w:rPr>
              <w:t>6</w:t>
            </w:r>
            <w:r>
              <w:rPr>
                <w:rFonts w:hint="default" w:eastAsia="宋体"/>
                <w:color w:val="000000" w:themeColor="text1"/>
                <w:highlight w:val="none"/>
                <w14:textFill>
                  <w14:solidFill>
                    <w14:schemeClr w14:val="tx1"/>
                  </w14:solidFill>
                </w14:textFill>
              </w:rPr>
              <w:t>~C</w:t>
            </w:r>
            <w:r>
              <w:rPr>
                <w:rFonts w:hint="default" w:eastAsia="宋体"/>
                <w:color w:val="000000" w:themeColor="text1"/>
                <w:highlight w:val="none"/>
                <w:vertAlign w:val="subscript"/>
                <w14:textFill>
                  <w14:solidFill>
                    <w14:schemeClr w14:val="tx1"/>
                  </w14:solidFill>
                </w14:textFill>
              </w:rPr>
              <w:t>9</w:t>
            </w:r>
            <w:r>
              <w:rPr>
                <w:rFonts w:hint="default" w:eastAsia="宋体"/>
                <w:color w:val="000000" w:themeColor="text1"/>
                <w:highlight w:val="none"/>
                <w14:textFill>
                  <w14:solidFill>
                    <w14:schemeClr w14:val="tx1"/>
                  </w14:solidFill>
                </w14:textFill>
              </w:rPr>
              <w:t>）、石油烃（C</w:t>
            </w:r>
            <w:r>
              <w:rPr>
                <w:rFonts w:hint="default" w:eastAsia="宋体"/>
                <w:color w:val="000000" w:themeColor="text1"/>
                <w:highlight w:val="none"/>
                <w:vertAlign w:val="subscript"/>
                <w14:textFill>
                  <w14:solidFill>
                    <w14:schemeClr w14:val="tx1"/>
                  </w14:solidFill>
                </w14:textFill>
              </w:rPr>
              <w:t>10</w:t>
            </w:r>
            <w:r>
              <w:rPr>
                <w:rFonts w:hint="default" w:eastAsia="宋体"/>
                <w:color w:val="000000" w:themeColor="text1"/>
                <w:highlight w:val="none"/>
                <w14:textFill>
                  <w14:solidFill>
                    <w14:schemeClr w14:val="tx1"/>
                  </w14:solidFill>
                </w14:textFill>
              </w:rPr>
              <w:t>~C</w:t>
            </w:r>
            <w:r>
              <w:rPr>
                <w:rFonts w:hint="default" w:eastAsia="宋体"/>
                <w:color w:val="000000" w:themeColor="text1"/>
                <w:highlight w:val="none"/>
                <w:vertAlign w:val="subscript"/>
                <w14:textFill>
                  <w14:solidFill>
                    <w14:schemeClr w14:val="tx1"/>
                  </w14:solidFill>
                </w14:textFill>
              </w:rPr>
              <w:t>40</w:t>
            </w:r>
            <w:r>
              <w:rPr>
                <w:rFonts w:hint="default" w:eastAsia="宋体"/>
                <w:color w:val="000000" w:themeColor="text1"/>
                <w:highlight w:val="none"/>
                <w14:textFill>
                  <w14:solidFill>
                    <w14:schemeClr w14:val="tx1"/>
                  </w14:solidFill>
                </w14:textFill>
              </w:rPr>
              <w:t>）、汞、砷、六价铬、土壤盐分含量等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昼间等效声级（L</w:t>
            </w:r>
            <w:r>
              <w:rPr>
                <w:rFonts w:hint="default" w:eastAsia="宋体"/>
                <w:color w:val="000000" w:themeColor="text1"/>
                <w:highlight w:val="none"/>
                <w:vertAlign w:val="subscript"/>
                <w14:textFill>
                  <w14:solidFill>
                    <w14:schemeClr w14:val="tx1"/>
                  </w14:solidFill>
                </w14:textFill>
              </w:rPr>
              <w:t>d</w:t>
            </w:r>
            <w:r>
              <w:rPr>
                <w:rFonts w:hint="default" w:eastAsia="宋体"/>
                <w:color w:val="000000" w:themeColor="text1"/>
                <w:highlight w:val="none"/>
                <w14:textFill>
                  <w14:solidFill>
                    <w14:schemeClr w14:val="tx1"/>
                  </w14:solidFill>
                </w14:textFill>
              </w:rPr>
              <w:t>）、夜间等效声级（L</w:t>
            </w:r>
            <w:r>
              <w:rPr>
                <w:rFonts w:hint="default" w:eastAsia="宋体"/>
                <w:color w:val="000000" w:themeColor="text1"/>
                <w:highlight w:val="none"/>
                <w:vertAlign w:val="subscript"/>
                <w14:textFill>
                  <w14:solidFill>
                    <w14:schemeClr w14:val="tx1"/>
                  </w14:solidFill>
                </w14:textFill>
              </w:rPr>
              <w:t>n</w:t>
            </w:r>
            <w:r>
              <w:rPr>
                <w:rFonts w:hint="default" w:eastAsia="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储层改造工程</w:t>
            </w: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施工期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SO</w:t>
            </w:r>
            <w:r>
              <w:rPr>
                <w:rFonts w:hint="default" w:eastAsia="宋体"/>
                <w:color w:val="000000" w:themeColor="text1"/>
                <w:highlight w:val="none"/>
                <w:vertAlign w:val="subscript"/>
                <w14:textFill>
                  <w14:solidFill>
                    <w14:schemeClr w14:val="tx1"/>
                  </w14:solidFill>
                </w14:textFill>
              </w:rPr>
              <w:t>2</w:t>
            </w:r>
            <w:r>
              <w:rPr>
                <w:rFonts w:hint="default" w:eastAsia="宋体"/>
                <w:color w:val="000000" w:themeColor="text1"/>
                <w:highlight w:val="none"/>
                <w14:textFill>
                  <w14:solidFill>
                    <w14:schemeClr w14:val="tx1"/>
                  </w14:solidFill>
                </w14:textFill>
              </w:rPr>
              <w:t>、NOx、非甲烷总烃</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/（进行污水处理设施依托可行性分析）</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pH值、挥发酚、耗氧量、氨氮、硫化物、氯化物、石油类、总硬度、溶解性总固体、钡、汞、砷、六价铬等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pH值、石油类</w:t>
            </w:r>
            <w:r>
              <w:rPr>
                <w:rFonts w:hint="eastAsia" w:eastAsia="宋体"/>
                <w:color w:val="000000" w:themeColor="text1"/>
                <w:highlight w:val="none"/>
                <w:lang w:eastAsia="zh-CN"/>
                <w14:textFill>
                  <w14:solidFill>
                    <w14:schemeClr w14:val="tx1"/>
                  </w14:solidFill>
                </w14:textFill>
              </w:rPr>
              <w:t>、</w:t>
            </w:r>
            <w:r>
              <w:rPr>
                <w:rFonts w:hint="default" w:eastAsia="宋体"/>
                <w:color w:val="000000" w:themeColor="text1"/>
                <w:highlight w:val="none"/>
                <w14:textFill>
                  <w14:solidFill>
                    <w14:schemeClr w14:val="tx1"/>
                  </w14:solidFill>
                </w14:textFill>
              </w:rPr>
              <w:t>汞、砷、六价铬、土壤盐分含量等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昼间等效声级（L</w:t>
            </w:r>
            <w:r>
              <w:rPr>
                <w:rFonts w:hint="default" w:eastAsia="宋体"/>
                <w:color w:val="000000" w:themeColor="text1"/>
                <w:highlight w:val="none"/>
                <w:vertAlign w:val="subscript"/>
                <w14:textFill>
                  <w14:solidFill>
                    <w14:schemeClr w14:val="tx1"/>
                  </w14:solidFill>
                </w14:textFill>
              </w:rPr>
              <w:t>d</w:t>
            </w:r>
            <w:r>
              <w:rPr>
                <w:rFonts w:hint="default" w:eastAsia="宋体"/>
                <w:color w:val="000000" w:themeColor="text1"/>
                <w:highlight w:val="none"/>
                <w14:textFill>
                  <w14:solidFill>
                    <w14:schemeClr w14:val="tx1"/>
                  </w14:solidFill>
                </w14:textFill>
              </w:rPr>
              <w:t>）、夜间等效声级（L</w:t>
            </w:r>
            <w:r>
              <w:rPr>
                <w:rFonts w:hint="default" w:eastAsia="宋体"/>
                <w:color w:val="000000" w:themeColor="text1"/>
                <w:highlight w:val="none"/>
                <w:vertAlign w:val="subscript"/>
                <w14:textFill>
                  <w14:solidFill>
                    <w14:schemeClr w14:val="tx1"/>
                  </w14:solidFill>
                </w14:textFill>
              </w:rPr>
              <w:t>n</w:t>
            </w:r>
            <w:r>
              <w:rPr>
                <w:rFonts w:hint="default" w:eastAsia="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vMerge w:val="restar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油气</w:t>
            </w:r>
            <w:r>
              <w:rPr>
                <w:rFonts w:hint="eastAsia" w:eastAsia="宋体"/>
                <w:color w:val="000000" w:themeColor="text1"/>
                <w:highlight w:val="none"/>
                <w:lang w:val="en-US" w:eastAsia="zh-CN"/>
                <w14:textFill>
                  <w14:solidFill>
                    <w14:schemeClr w14:val="tx1"/>
                  </w14:solidFill>
                </w14:textFill>
              </w:rPr>
              <w:t>集输</w:t>
            </w:r>
            <w:r>
              <w:rPr>
                <w:rFonts w:hint="eastAsia" w:eastAsia="宋体"/>
                <w:color w:val="000000" w:themeColor="text1"/>
                <w:highlight w:val="none"/>
                <w14:textFill>
                  <w14:solidFill>
                    <w14:schemeClr w14:val="tx1"/>
                  </w14:solidFill>
                </w14:textFill>
              </w:rPr>
              <w:t>工程</w:t>
            </w: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施工期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颗粒物</w:t>
            </w: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机械车辆燃油废气</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BOD</w:t>
            </w:r>
            <w:r>
              <w:rPr>
                <w:rFonts w:hint="default" w:eastAsia="宋体"/>
                <w:color w:val="000000" w:themeColor="text1"/>
                <w:highlight w:val="none"/>
                <w:vertAlign w:val="subscript"/>
                <w14:textFill>
                  <w14:solidFill>
                    <w14:schemeClr w14:val="tx1"/>
                  </w14:solidFill>
                </w14:textFill>
              </w:rPr>
              <w:t>5</w:t>
            </w:r>
            <w:r>
              <w:rPr>
                <w:rFonts w:hint="default" w:eastAsia="宋体"/>
                <w:color w:val="000000" w:themeColor="text1"/>
                <w:highlight w:val="none"/>
                <w14:textFill>
                  <w14:solidFill>
                    <w14:schemeClr w14:val="tx1"/>
                  </w14:solidFill>
                </w14:textFill>
              </w:rPr>
              <w:t>、COD、悬浮物、氨氮等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耗氧量、氨氮、石油类等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地表扰动面积及类型、生物量损失、物种多样性、生态系统完整性等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05" w:type="pct"/>
            <w:vMerge w:val="continue"/>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p>
        </w:tc>
        <w:tc>
          <w:tcPr>
            <w:tcW w:w="305"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试采期</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SO</w:t>
            </w:r>
            <w:r>
              <w:rPr>
                <w:rFonts w:hint="default" w:eastAsia="宋体"/>
                <w:color w:val="000000" w:themeColor="text1"/>
                <w:highlight w:val="none"/>
                <w:vertAlign w:val="subscript"/>
                <w14:textFill>
                  <w14:solidFill>
                    <w14:schemeClr w14:val="tx1"/>
                  </w14:solidFill>
                </w14:textFill>
              </w:rPr>
              <w:t>2</w:t>
            </w:r>
            <w:r>
              <w:rPr>
                <w:rFonts w:hint="default" w:eastAsia="宋体"/>
                <w:color w:val="000000" w:themeColor="text1"/>
                <w:highlight w:val="none"/>
                <w14:textFill>
                  <w14:solidFill>
                    <w14:schemeClr w14:val="tx1"/>
                  </w14:solidFill>
                </w14:textFill>
              </w:rPr>
              <w:t>、NOx、非甲烷总烃</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/（进行污水处理设施依托可行性分析）</w:t>
            </w:r>
          </w:p>
        </w:tc>
        <w:tc>
          <w:tcPr>
            <w:tcW w:w="698" w:type="pct"/>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耗氧量、氨氮、石油类等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土壤肥力或林地立地条件、生物多样性、生态系统完整性等</w:t>
            </w:r>
          </w:p>
        </w:tc>
        <w:tc>
          <w:tcPr>
            <w:tcW w:w="698" w:type="pct"/>
            <w:vAlign w:val="center"/>
          </w:tcPr>
          <w:p>
            <w:pPr>
              <w:pStyle w:val="201"/>
              <w:keepLines w:val="0"/>
              <w:pageBreakBefore w:val="0"/>
              <w:widowControl/>
              <w:suppressLineNumbers w:val="0"/>
              <w:kinsoku/>
              <w:wordWrap/>
              <w:overflowPunct/>
              <w:topLinePunct w:val="0"/>
              <w:bidi w:val="0"/>
              <w:adjustRightInd w:val="0"/>
              <w:snapToGrid w:val="0"/>
              <w:spacing w:before="0" w:beforeLines="0" w:beforeAutospacing="0" w:after="0" w:afterAutospacing="0" w:line="240" w:lineRule="auto"/>
              <w:ind w:left="0" w:right="0" w:firstLine="0" w:firstLineChars="0"/>
              <w:jc w:val="center"/>
              <w:rPr>
                <w:rFonts w:hint="default" w:eastAsia="宋体"/>
                <w:color w:val="000000" w:themeColor="text1"/>
                <w:highlight w:val="none"/>
                <w14:textFill>
                  <w14:solidFill>
                    <w14:schemeClr w14:val="tx1"/>
                  </w14:solidFill>
                </w14:textFill>
              </w:rPr>
            </w:pPr>
            <w:r>
              <w:rPr>
                <w:rFonts w:hint="default" w:eastAsia="宋体"/>
                <w:color w:val="000000" w:themeColor="text1"/>
                <w:highlight w:val="none"/>
                <w14:textFill>
                  <w14:solidFill>
                    <w14:schemeClr w14:val="tx1"/>
                  </w14:solidFill>
                </w14:textFill>
              </w:rPr>
              <w:t>昼间等效声级（L</w:t>
            </w:r>
            <w:r>
              <w:rPr>
                <w:rFonts w:hint="default" w:eastAsia="宋体"/>
                <w:color w:val="000000" w:themeColor="text1"/>
                <w:highlight w:val="none"/>
                <w:vertAlign w:val="subscript"/>
                <w14:textFill>
                  <w14:solidFill>
                    <w14:schemeClr w14:val="tx1"/>
                  </w14:solidFill>
                </w14:textFill>
              </w:rPr>
              <w:t>d</w:t>
            </w:r>
            <w:r>
              <w:rPr>
                <w:rFonts w:hint="default" w:eastAsia="宋体"/>
                <w:color w:val="000000" w:themeColor="text1"/>
                <w:highlight w:val="none"/>
                <w14:textFill>
                  <w14:solidFill>
                    <w14:schemeClr w14:val="tx1"/>
                  </w14:solidFill>
                </w14:textFill>
              </w:rPr>
              <w:t>）、夜间等效声级（L</w:t>
            </w:r>
            <w:r>
              <w:rPr>
                <w:rFonts w:hint="default" w:eastAsia="宋体"/>
                <w:color w:val="000000" w:themeColor="text1"/>
                <w:highlight w:val="none"/>
                <w:vertAlign w:val="subscript"/>
                <w14:textFill>
                  <w14:solidFill>
                    <w14:schemeClr w14:val="tx1"/>
                  </w14:solidFill>
                </w14:textFill>
              </w:rPr>
              <w:t>n</w:t>
            </w:r>
            <w:r>
              <w:rPr>
                <w:rFonts w:hint="default" w:eastAsia="宋体"/>
                <w:color w:val="000000" w:themeColor="text1"/>
                <w:highlight w:val="none"/>
                <w14:textFill>
                  <w14:solidFill>
                    <w14:schemeClr w14:val="tx1"/>
                  </w14:solidFill>
                </w14:textFill>
              </w:rPr>
              <w:t>）</w:t>
            </w:r>
          </w:p>
        </w:tc>
      </w:tr>
    </w:tbl>
    <w:p>
      <w:pPr>
        <w:spacing w:before="163" w:beforeLines="50"/>
        <w:ind w:firstLine="480"/>
        <w:rPr>
          <w:rFonts w:cs="Times New Roman"/>
          <w:color w:val="000000" w:themeColor="text1"/>
          <w:highlight w:val="none"/>
          <w14:textFill>
            <w14:solidFill>
              <w14:schemeClr w14:val="tx1"/>
            </w14:solidFill>
          </w14:textFill>
        </w:rPr>
        <w:sectPr>
          <w:pgSz w:w="16838" w:h="11906" w:orient="landscape"/>
          <w:pgMar w:top="1797" w:right="1440" w:bottom="1797" w:left="1440" w:header="964" w:footer="964" w:gutter="0"/>
          <w:pgBorders>
            <w:top w:val="none" w:sz="0" w:space="0"/>
            <w:left w:val="none" w:sz="0" w:space="0"/>
            <w:bottom w:val="none" w:sz="0" w:space="0"/>
            <w:right w:val="none" w:sz="0" w:space="0"/>
          </w:pgBorders>
          <w:cols w:space="425" w:num="1"/>
          <w:docGrid w:type="linesAndChars" w:linePitch="326" w:charSpace="0"/>
        </w:sectPr>
      </w:pP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cs="Times New Roman"/>
          <w:color w:val="000000" w:themeColor="text1"/>
          <w:highlight w:val="none"/>
          <w14:textFill>
            <w14:solidFill>
              <w14:schemeClr w14:val="tx1"/>
            </w14:solidFill>
          </w14:textFill>
        </w:rPr>
        <w:t>在工程分析和现场调查的基础上，结合本项目的特点，进行项目环境影响识别与评价因子筛选，确定本次评价的重点，生态环境影响因素如下表所示。</w:t>
      </w:r>
    </w:p>
    <w:p>
      <w:pPr>
        <w:pStyle w:val="201"/>
        <w:spacing w:before="163"/>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w:t>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STYLEREF 2 \s </w:instrText>
      </w:r>
      <w:r>
        <w:rPr>
          <w:rFonts w:hint="default"/>
          <w:color w:val="000000" w:themeColor="text1"/>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2.4</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noBreakHyphen/>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SEQ 表 \* ARABIC \s 2 </w:instrText>
      </w:r>
      <w:r>
        <w:rPr>
          <w:rFonts w:hint="default"/>
          <w:color w:val="000000" w:themeColor="text1"/>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3</w:t>
      </w:r>
      <w:r>
        <w:rPr>
          <w:rFonts w:hint="default"/>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施工期陆生生态影响评价因子筛选表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1"/>
        <w:gridCol w:w="2819"/>
        <w:gridCol w:w="3356"/>
        <w:gridCol w:w="541"/>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blHeader/>
          <w:jc w:val="center"/>
        </w:trPr>
        <w:tc>
          <w:tcPr>
            <w:tcW w:w="65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受影响对象</w:t>
            </w:r>
          </w:p>
        </w:tc>
        <w:tc>
          <w:tcPr>
            <w:tcW w:w="169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评价因子</w:t>
            </w:r>
          </w:p>
        </w:tc>
        <w:tc>
          <w:tcPr>
            <w:tcW w:w="201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工程内容及影响方式</w:t>
            </w:r>
          </w:p>
        </w:tc>
        <w:tc>
          <w:tcPr>
            <w:tcW w:w="32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影响性质</w:t>
            </w:r>
          </w:p>
        </w:tc>
        <w:tc>
          <w:tcPr>
            <w:tcW w:w="30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分布范围、种群数量、种群结构、行为等</w:t>
            </w:r>
          </w:p>
        </w:tc>
        <w:tc>
          <w:tcPr>
            <w:tcW w:w="2018" w:type="pct"/>
            <w:vMerge w:val="restar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井</w:t>
            </w:r>
            <w:r>
              <w:rPr>
                <w:rFonts w:hint="default"/>
                <w:color w:val="000000" w:themeColor="text1"/>
                <w:szCs w:val="20"/>
                <w:highlight w:val="none"/>
                <w14:textFill>
                  <w14:solidFill>
                    <w14:schemeClr w14:val="tx1"/>
                  </w14:solidFill>
                </w14:textFill>
              </w:rPr>
              <w:t>场及边坡，进场道路，放喷池，放喷管线及施工便道，集输管线，表土堆场，生活营地，直接影响。</w:t>
            </w:r>
          </w:p>
        </w:tc>
        <w:tc>
          <w:tcPr>
            <w:tcW w:w="325" w:type="pct"/>
            <w:vMerge w:val="restar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短期、可逆</w:t>
            </w:r>
          </w:p>
        </w:tc>
        <w:tc>
          <w:tcPr>
            <w:tcW w:w="306" w:type="pct"/>
            <w:vMerge w:val="restar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生境</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生境面积、质量、连通性等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生物群落</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物种组成、群落结构等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生态系统</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植被覆盖度、生产力、生物量、生态系统功能等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生物多样性</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物种丰富度、均匀度、优势度等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091"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生态敏感区</w:t>
            </w:r>
          </w:p>
        </w:tc>
        <w:tc>
          <w:tcPr>
            <w:tcW w:w="2819"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0"/>
                <w:highlight w:val="none"/>
                <w:lang w:val="en-US"/>
                <w14:textFill>
                  <w14:solidFill>
                    <w14:schemeClr w14:val="tx1"/>
                  </w14:solidFill>
                </w14:textFill>
              </w:rPr>
            </w:pPr>
            <w:r>
              <w:rPr>
                <w:rFonts w:hint="default" w:ascii="Times New Roman" w:hAnsi="Times New Roman" w:cs="Times New Roman"/>
                <w:color w:val="000000" w:themeColor="text1"/>
                <w:szCs w:val="20"/>
                <w:highlight w:val="none"/>
                <w:lang w:val="en-US"/>
                <w14:textFill>
                  <w14:solidFill>
                    <w14:schemeClr w14:val="tx1"/>
                  </w14:solidFill>
                </w14:textFill>
              </w:rPr>
              <w:t>主要保护对象、生态功能等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56"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自然景观</w:t>
            </w:r>
          </w:p>
        </w:tc>
        <w:tc>
          <w:tcPr>
            <w:tcW w:w="1695"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景观多样性、完整性等</w:t>
            </w:r>
          </w:p>
        </w:tc>
        <w:tc>
          <w:tcPr>
            <w:tcW w:w="2018"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2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bl>
    <w:p>
      <w:pPr>
        <w:pStyle w:val="201"/>
        <w:spacing w:before="16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试采期</w:t>
      </w:r>
      <w:r>
        <w:rPr>
          <w:rFonts w:hint="eastAsia"/>
          <w:color w:val="000000" w:themeColor="text1"/>
          <w:highlight w:val="none"/>
          <w14:textFill>
            <w14:solidFill>
              <w14:schemeClr w14:val="tx1"/>
            </w14:solidFill>
          </w14:textFill>
        </w:rPr>
        <w:t>陆生生态影响评价因子筛选表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8"/>
        <w:gridCol w:w="2847"/>
        <w:gridCol w:w="2902"/>
        <w:gridCol w:w="980"/>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受影响对象</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评价因子</w:t>
            </w:r>
          </w:p>
        </w:tc>
        <w:tc>
          <w:tcPr>
            <w:tcW w:w="1745" w:type="pct"/>
            <w:vAlign w:val="center"/>
          </w:tcPr>
          <w:p>
            <w:pPr>
              <w:pStyle w:val="295"/>
              <w:keepNext w:val="0"/>
              <w:keepLines w:val="0"/>
              <w:widowControl/>
              <w:suppressLineNumbers w:val="0"/>
              <w:spacing w:before="0" w:beforeAutospacing="0" w:after="0" w:afterAutospacing="0"/>
              <w:ind w:left="0" w:right="0"/>
              <w:jc w:val="center"/>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工程内容及影响方式</w:t>
            </w:r>
          </w:p>
        </w:tc>
        <w:tc>
          <w:tcPr>
            <w:tcW w:w="589" w:type="pct"/>
            <w:vAlign w:val="center"/>
          </w:tcPr>
          <w:p>
            <w:pPr>
              <w:pStyle w:val="295"/>
              <w:keepNext w:val="0"/>
              <w:keepLines w:val="0"/>
              <w:widowControl/>
              <w:suppressLineNumbers w:val="0"/>
              <w:spacing w:before="0" w:beforeAutospacing="0" w:after="0" w:afterAutospacing="0"/>
              <w:ind w:left="0" w:right="0"/>
              <w:jc w:val="center"/>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影响性质</w:t>
            </w:r>
          </w:p>
        </w:tc>
        <w:tc>
          <w:tcPr>
            <w:tcW w:w="306" w:type="pct"/>
            <w:vAlign w:val="center"/>
          </w:tcPr>
          <w:p>
            <w:pPr>
              <w:pStyle w:val="295"/>
              <w:keepNext w:val="0"/>
              <w:keepLines w:val="0"/>
              <w:widowControl/>
              <w:suppressLineNumbers w:val="0"/>
              <w:spacing w:before="0" w:beforeAutospacing="0" w:after="0" w:afterAutospacing="0"/>
              <w:ind w:left="0" w:right="0"/>
              <w:jc w:val="center"/>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分布范围、种群数量、种群结构、行为等</w:t>
            </w:r>
          </w:p>
        </w:tc>
        <w:tc>
          <w:tcPr>
            <w:tcW w:w="1745" w:type="pct"/>
            <w:vMerge w:val="restart"/>
            <w:vAlign w:val="center"/>
          </w:tcPr>
          <w:p>
            <w:pPr>
              <w:pStyle w:val="295"/>
              <w:keepNext w:val="0"/>
              <w:keepLines w:val="0"/>
              <w:widowControl/>
              <w:suppressLineNumbers w:val="0"/>
              <w:spacing w:before="0" w:beforeAutospacing="0" w:after="0" w:afterAutospacing="0"/>
              <w:ind w:left="0" w:right="0"/>
              <w:jc w:val="center"/>
              <w:rPr>
                <w:rFonts w:hint="eastAsia" w:eastAsia="宋体"/>
                <w:color w:val="000000" w:themeColor="text1"/>
                <w:szCs w:val="20"/>
                <w:highlight w:val="none"/>
                <w:lang w:eastAsia="zh-CN"/>
                <w14:textFill>
                  <w14:solidFill>
                    <w14:schemeClr w14:val="tx1"/>
                  </w14:solidFill>
                </w14:textFill>
              </w:rPr>
            </w:pPr>
            <w:r>
              <w:rPr>
                <w:rFonts w:hint="eastAsia"/>
                <w:bCs/>
                <w:color w:val="000000" w:themeColor="text1"/>
                <w:szCs w:val="20"/>
                <w:highlight w:val="none"/>
                <w14:textFill>
                  <w14:solidFill>
                    <w14:schemeClr w14:val="tx1"/>
                  </w14:solidFill>
                </w14:textFill>
              </w:rPr>
              <w:t>利用施工期占地，</w:t>
            </w:r>
            <w:r>
              <w:rPr>
                <w:rFonts w:hint="default"/>
                <w:bCs/>
                <w:color w:val="000000" w:themeColor="text1"/>
                <w:szCs w:val="20"/>
                <w:highlight w:val="none"/>
                <w14:textFill>
                  <w14:solidFill>
                    <w14:schemeClr w14:val="tx1"/>
                  </w14:solidFill>
                </w14:textFill>
              </w:rPr>
              <w:t>不新增占地，间接影响</w:t>
            </w:r>
            <w:r>
              <w:rPr>
                <w:rFonts w:hint="eastAsia"/>
                <w:bCs/>
                <w:color w:val="000000" w:themeColor="text1"/>
                <w:szCs w:val="20"/>
                <w:highlight w:val="none"/>
                <w:lang w:eastAsia="zh-CN"/>
                <w14:textFill>
                  <w14:solidFill>
                    <w14:schemeClr w14:val="tx1"/>
                  </w14:solidFill>
                </w14:textFill>
              </w:rPr>
              <w:t>。</w:t>
            </w:r>
          </w:p>
        </w:tc>
        <w:tc>
          <w:tcPr>
            <w:tcW w:w="589" w:type="pct"/>
            <w:vMerge w:val="restar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短期、可逆</w:t>
            </w:r>
          </w:p>
        </w:tc>
        <w:tc>
          <w:tcPr>
            <w:tcW w:w="306" w:type="pct"/>
            <w:vMerge w:val="restar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生境</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生境面积、质量、连通性等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生物群落</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物种组成、群落结构等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生态系统</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植被覆盖度、生产力、生物量、生态系统功能等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生物多样性</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物种丰富度、均匀度、优势度等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078" w:type="dxa"/>
            <w:vAlign w:val="center"/>
          </w:tcPr>
          <w:p>
            <w:pPr>
              <w:pStyle w:val="295"/>
              <w:keepNext w:val="0"/>
              <w:keepLines w:val="0"/>
              <w:widowControl/>
              <w:suppressLineNumbers w:val="0"/>
              <w:spacing w:before="0" w:beforeAutospacing="0" w:after="0" w:afterAutospacing="0"/>
              <w:ind w:left="0" w:leftChars="0" w:right="0" w:rightChars="0"/>
              <w:jc w:val="center"/>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生态敏感区</w:t>
            </w:r>
          </w:p>
        </w:tc>
        <w:tc>
          <w:tcPr>
            <w:tcW w:w="2847" w:type="dxa"/>
            <w:vAlign w:val="center"/>
          </w:tcPr>
          <w:p>
            <w:pPr>
              <w:pStyle w:val="295"/>
              <w:keepNext w:val="0"/>
              <w:keepLines w:val="0"/>
              <w:widowControl/>
              <w:suppressLineNumbers w:val="0"/>
              <w:spacing w:before="0" w:beforeAutospacing="0" w:after="0" w:afterAutospacing="0"/>
              <w:ind w:left="0" w:leftChars="0" w:right="0" w:rightChars="0"/>
              <w:jc w:val="center"/>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主要保护对象、生态功能等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48"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自然景观</w:t>
            </w:r>
          </w:p>
        </w:tc>
        <w:tc>
          <w:tcPr>
            <w:tcW w:w="1712" w:type="pct"/>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景观多样性、完整性等</w:t>
            </w:r>
          </w:p>
        </w:tc>
        <w:tc>
          <w:tcPr>
            <w:tcW w:w="1745"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589"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c>
          <w:tcPr>
            <w:tcW w:w="306" w:type="pct"/>
            <w:vMerge w:val="continue"/>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14:textFill>
                  <w14:solidFill>
                    <w14:schemeClr w14:val="tx1"/>
                  </w14:solidFill>
                </w14:textFill>
              </w:rPr>
            </w:pPr>
          </w:p>
        </w:tc>
      </w:tr>
    </w:tbl>
    <w:p>
      <w:pPr>
        <w:pStyle w:val="3"/>
        <w:keepNext/>
        <w:keepLines/>
        <w:pageBreakBefore w:val="0"/>
        <w:widowControl w:val="0"/>
        <w:kinsoku/>
        <w:wordWrap/>
        <w:overflowPunct/>
        <w:topLinePunct w:val="0"/>
        <w:autoSpaceDE/>
        <w:autoSpaceDN/>
        <w:bidi w:val="0"/>
        <w:adjustRightInd w:val="0"/>
        <w:snapToGrid w:val="0"/>
        <w:spacing w:before="164" w:beforeLines="50"/>
        <w:textAlignment w:val="auto"/>
        <w:rPr>
          <w:color w:val="000000" w:themeColor="text1"/>
          <w:highlight w:val="none"/>
          <w:lang w:eastAsia="zh-CN"/>
          <w14:textFill>
            <w14:solidFill>
              <w14:schemeClr w14:val="tx1"/>
            </w14:solidFill>
          </w14:textFill>
        </w:rPr>
      </w:pPr>
      <w:bookmarkStart w:id="48" w:name="_Toc18406"/>
      <w:r>
        <w:rPr>
          <w:color w:val="000000" w:themeColor="text1"/>
          <w:highlight w:val="none"/>
          <w:lang w:eastAsia="zh-CN"/>
          <w14:textFill>
            <w14:solidFill>
              <w14:schemeClr w14:val="tx1"/>
            </w14:solidFill>
          </w14:textFill>
        </w:rPr>
        <w:t>环境功能区划与评价标准</w:t>
      </w:r>
      <w:bookmarkEnd w:id="48"/>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9" w:name="_Toc120173065"/>
      <w:r>
        <w:rPr>
          <w:color w:val="000000" w:themeColor="text1"/>
          <w:highlight w:val="none"/>
          <w:lang w:eastAsia="zh-CN"/>
          <w14:textFill>
            <w14:solidFill>
              <w14:schemeClr w14:val="tx1"/>
            </w14:solidFill>
          </w14:textFill>
        </w:rPr>
        <w:t>环境功能区划</w:t>
      </w:r>
      <w:bookmarkEnd w:id="49"/>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（1）大气环境功能区划</w:t>
      </w:r>
    </w:p>
    <w:p>
      <w:pPr>
        <w:tabs>
          <w:tab w:val="left" w:pos="0"/>
        </w:tabs>
        <w:ind w:firstLine="480"/>
        <w:rPr>
          <w:rFonts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工程建设区域属</w:t>
      </w:r>
      <w:r>
        <w:rPr>
          <w:rFonts w:hint="eastAsia" w:cs="Times New Roman"/>
          <w:bCs/>
          <w:color w:val="000000" w:themeColor="text1"/>
          <w:szCs w:val="24"/>
          <w:highlight w:val="none"/>
          <w:lang w:val="en-US" w:eastAsia="zh-CN"/>
          <w14:textFill>
            <w14:solidFill>
              <w14:schemeClr w14:val="tx1"/>
            </w14:solidFill>
          </w14:textFill>
        </w:rPr>
        <w:t>农村</w:t>
      </w:r>
      <w:r>
        <w:rPr>
          <w:rFonts w:hint="default" w:ascii="Times New Roman" w:hAnsi="Times New Roman" w:cs="Times New Roman"/>
          <w:bCs/>
          <w:color w:val="000000" w:themeColor="text1"/>
          <w:szCs w:val="24"/>
          <w:highlight w:val="none"/>
          <w14:textFill>
            <w14:solidFill>
              <w14:schemeClr w14:val="tx1"/>
            </w14:solidFill>
          </w14:textFill>
        </w:rPr>
        <w:t>环境，</w:t>
      </w:r>
      <w:r>
        <w:rPr>
          <w:rFonts w:cs="Times New Roman"/>
          <w:bCs/>
          <w:color w:val="000000" w:themeColor="text1"/>
          <w:szCs w:val="24"/>
          <w:highlight w:val="none"/>
          <w14:textFill>
            <w14:solidFill>
              <w14:schemeClr w14:val="tx1"/>
            </w14:solidFill>
          </w14:textFill>
        </w:rPr>
        <w:t>根据《环境空气质量标准》（GB3095-2012）划分，工程建设区属2类地区，执行《环境空气质量标准》（GB3095-2012）中的二级标准。</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（2）地表水环境功能区划</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根据宣汉县地表水功能区划，本项目周边地表水后河</w:t>
      </w:r>
      <w:r>
        <w:rPr>
          <w:rFonts w:hint="eastAsia" w:cs="Times New Roman"/>
          <w:bCs/>
          <w:color w:val="000000" w:themeColor="text1"/>
          <w:szCs w:val="24"/>
          <w:highlight w:val="none"/>
          <w14:textFill>
            <w14:solidFill>
              <w14:schemeClr w14:val="tx1"/>
            </w14:solidFill>
          </w14:textFill>
        </w:rPr>
        <w:t>及其支流</w:t>
      </w:r>
      <w:r>
        <w:rPr>
          <w:rFonts w:cs="Times New Roman"/>
          <w:bCs/>
          <w:color w:val="000000" w:themeColor="text1"/>
          <w:szCs w:val="24"/>
          <w:highlight w:val="none"/>
          <w14:textFill>
            <w14:solidFill>
              <w14:schemeClr w14:val="tx1"/>
            </w14:solidFill>
          </w14:textFill>
        </w:rPr>
        <w:t>为《地表水环境质量标准》（GB3838-2002）Ⅲ类水域。</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（3）地下水环境功能区划</w:t>
      </w:r>
    </w:p>
    <w:p>
      <w:pPr>
        <w:tabs>
          <w:tab w:val="left" w:pos="0"/>
        </w:tabs>
        <w:ind w:firstLine="480"/>
        <w:rPr>
          <w:rFonts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项目所在区域地下水属于III类地下水功能区</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地下水环境质量评价均执行《地下水质量标准》（GB/T14848-2017）III类标准。</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（4）声环境功能区划</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项目位于</w:t>
      </w:r>
      <w:r>
        <w:rPr>
          <w:rFonts w:hint="eastAsia" w:cs="Times New Roman"/>
          <w:bCs/>
          <w:color w:val="000000" w:themeColor="text1"/>
          <w:szCs w:val="24"/>
          <w:highlight w:val="none"/>
          <w:lang w:eastAsia="zh-CN"/>
          <w14:textFill>
            <w14:solidFill>
              <w14:schemeClr w14:val="tx1"/>
            </w14:solidFill>
          </w14:textFill>
        </w:rPr>
        <w:t>宣汉县***</w:t>
      </w:r>
      <w:r>
        <w:rPr>
          <w:rFonts w:cs="Times New Roman"/>
          <w:bCs/>
          <w:color w:val="000000" w:themeColor="text1"/>
          <w:szCs w:val="24"/>
          <w:highlight w:val="none"/>
          <w14:textFill>
            <w14:solidFill>
              <w14:schemeClr w14:val="tx1"/>
            </w14:solidFill>
          </w14:textFill>
        </w:rPr>
        <w:t>，根据《声环境质量标准》（GB3096-2008），功能区划属2类区域。</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（5）生态功能区划</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根据《四川省生态功能区划》，</w:t>
      </w:r>
      <w:r>
        <w:rPr>
          <w:rFonts w:cs="Times New Roman"/>
          <w:color w:val="000000" w:themeColor="text1"/>
          <w:szCs w:val="24"/>
          <w:highlight w:val="none"/>
          <w14:textFill>
            <w14:solidFill>
              <w14:schemeClr w14:val="tx1"/>
            </w14:solidFill>
          </w14:textFill>
        </w:rPr>
        <w:t>项目所在地位于Ⅰ四川盆地亚热带农林生态区--Ⅰ-2盆中丘陵农林复合生态亚区--Ⅰ-2-1盆北深丘农林与土壤保持生态功能区，其生态建设与发展方向为：发掘历史文化财富，开发人文景观资源，发展旅游观光业及相关产业链。维护森林生态系统和农田生态系统的良性循环，改善水土流失现状；发展中药材产业，做好野生资源保护工作</w:t>
      </w:r>
      <w:r>
        <w:rPr>
          <w:rFonts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（6）水土流失防治区划分</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根据达州市水利局《关于水土保持</w:t>
      </w:r>
      <w:r>
        <w:rPr>
          <w:rFonts w:ascii="宋体" w:hAnsi="宋体" w:cs="Times New Roman"/>
          <w:bCs/>
          <w:color w:val="000000" w:themeColor="text1"/>
          <w:szCs w:val="24"/>
          <w:highlight w:val="none"/>
          <w14:textFill>
            <w14:solidFill>
              <w14:schemeClr w14:val="tx1"/>
            </w14:solidFill>
          </w14:textFill>
        </w:rPr>
        <w:t>“两区”</w:t>
      </w:r>
      <w:r>
        <w:rPr>
          <w:rFonts w:cs="Times New Roman"/>
          <w:bCs/>
          <w:color w:val="000000" w:themeColor="text1"/>
          <w:szCs w:val="24"/>
          <w:highlight w:val="none"/>
          <w14:textFill>
            <w14:solidFill>
              <w14:schemeClr w14:val="tx1"/>
            </w14:solidFill>
          </w14:textFill>
        </w:rPr>
        <w:t>划分的公告》，本项目涉及水土流失</w:t>
      </w:r>
      <w:r>
        <w:rPr>
          <w:rFonts w:hint="eastAsia" w:cs="Times New Roman"/>
          <w:bCs/>
          <w:color w:val="000000" w:themeColor="text1"/>
          <w:szCs w:val="24"/>
          <w:highlight w:val="none"/>
          <w:lang w:val="en-US" w:eastAsia="zh-CN"/>
          <w14:textFill>
            <w14:solidFill>
              <w14:schemeClr w14:val="tx1"/>
            </w14:solidFill>
          </w14:textFill>
        </w:rPr>
        <w:t>重点预防区和</w:t>
      </w:r>
      <w:r>
        <w:rPr>
          <w:rFonts w:cs="Times New Roman"/>
          <w:bCs/>
          <w:color w:val="000000" w:themeColor="text1"/>
          <w:szCs w:val="24"/>
          <w:highlight w:val="none"/>
          <w14:textFill>
            <w14:solidFill>
              <w14:schemeClr w14:val="tx1"/>
            </w14:solidFill>
          </w14:textFill>
        </w:rPr>
        <w:t>重点治理区。</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0" w:name="_Toc120173066"/>
      <w:r>
        <w:rPr>
          <w:color w:val="000000" w:themeColor="text1"/>
          <w:highlight w:val="none"/>
          <w:lang w:eastAsia="zh-CN"/>
          <w14:textFill>
            <w14:solidFill>
              <w14:schemeClr w14:val="tx1"/>
            </w14:solidFill>
          </w14:textFill>
        </w:rPr>
        <w:t>环境质量标准</w:t>
      </w:r>
      <w:bookmarkEnd w:id="50"/>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（1）地表水</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本项目地表水执行《地表水环境质量标准》（GB3838-2002）</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表1中</w:t>
      </w:r>
      <w:r>
        <w:rPr>
          <w:rFonts w:ascii="Times New Roman" w:hAnsi="Times New Roman"/>
          <w:bCs/>
          <w:color w:val="000000" w:themeColor="text1"/>
          <w:szCs w:val="24"/>
          <w:highlight w:val="none"/>
          <w14:textFill>
            <w14:solidFill>
              <w14:schemeClr w14:val="tx1"/>
            </w14:solidFill>
          </w14:textFill>
        </w:rPr>
        <w:t>Ⅲ类水域标准，</w:t>
      </w:r>
      <w:r>
        <w:rPr>
          <w:rFonts w:hint="eastAsia" w:ascii="Times New Roman" w:hAnsi="Times New Roman"/>
          <w:bCs/>
          <w:color w:val="000000" w:themeColor="text1"/>
          <w:szCs w:val="24"/>
          <w:highlight w:val="none"/>
          <w:lang w:val="en-US" w:eastAsia="zh-CN"/>
          <w14:textFill>
            <w14:solidFill>
              <w14:schemeClr w14:val="tx1"/>
            </w14:solidFill>
          </w14:textFill>
        </w:rPr>
        <w:t>其中</w:t>
      </w:r>
      <w:r>
        <w:rPr>
          <w:rFonts w:ascii="Times New Roman" w:hAnsi="Times New Roman"/>
          <w:bCs/>
          <w:color w:val="000000" w:themeColor="text1"/>
          <w:szCs w:val="24"/>
          <w:highlight w:val="none"/>
          <w14:textFill>
            <w14:solidFill>
              <w14:schemeClr w14:val="tx1"/>
            </w14:solidFill>
          </w14:textFill>
        </w:rPr>
        <w:t>氯化物执行《地表水环境质量标准》（GB3838-2002）中表2标准限值。</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地表水环境质量标准</w:t>
      </w:r>
      <w:r>
        <w:rPr>
          <w:rFonts w:hint="eastAsia"/>
          <w:color w:val="000000" w:themeColor="text1"/>
          <w:highlight w:val="none"/>
          <w:lang w:val="en-US" w:eastAsia="zh-CN"/>
          <w14:textFill>
            <w14:solidFill>
              <w14:schemeClr w14:val="tx1"/>
            </w14:solidFill>
          </w14:textFill>
        </w:rPr>
        <w:t>限值</w:t>
      </w:r>
      <w:r>
        <w:rPr>
          <w:color w:val="000000" w:themeColor="text1"/>
          <w:highlight w:val="none"/>
          <w14:textFill>
            <w14:solidFill>
              <w14:schemeClr w14:val="tx1"/>
            </w14:solidFill>
          </w14:textFill>
        </w:rPr>
        <w:t xml:space="preserve">  单位：mg/L</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680"/>
        <w:gridCol w:w="864"/>
        <w:gridCol w:w="738"/>
        <w:gridCol w:w="793"/>
        <w:gridCol w:w="779"/>
        <w:gridCol w:w="835"/>
        <w:gridCol w:w="794"/>
        <w:gridCol w:w="821"/>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68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w:t>
            </w:r>
          </w:p>
        </w:tc>
        <w:tc>
          <w:tcPr>
            <w:tcW w:w="86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COD</w:t>
            </w:r>
            <w:r>
              <w:rPr>
                <w:rFonts w:hint="default"/>
                <w:b/>
                <w:bCs/>
                <w:color w:val="000000" w:themeColor="text1"/>
                <w:szCs w:val="20"/>
                <w:highlight w:val="none"/>
                <w:vertAlign w:val="subscript"/>
                <w14:textFill>
                  <w14:solidFill>
                    <w14:schemeClr w14:val="tx1"/>
                  </w14:solidFill>
                </w14:textFill>
              </w:rPr>
              <w:t>Cr</w:t>
            </w:r>
          </w:p>
        </w:tc>
        <w:tc>
          <w:tcPr>
            <w:tcW w:w="73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石油类</w:t>
            </w:r>
          </w:p>
        </w:tc>
        <w:tc>
          <w:tcPr>
            <w:tcW w:w="79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BOD</w:t>
            </w:r>
            <w:r>
              <w:rPr>
                <w:rFonts w:hint="default"/>
                <w:b/>
                <w:bCs/>
                <w:color w:val="000000" w:themeColor="text1"/>
                <w:szCs w:val="20"/>
                <w:highlight w:val="none"/>
                <w:vertAlign w:val="subscript"/>
                <w14:textFill>
                  <w14:solidFill>
                    <w14:schemeClr w14:val="tx1"/>
                  </w14:solidFill>
                </w14:textFill>
              </w:rPr>
              <w:t>5</w:t>
            </w:r>
          </w:p>
        </w:tc>
        <w:tc>
          <w:tcPr>
            <w:tcW w:w="77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六价铬</w:t>
            </w:r>
          </w:p>
        </w:tc>
        <w:tc>
          <w:tcPr>
            <w:tcW w:w="83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挥发酚</w:t>
            </w:r>
          </w:p>
        </w:tc>
        <w:tc>
          <w:tcPr>
            <w:tcW w:w="79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NH</w:t>
            </w:r>
            <w:r>
              <w:rPr>
                <w:rFonts w:hint="default"/>
                <w:b/>
                <w:bCs/>
                <w:color w:val="000000" w:themeColor="text1"/>
                <w:szCs w:val="20"/>
                <w:highlight w:val="none"/>
                <w:vertAlign w:val="subscript"/>
                <w14:textFill>
                  <w14:solidFill>
                    <w14:schemeClr w14:val="tx1"/>
                  </w14:solidFill>
                </w14:textFill>
              </w:rPr>
              <w:t>3</w:t>
            </w:r>
            <w:r>
              <w:rPr>
                <w:rFonts w:hint="default"/>
                <w:b/>
                <w:bCs/>
                <w:color w:val="000000" w:themeColor="text1"/>
                <w:szCs w:val="20"/>
                <w:highlight w:val="none"/>
                <w14:textFill>
                  <w14:solidFill>
                    <w14:schemeClr w14:val="tx1"/>
                  </w14:solidFill>
                </w14:textFill>
              </w:rPr>
              <w:t>-N</w:t>
            </w:r>
          </w:p>
        </w:tc>
        <w:tc>
          <w:tcPr>
            <w:tcW w:w="82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硫化物</w:t>
            </w:r>
          </w:p>
        </w:tc>
        <w:tc>
          <w:tcPr>
            <w:tcW w:w="81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Ⅲ类标准</w:t>
            </w:r>
          </w:p>
        </w:tc>
        <w:tc>
          <w:tcPr>
            <w:tcW w:w="68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6～9</w:t>
            </w:r>
          </w:p>
        </w:tc>
        <w:tc>
          <w:tcPr>
            <w:tcW w:w="86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73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≤0.05</w:t>
            </w:r>
          </w:p>
        </w:tc>
        <w:tc>
          <w:tcPr>
            <w:tcW w:w="79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77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≤0.05</w:t>
            </w:r>
          </w:p>
        </w:tc>
        <w:tc>
          <w:tcPr>
            <w:tcW w:w="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≤0.005</w:t>
            </w:r>
          </w:p>
        </w:tc>
        <w:tc>
          <w:tcPr>
            <w:tcW w:w="7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w:t>
            </w:r>
          </w:p>
        </w:tc>
        <w:tc>
          <w:tcPr>
            <w:tcW w:w="81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≤250</w:t>
            </w:r>
          </w:p>
        </w:tc>
      </w:tr>
    </w:tbl>
    <w:p>
      <w:pPr>
        <w:pStyle w:val="27"/>
        <w:spacing w:before="163" w:beforeLines="50"/>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（2）地下水</w:t>
      </w:r>
    </w:p>
    <w:p>
      <w:pPr>
        <w:pStyle w:val="27"/>
        <w:ind w:firstLine="472"/>
        <w:rPr>
          <w:rFonts w:ascii="Times New Roman" w:hAnsi="Times New Roman"/>
          <w:bCs/>
          <w:color w:val="000000" w:themeColor="text1"/>
          <w:szCs w:val="24"/>
          <w:highlight w:val="none"/>
          <w14:textFill>
            <w14:solidFill>
              <w14:schemeClr w14:val="tx1"/>
            </w14:solidFill>
          </w14:textFill>
        </w:rPr>
      </w:pPr>
      <w:r>
        <w:rPr>
          <w:color w:val="000000" w:themeColor="text1"/>
          <w:spacing w:val="-4"/>
          <w:highlight w:val="none"/>
          <w14:textFill>
            <w14:solidFill>
              <w14:schemeClr w14:val="tx1"/>
            </w14:solidFill>
          </w14:textFill>
        </w:rPr>
        <w:t>地下水环境执行《地下水质量标准》（</w:t>
      </w:r>
      <w:r>
        <w:rPr>
          <w:rFonts w:ascii="Times New Roman" w:hAnsi="Times New Roman"/>
          <w:color w:val="000000" w:themeColor="text1"/>
          <w:spacing w:val="-4"/>
          <w:highlight w:val="none"/>
          <w14:textFill>
            <w14:solidFill>
              <w14:schemeClr w14:val="tx1"/>
            </w14:solidFill>
          </w14:textFill>
        </w:rPr>
        <w:t>GB/T 14848-2017）中III类标准，</w:t>
      </w:r>
      <w:r>
        <w:rPr>
          <w:rFonts w:hint="eastAsia" w:ascii="Times New Roman" w:hAnsi="Times New Roman"/>
          <w:color w:val="000000" w:themeColor="text1"/>
          <w:spacing w:val="-4"/>
          <w:highlight w:val="none"/>
          <w:lang w:val="en-US" w:eastAsia="zh-CN"/>
          <w14:textFill>
            <w14:solidFill>
              <w14:schemeClr w14:val="tx1"/>
            </w14:solidFill>
          </w14:textFill>
        </w:rPr>
        <w:t>其中</w:t>
      </w:r>
      <w:r>
        <w:rPr>
          <w:rFonts w:ascii="Times New Roman" w:hAnsi="Times New Roman"/>
          <w:color w:val="000000" w:themeColor="text1"/>
          <w:spacing w:val="-4"/>
          <w:highlight w:val="none"/>
          <w14:textFill>
            <w14:solidFill>
              <w14:schemeClr w14:val="tx1"/>
            </w14:solidFill>
          </w14:textFill>
        </w:rPr>
        <w:t>石油类参照执行《地表水环境质量标准》（GB 3838-2002</w:t>
      </w:r>
      <w:r>
        <w:rPr>
          <w:color w:val="000000" w:themeColor="text1"/>
          <w:spacing w:val="-4"/>
          <w:highlight w:val="none"/>
          <w14:textFill>
            <w14:solidFill>
              <w14:schemeClr w14:val="tx1"/>
            </w14:solidFill>
          </w14:textFill>
        </w:rPr>
        <w:t>）表1中</w:t>
      </w:r>
      <w:r>
        <w:rPr>
          <w:rFonts w:ascii="Times New Roman" w:hAnsi="Times New Roman"/>
          <w:color w:val="000000" w:themeColor="text1"/>
          <w:spacing w:val="-4"/>
          <w:highlight w:val="none"/>
          <w14:textFill>
            <w14:solidFill>
              <w14:schemeClr w14:val="tx1"/>
            </w14:solidFill>
          </w14:textFill>
        </w:rPr>
        <w:t>III</w:t>
      </w:r>
      <w:r>
        <w:rPr>
          <w:color w:val="000000" w:themeColor="text1"/>
          <w:spacing w:val="-4"/>
          <w:highlight w:val="none"/>
          <w14:textFill>
            <w14:solidFill>
              <w14:schemeClr w14:val="tx1"/>
            </w14:solidFill>
          </w14:textFill>
        </w:rPr>
        <w:t>类标准</w:t>
      </w:r>
      <w:r>
        <w:rPr>
          <w:rFonts w:ascii="Times New Roman" w:hAnsi="Times New Roman"/>
          <w:bCs/>
          <w:color w:val="000000" w:themeColor="text1"/>
          <w:szCs w:val="24"/>
          <w:highlight w:val="none"/>
          <w14:textFill>
            <w14:solidFill>
              <w14:schemeClr w14:val="tx1"/>
            </w14:solidFill>
          </w14:textFill>
        </w:rPr>
        <w:t>，标准值</w:t>
      </w:r>
      <w:r>
        <w:rPr>
          <w:color w:val="000000" w:themeColor="text1"/>
          <w:spacing w:val="-4"/>
          <w:highlight w:val="none"/>
          <w14:textFill>
            <w14:solidFill>
              <w14:schemeClr w14:val="tx1"/>
            </w14:solidFill>
          </w14:textFill>
        </w:rPr>
        <w:t>见</w:t>
      </w:r>
      <w:r>
        <w:rPr>
          <w:rFonts w:ascii="Times New Roman" w:hAnsi="Times New Roman"/>
          <w:color w:val="000000" w:themeColor="text1"/>
          <w:spacing w:val="-4"/>
          <w:highlight w:val="none"/>
          <w14:textFill>
            <w14:solidFill>
              <w14:schemeClr w14:val="tx1"/>
            </w14:solidFill>
          </w14:textFill>
        </w:rPr>
        <w:fldChar w:fldCharType="begin"/>
      </w:r>
      <w:r>
        <w:rPr>
          <w:rFonts w:ascii="Times New Roman" w:hAnsi="Times New Roman"/>
          <w:color w:val="000000" w:themeColor="text1"/>
          <w:spacing w:val="-4"/>
          <w:highlight w:val="none"/>
          <w14:textFill>
            <w14:solidFill>
              <w14:schemeClr w14:val="tx1"/>
            </w14:solidFill>
          </w14:textFill>
        </w:rPr>
        <w:instrText xml:space="preserve"> REF _Ref143335031 \h  \* MERGEFORMAT </w:instrText>
      </w:r>
      <w:r>
        <w:rPr>
          <w:rFonts w:ascii="Times New Roman" w:hAnsi="Times New Roman"/>
          <w:color w:val="000000" w:themeColor="text1"/>
          <w:spacing w:val="-4"/>
          <w:highlight w:val="none"/>
          <w14:textFill>
            <w14:solidFill>
              <w14:schemeClr w14:val="tx1"/>
            </w14:solidFill>
          </w14:textFill>
        </w:rPr>
        <w:fldChar w:fldCharType="separate"/>
      </w:r>
      <w:r>
        <w:rPr>
          <w:rFonts w:hint="eastAsia" w:ascii="Times New Roman" w:hAnsi="Times New Roman"/>
          <w:color w:val="000000" w:themeColor="text1"/>
          <w:spacing w:val="-4"/>
          <w:highlight w:val="none"/>
          <w14:textFill>
            <w14:solidFill>
              <w14:schemeClr w14:val="tx1"/>
            </w14:solidFill>
          </w14:textFill>
        </w:rPr>
        <w:t>表</w:t>
      </w:r>
      <w:r>
        <w:rPr>
          <w:rFonts w:ascii="Times New Roman" w:hAnsi="Times New Roman"/>
          <w:color w:val="000000" w:themeColor="text1"/>
          <w:spacing w:val="-4"/>
          <w:highlight w:val="none"/>
          <w14:textFill>
            <w14:solidFill>
              <w14:schemeClr w14:val="tx1"/>
            </w14:solidFill>
          </w14:textFill>
        </w:rPr>
        <w:t>2.5</w:t>
      </w:r>
      <w:r>
        <w:rPr>
          <w:rFonts w:ascii="Times New Roman" w:hAnsi="Times New Roman"/>
          <w:color w:val="000000" w:themeColor="text1"/>
          <w:spacing w:val="-4"/>
          <w:highlight w:val="none"/>
          <w14:textFill>
            <w14:solidFill>
              <w14:schemeClr w14:val="tx1"/>
            </w14:solidFill>
          </w14:textFill>
        </w:rPr>
        <w:noBreakHyphen/>
      </w:r>
      <w:r>
        <w:rPr>
          <w:rFonts w:ascii="Times New Roman" w:hAnsi="Times New Roman"/>
          <w:color w:val="000000" w:themeColor="text1"/>
          <w:spacing w:val="-4"/>
          <w:highlight w:val="none"/>
          <w14:textFill>
            <w14:solidFill>
              <w14:schemeClr w14:val="tx1"/>
            </w14:solidFill>
          </w14:textFill>
        </w:rPr>
        <w:t>2</w:t>
      </w:r>
      <w:r>
        <w:rPr>
          <w:rFonts w:ascii="Times New Roman" w:hAnsi="Times New Roman"/>
          <w:color w:val="000000" w:themeColor="text1"/>
          <w:spacing w:val="-4"/>
          <w:highlight w:val="none"/>
          <w14:textFill>
            <w14:solidFill>
              <w14:schemeClr w14:val="tx1"/>
            </w14:solidFill>
          </w14:textFill>
        </w:rPr>
        <w:fldChar w:fldCharType="end"/>
      </w:r>
      <w:r>
        <w:rPr>
          <w:rFonts w:ascii="Times New Roman" w:hAnsi="Times New Roman"/>
          <w:bCs/>
          <w:color w:val="000000" w:themeColor="text1"/>
          <w:szCs w:val="24"/>
          <w:highlight w:val="none"/>
          <w14:textFill>
            <w14:solidFill>
              <w14:schemeClr w14:val="tx1"/>
            </w14:solidFill>
          </w14:textFill>
        </w:rPr>
        <w:t>。</w:t>
      </w:r>
    </w:p>
    <w:p>
      <w:pPr>
        <w:pStyle w:val="201"/>
        <w:spacing w:before="163"/>
        <w:rPr>
          <w:color w:val="000000" w:themeColor="text1"/>
          <w:highlight w:val="none"/>
          <w14:textFill>
            <w14:solidFill>
              <w14:schemeClr w14:val="tx1"/>
            </w14:solidFill>
          </w14:textFill>
        </w:rPr>
      </w:pPr>
      <w:bookmarkStart w:id="51" w:name="_Ref14333503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5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地下水质量标准限值</w:t>
      </w:r>
      <w:r>
        <w:rPr>
          <w:color w:val="000000" w:themeColor="text1"/>
          <w:highlight w:val="none"/>
          <w14:textFill>
            <w14:solidFill>
              <w14:schemeClr w14:val="tx1"/>
            </w14:solidFill>
          </w14:textFill>
        </w:rPr>
        <w:t xml:space="preserve">  单位：mg/L</w:t>
      </w:r>
    </w:p>
    <w:tbl>
      <w:tblPr>
        <w:tblStyle w:val="59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963"/>
        <w:gridCol w:w="1348"/>
        <w:gridCol w:w="898"/>
        <w:gridCol w:w="196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序号</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指标</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标准值</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序号</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污染物</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pH</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6.5-8.5</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Times New Roman"/>
                <w:snapToGrid w:val="0"/>
                <w:color w:val="000000" w:themeColor="text1"/>
                <w:szCs w:val="20"/>
                <w:highlight w:val="none"/>
                <w14:textFill>
                  <w14:solidFill>
                    <w14:schemeClr w14:val="tx1"/>
                  </w14:solidFill>
                </w14:textFill>
                <w14:ligatures w14:val="standardContextual"/>
              </w:rPr>
              <w:t>1</w:t>
            </w:r>
            <w:r>
              <w:rPr>
                <w:rFonts w:hint="default" w:eastAsia="Times New Roman"/>
                <w:snapToGrid w:val="0"/>
                <w:color w:val="000000" w:themeColor="text1"/>
                <w:szCs w:val="20"/>
                <w:highlight w:val="none"/>
                <w14:textFill>
                  <w14:solidFill>
                    <w14:schemeClr w14:val="tx1"/>
                  </w14:solidFill>
                </w14:textFill>
                <w14:ligatures w14:val="standardContextual"/>
              </w:rPr>
              <w:t>3</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溶解性总固体</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氨氮</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≤0.5</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14</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耗氧量</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3</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硝酸盐</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≤20</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15</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氯化物</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4</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亚硝酸盐</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≤1.0</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16</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总大肠杆菌</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5</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挥发性酚</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≤0.002</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17</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细菌总数</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6</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氰化物</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≤0.05</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18</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石油类</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7</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砷</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≤0.01</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19</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铬（六价）</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8</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汞</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≤0.001</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20</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硫酸盐</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9</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总硬度</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≤450</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21</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钠</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10</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铅</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≤0.01</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22</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硫化物</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11</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氟化物</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≤1.0</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23</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铁</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12</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镉</w:t>
            </w:r>
          </w:p>
        </w:tc>
        <w:tc>
          <w:tcPr>
            <w:tcW w:w="820"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≤0.005</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24</w:t>
            </w: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锰</w:t>
            </w: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snapToGrid w:val="0"/>
                <w:color w:val="000000" w:themeColor="text1"/>
                <w:szCs w:val="20"/>
                <w:highlight w:val="none"/>
                <w14:textFill>
                  <w14:solidFill>
                    <w14:schemeClr w14:val="tx1"/>
                  </w14:solidFill>
                </w14:textFill>
                <w14:ligatures w14:val="standardContextua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宋体"/>
                <w:snapToGrid w:val="0"/>
                <w:color w:val="000000" w:themeColor="text1"/>
                <w:szCs w:val="20"/>
                <w:highlight w:val="none"/>
                <w:lang w:val="en-US" w:eastAsia="zh-CN"/>
                <w14:textFill>
                  <w14:solidFill>
                    <w14:schemeClr w14:val="tx1"/>
                  </w14:solidFill>
                </w14:textFill>
                <w14:ligatures w14:val="standardContextual"/>
              </w:rPr>
            </w:pPr>
            <w:r>
              <w:rPr>
                <w:rFonts w:hint="eastAsia" w:eastAsia="宋体"/>
                <w:snapToGrid w:val="0"/>
                <w:color w:val="000000" w:themeColor="text1"/>
                <w:szCs w:val="20"/>
                <w:highlight w:val="none"/>
                <w:lang w:val="en-US" w:eastAsia="zh-CN"/>
                <w14:textFill>
                  <w14:solidFill>
                    <w14:schemeClr w14:val="tx1"/>
                  </w14:solidFill>
                </w14:textFill>
                <w14:ligatures w14:val="standardContextual"/>
              </w:rPr>
              <w:t>25</w:t>
            </w:r>
          </w:p>
        </w:tc>
        <w:tc>
          <w:tcPr>
            <w:tcW w:w="1963" w:type="dxa"/>
            <w:vAlign w:val="center"/>
          </w:tcPr>
          <w:p>
            <w:pPr>
              <w:pStyle w:val="295"/>
              <w:keepNext w:val="0"/>
              <w:keepLines w:val="0"/>
              <w:widowControl/>
              <w:suppressLineNumbers w:val="0"/>
              <w:spacing w:before="0" w:beforeAutospacing="0" w:after="0" w:afterAutospacing="0" w:line="360" w:lineRule="auto"/>
              <w:ind w:left="0" w:right="0" w:firstLine="200"/>
              <w:rPr>
                <w:rFonts w:hint="eastAsia" w:eastAsia="宋体"/>
                <w:snapToGrid w:val="0"/>
                <w:color w:val="000000" w:themeColor="text1"/>
                <w:szCs w:val="20"/>
                <w:highlight w:val="none"/>
                <w14:textFill>
                  <w14:solidFill>
                    <w14:schemeClr w14:val="tx1"/>
                  </w14:solidFill>
                </w14:textFill>
                <w14:ligatures w14:val="standardContextual"/>
              </w:rPr>
            </w:pPr>
            <w:r>
              <w:rPr>
                <w:rFonts w:hint="default"/>
                <w:color w:val="000000" w:themeColor="text1"/>
                <w:szCs w:val="20"/>
                <w:highlight w:val="none"/>
                <w:lang w:val="zh-CN"/>
                <w14:textFill>
                  <w14:solidFill>
                    <w14:schemeClr w14:val="tx1"/>
                  </w14:solidFill>
                </w14:textFill>
                <w14:ligatures w14:val="standardContextual"/>
              </w:rPr>
              <w:t>钡</w:t>
            </w:r>
          </w:p>
        </w:tc>
        <w:tc>
          <w:tcPr>
            <w:tcW w:w="1348" w:type="dxa"/>
            <w:vAlign w:val="center"/>
          </w:tcPr>
          <w:p>
            <w:pPr>
              <w:pStyle w:val="295"/>
              <w:keepNext w:val="0"/>
              <w:keepLines w:val="0"/>
              <w:widowControl/>
              <w:suppressLineNumbers w:val="0"/>
              <w:spacing w:before="0" w:beforeAutospacing="0" w:after="0" w:afterAutospacing="0" w:line="360" w:lineRule="auto"/>
              <w:ind w:left="0" w:right="0" w:firstLine="20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default" w:eastAsia="Times New Roman"/>
                <w:color w:val="000000" w:themeColor="text1"/>
                <w:szCs w:val="20"/>
                <w:highlight w:val="none"/>
                <w:lang w:val="zh-CN"/>
                <w14:textFill>
                  <w14:solidFill>
                    <w14:schemeClr w14:val="tx1"/>
                  </w14:solidFill>
                </w14:textFill>
                <w14:ligatures w14:val="standardContextual"/>
              </w:rPr>
              <w:t>≤</w:t>
            </w:r>
            <w:r>
              <w:rPr>
                <w:rFonts w:hint="default"/>
                <w:color w:val="000000" w:themeColor="text1"/>
                <w:szCs w:val="20"/>
                <w:highlight w:val="none"/>
                <w:lang w:val="zh-CN"/>
                <w14:textFill>
                  <w14:solidFill>
                    <w14:schemeClr w14:val="tx1"/>
                  </w14:solidFill>
                </w14:textFill>
                <w14:ligatures w14:val="standardContextual"/>
              </w:rPr>
              <w:t>0.7</w:t>
            </w:r>
          </w:p>
        </w:tc>
        <w:tc>
          <w:tcPr>
            <w:tcW w:w="546"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p>
        </w:tc>
        <w:tc>
          <w:tcPr>
            <w:tcW w:w="1194" w:type="pct"/>
            <w:vAlign w:val="center"/>
          </w:tcPr>
          <w:p>
            <w:pPr>
              <w:pStyle w:val="295"/>
              <w:keepNext w:val="0"/>
              <w:keepLines w:val="0"/>
              <w:widowControl/>
              <w:suppressLineNumbers w:val="0"/>
              <w:spacing w:before="0" w:beforeAutospacing="0" w:after="0" w:afterAutospacing="0" w:line="240" w:lineRule="auto"/>
              <w:ind w:left="0" w:right="0" w:firstLine="0"/>
              <w:rPr>
                <w:rFonts w:hint="eastAsia" w:eastAsia="宋体"/>
                <w:snapToGrid w:val="0"/>
                <w:color w:val="000000" w:themeColor="text1"/>
                <w:szCs w:val="20"/>
                <w:highlight w:val="none"/>
                <w14:textFill>
                  <w14:solidFill>
                    <w14:schemeClr w14:val="tx1"/>
                  </w14:solidFill>
                </w14:textFill>
                <w14:ligatures w14:val="standardContextual"/>
              </w:rPr>
            </w:pPr>
          </w:p>
        </w:tc>
        <w:tc>
          <w:tcPr>
            <w:tcW w:w="73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（3）环境空气</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评价区域环境空气执行《环境空气质量标准》（GB3095-2012）二级标准；</w:t>
      </w:r>
      <w:r>
        <w:rPr>
          <w:rFonts w:hint="eastAsia" w:ascii="Times New Roman" w:hAnsi="Times New Roman"/>
          <w:bCs/>
          <w:color w:val="000000" w:themeColor="text1"/>
          <w:szCs w:val="24"/>
          <w:highlight w:val="none"/>
          <w:lang w:val="en-US" w:eastAsia="zh-CN"/>
          <w14:textFill>
            <w14:solidFill>
              <w14:schemeClr w14:val="tx1"/>
            </w14:solidFill>
          </w14:textFill>
        </w:rPr>
        <w:t>其中</w:t>
      </w:r>
      <w:r>
        <w:rPr>
          <w:rFonts w:ascii="Times New Roman" w:hAnsi="Times New Roman"/>
          <w:bCs/>
          <w:color w:val="000000" w:themeColor="text1"/>
          <w:szCs w:val="24"/>
          <w:highlight w:val="none"/>
          <w14:textFill>
            <w14:solidFill>
              <w14:schemeClr w14:val="tx1"/>
            </w14:solidFill>
          </w14:textFill>
        </w:rPr>
        <w:t>非甲烷总烃执行《大气污染物综合排放标准详解》中标准限值。具体标准限值见</w:t>
      </w:r>
      <w:r>
        <w:rPr>
          <w:rFonts w:ascii="Times New Roman" w:hAnsi="Times New Roman"/>
          <w:bCs/>
          <w:color w:val="000000" w:themeColor="text1"/>
          <w:szCs w:val="24"/>
          <w:highlight w:val="none"/>
          <w14:textFill>
            <w14:solidFill>
              <w14:schemeClr w14:val="tx1"/>
            </w14:solidFill>
          </w14:textFill>
        </w:rPr>
        <w:fldChar w:fldCharType="begin"/>
      </w:r>
      <w:r>
        <w:rPr>
          <w:rFonts w:ascii="Times New Roman" w:hAnsi="Times New Roman"/>
          <w:bCs/>
          <w:color w:val="000000" w:themeColor="text1"/>
          <w:szCs w:val="24"/>
          <w:highlight w:val="none"/>
          <w14:textFill>
            <w14:solidFill>
              <w14:schemeClr w14:val="tx1"/>
            </w14:solidFill>
          </w14:textFill>
        </w:rPr>
        <w:instrText xml:space="preserve"> REF _Ref143335003 \h  \* MERGEFORMAT </w:instrText>
      </w:r>
      <w:r>
        <w:rPr>
          <w:rFonts w:ascii="Times New Roman" w:hAnsi="Times New Roman"/>
          <w:bCs/>
          <w:color w:val="000000" w:themeColor="text1"/>
          <w:szCs w:val="24"/>
          <w:highlight w:val="none"/>
          <w14:textFill>
            <w14:solidFill>
              <w14:schemeClr w14:val="tx1"/>
            </w14:solidFill>
          </w14:textFill>
        </w:rPr>
        <w:fldChar w:fldCharType="separate"/>
      </w:r>
      <w:r>
        <w:rPr>
          <w:rFonts w:hint="eastAsia" w:ascii="Times New Roman" w:hAnsi="Times New Roman"/>
          <w:bCs/>
          <w:color w:val="000000" w:themeColor="text1"/>
          <w:szCs w:val="24"/>
          <w:highlight w:val="none"/>
          <w14:textFill>
            <w14:solidFill>
              <w14:schemeClr w14:val="tx1"/>
            </w14:solidFill>
          </w14:textFill>
        </w:rPr>
        <w:t>表</w:t>
      </w:r>
      <w:r>
        <w:rPr>
          <w:rFonts w:ascii="Times New Roman" w:hAnsi="Times New Roman"/>
          <w:bCs/>
          <w:color w:val="000000" w:themeColor="text1"/>
          <w:szCs w:val="24"/>
          <w:highlight w:val="none"/>
          <w14:textFill>
            <w14:solidFill>
              <w14:schemeClr w14:val="tx1"/>
            </w14:solidFill>
          </w14:textFill>
        </w:rPr>
        <w:t>2.5</w:t>
      </w:r>
      <w:r>
        <w:rPr>
          <w:rFonts w:ascii="Times New Roman" w:hAnsi="Times New Roman"/>
          <w:bCs/>
          <w:color w:val="000000" w:themeColor="text1"/>
          <w:szCs w:val="24"/>
          <w:highlight w:val="none"/>
          <w14:textFill>
            <w14:solidFill>
              <w14:schemeClr w14:val="tx1"/>
            </w14:solidFill>
          </w14:textFill>
        </w:rPr>
        <w:noBreakHyphen/>
      </w:r>
      <w:r>
        <w:rPr>
          <w:rFonts w:ascii="Times New Roman" w:hAnsi="Times New Roman"/>
          <w:bCs/>
          <w:color w:val="000000" w:themeColor="text1"/>
          <w:szCs w:val="24"/>
          <w:highlight w:val="none"/>
          <w14:textFill>
            <w14:solidFill>
              <w14:schemeClr w14:val="tx1"/>
            </w14:solidFill>
          </w14:textFill>
        </w:rPr>
        <w:t>3</w:t>
      </w:r>
      <w:r>
        <w:rPr>
          <w:rFonts w:ascii="Times New Roman" w:hAnsi="Times New Roman"/>
          <w:bCs/>
          <w:color w:val="000000" w:themeColor="text1"/>
          <w:szCs w:val="24"/>
          <w:highlight w:val="none"/>
          <w14:textFill>
            <w14:solidFill>
              <w14:schemeClr w14:val="tx1"/>
            </w14:solidFill>
          </w14:textFill>
        </w:rPr>
        <w:fldChar w:fldCharType="end"/>
      </w:r>
      <w:r>
        <w:rPr>
          <w:rFonts w:ascii="Times New Roman" w:hAnsi="Times New Roman"/>
          <w:bCs/>
          <w:color w:val="000000" w:themeColor="text1"/>
          <w:szCs w:val="24"/>
          <w:highlight w:val="none"/>
          <w14:textFill>
            <w14:solidFill>
              <w14:schemeClr w14:val="tx1"/>
            </w14:solidFill>
          </w14:textFill>
        </w:rPr>
        <w:t>。</w:t>
      </w:r>
    </w:p>
    <w:p>
      <w:pPr>
        <w:pStyle w:val="201"/>
        <w:spacing w:before="163"/>
        <w:rPr>
          <w:color w:val="000000" w:themeColor="text1"/>
          <w:highlight w:val="none"/>
          <w14:textFill>
            <w14:solidFill>
              <w14:schemeClr w14:val="tx1"/>
            </w14:solidFill>
          </w14:textFill>
        </w:rPr>
      </w:pPr>
      <w:bookmarkStart w:id="52" w:name="_Ref14333500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52"/>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环境空气质量标准</w:t>
      </w:r>
      <w:r>
        <w:rPr>
          <w:rFonts w:hint="eastAsia"/>
          <w:color w:val="000000" w:themeColor="text1"/>
          <w:highlight w:val="none"/>
          <w:lang w:val="en-US" w:eastAsia="zh-CN"/>
          <w14:textFill>
            <w14:solidFill>
              <w14:schemeClr w14:val="tx1"/>
            </w14:solidFill>
          </w14:textFill>
        </w:rPr>
        <w:t>限值</w:t>
      </w:r>
      <w:r>
        <w:rPr>
          <w:color w:val="000000" w:themeColor="text1"/>
          <w:highlight w:val="none"/>
          <w14:textFill>
            <w14:solidFill>
              <w14:schemeClr w14:val="tx1"/>
            </w14:solidFill>
          </w14:textFill>
        </w:rPr>
        <w:t xml:space="preserve">  单位：mg/m</w:t>
      </w:r>
      <w:r>
        <w:rPr>
          <w:color w:val="000000" w:themeColor="text1"/>
          <w:highlight w:val="none"/>
          <w:vertAlign w:val="superscript"/>
          <w14:textFill>
            <w14:solidFill>
              <w14:schemeClr w14:val="tx1"/>
            </w14:solidFill>
          </w14:textFill>
        </w:rPr>
        <w:t>3</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685"/>
        <w:gridCol w:w="1685"/>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3622"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浓度限值</w:t>
            </w:r>
          </w:p>
        </w:tc>
        <w:tc>
          <w:tcPr>
            <w:tcW w:w="3709"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blHeader/>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取值时间</w:t>
            </w:r>
          </w:p>
        </w:tc>
        <w:tc>
          <w:tcPr>
            <w:tcW w:w="181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标准限值</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PM</w:t>
            </w:r>
            <w:r>
              <w:rPr>
                <w:rFonts w:hint="default"/>
                <w:color w:val="000000" w:themeColor="text1"/>
                <w:szCs w:val="20"/>
                <w:highlight w:val="none"/>
                <w:vertAlign w:val="subscript"/>
                <w14:textFill>
                  <w14:solidFill>
                    <w14:schemeClr w14:val="tx1"/>
                  </w14:solidFill>
                </w14:textFill>
              </w:rPr>
              <w:t>10</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70μg/m</w:t>
            </w:r>
            <w:r>
              <w:rPr>
                <w:rFonts w:hint="default"/>
                <w:color w:val="000000" w:themeColor="text1"/>
                <w:szCs w:val="20"/>
                <w:highlight w:val="none"/>
                <w:vertAlign w:val="superscript"/>
                <w14:textFill>
                  <w14:solidFill>
                    <w14:schemeClr w14:val="tx1"/>
                  </w14:solidFill>
                </w14:textFill>
              </w:rPr>
              <w:t>3</w:t>
            </w:r>
          </w:p>
        </w:tc>
        <w:tc>
          <w:tcPr>
            <w:tcW w:w="3709"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vertAlign w:val="subscript"/>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PM</w:t>
            </w:r>
            <w:r>
              <w:rPr>
                <w:rFonts w:hint="default"/>
                <w:color w:val="000000" w:themeColor="text1"/>
                <w:szCs w:val="20"/>
                <w:highlight w:val="none"/>
                <w:vertAlign w:val="subscript"/>
                <w14:textFill>
                  <w14:solidFill>
                    <w14:schemeClr w14:val="tx1"/>
                  </w14:solidFill>
                </w14:textFill>
              </w:rPr>
              <w:t>2.5</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35μg/m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vertAlign w:val="subscript"/>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vertAlign w:val="subscript"/>
                <w14:textFill>
                  <w14:solidFill>
                    <w14:schemeClr w14:val="tx1"/>
                  </w14:solidFill>
                </w14:textFill>
              </w:rPr>
            </w:pPr>
            <w:r>
              <w:rPr>
                <w:rFonts w:hint="default"/>
                <w:color w:val="000000" w:themeColor="text1"/>
                <w:szCs w:val="20"/>
                <w:highlight w:val="none"/>
                <w14:textFill>
                  <w14:solidFill>
                    <w14:schemeClr w14:val="tx1"/>
                  </w14:solidFill>
                </w14:textFill>
              </w:rPr>
              <w:t>SO</w:t>
            </w:r>
            <w:r>
              <w:rPr>
                <w:rFonts w:hint="default"/>
                <w:color w:val="000000" w:themeColor="text1"/>
                <w:szCs w:val="20"/>
                <w:highlight w:val="none"/>
                <w:vertAlign w:val="subscript"/>
                <w14:textFill>
                  <w14:solidFill>
                    <w14:schemeClr w14:val="tx1"/>
                  </w14:solidFill>
                </w14:textFill>
              </w:rPr>
              <w:t>2</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w:t>
            </w:r>
            <w:r>
              <w:rPr>
                <w:rFonts w:hint="default"/>
                <w:color w:val="000000" w:themeColor="text1"/>
                <w:szCs w:val="20"/>
                <w:highlight w:val="none"/>
                <w:vertAlign w:val="subscript"/>
                <w14:textFill>
                  <w14:solidFill>
                    <w14:schemeClr w14:val="tx1"/>
                  </w14:solidFill>
                </w14:textFill>
              </w:rPr>
              <w:t>2</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TSP</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300μg/m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CO</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4mg/m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10mg/m</w:t>
            </w:r>
            <w:r>
              <w:rPr>
                <w:rFonts w:hint="default"/>
                <w:color w:val="000000" w:themeColor="text1"/>
                <w:szCs w:val="20"/>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iCs/>
                <w:color w:val="000000" w:themeColor="text1"/>
                <w:kern w:val="0"/>
                <w:szCs w:val="21"/>
                <w:highlight w:val="none"/>
                <w14:textFill>
                  <w14:solidFill>
                    <w14:schemeClr w14:val="tx1"/>
                  </w14:solidFill>
                </w14:textFill>
              </w:rPr>
              <w:t>O</w:t>
            </w:r>
            <w:r>
              <w:rPr>
                <w:rFonts w:hint="default"/>
                <w:iCs/>
                <w:color w:val="000000" w:themeColor="text1"/>
                <w:kern w:val="0"/>
                <w:szCs w:val="21"/>
                <w:highlight w:val="none"/>
                <w:vertAlign w:val="subscript"/>
                <w14:textFill>
                  <w14:solidFill>
                    <w14:schemeClr w14:val="tx1"/>
                  </w14:solidFill>
                </w14:textFill>
              </w:rPr>
              <w:t>3</w:t>
            </w:r>
          </w:p>
        </w:tc>
        <w:tc>
          <w:tcPr>
            <w:tcW w:w="181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iCs/>
                <w:color w:val="000000" w:themeColor="text1"/>
                <w:szCs w:val="21"/>
                <w:highlight w:val="none"/>
                <w14:textFill>
                  <w14:solidFill>
                    <w14:schemeClr w14:val="tx1"/>
                  </w14:solidFill>
                </w14:textFill>
              </w:rPr>
              <w:t>8小时平均</w:t>
            </w:r>
          </w:p>
        </w:tc>
        <w:tc>
          <w:tcPr>
            <w:tcW w:w="181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iCs/>
                <w:color w:val="000000" w:themeColor="text1"/>
                <w:szCs w:val="21"/>
                <w:highlight w:val="none"/>
                <w14:textFill>
                  <w14:solidFill>
                    <w14:schemeClr w14:val="tx1"/>
                  </w14:solidFill>
                </w14:textFill>
              </w:rPr>
              <w:t>160</w:t>
            </w:r>
            <w:r>
              <w:rPr>
                <w:rFonts w:hint="default"/>
                <w:iCs/>
                <w:color w:val="000000" w:themeColor="text1"/>
                <w:kern w:val="0"/>
                <w:szCs w:val="21"/>
                <w:highlight w:val="none"/>
                <w14:textFill>
                  <w14:solidFill>
                    <w14:schemeClr w14:val="tx1"/>
                  </w14:solidFill>
                </w14:textFill>
              </w:rPr>
              <w:t>μg/m</w:t>
            </w:r>
            <w:r>
              <w:rPr>
                <w:rFonts w:hint="default"/>
                <w:iCs/>
                <w:color w:val="000000" w:themeColor="text1"/>
                <w:kern w:val="0"/>
                <w:szCs w:val="21"/>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81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iCs/>
                <w:color w:val="000000" w:themeColor="text1"/>
                <w:szCs w:val="21"/>
                <w:highlight w:val="none"/>
                <w14:textFill>
                  <w14:solidFill>
                    <w14:schemeClr w14:val="tx1"/>
                  </w14:solidFill>
                </w14:textFill>
              </w:rPr>
              <w:t>1小时平均</w:t>
            </w:r>
          </w:p>
        </w:tc>
        <w:tc>
          <w:tcPr>
            <w:tcW w:w="181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iCs/>
                <w:color w:val="000000" w:themeColor="text1"/>
                <w:szCs w:val="21"/>
                <w:highlight w:val="none"/>
                <w14:textFill>
                  <w14:solidFill>
                    <w14:schemeClr w14:val="tx1"/>
                  </w14:solidFill>
                </w14:textFill>
              </w:rPr>
              <w:t>200</w:t>
            </w:r>
            <w:r>
              <w:rPr>
                <w:rFonts w:hint="default"/>
                <w:iCs/>
                <w:color w:val="000000" w:themeColor="text1"/>
                <w:kern w:val="0"/>
                <w:szCs w:val="21"/>
                <w:highlight w:val="none"/>
                <w14:textFill>
                  <w14:solidFill>
                    <w14:schemeClr w14:val="tx1"/>
                  </w14:solidFill>
                </w14:textFill>
              </w:rPr>
              <w:t>μg/m</w:t>
            </w:r>
            <w:r>
              <w:rPr>
                <w:rFonts w:hint="default"/>
                <w:iCs/>
                <w:color w:val="000000" w:themeColor="text1"/>
                <w:kern w:val="0"/>
                <w:szCs w:val="21"/>
                <w:highlight w:val="none"/>
                <w:vertAlign w:val="superscript"/>
                <w14:textFill>
                  <w14:solidFill>
                    <w14:schemeClr w14:val="tx1"/>
                  </w14:solidFill>
                </w14:textFill>
              </w:rPr>
              <w:t>3</w:t>
            </w:r>
          </w:p>
        </w:tc>
        <w:tc>
          <w:tcPr>
            <w:tcW w:w="370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非甲烷总烃</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1小时平均</w:t>
            </w:r>
          </w:p>
        </w:tc>
        <w:tc>
          <w:tcPr>
            <w:tcW w:w="181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2mg/m</w:t>
            </w:r>
            <w:r>
              <w:rPr>
                <w:rFonts w:hint="default"/>
                <w:color w:val="000000" w:themeColor="text1"/>
                <w:szCs w:val="20"/>
                <w:highlight w:val="none"/>
                <w:vertAlign w:val="superscript"/>
                <w14:textFill>
                  <w14:solidFill>
                    <w14:schemeClr w14:val="tx1"/>
                  </w14:solidFill>
                </w14:textFill>
              </w:rPr>
              <w:t>3</w:t>
            </w:r>
          </w:p>
        </w:tc>
        <w:tc>
          <w:tcPr>
            <w:tcW w:w="3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《大气污染物综合排放标准详解》</w:t>
            </w: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（4）声环境</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项目区域声环境执行《声环境质量标准》（GB3096-2008）2类功能区标准，标准限值见</w:t>
      </w:r>
      <w:r>
        <w:rPr>
          <w:rFonts w:ascii="Times New Roman" w:hAnsi="Times New Roman"/>
          <w:bCs/>
          <w:color w:val="000000" w:themeColor="text1"/>
          <w:szCs w:val="24"/>
          <w:highlight w:val="none"/>
          <w14:textFill>
            <w14:solidFill>
              <w14:schemeClr w14:val="tx1"/>
            </w14:solidFill>
          </w14:textFill>
        </w:rPr>
        <w:fldChar w:fldCharType="begin"/>
      </w:r>
      <w:r>
        <w:rPr>
          <w:rFonts w:ascii="Times New Roman" w:hAnsi="Times New Roman"/>
          <w:bCs/>
          <w:color w:val="000000" w:themeColor="text1"/>
          <w:szCs w:val="24"/>
          <w:highlight w:val="none"/>
          <w14:textFill>
            <w14:solidFill>
              <w14:schemeClr w14:val="tx1"/>
            </w14:solidFill>
          </w14:textFill>
        </w:rPr>
        <w:instrText xml:space="preserve"> REF _Ref143335009 \h  \* MERGEFORMAT </w:instrText>
      </w:r>
      <w:r>
        <w:rPr>
          <w:rFonts w:ascii="Times New Roman" w:hAnsi="Times New Roman"/>
          <w:bCs/>
          <w:color w:val="000000" w:themeColor="text1"/>
          <w:szCs w:val="24"/>
          <w:highlight w:val="none"/>
          <w14:textFill>
            <w14:solidFill>
              <w14:schemeClr w14:val="tx1"/>
            </w14:solidFill>
          </w14:textFill>
        </w:rPr>
        <w:fldChar w:fldCharType="separate"/>
      </w:r>
      <w:r>
        <w:rPr>
          <w:rFonts w:hint="eastAsia" w:ascii="Times New Roman" w:hAnsi="Times New Roman"/>
          <w:bCs/>
          <w:color w:val="000000" w:themeColor="text1"/>
          <w:szCs w:val="24"/>
          <w:highlight w:val="none"/>
          <w14:textFill>
            <w14:solidFill>
              <w14:schemeClr w14:val="tx1"/>
            </w14:solidFill>
          </w14:textFill>
        </w:rPr>
        <w:t>表</w:t>
      </w:r>
      <w:r>
        <w:rPr>
          <w:rFonts w:ascii="Times New Roman" w:hAnsi="Times New Roman"/>
          <w:bCs/>
          <w:color w:val="000000" w:themeColor="text1"/>
          <w:szCs w:val="24"/>
          <w:highlight w:val="none"/>
          <w14:textFill>
            <w14:solidFill>
              <w14:schemeClr w14:val="tx1"/>
            </w14:solidFill>
          </w14:textFill>
        </w:rPr>
        <w:t>2.5</w:t>
      </w:r>
      <w:r>
        <w:rPr>
          <w:rFonts w:ascii="Times New Roman" w:hAnsi="Times New Roman"/>
          <w:bCs/>
          <w:color w:val="000000" w:themeColor="text1"/>
          <w:szCs w:val="24"/>
          <w:highlight w:val="none"/>
          <w14:textFill>
            <w14:solidFill>
              <w14:schemeClr w14:val="tx1"/>
            </w14:solidFill>
          </w14:textFill>
        </w:rPr>
        <w:noBreakHyphen/>
      </w:r>
      <w:r>
        <w:rPr>
          <w:rFonts w:ascii="Times New Roman" w:hAnsi="Times New Roman"/>
          <w:bCs/>
          <w:color w:val="000000" w:themeColor="text1"/>
          <w:szCs w:val="24"/>
          <w:highlight w:val="none"/>
          <w14:textFill>
            <w14:solidFill>
              <w14:schemeClr w14:val="tx1"/>
            </w14:solidFill>
          </w14:textFill>
        </w:rPr>
        <w:t>4</w:t>
      </w:r>
      <w:r>
        <w:rPr>
          <w:rFonts w:ascii="Times New Roman" w:hAnsi="Times New Roman"/>
          <w:bCs/>
          <w:color w:val="000000" w:themeColor="text1"/>
          <w:szCs w:val="24"/>
          <w:highlight w:val="none"/>
          <w14:textFill>
            <w14:solidFill>
              <w14:schemeClr w14:val="tx1"/>
            </w14:solidFill>
          </w14:textFill>
        </w:rPr>
        <w:fldChar w:fldCharType="end"/>
      </w:r>
      <w:r>
        <w:rPr>
          <w:rFonts w:ascii="Times New Roman" w:hAnsi="Times New Roman"/>
          <w:bCs/>
          <w:color w:val="000000" w:themeColor="text1"/>
          <w:szCs w:val="24"/>
          <w:highlight w:val="none"/>
          <w14:textFill>
            <w14:solidFill>
              <w14:schemeClr w14:val="tx1"/>
            </w14:solidFill>
          </w14:textFill>
        </w:rPr>
        <w:t>。</w:t>
      </w:r>
    </w:p>
    <w:p>
      <w:pPr>
        <w:pStyle w:val="201"/>
        <w:spacing w:before="163"/>
        <w:rPr>
          <w:color w:val="000000" w:themeColor="text1"/>
          <w:highlight w:val="none"/>
          <w14:textFill>
            <w14:solidFill>
              <w14:schemeClr w14:val="tx1"/>
            </w14:solidFill>
          </w14:textFill>
        </w:rPr>
      </w:pPr>
      <w:bookmarkStart w:id="53" w:name="_Ref14333500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5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声环境质量标准</w:t>
      </w:r>
      <w:r>
        <w:rPr>
          <w:color w:val="000000" w:themeColor="text1"/>
          <w:highlight w:val="none"/>
          <w14:textFill>
            <w14:solidFill>
              <w14:schemeClr w14:val="tx1"/>
            </w14:solidFill>
          </w14:textFill>
        </w:rPr>
        <w:t xml:space="preserve">  单位：dB（A）</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161"/>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类别</w:t>
            </w:r>
          </w:p>
        </w:tc>
        <w:tc>
          <w:tcPr>
            <w:tcW w:w="316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昼间</w:t>
            </w:r>
          </w:p>
        </w:tc>
        <w:tc>
          <w:tcPr>
            <w:tcW w:w="316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bookmarkStart w:id="54" w:name="_Toc88465928"/>
            <w:bookmarkStart w:id="55" w:name="_Toc120173067"/>
            <w:bookmarkStart w:id="56" w:name="_Toc89099427"/>
            <w:bookmarkStart w:id="57" w:name="_Toc107494216"/>
            <w:r>
              <w:rPr>
                <w:rFonts w:hint="default"/>
                <w:b/>
                <w:bCs/>
                <w:color w:val="000000" w:themeColor="text1"/>
                <w:szCs w:val="20"/>
                <w:highlight w:val="none"/>
                <w14:textFill>
                  <w14:solidFill>
                    <w14:schemeClr w14:val="tx1"/>
                  </w14:solidFill>
                </w14:textFill>
              </w:rPr>
              <w:t>夜间</w:t>
            </w:r>
            <w:bookmarkEnd w:id="54"/>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89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2类功能区</w:t>
            </w:r>
          </w:p>
        </w:tc>
        <w:tc>
          <w:tcPr>
            <w:tcW w:w="316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w:t>
            </w:r>
          </w:p>
        </w:tc>
        <w:tc>
          <w:tcPr>
            <w:tcW w:w="31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w:t>
            </w: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（5）土壤环境</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本项目所在区域用地范围执行《土壤环境质量 建设用地土壤污染风险管控标准（试行）（GB36600—2018）》第二类用地筛选值</w:t>
      </w:r>
      <w:r>
        <w:rPr>
          <w:rFonts w:hint="eastAsia" w:ascii="Times New Roman" w:hAnsi="Times New Roman"/>
          <w:bCs/>
          <w:color w:val="000000" w:themeColor="text1"/>
          <w:szCs w:val="24"/>
          <w:highlight w:val="none"/>
          <w14:textFill>
            <w14:solidFill>
              <w14:schemeClr w14:val="tx1"/>
            </w14:solidFill>
          </w14:textFill>
        </w:rPr>
        <w:t>与《四川省建设用地土壤污染风险管控标准（DB5</w:t>
      </w:r>
      <w:r>
        <w:rPr>
          <w:rFonts w:hint="eastAsia" w:ascii="Times New Roman" w:hAnsi="Times New Roman"/>
          <w:bCs/>
          <w:color w:val="000000" w:themeColor="text1"/>
          <w:szCs w:val="24"/>
          <w:highlight w:val="none"/>
          <w:lang w:eastAsia="zh-CN"/>
          <w14:textFill>
            <w14:solidFill>
              <w14:schemeClr w14:val="tx1"/>
            </w14:solidFill>
          </w14:textFill>
        </w:rPr>
        <w:t>1</w:t>
      </w:r>
      <w:r>
        <w:rPr>
          <w:rFonts w:hint="eastAsia" w:ascii="Times New Roman" w:hAnsi="Times New Roman"/>
          <w:bCs/>
          <w:color w:val="000000" w:themeColor="text1"/>
          <w:szCs w:val="24"/>
          <w:highlight w:val="none"/>
          <w14:textFill>
            <w14:solidFill>
              <w14:schemeClr w14:val="tx1"/>
            </w14:solidFill>
          </w14:textFill>
        </w:rPr>
        <w:t>2978-2023）》中相关标准限值</w:t>
      </w:r>
      <w:r>
        <w:rPr>
          <w:rFonts w:hint="eastAsia" w:ascii="Times New Roman" w:hAnsi="Times New Roman"/>
          <w:bCs/>
          <w:color w:val="000000" w:themeColor="text1"/>
          <w:szCs w:val="24"/>
          <w:highlight w:val="none"/>
          <w:lang w:eastAsia="zh-CN"/>
          <w14:textFill>
            <w14:solidFill>
              <w14:schemeClr w14:val="tx1"/>
            </w14:solidFill>
          </w14:textFill>
        </w:rPr>
        <w:t>；</w:t>
      </w:r>
      <w:r>
        <w:rPr>
          <w:rFonts w:ascii="Times New Roman" w:hAnsi="Times New Roman"/>
          <w:bCs/>
          <w:color w:val="000000" w:themeColor="text1"/>
          <w:szCs w:val="24"/>
          <w:highlight w:val="none"/>
          <w14:textFill>
            <w14:solidFill>
              <w14:schemeClr w14:val="tx1"/>
            </w14:solidFill>
          </w14:textFill>
        </w:rPr>
        <w:t>项目周边耕地执行《土壤环境质量 农用地土壤污染风险管控标准（试行）（GB15618—2018）》风险筛选值，</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其中</w:t>
      </w:r>
      <w:r>
        <w:rPr>
          <w:rFonts w:hint="default" w:ascii="Times New Roman" w:hAnsi="Times New Roman" w:cs="Times New Roman"/>
          <w:bCs/>
          <w:color w:val="000000" w:themeColor="text1"/>
          <w:szCs w:val="24"/>
          <w:highlight w:val="none"/>
          <w14:textFill>
            <w14:solidFill>
              <w14:schemeClr w14:val="tx1"/>
            </w14:solidFill>
          </w14:textFill>
        </w:rPr>
        <w:t>农用地石油烃参考第一类建设用地筛选值为826mg/kg。</w:t>
      </w:r>
      <w:r>
        <w:rPr>
          <w:rFonts w:ascii="Times New Roman" w:hAnsi="Times New Roman"/>
          <w:bCs/>
          <w:color w:val="000000" w:themeColor="text1"/>
          <w:szCs w:val="24"/>
          <w:highlight w:val="none"/>
          <w14:textFill>
            <w14:solidFill>
              <w14:schemeClr w14:val="tx1"/>
            </w14:solidFill>
          </w14:textFill>
        </w:rPr>
        <w:t>具体筛选值见表2.5-5和表2.5-6。</w:t>
      </w:r>
    </w:p>
    <w:p>
      <w:pPr>
        <w:pStyle w:val="201"/>
        <w:spacing w:before="163"/>
        <w:rPr>
          <w:color w:val="000000" w:themeColor="text1"/>
          <w:highlight w:val="none"/>
          <w14:textFill>
            <w14:solidFill>
              <w14:schemeClr w14:val="tx1"/>
            </w14:solidFill>
          </w14:textFill>
        </w:rPr>
      </w:pPr>
      <w:bookmarkStart w:id="58" w:name="_Ref14333495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5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建设用地（第二类用地）土壤环境质量筛选值</w:t>
      </w:r>
      <w:r>
        <w:rPr>
          <w:color w:val="000000" w:themeColor="text1"/>
          <w:highlight w:val="none"/>
          <w14:textFill>
            <w14:solidFill>
              <w14:schemeClr w14:val="tx1"/>
            </w14:solidFill>
          </w14:textFill>
        </w:rPr>
        <w:t xml:space="preserve">   单位：mg/kg</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57" w:type="dxa"/>
          <w:bottom w:w="0" w:type="dxa"/>
          <w:right w:w="57" w:type="dxa"/>
        </w:tblCellMar>
      </w:tblPr>
      <w:tblGrid>
        <w:gridCol w:w="949"/>
        <w:gridCol w:w="992"/>
        <w:gridCol w:w="1276"/>
        <w:gridCol w:w="1134"/>
        <w:gridCol w:w="992"/>
        <w:gridCol w:w="984"/>
        <w:gridCol w:w="97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砷</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镉</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铬（6价）</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铜</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铅</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汞</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65</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5.7</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18000</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800</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38</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四氯化碳</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氯仿</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氯甲烷</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1,1-二氯乙烷</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1,2-二氯乙烷</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1,1-二氯乙烯</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顺-1,1-二氯乙烯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2.8</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0.9</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37</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66</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反-1,1-二氯乙烯</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二氯甲烷</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1,2-二氯丙烷</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1,1，1,2-四氯乙烷</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1,1，2,2-四氯乙烷</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四氯乙烯</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54</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616</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6.8</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1,1,2-三氯乙烷</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三氯乙烯</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1,2,3-三氯乙丙烷</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氯乙烯</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氯苯</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2.8</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2.8</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0.5</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0.43</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270</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1,4-二氯苯</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乙苯</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苯乙烯</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甲苯</w:t>
            </w:r>
          </w:p>
        </w:tc>
        <w:tc>
          <w:tcPr>
            <w:tcW w:w="1955"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间二甲苯+对二甲苯</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邻二甲苯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28</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1290</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1200</w:t>
            </w:r>
          </w:p>
        </w:tc>
        <w:tc>
          <w:tcPr>
            <w:tcW w:w="1955"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570</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硝基苯</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苯胺</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2-氯酚</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苯并〔a〕蒽</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苯并〔a〕芘</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苯并〔b〕荧蒽</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苯并〔k〕荧蒽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76</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260</w:t>
            </w:r>
          </w:p>
        </w:tc>
        <w:tc>
          <w:tcPr>
            <w:tcW w:w="113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2256</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c>
          <w:tcPr>
            <w:tcW w:w="97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c>
          <w:tcPr>
            <w:tcW w:w="92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䓛</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二苯并〔a,h〕蒽</w:t>
            </w:r>
          </w:p>
        </w:tc>
        <w:tc>
          <w:tcPr>
            <w:tcW w:w="2126"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茆并〔1,2,3-cd〕芘</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萘</w:t>
            </w:r>
          </w:p>
        </w:tc>
        <w:tc>
          <w:tcPr>
            <w:tcW w:w="1895"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石油烃（C</w:t>
            </w:r>
            <w:r>
              <w:rPr>
                <w:rFonts w:hint="default"/>
                <w:b/>
                <w:bCs/>
                <w:color w:val="000000" w:themeColor="text1"/>
                <w:szCs w:val="20"/>
                <w:highlight w:val="none"/>
                <w:vertAlign w:val="subscript"/>
                <w14:textFill>
                  <w14:solidFill>
                    <w14:schemeClr w14:val="tx1"/>
                  </w14:solidFill>
                </w14:textFill>
              </w:rPr>
              <w:t>10</w:t>
            </w:r>
            <w:r>
              <w:rPr>
                <w:rFonts w:hint="default"/>
                <w:b/>
                <w:bCs/>
                <w:color w:val="000000" w:themeColor="text1"/>
                <w:szCs w:val="20"/>
                <w:highlight w:val="none"/>
                <w14:textFill>
                  <w14:solidFill>
                    <w14:schemeClr w14:val="tx1"/>
                  </w14:solidFill>
                </w14:textFill>
              </w:rPr>
              <w:t>~C</w:t>
            </w:r>
            <w:r>
              <w:rPr>
                <w:rFonts w:hint="default"/>
                <w:b/>
                <w:bCs/>
                <w:color w:val="000000" w:themeColor="text1"/>
                <w:szCs w:val="20"/>
                <w:highlight w:val="none"/>
                <w:vertAlign w:val="subscript"/>
                <w14:textFill>
                  <w14:solidFill>
                    <w14:schemeClr w14:val="tx1"/>
                  </w14:solidFill>
                </w14:textFill>
              </w:rPr>
              <w:t>40</w:t>
            </w:r>
            <w:r>
              <w:rPr>
                <w:rFonts w:hint="default"/>
                <w:b/>
                <w:bCs/>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4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992"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1293</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c>
          <w:tcPr>
            <w:tcW w:w="2126"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c>
          <w:tcPr>
            <w:tcW w:w="98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w:t>
            </w:r>
          </w:p>
        </w:tc>
        <w:tc>
          <w:tcPr>
            <w:tcW w:w="1895"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4500</w:t>
            </w:r>
          </w:p>
        </w:tc>
      </w:tr>
    </w:tbl>
    <w:p>
      <w:pPr>
        <w:pStyle w:val="201"/>
        <w:spacing w:before="163"/>
        <w:rPr>
          <w:color w:val="000000" w:themeColor="text1"/>
          <w:highlight w:val="none"/>
          <w14:textFill>
            <w14:solidFill>
              <w14:schemeClr w14:val="tx1"/>
            </w14:solidFill>
          </w14:textFill>
        </w:rPr>
      </w:pPr>
      <w:bookmarkStart w:id="59" w:name="_Ref143334954"/>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59"/>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农用地（其他）土壤环境质量筛选值</w:t>
      </w:r>
      <w:r>
        <w:rPr>
          <w:color w:val="000000" w:themeColor="text1"/>
          <w:highlight w:val="none"/>
          <w14:textFill>
            <w14:solidFill>
              <w14:schemeClr w14:val="tx1"/>
            </w14:solidFill>
          </w14:textFill>
        </w:rPr>
        <w:t xml:space="preserve">   单位：mg/kg</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09"/>
        <w:gridCol w:w="914"/>
        <w:gridCol w:w="914"/>
        <w:gridCol w:w="914"/>
        <w:gridCol w:w="914"/>
        <w:gridCol w:w="914"/>
        <w:gridCol w:w="914"/>
        <w:gridCol w:w="914"/>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909"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7313" w:type="dxa"/>
            <w:gridSpan w:val="8"/>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pH≤5.5</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5.5＜pH≤6.5</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6.5＜pH≤7.5</w:t>
            </w:r>
          </w:p>
        </w:tc>
        <w:tc>
          <w:tcPr>
            <w:tcW w:w="1829"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水田</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其他</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水田</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其他</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水田</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其他</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水田</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镉</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0.3</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0.3</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0.4</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0.3</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0.6</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0.3</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0.8</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汞</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0.5</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1.3</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0.5</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1.8</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0.6</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2.4</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砷</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40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40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铅</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80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70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90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140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120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240</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铬</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300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350</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铜</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50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w:t>
            </w:r>
          </w:p>
        </w:tc>
        <w:tc>
          <w:tcPr>
            <w:tcW w:w="914"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200</w:t>
            </w:r>
          </w:p>
        </w:tc>
        <w:tc>
          <w:tcPr>
            <w:tcW w:w="915"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镍</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60</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70</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w:t>
            </w:r>
          </w:p>
        </w:tc>
        <w:tc>
          <w:tcPr>
            <w:tcW w:w="1829"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锌</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200</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200</w:t>
            </w:r>
          </w:p>
        </w:tc>
        <w:tc>
          <w:tcPr>
            <w:tcW w:w="1828"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250</w:t>
            </w:r>
          </w:p>
        </w:tc>
        <w:tc>
          <w:tcPr>
            <w:tcW w:w="1829" w:type="dxa"/>
            <w:gridSpan w:val="2"/>
            <w:shd w:val="clear" w:color="auto" w:fill="FFFFFF"/>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300</w:t>
            </w:r>
          </w:p>
        </w:tc>
      </w:tr>
    </w:tbl>
    <w:p>
      <w:pPr>
        <w:pStyle w:val="627"/>
        <w:spacing w:before="12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lang w:val="zh-CN"/>
          <w14:textFill>
            <w14:solidFill>
              <w14:schemeClr w14:val="tx1"/>
            </w14:solidFill>
          </w14:textFill>
        </w:rPr>
        <w:t xml:space="preserve"> 建设用地土壤污染风险筛选值和管制值标准（</w:t>
      </w:r>
      <w:r>
        <w:rPr>
          <w:color w:val="000000" w:themeColor="text1"/>
          <w:highlight w:val="none"/>
          <w14:textFill>
            <w14:solidFill>
              <w14:schemeClr w14:val="tx1"/>
            </w14:solidFill>
          </w14:textFill>
        </w:rPr>
        <w:t>石油烃</w:t>
      </w:r>
      <w:r>
        <w:rPr>
          <w:rFonts w:hint="eastAsia"/>
          <w:color w:val="000000" w:themeColor="text1"/>
          <w:highlight w:val="none"/>
          <w14:textFill>
            <w14:solidFill>
              <w14:schemeClr w14:val="tx1"/>
            </w14:solidFill>
          </w14:textFill>
        </w:rPr>
        <w:t>、钡</w:t>
      </w:r>
      <w:r>
        <w:rPr>
          <w:color w:val="000000" w:themeColor="text1"/>
          <w:highlight w:val="none"/>
          <w:lang w:val="zh-CN"/>
          <w14:textFill>
            <w14:solidFill>
              <w14:schemeClr w14:val="tx1"/>
            </w14:solidFill>
          </w14:textFill>
        </w:rPr>
        <w:t>） 单位：mg/kg</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172"/>
        <w:gridCol w:w="1370"/>
        <w:gridCol w:w="1370"/>
        <w:gridCol w:w="1370"/>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污染物项目</w:t>
            </w:r>
          </w:p>
        </w:tc>
        <w:tc>
          <w:tcPr>
            <w:tcW w:w="117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CAS编号</w:t>
            </w:r>
          </w:p>
        </w:tc>
        <w:tc>
          <w:tcPr>
            <w:tcW w:w="274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筛选值</w:t>
            </w:r>
          </w:p>
        </w:tc>
        <w:tc>
          <w:tcPr>
            <w:tcW w:w="274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7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第一类用地</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第二类用地</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第一类用地</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石油烃（C10~C40）</w:t>
            </w:r>
          </w:p>
        </w:tc>
        <w:tc>
          <w:tcPr>
            <w:tcW w:w="11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826</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4500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钡</w:t>
            </w:r>
          </w:p>
        </w:tc>
        <w:tc>
          <w:tcPr>
            <w:tcW w:w="11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7440-39-3</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2766</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8660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5532</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17320</w:t>
            </w:r>
          </w:p>
        </w:tc>
      </w:tr>
    </w:tbl>
    <w:p>
      <w:pPr>
        <w:pStyle w:val="4"/>
        <w:spacing w:before="163"/>
        <w:rPr>
          <w:b/>
          <w:color w:val="000000" w:themeColor="text1"/>
          <w:highlight w:val="none"/>
          <w:lang w:eastAsia="zh-CN"/>
          <w14:textFill>
            <w14:solidFill>
              <w14:schemeClr w14:val="tx1"/>
            </w14:solidFill>
          </w14:textFill>
        </w:rPr>
      </w:pPr>
      <w:bookmarkStart w:id="60" w:name="_Toc120173068"/>
      <w:r>
        <w:rPr>
          <w:color w:val="000000" w:themeColor="text1"/>
          <w:highlight w:val="none"/>
          <w:lang w:eastAsia="zh-CN"/>
          <w14:textFill>
            <w14:solidFill>
              <w14:schemeClr w14:val="tx1"/>
            </w14:solidFill>
          </w14:textFill>
        </w:rPr>
        <w:t>污染物排放标准</w:t>
      </w:r>
      <w:bookmarkEnd w:id="60"/>
    </w:p>
    <w:p>
      <w:pPr>
        <w:pStyle w:val="123"/>
        <w:rPr>
          <w:bCs/>
          <w:color w:val="000000" w:themeColor="text1"/>
          <w:highlight w:val="none"/>
          <w14:textFill>
            <w14:solidFill>
              <w14:schemeClr w14:val="tx1"/>
            </w14:solidFill>
          </w14:textFill>
        </w:rPr>
      </w:pPr>
      <w:bookmarkStart w:id="61" w:name="_Hlk48749861"/>
      <w:bookmarkStart w:id="62" w:name="_Hlk48749841"/>
      <w:r>
        <w:rPr>
          <w:bCs/>
          <w:color w:val="000000" w:themeColor="text1"/>
          <w:highlight w:val="none"/>
          <w14:textFill>
            <w14:solidFill>
              <w14:schemeClr w14:val="tx1"/>
            </w14:solidFill>
          </w14:textFill>
        </w:rPr>
        <w:t>（1）废水</w:t>
      </w:r>
    </w:p>
    <w:bookmarkEnd w:id="61"/>
    <w:p>
      <w:pPr>
        <w:pStyle w:val="27"/>
        <w:ind w:firstLine="480"/>
        <w:rPr>
          <w:rFonts w:hint="default" w:ascii="Times New Roman" w:hAnsi="Times New Roman" w:cs="Times New Roman"/>
          <w:bCs/>
          <w:color w:val="000000" w:themeColor="text1"/>
          <w:szCs w:val="24"/>
          <w:highlight w:val="none"/>
          <w:lang w:val="en-US" w:eastAsia="zh-CN"/>
          <w14:textFill>
            <w14:solidFill>
              <w14:schemeClr w14:val="tx1"/>
            </w14:solidFill>
          </w14:textFill>
        </w:rPr>
      </w:pPr>
      <w:bookmarkStart w:id="63" w:name="_Hlk48749969"/>
      <w:r>
        <w:rPr>
          <w:rFonts w:hint="eastAsia" w:ascii="Times New Roman" w:hAnsi="Times New Roman" w:cs="Times New Roman"/>
          <w:bCs/>
          <w:color w:val="000000" w:themeColor="text1"/>
          <w:szCs w:val="24"/>
          <w:highlight w:val="none"/>
          <w:lang w:val="en-US" w:eastAsia="zh-CN"/>
          <w14:textFill>
            <w14:solidFill>
              <w14:schemeClr w14:val="tx1"/>
            </w14:solidFill>
          </w14:textFill>
        </w:rPr>
        <w:t>1）施工期</w:t>
      </w:r>
    </w:p>
    <w:p>
      <w:pPr>
        <w:pStyle w:val="27"/>
        <w:ind w:firstLine="480"/>
        <w:rPr>
          <w:rFonts w:hint="eastAsia" w:ascii="Times New Roman" w:hAnsi="Times New Roman"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Cs w:val="24"/>
          <w:highlight w:val="none"/>
          <w:lang w:val="en-US" w:eastAsia="zh-CN"/>
          <w14:textFill>
            <w14:solidFill>
              <w14:schemeClr w14:val="tx1"/>
            </w14:solidFill>
          </w14:textFill>
        </w:rPr>
        <w:t>①</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钻前工程：钻前工程</w:t>
      </w:r>
      <w:r>
        <w:rPr>
          <w:rFonts w:hint="default" w:ascii="Times New Roman" w:hAnsi="Times New Roman" w:cs="Times New Roman"/>
          <w:color w:val="000000" w:themeColor="text1"/>
          <w:szCs w:val="24"/>
          <w:highlight w:val="none"/>
          <w14:textFill>
            <w14:solidFill>
              <w14:schemeClr w14:val="tx1"/>
            </w14:solidFill>
          </w14:textFill>
        </w:rPr>
        <w:t>施工废水经沉淀处理后循环使用，不外排</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钻前工程人员生活污水依托周边农户已建设施处理</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不外排。</w:t>
      </w:r>
    </w:p>
    <w:p>
      <w:pPr>
        <w:rPr>
          <w:rFonts w:hint="default"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②</w:t>
      </w:r>
      <w:r>
        <w:rPr>
          <w:rFonts w:hint="eastAsia" w:cs="Times New Roman"/>
          <w:color w:val="000000" w:themeColor="text1"/>
          <w:szCs w:val="24"/>
          <w:highlight w:val="none"/>
          <w:lang w:val="en-US" w:eastAsia="zh-CN"/>
          <w14:textFill>
            <w14:solidFill>
              <w14:schemeClr w14:val="tx1"/>
            </w14:solidFill>
          </w14:textFill>
        </w:rPr>
        <w:t>钻井工程：钻井废水与场地初期雨水一并经不落地装置处理后大部分回用于钻井过程，剩余不能回用部分暂存于清洁生产操作平台的废水罐内，定期装车拉运至赵家坝污水处理站处理达标后经普光3井回注站回注</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钻井期间</w:t>
      </w:r>
      <w:r>
        <w:rPr>
          <w:rFonts w:hint="eastAsia" w:cs="Times New Roman"/>
          <w:color w:val="000000" w:themeColor="text1"/>
          <w:szCs w:val="24"/>
          <w:highlight w:val="none"/>
          <w:lang w:val="en-US" w:eastAsia="zh-CN"/>
          <w14:textFill>
            <w14:solidFill>
              <w14:schemeClr w14:val="tx1"/>
            </w14:solidFill>
          </w14:textFill>
        </w:rPr>
        <w:t>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w:t>
      </w:r>
      <w:r>
        <w:rPr>
          <w:rFonts w:hint="default" w:cs="Times New Roman"/>
          <w:color w:val="000000" w:themeColor="text1"/>
          <w:szCs w:val="24"/>
          <w:highlight w:val="none"/>
          <w:lang w:val="en-US" w:eastAsia="zh-CN"/>
          <w14:textFill>
            <w14:solidFill>
              <w14:schemeClr w14:val="tx1"/>
            </w14:solidFill>
          </w14:textFill>
        </w:rPr>
        <w:t>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w:t>
      </w:r>
      <w:r>
        <w:rPr>
          <w:rFonts w:hint="default" w:cs="Times New Roman"/>
          <w:color w:val="000000" w:themeColor="text1"/>
          <w:szCs w:val="24"/>
          <w:highlight w:val="none"/>
          <w:lang w:val="en-US" w:eastAsia="zh-CN"/>
          <w14:textFill>
            <w14:solidFill>
              <w14:schemeClr w14:val="tx1"/>
            </w14:solidFill>
          </w14:textFill>
        </w:rPr>
        <w:t>项目钻井期间无废水外排。</w:t>
      </w:r>
    </w:p>
    <w:p>
      <w:pPr>
        <w:pStyle w:val="27"/>
        <w:ind w:firstLine="480"/>
        <w:rPr>
          <w:rFonts w:hint="eastAsia"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lang w:val="en-US" w:eastAsia="zh-CN"/>
          <w14:textFill>
            <w14:solidFill>
              <w14:schemeClr w14:val="tx1"/>
            </w14:solidFill>
          </w14:textFill>
        </w:rPr>
        <w:t>③</w:t>
      </w:r>
      <w:r>
        <w:rPr>
          <w:rFonts w:hint="eastAsia" w:cs="Times New Roman"/>
          <w:color w:val="000000" w:themeColor="text1"/>
          <w:szCs w:val="24"/>
          <w:highlight w:val="none"/>
          <w:lang w:val="en-US" w:eastAsia="zh-CN"/>
          <w14:textFill>
            <w14:solidFill>
              <w14:schemeClr w14:val="tx1"/>
            </w14:solidFill>
          </w14:textFill>
        </w:rPr>
        <w:t>储层改造工程：储层改造阶段产生的</w:t>
      </w:r>
      <w:r>
        <w:rPr>
          <w:rFonts w:hint="default" w:ascii="Times New Roman" w:hAnsi="Times New Roman" w:cs="Times New Roman"/>
          <w:color w:val="000000" w:themeColor="text1"/>
          <w:highlight w:val="none"/>
          <w14:textFill>
            <w14:solidFill>
              <w14:schemeClr w14:val="tx1"/>
            </w14:solidFill>
          </w14:textFill>
        </w:rPr>
        <w:t>洗井废水</w:t>
      </w:r>
      <w:r>
        <w:rPr>
          <w:rFonts w:hint="eastAsia" w:ascii="Times New Roman" w:hAnsi="Times New Roman" w:cs="Times New Roman"/>
          <w:color w:val="000000" w:themeColor="text1"/>
          <w:highlight w:val="none"/>
          <w:lang w:val="en-US" w:eastAsia="zh-CN"/>
          <w14:textFill>
            <w14:solidFill>
              <w14:schemeClr w14:val="tx1"/>
            </w14:solidFill>
          </w14:textFill>
        </w:rPr>
        <w:t>收集后</w:t>
      </w:r>
      <w:r>
        <w:rPr>
          <w:rFonts w:hint="eastAsia" w:cs="Times New Roman"/>
          <w:color w:val="000000" w:themeColor="text1"/>
          <w:szCs w:val="24"/>
          <w:highlight w:val="none"/>
          <w:lang w:val="en-US" w:eastAsia="zh-CN"/>
          <w14:textFill>
            <w14:solidFill>
              <w14:schemeClr w14:val="tx1"/>
            </w14:solidFill>
          </w14:textFill>
        </w:rPr>
        <w:t>经不落地装置处理后，</w:t>
      </w:r>
      <w:r>
        <w:rPr>
          <w:rFonts w:hint="eastAsia" w:cs="Times New Roman"/>
          <w:color w:val="000000" w:themeColor="text1"/>
          <w:highlight w:val="none"/>
          <w:lang w:eastAsia="zh-CN"/>
          <w14:textFill>
            <w14:solidFill>
              <w14:schemeClr w14:val="tx1"/>
            </w14:solidFill>
          </w14:textFill>
        </w:rPr>
        <w:t>优先回用于周边其他井场压裂液配置</w:t>
      </w:r>
      <w:r>
        <w:rPr>
          <w:rFonts w:hint="default" w:ascii="Times New Roman" w:hAnsi="Times New Roman" w:cs="Times New Roman"/>
          <w:color w:val="000000" w:themeColor="text1"/>
          <w:highlight w:val="none"/>
          <w14:textFill>
            <w14:solidFill>
              <w14:schemeClr w14:val="tx1"/>
            </w14:solidFill>
          </w14:textFill>
        </w:rPr>
        <w:t>，不能回用</w:t>
      </w:r>
      <w:r>
        <w:rPr>
          <w:rFonts w:hint="eastAsia" w:cs="Times New Roman"/>
          <w:color w:val="000000" w:themeColor="text1"/>
          <w:highlight w:val="none"/>
          <w:lang w:val="en-US" w:eastAsia="zh-CN"/>
          <w14:textFill>
            <w14:solidFill>
              <w14:schemeClr w14:val="tx1"/>
            </w14:solidFill>
          </w14:textFill>
        </w:rPr>
        <w:t>时</w:t>
      </w:r>
      <w:r>
        <w:rPr>
          <w:rFonts w:hint="default" w:ascii="Times New Roman" w:hAnsi="Times New Roman" w:cs="Times New Roman"/>
          <w:color w:val="000000" w:themeColor="text1"/>
          <w:highlight w:val="none"/>
          <w14:textFill>
            <w14:solidFill>
              <w14:schemeClr w14:val="tx1"/>
            </w14:solidFill>
          </w14:textFill>
        </w:rPr>
        <w:t>用罐车拉运至</w:t>
      </w:r>
      <w:r>
        <w:rPr>
          <w:rFonts w:hint="eastAsia" w:ascii="Times New Roman" w:hAnsi="Times New Roman"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ascii="Times New Roman" w:hAnsi="Times New Roman"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储层改造阶段产生的</w:t>
      </w:r>
      <w:r>
        <w:rPr>
          <w:rFonts w:hint="default" w:ascii="Times New Roman" w:hAnsi="Times New Roman" w:cs="Times New Roman"/>
          <w:color w:val="000000" w:themeColor="text1"/>
          <w:highlight w:val="none"/>
          <w14:textFill>
            <w14:solidFill>
              <w14:schemeClr w14:val="tx1"/>
            </w14:solidFill>
          </w14:textFill>
        </w:rPr>
        <w:t>压裂返排液临时暂存于放喷池或者</w:t>
      </w:r>
      <w:r>
        <w:rPr>
          <w:rFonts w:hint="eastAsia" w:cs="Times New Roman"/>
          <w:color w:val="000000" w:themeColor="text1"/>
          <w:highlight w:val="none"/>
          <w:lang w:val="en-US" w:eastAsia="zh-CN"/>
          <w14:textFill>
            <w14:solidFill>
              <w14:schemeClr w14:val="tx1"/>
            </w14:solidFill>
          </w14:textFill>
        </w:rPr>
        <w:t>压裂液储</w:t>
      </w:r>
      <w:r>
        <w:rPr>
          <w:rFonts w:hint="default" w:ascii="Times New Roman" w:hAnsi="Times New Roman" w:cs="Times New Roman"/>
          <w:color w:val="000000" w:themeColor="text1"/>
          <w:highlight w:val="none"/>
          <w14:textFill>
            <w14:solidFill>
              <w14:schemeClr w14:val="tx1"/>
            </w14:solidFill>
          </w14:textFill>
        </w:rPr>
        <w:t>罐</w:t>
      </w:r>
      <w:r>
        <w:rPr>
          <w:rFonts w:hint="eastAsia"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优先回用于周边其他井场压裂液配置</w:t>
      </w:r>
      <w:r>
        <w:rPr>
          <w:rFonts w:hint="default" w:ascii="Times New Roman" w:hAnsi="Times New Roman" w:cs="Times New Roman"/>
          <w:color w:val="000000" w:themeColor="text1"/>
          <w:highlight w:val="none"/>
          <w14:textFill>
            <w14:solidFill>
              <w14:schemeClr w14:val="tx1"/>
            </w14:solidFill>
          </w14:textFill>
        </w:rPr>
        <w:t>，不能回用</w:t>
      </w:r>
      <w:r>
        <w:rPr>
          <w:rFonts w:hint="eastAsia" w:cs="Times New Roman"/>
          <w:color w:val="000000" w:themeColor="text1"/>
          <w:highlight w:val="none"/>
          <w:lang w:val="en-US" w:eastAsia="zh-CN"/>
          <w14:textFill>
            <w14:solidFill>
              <w14:schemeClr w14:val="tx1"/>
            </w14:solidFill>
          </w14:textFill>
        </w:rPr>
        <w:t>时</w:t>
      </w:r>
      <w:r>
        <w:rPr>
          <w:rFonts w:hint="default" w:ascii="Times New Roman" w:hAnsi="Times New Roman" w:cs="Times New Roman"/>
          <w:color w:val="000000" w:themeColor="text1"/>
          <w:highlight w:val="none"/>
          <w14:textFill>
            <w14:solidFill>
              <w14:schemeClr w14:val="tx1"/>
            </w14:solidFill>
          </w14:textFill>
        </w:rPr>
        <w:t>用罐车拉运至</w:t>
      </w:r>
      <w:r>
        <w:rPr>
          <w:rFonts w:hint="eastAsia" w:ascii="Times New Roman" w:hAnsi="Times New Roman"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ascii="Times New Roman" w:hAnsi="Times New Roman"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储层改造期间施工人员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w:t>
      </w:r>
      <w:r>
        <w:rPr>
          <w:rFonts w:hint="default" w:cs="Times New Roman"/>
          <w:color w:val="000000" w:themeColor="text1"/>
          <w:szCs w:val="24"/>
          <w:highlight w:val="none"/>
          <w:lang w:val="en-US" w:eastAsia="zh-CN"/>
          <w14:textFill>
            <w14:solidFill>
              <w14:schemeClr w14:val="tx1"/>
            </w14:solidFill>
          </w14:textFill>
        </w:rPr>
        <w:t>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。项目储层改造期间无废水外排。</w:t>
      </w:r>
    </w:p>
    <w:p>
      <w:pPr>
        <w:pStyle w:val="27"/>
        <w:ind w:firstLine="480"/>
        <w:rPr>
          <w:rFonts w:hint="eastAsia"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④</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油气集输工程：油气集输工程在进行试采井站和外输管线建设时产生的</w:t>
      </w:r>
      <w:r>
        <w:rPr>
          <w:rFonts w:hint="eastAsia" w:cs="Times New Roman"/>
          <w:color w:val="000000" w:themeColor="text1"/>
          <w:szCs w:val="24"/>
          <w:highlight w:val="none"/>
          <w:lang w:val="en-US" w:eastAsia="zh-CN"/>
          <w14:textFill>
            <w14:solidFill>
              <w14:schemeClr w14:val="tx1"/>
            </w14:solidFill>
          </w14:textFill>
        </w:rPr>
        <w:t>施工人员</w:t>
      </w:r>
      <w:r>
        <w:rPr>
          <w:rFonts w:hint="default" w:ascii="Times New Roman" w:hAnsi="Times New Roman" w:cs="Times New Roman"/>
          <w:color w:val="000000" w:themeColor="text1"/>
          <w:szCs w:val="24"/>
          <w:highlight w:val="none"/>
          <w14:textFill>
            <w14:solidFill>
              <w14:schemeClr w14:val="tx1"/>
            </w14:solidFill>
          </w14:textFill>
        </w:rPr>
        <w:t>生活污水依托</w:t>
      </w:r>
      <w:r>
        <w:rPr>
          <w:rFonts w:hint="eastAsia" w:ascii="Times New Roman" w:hAnsi="Times New Roman" w:cs="Times New Roman"/>
          <w:color w:val="000000" w:themeColor="text1"/>
          <w:szCs w:val="24"/>
          <w:highlight w:val="none"/>
          <w:lang w:val="en-US" w:eastAsia="zh-CN"/>
          <w14:textFill>
            <w14:solidFill>
              <w14:schemeClr w14:val="tx1"/>
            </w14:solidFill>
          </w14:textFill>
        </w:rPr>
        <w:t>周边</w:t>
      </w:r>
      <w:r>
        <w:rPr>
          <w:rFonts w:hint="default" w:ascii="Times New Roman" w:hAnsi="Times New Roman" w:cs="Times New Roman"/>
          <w:color w:val="000000" w:themeColor="text1"/>
          <w:szCs w:val="24"/>
          <w:highlight w:val="none"/>
          <w14:textFill>
            <w14:solidFill>
              <w14:schemeClr w14:val="tx1"/>
            </w14:solidFill>
          </w14:textFill>
        </w:rPr>
        <w:t>农户已建设施处理</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不外排；管道建设完成后清管试压废水为清净水，</w:t>
      </w:r>
      <w:r>
        <w:rPr>
          <w:rFonts w:ascii="Times New Roman" w:hAnsi="Times New Roman"/>
          <w:color w:val="000000" w:themeColor="text1"/>
          <w:highlight w:val="none"/>
          <w:lang w:bidi="en-US"/>
          <w14:textFill>
            <w14:solidFill>
              <w14:schemeClr w14:val="tx1"/>
            </w14:solidFill>
          </w14:textFill>
        </w:rPr>
        <w:t>试压完成沉淀后用于洒水降尘，不外排</w:t>
      </w:r>
      <w:r>
        <w:rPr>
          <w:rFonts w:hint="eastAsia" w:cs="Times New Roman"/>
          <w:color w:val="000000" w:themeColor="text1"/>
          <w:szCs w:val="24"/>
          <w:highlight w:val="none"/>
          <w:lang w:val="en-US" w:eastAsia="zh-CN"/>
          <w14:textFill>
            <w14:solidFill>
              <w14:schemeClr w14:val="tx1"/>
            </w14:solidFill>
          </w14:textFill>
        </w:rPr>
        <w:t>。</w:t>
      </w:r>
    </w:p>
    <w:p>
      <w:pPr>
        <w:pStyle w:val="27"/>
        <w:pageBreakBefore w:val="0"/>
        <w:numPr>
          <w:ilvl w:val="0"/>
          <w:numId w:val="7"/>
        </w:numPr>
        <w:kinsoku/>
        <w:wordWrap/>
        <w:overflowPunct/>
        <w:topLinePunct w:val="0"/>
        <w:autoSpaceDE/>
        <w:autoSpaceDN/>
        <w:bidi w:val="0"/>
        <w:adjustRightInd w:val="0"/>
        <w:snapToGrid w:val="0"/>
        <w:ind w:firstLine="480"/>
        <w:textAlignment w:val="auto"/>
        <w:outlineLvl w:val="9"/>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试采期</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本项目试采期产气</w:t>
      </w:r>
      <w:r>
        <w:rPr>
          <w:rFonts w:hint="eastAsia" w:ascii="Times New Roman" w:hAnsi="Times New Roman" w:cs="Times New Roman"/>
          <w:color w:val="000000" w:themeColor="text1"/>
          <w:highlight w:val="none"/>
          <w:lang w:val="en-US" w:eastAsia="zh-CN"/>
          <w14:textFill>
            <w14:solidFill>
              <w14:schemeClr w14:val="tx1"/>
            </w14:solidFill>
          </w14:textFill>
        </w:rPr>
        <w:t>通过管道输送至雷页1试采站，再</w:t>
      </w:r>
      <w:r>
        <w:rPr>
          <w:rFonts w:hint="eastAsia" w:ascii="Times New Roman" w:hAnsi="Times New Roman" w:cs="Times New Roman"/>
          <w:color w:val="000000" w:themeColor="text1"/>
          <w:highlight w:val="none"/>
          <w:lang w:eastAsia="zh-CN"/>
          <w14:textFill>
            <w14:solidFill>
              <w14:schemeClr w14:val="tx1"/>
            </w14:solidFill>
          </w14:textFill>
        </w:rPr>
        <w:t>经雷页1试采站进行计量分离，产生的气田水（含初期压裂返排液）依托雷页1试采站既有污水罐收集暂存</w:t>
      </w:r>
      <w:r>
        <w:rPr>
          <w:rFonts w:hint="default" w:ascii="Times New Roman" w:hAnsi="Times New Roman" w:cs="Times New Roman"/>
          <w:color w:val="000000" w:themeColor="text1"/>
          <w:highlight w:val="none"/>
          <w14:textFill>
            <w14:solidFill>
              <w14:schemeClr w14:val="tx1"/>
            </w14:solidFill>
          </w14:textFill>
        </w:rPr>
        <w:t>，然后通过密闭罐车拉运至</w:t>
      </w:r>
      <w:r>
        <w:rPr>
          <w:rFonts w:hint="eastAsia" w:ascii="Times New Roman" w:hAnsi="Times New Roman"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达到《气田水回注方法》（SY/T 6596-2016）中注入水基本要求后管输至</w:t>
      </w:r>
      <w:r>
        <w:rPr>
          <w:rFonts w:hint="eastAsia" w:ascii="Times New Roman" w:hAnsi="Times New Roman"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回注处理，不外排。</w:t>
      </w:r>
      <w:r>
        <w:rPr>
          <w:rFonts w:hint="default" w:ascii="Times New Roman" w:hAnsi="Times New Roman" w:cs="Times New Roman"/>
          <w:bCs/>
          <w:color w:val="000000" w:themeColor="text1"/>
          <w:szCs w:val="24"/>
          <w:highlight w:val="none"/>
          <w14:textFill>
            <w14:solidFill>
              <w14:schemeClr w14:val="tx1"/>
            </w14:solidFill>
          </w14:textFill>
        </w:rPr>
        <w:t>试采期</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试采站</w:t>
      </w:r>
      <w:r>
        <w:rPr>
          <w:rFonts w:hint="default" w:ascii="Times New Roman" w:hAnsi="Times New Roman" w:cs="Times New Roman"/>
          <w:bCs/>
          <w:color w:val="000000" w:themeColor="text1"/>
          <w:szCs w:val="24"/>
          <w:highlight w:val="none"/>
          <w14:textFill>
            <w14:solidFill>
              <w14:schemeClr w14:val="tx1"/>
            </w14:solidFill>
          </w14:textFill>
        </w:rPr>
        <w:t>无新增劳动定员，试采期无新增生活污水产生。</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（2）废气</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项目施工期间扬尘执行《四川省施工场地扬尘排放标准》（DB51/2682-2020）；</w:t>
      </w:r>
      <w:r>
        <w:rPr>
          <w:rFonts w:hint="eastAsia" w:ascii="Times New Roman" w:hAnsi="Times New Roman"/>
          <w:bCs/>
          <w:color w:val="000000" w:themeColor="text1"/>
          <w:szCs w:val="24"/>
          <w:highlight w:val="none"/>
          <w:lang w:val="en-US" w:eastAsia="zh-CN"/>
          <w14:textFill>
            <w14:solidFill>
              <w14:schemeClr w14:val="tx1"/>
            </w14:solidFill>
          </w14:textFill>
        </w:rPr>
        <w:t>施工期</w:t>
      </w:r>
      <w:r>
        <w:rPr>
          <w:rFonts w:ascii="Times New Roman" w:hAnsi="Times New Roman"/>
          <w:bCs/>
          <w:color w:val="000000" w:themeColor="text1"/>
          <w:szCs w:val="24"/>
          <w:highlight w:val="none"/>
          <w14:textFill>
            <w14:solidFill>
              <w14:schemeClr w14:val="tx1"/>
            </w14:solidFill>
          </w14:textFill>
        </w:rPr>
        <w:t>钻井期间备用柴油机废气排放执行《大气污染物综合排放标准》(GB16297-1996)；试采期间水套加热炉燃烧废气排放执行《锅炉大气污染物排放标准》（GB13271-2014）；施工期和试采期挥发性有机物无组织排放执行《陆上石油天然气开采工业大气污染物排放标准》（GB39728-2020）。</w:t>
      </w:r>
      <w:r>
        <w:rPr>
          <w:rFonts w:hint="default" w:ascii="Times New Roman" w:hAnsi="Times New Roman" w:cs="Times New Roman"/>
          <w:bCs/>
          <w:color w:val="000000" w:themeColor="text1"/>
          <w:szCs w:val="24"/>
          <w:highlight w:val="none"/>
          <w14:textFill>
            <w14:solidFill>
              <w14:schemeClr w14:val="tx1"/>
            </w14:solidFill>
          </w14:textFill>
        </w:rPr>
        <w:t>其他废气执行《大气污染物综合排放标准》（GB16297-1996）。</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四川省施工场地扬尘排放标准</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020"/>
        <w:gridCol w:w="1666"/>
        <w:gridCol w:w="1389"/>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监测项目</w:t>
            </w:r>
          </w:p>
        </w:tc>
        <w:tc>
          <w:tcPr>
            <w:tcW w:w="3020"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区域</w:t>
            </w:r>
          </w:p>
        </w:tc>
        <w:tc>
          <w:tcPr>
            <w:tcW w:w="1666"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施工阶段</w:t>
            </w:r>
          </w:p>
        </w:tc>
        <w:tc>
          <w:tcPr>
            <w:tcW w:w="1389"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监测点排放限值（μg/m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935"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总悬浮颗粒物（TSP）</w:t>
            </w:r>
          </w:p>
        </w:tc>
        <w:tc>
          <w:tcPr>
            <w:tcW w:w="3020" w:type="dxa"/>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成都市、自贡市、泸州市、德阳市、绵阳市、广元市、遂宁市、内江市、乐山市、南充市、宜宾市、广安市、</w:t>
            </w:r>
            <w:r>
              <w:rPr>
                <w:rFonts w:hint="default"/>
                <w:b w:val="0"/>
                <w:bCs w:val="0"/>
                <w:color w:val="000000" w:themeColor="text1"/>
                <w:szCs w:val="20"/>
                <w:highlight w:val="none"/>
                <w:u w:val="single"/>
                <w14:textFill>
                  <w14:solidFill>
                    <w14:schemeClr w14:val="tx1"/>
                  </w14:solidFill>
                </w14:textFill>
              </w:rPr>
              <w:t>达州市、</w:t>
            </w:r>
            <w:r>
              <w:rPr>
                <w:rFonts w:hint="default"/>
                <w:color w:val="000000" w:themeColor="text1"/>
                <w:szCs w:val="20"/>
                <w:highlight w:val="none"/>
                <w14:textFill>
                  <w14:solidFill>
                    <w14:schemeClr w14:val="tx1"/>
                  </w14:solidFill>
                </w14:textFill>
              </w:rPr>
              <w:t>巴中市、雅安市、眉山市、资阳市</w:t>
            </w:r>
          </w:p>
        </w:tc>
        <w:tc>
          <w:tcPr>
            <w:tcW w:w="1666"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拆除工程/土方开挖/土方回填阶段</w:t>
            </w:r>
          </w:p>
        </w:tc>
        <w:tc>
          <w:tcPr>
            <w:tcW w:w="1389"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600</w:t>
            </w:r>
          </w:p>
        </w:tc>
        <w:tc>
          <w:tcPr>
            <w:tcW w:w="935" w:type="dxa"/>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302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66"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其他工程阶段</w:t>
            </w:r>
          </w:p>
        </w:tc>
        <w:tc>
          <w:tcPr>
            <w:tcW w:w="1389"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250</w:t>
            </w:r>
          </w:p>
        </w:tc>
        <w:tc>
          <w:tcPr>
            <w:tcW w:w="935"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大气污染物综合排放标准</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08"/>
        <w:gridCol w:w="1437"/>
        <w:gridCol w:w="1325"/>
        <w:gridCol w:w="1505"/>
        <w:gridCol w:w="3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874"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最高允许排放浓度（mg/m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80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最高允许排放速率（kg/h）</w:t>
            </w:r>
          </w:p>
        </w:tc>
        <w:tc>
          <w:tcPr>
            <w:tcW w:w="91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无组织排放监控浓度限值（mg/m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191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*SO</w:t>
            </w:r>
            <w:r>
              <w:rPr>
                <w:rFonts w:hint="default"/>
                <w:color w:val="000000" w:themeColor="text1"/>
                <w:szCs w:val="20"/>
                <w:highlight w:val="none"/>
                <w:vertAlign w:val="subscript"/>
                <w14:textFill>
                  <w14:solidFill>
                    <w14:schemeClr w14:val="tx1"/>
                  </w14:solidFill>
                </w14:textFill>
              </w:rPr>
              <w:t>2</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0.40</w:t>
            </w:r>
          </w:p>
        </w:tc>
        <w:tc>
          <w:tcPr>
            <w:tcW w:w="1913"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根据2017.1.12环保部长《关于GB16297-1996 的适用范围的回复》，对</w:t>
            </w:r>
            <w:r>
              <w:rPr>
                <w:rFonts w:hint="eastAsia" w:ascii="宋体" w:hAnsi="宋体" w:eastAsia="宋体" w:cs="宋体"/>
                <w:color w:val="000000" w:themeColor="text1"/>
                <w:szCs w:val="20"/>
                <w:highlight w:val="none"/>
                <w14:textFill>
                  <w14:solidFill>
                    <w14:schemeClr w14:val="tx1"/>
                  </w14:solidFill>
                </w14:textFill>
              </w:rPr>
              <w:t>“固定式柴油发电机排气筒高度和排放速率暂不作要求”</w:t>
            </w:r>
            <w:r>
              <w:rPr>
                <w:rFonts w:hint="default"/>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w:t>
            </w:r>
            <w:r>
              <w:rPr>
                <w:rFonts w:hint="default"/>
                <w:color w:val="000000" w:themeColor="text1"/>
                <w:szCs w:val="20"/>
                <w:highlight w:val="none"/>
                <w:vertAlign w:val="subscript"/>
                <w14:textFill>
                  <w14:solidFill>
                    <w14:schemeClr w14:val="tx1"/>
                  </w14:solidFill>
                </w14:textFill>
              </w:rPr>
              <w:t>x</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0.12</w:t>
            </w:r>
          </w:p>
        </w:tc>
        <w:tc>
          <w:tcPr>
            <w:tcW w:w="191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*颗粒物</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191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SO</w:t>
            </w:r>
            <w:r>
              <w:rPr>
                <w:rFonts w:hint="default"/>
                <w:color w:val="000000" w:themeColor="text1"/>
                <w:szCs w:val="20"/>
                <w:highlight w:val="none"/>
                <w:vertAlign w:val="subscript"/>
                <w14:textFill>
                  <w14:solidFill>
                    <w14:schemeClr w14:val="tx1"/>
                  </w14:solidFill>
                </w14:textFill>
              </w:rPr>
              <w:t>2</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0.40</w:t>
            </w:r>
          </w:p>
        </w:tc>
        <w:tc>
          <w:tcPr>
            <w:tcW w:w="1913"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排放高度55m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w:t>
            </w:r>
            <w:r>
              <w:rPr>
                <w:rFonts w:hint="default"/>
                <w:color w:val="000000" w:themeColor="text1"/>
                <w:szCs w:val="20"/>
                <w:highlight w:val="none"/>
                <w:vertAlign w:val="subscript"/>
                <w14:textFill>
                  <w14:solidFill>
                    <w14:schemeClr w14:val="tx1"/>
                  </w14:solidFill>
                </w14:textFill>
              </w:rPr>
              <w:t>x</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240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0.12</w:t>
            </w:r>
          </w:p>
        </w:tc>
        <w:tc>
          <w:tcPr>
            <w:tcW w:w="191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jc w:val="center"/>
        </w:trPr>
        <w:tc>
          <w:tcPr>
            <w:tcW w:w="49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颗粒物</w:t>
            </w:r>
          </w:p>
        </w:tc>
        <w:tc>
          <w:tcPr>
            <w:tcW w:w="87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120</w:t>
            </w:r>
          </w:p>
        </w:tc>
        <w:tc>
          <w:tcPr>
            <w:tcW w:w="80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85</w:t>
            </w:r>
          </w:p>
        </w:tc>
        <w:tc>
          <w:tcPr>
            <w:tcW w:w="91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191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锅炉大气污染物排放标准</w:t>
      </w:r>
      <w:r>
        <w:rPr>
          <w:color w:val="000000" w:themeColor="text1"/>
          <w:highlight w:val="none"/>
          <w14:textFill>
            <w14:solidFill>
              <w14:schemeClr w14:val="tx1"/>
            </w14:solidFill>
          </w14:textFill>
        </w:rPr>
        <w:t xml:space="preserve">  单位：mg/m</w:t>
      </w:r>
      <w:r>
        <w:rPr>
          <w:color w:val="000000" w:themeColor="text1"/>
          <w:highlight w:val="none"/>
          <w:vertAlign w:val="superscript"/>
          <w14:textFill>
            <w14:solidFill>
              <w14:schemeClr w14:val="tx1"/>
            </w14:solidFill>
          </w14:textFill>
        </w:rPr>
        <w:t>3</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431"/>
        <w:gridCol w:w="338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lang w:bidi="ar"/>
                <w14:textFill>
                  <w14:solidFill>
                    <w14:schemeClr w14:val="tx1"/>
                  </w14:solidFill>
                </w14:textFill>
              </w:rPr>
              <w:t>污染物</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lang w:bidi="ar"/>
                <w14:textFill>
                  <w14:solidFill>
                    <w14:schemeClr w14:val="tx1"/>
                  </w14:solidFill>
                </w14:textFill>
              </w:rPr>
              <w:t>最高允许排放浓度（mg/m</w:t>
            </w:r>
            <w:r>
              <w:rPr>
                <w:rFonts w:hint="default"/>
                <w:b/>
                <w:bCs/>
                <w:color w:val="000000" w:themeColor="text1"/>
                <w:szCs w:val="20"/>
                <w:highlight w:val="none"/>
                <w:vertAlign w:val="superscript"/>
                <w:lang w:bidi="ar"/>
                <w14:textFill>
                  <w14:solidFill>
                    <w14:schemeClr w14:val="tx1"/>
                  </w14:solidFill>
                </w14:textFill>
              </w:rPr>
              <w:t>3</w:t>
            </w:r>
            <w:r>
              <w:rPr>
                <w:rFonts w:hint="default"/>
                <w:b/>
                <w:bCs/>
                <w:color w:val="000000" w:themeColor="text1"/>
                <w:szCs w:val="20"/>
                <w:highlight w:val="none"/>
                <w:lang w:bidi="ar"/>
                <w14:textFill>
                  <w14:solidFill>
                    <w14:schemeClr w14:val="tx1"/>
                  </w14:solidFill>
                </w14:textFill>
              </w:rPr>
              <w:t>）</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lang w:bidi="ar"/>
                <w14:textFill>
                  <w14:solidFill>
                    <w14:schemeClr w14:val="tx1"/>
                  </w14:solidFill>
                </w14:textFill>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NO</w:t>
            </w:r>
            <w:r>
              <w:rPr>
                <w:rFonts w:hint="default"/>
                <w:color w:val="000000" w:themeColor="text1"/>
                <w:szCs w:val="20"/>
                <w:highlight w:val="none"/>
                <w:vertAlign w:val="subscript"/>
                <w:lang w:bidi="ar"/>
                <w14:textFill>
                  <w14:solidFill>
                    <w14:schemeClr w14:val="tx1"/>
                  </w14:solidFill>
                </w14:textFill>
              </w:rPr>
              <w:t>x</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200</w:t>
            </w:r>
          </w:p>
        </w:tc>
        <w:tc>
          <w:tcPr>
            <w:tcW w:w="0" w:type="auto"/>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烟囱或烟道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SO</w:t>
            </w:r>
            <w:r>
              <w:rPr>
                <w:rFonts w:hint="default"/>
                <w:color w:val="000000" w:themeColor="text1"/>
                <w:szCs w:val="20"/>
                <w:highlight w:val="none"/>
                <w:vertAlign w:val="subscript"/>
                <w:lang w:bidi="ar"/>
                <w14:textFill>
                  <w14:solidFill>
                    <w14:schemeClr w14:val="tx1"/>
                  </w14:solidFill>
                </w14:textFill>
              </w:rPr>
              <w:t>2</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50</w:t>
            </w:r>
          </w:p>
        </w:tc>
        <w:tc>
          <w:tcPr>
            <w:tcW w:w="0" w:type="auto"/>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颗粒物</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bidi="ar"/>
                <w14:textFill>
                  <w14:solidFill>
                    <w14:schemeClr w14:val="tx1"/>
                  </w14:solidFill>
                </w14:textFill>
              </w:rPr>
              <w:t>20</w:t>
            </w:r>
          </w:p>
        </w:tc>
        <w:tc>
          <w:tcPr>
            <w:tcW w:w="0" w:type="auto"/>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bidi="ar"/>
                <w14:textFill>
                  <w14:solidFill>
                    <w14:schemeClr w14:val="tx1"/>
                  </w14:solidFill>
                </w14:textFill>
              </w:rPr>
            </w:pPr>
            <w:r>
              <w:rPr>
                <w:rFonts w:hint="default"/>
                <w:color w:val="000000" w:themeColor="text1"/>
                <w:szCs w:val="20"/>
                <w:highlight w:val="none"/>
                <w:lang w:bidi="ar"/>
                <w14:textFill>
                  <w14:solidFill>
                    <w14:schemeClr w14:val="tx1"/>
                  </w14:solidFill>
                </w14:textFill>
              </w:rPr>
              <w:t>烟气黑度（林格曼黑度，级）</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bidi="ar"/>
                <w14:textFill>
                  <w14:solidFill>
                    <w14:schemeClr w14:val="tx1"/>
                  </w14:solidFill>
                </w14:textFill>
              </w:rPr>
            </w:pPr>
            <w:r>
              <w:rPr>
                <w:rFonts w:hint="default"/>
                <w:color w:val="000000" w:themeColor="text1"/>
                <w:szCs w:val="20"/>
                <w:highlight w:val="none"/>
                <w:lang w:bidi="ar"/>
                <w14:textFill>
                  <w14:solidFill>
                    <w14:schemeClr w14:val="tx1"/>
                  </w14:solidFill>
                </w14:textFill>
              </w:rPr>
              <w:t>≤1</w:t>
            </w:r>
          </w:p>
        </w:tc>
        <w:tc>
          <w:tcPr>
            <w:tcW w:w="0" w:type="auto"/>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烟囱排放口</w:t>
            </w:r>
          </w:p>
        </w:tc>
      </w:tr>
    </w:tbl>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陆上石油天然气开采工业大气污染物排放标准</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547"/>
        <w:gridCol w:w="5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80" w:type="pct"/>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941" w:type="pct"/>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无组织排放（周界外浓度最高点）/（mg/m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3379"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有组织排放标准要求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680"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941"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3379" w:type="pct"/>
            <w:vMerge w:val="restar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a）非甲烷总烃排放浓度不超过120mg/m</w:t>
            </w:r>
            <w:r>
              <w:rPr>
                <w:rFonts w:hint="default"/>
                <w:color w:val="000000" w:themeColor="text1"/>
                <w:szCs w:val="21"/>
                <w:highlight w:val="none"/>
                <w:vertAlign w:val="superscript"/>
                <w14:textFill>
                  <w14:solidFill>
                    <w14:schemeClr w14:val="tx1"/>
                  </w14:solidFill>
                </w14:textFill>
              </w:rPr>
              <w:t>3</w:t>
            </w:r>
            <w:r>
              <w:rPr>
                <w:rFonts w:hint="default"/>
                <w:color w:val="000000" w:themeColor="text1"/>
                <w:szCs w:val="21"/>
                <w:highlight w:val="none"/>
                <w14:textFill>
                  <w14:solidFill>
                    <w14:schemeClr w14:val="tx1"/>
                  </w14:solidFill>
                </w14:textFill>
              </w:rPr>
              <w:t>；</w:t>
            </w:r>
          </w:p>
          <w:p>
            <w:pPr>
              <w:pStyle w:val="295"/>
              <w:keepNext w:val="0"/>
              <w:keepLines w:val="0"/>
              <w:widowControl/>
              <w:suppressLineNumbers w:val="0"/>
              <w:spacing w:before="0" w:beforeAutospacing="0" w:after="0" w:afterAutospacing="0"/>
              <w:ind w:left="0" w:right="0"/>
              <w:jc w:val="left"/>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b）生产装置和设施排气中非甲烷总烃初始排放速率≥3kg/h的，废气处理设施非甲烷总烃去除效率不低于80%。重点地区生产装置和设施排气中非甲烷总烃初始排放速率≥2kg/h的，废气处理设施非甲烷总烃去除效率不低于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NMHC</w:t>
            </w:r>
          </w:p>
        </w:tc>
        <w:tc>
          <w:tcPr>
            <w:tcW w:w="94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4.0</w:t>
            </w:r>
          </w:p>
        </w:tc>
        <w:tc>
          <w:tcPr>
            <w:tcW w:w="3379"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（3）噪声</w:t>
      </w:r>
    </w:p>
    <w:bookmarkEnd w:id="62"/>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项目施工期执行《建筑施工场界环境噪声排放标准》（GB12523-2011），</w:t>
      </w:r>
      <w:r>
        <w:rPr>
          <w:rFonts w:ascii="Times New Roman" w:hAnsi="Times New Roman"/>
          <w:color w:val="000000" w:themeColor="text1"/>
          <w:szCs w:val="24"/>
          <w:highlight w:val="none"/>
          <w14:textFill>
            <w14:solidFill>
              <w14:schemeClr w14:val="tx1"/>
            </w14:solidFill>
          </w14:textFill>
        </w:rPr>
        <w:t>试采期</w:t>
      </w:r>
      <w:r>
        <w:rPr>
          <w:rFonts w:ascii="Times New Roman" w:hAnsi="Times New Roman"/>
          <w:bCs/>
          <w:snapToGrid w:val="0"/>
          <w:color w:val="000000" w:themeColor="text1"/>
          <w:szCs w:val="24"/>
          <w:highlight w:val="none"/>
          <w14:textFill>
            <w14:solidFill>
              <w14:schemeClr w14:val="tx1"/>
            </w14:solidFill>
          </w14:textFill>
        </w:rPr>
        <w:t>执</w:t>
      </w:r>
      <w:r>
        <w:rPr>
          <w:rFonts w:ascii="Times New Roman" w:hAnsi="Times New Roman"/>
          <w:color w:val="000000" w:themeColor="text1"/>
          <w:szCs w:val="24"/>
          <w:highlight w:val="none"/>
          <w14:textFill>
            <w14:solidFill>
              <w14:schemeClr w14:val="tx1"/>
            </w14:solidFill>
          </w14:textFill>
        </w:rPr>
        <w:t>行《工业企业厂界环境噪声排放标准》（GB12348-2008</w:t>
      </w:r>
      <w:r>
        <w:rPr>
          <w:rFonts w:ascii="Times New Roman" w:hAnsi="Times New Roman"/>
          <w:bCs/>
          <w:snapToGrid w:val="0"/>
          <w:color w:val="000000" w:themeColor="text1"/>
          <w:szCs w:val="24"/>
          <w:highlight w:val="none"/>
          <w14:textFill>
            <w14:solidFill>
              <w14:schemeClr w14:val="tx1"/>
            </w14:solidFill>
          </w14:textFill>
        </w:rPr>
        <w:t>）2类功能区标</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准，见</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instrText xml:space="preserve"> REF _Ref143335153 \h  \* MERGEFORMAT </w:instrTex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instrText xml:space="preserve"> STYLEREF 2 \s </w:instrTex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2.5</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noBreakHyphen/>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12</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pPr>
        <w:pStyle w:val="201"/>
        <w:spacing w:before="163"/>
        <w:rPr>
          <w:color w:val="000000" w:themeColor="text1"/>
          <w:highlight w:val="none"/>
          <w14:textFill>
            <w14:solidFill>
              <w14:schemeClr w14:val="tx1"/>
            </w14:solidFill>
          </w14:textFill>
        </w:rPr>
      </w:pPr>
      <w:bookmarkStart w:id="64" w:name="_Ref14333515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bookmarkEnd w:id="6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噪声污染物排放标准</w:t>
      </w:r>
      <w:r>
        <w:rPr>
          <w:color w:val="000000" w:themeColor="text1"/>
          <w:highlight w:val="none"/>
          <w14:textFill>
            <w14:solidFill>
              <w14:schemeClr w14:val="tx1"/>
            </w14:solidFill>
          </w14:textFill>
        </w:rPr>
        <w:t xml:space="preserve">   单位：dB（A）</w:t>
      </w:r>
    </w:p>
    <w:tbl>
      <w:tblPr>
        <w:tblStyle w:val="52"/>
        <w:tblW w:w="82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3686"/>
        <w:gridCol w:w="992"/>
        <w:gridCol w:w="1134"/>
        <w:gridCol w:w="11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时段</w:t>
            </w:r>
          </w:p>
        </w:tc>
        <w:tc>
          <w:tcPr>
            <w:tcW w:w="368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标准名称及级（类）别</w:t>
            </w:r>
          </w:p>
        </w:tc>
        <w:tc>
          <w:tcPr>
            <w:tcW w:w="3304" w:type="dxa"/>
            <w:gridSpan w:val="3"/>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标准值（单位：dB（A））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w:t>
            </w:r>
          </w:p>
        </w:tc>
        <w:tc>
          <w:tcPr>
            <w:tcW w:w="368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《建筑施工场界环境噪声排放标准》（GB12523-2011）</w:t>
            </w:r>
          </w:p>
        </w:tc>
        <w:tc>
          <w:tcPr>
            <w:tcW w:w="99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场界</w:t>
            </w: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11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continue"/>
            <w:tcBorders>
              <w:bottom w:val="single" w:color="auto"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3686" w:type="dxa"/>
            <w:vMerge w:val="continue"/>
            <w:tcBorders>
              <w:bottom w:val="single" w:color="auto"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992" w:type="dxa"/>
            <w:vMerge w:val="continue"/>
            <w:tcBorders>
              <w:bottom w:val="single" w:color="auto"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夜间</w:t>
            </w:r>
          </w:p>
        </w:tc>
        <w:tc>
          <w:tcPr>
            <w:tcW w:w="11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restart"/>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w:t>
            </w:r>
          </w:p>
        </w:tc>
        <w:tc>
          <w:tcPr>
            <w:tcW w:w="3686" w:type="dxa"/>
            <w:vMerge w:val="restart"/>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《工业企业厂界环境噪声排放标准》（GB12348-2008</w:t>
            </w:r>
            <w:r>
              <w:rPr>
                <w:rFonts w:hint="default"/>
                <w:bCs/>
                <w:color w:val="000000" w:themeColor="text1"/>
                <w:szCs w:val="20"/>
                <w:highlight w:val="none"/>
                <w14:textFill>
                  <w14:solidFill>
                    <w14:schemeClr w14:val="tx1"/>
                  </w14:solidFill>
                </w14:textFill>
              </w:rPr>
              <w:t>）2类标准</w:t>
            </w:r>
          </w:p>
        </w:tc>
        <w:tc>
          <w:tcPr>
            <w:tcW w:w="992" w:type="dxa"/>
            <w:vMerge w:val="restart"/>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场界</w:t>
            </w: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11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32" w:type="dxa"/>
            <w:vMerge w:val="continue"/>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3686" w:type="dxa"/>
            <w:vMerge w:val="continue"/>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992" w:type="dxa"/>
            <w:vMerge w:val="continue"/>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夜间</w:t>
            </w:r>
          </w:p>
        </w:tc>
        <w:tc>
          <w:tcPr>
            <w:tcW w:w="11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w:t>
            </w: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（4）固废</w:t>
      </w:r>
    </w:p>
    <w:bookmarkEnd w:id="63"/>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本项目产生的一般固体废物暂存按《一般工业固体废物贮存和填埋污染控制标准》（GB 18599-2020）进行控制</w:t>
      </w:r>
      <w:r>
        <w:rPr>
          <w:rFonts w:cs="Times New Roman"/>
          <w:bCs/>
          <w:color w:val="000000" w:themeColor="text1"/>
          <w:szCs w:val="24"/>
          <w:highlight w:val="none"/>
          <w14:textFill>
            <w14:solidFill>
              <w14:schemeClr w14:val="tx1"/>
            </w14:solidFill>
          </w14:textFill>
        </w:rPr>
        <w:t>；危险废物执行《危险废物贮存污染控制标准》（GB18597-2023）和《危险废物环境管理指南 陆上石油天然气开采》（2021年12月31日）。</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65" w:name="_Toc13266"/>
      <w:r>
        <w:rPr>
          <w:color w:val="000000" w:themeColor="text1"/>
          <w:highlight w:val="none"/>
          <w:lang w:eastAsia="zh-CN"/>
          <w14:textFill>
            <w14:solidFill>
              <w14:schemeClr w14:val="tx1"/>
            </w14:solidFill>
          </w14:textFill>
        </w:rPr>
        <w:t>评价工作等级和评价范围</w:t>
      </w:r>
      <w:bookmarkEnd w:id="65"/>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66" w:name="_Toc120173070"/>
      <w:r>
        <w:rPr>
          <w:color w:val="000000" w:themeColor="text1"/>
          <w:highlight w:val="none"/>
          <w:lang w:eastAsia="zh-CN"/>
          <w14:textFill>
            <w14:solidFill>
              <w14:schemeClr w14:val="tx1"/>
            </w14:solidFill>
          </w14:textFill>
        </w:rPr>
        <w:t>地表水环境</w:t>
      </w:r>
      <w:bookmarkEnd w:id="66"/>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（1）评价工作等级</w:t>
      </w:r>
    </w:p>
    <w:p>
      <w:pPr>
        <w:tabs>
          <w:tab w:val="left" w:pos="0"/>
        </w:tabs>
        <w:ind w:firstLine="480"/>
        <w:rPr>
          <w:rFonts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本项目</w:t>
      </w:r>
      <w:r>
        <w:rPr>
          <w:rFonts w:hint="eastAsia" w:cs="Times New Roman"/>
          <w:bCs/>
          <w:color w:val="000000" w:themeColor="text1"/>
          <w:szCs w:val="24"/>
          <w:highlight w:val="none"/>
          <w:lang w:val="en-US" w:eastAsia="zh-CN"/>
          <w14:textFill>
            <w14:solidFill>
              <w14:schemeClr w14:val="tx1"/>
            </w14:solidFill>
          </w14:textFill>
        </w:rPr>
        <w:t>施工期、试采期</w:t>
      </w:r>
      <w:r>
        <w:rPr>
          <w:rFonts w:hint="default" w:ascii="Times New Roman" w:hAnsi="Times New Roman" w:cs="Times New Roman"/>
          <w:bCs/>
          <w:color w:val="000000" w:themeColor="text1"/>
          <w:szCs w:val="24"/>
          <w:highlight w:val="none"/>
          <w14:textFill>
            <w14:solidFill>
              <w14:schemeClr w14:val="tx1"/>
            </w14:solidFill>
          </w14:textFill>
        </w:rPr>
        <w:t>废水均不直接外排，</w:t>
      </w:r>
      <w:r>
        <w:rPr>
          <w:rFonts w:hint="eastAsia" w:cs="Times New Roman"/>
          <w:bCs/>
          <w:color w:val="000000" w:themeColor="text1"/>
          <w:szCs w:val="24"/>
          <w:highlight w:val="none"/>
          <w:lang w:val="en-US" w:eastAsia="zh-CN"/>
          <w14:textFill>
            <w14:solidFill>
              <w14:schemeClr w14:val="tx1"/>
            </w14:solidFill>
          </w14:textFill>
        </w:rPr>
        <w:t>属于间接排放，</w:t>
      </w:r>
      <w:r>
        <w:rPr>
          <w:rFonts w:cs="Times New Roman"/>
          <w:bCs/>
          <w:color w:val="000000" w:themeColor="text1"/>
          <w:szCs w:val="24"/>
          <w:highlight w:val="none"/>
          <w14:textFill>
            <w14:solidFill>
              <w14:schemeClr w14:val="tx1"/>
            </w14:solidFill>
          </w14:textFill>
        </w:rPr>
        <w:t>根据《环境影响评价技术导则地表水环境》（HJ2.3-2018）判定地表水评价等级为三级B。</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地表水水污染型建设项目评价工作等级分级</w:t>
      </w:r>
    </w:p>
    <w:tbl>
      <w:tblPr>
        <w:tblStyle w:val="52"/>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42"/>
        <w:gridCol w:w="2356"/>
        <w:gridCol w:w="3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vMerge w:val="restart"/>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评价等级</w:t>
            </w:r>
          </w:p>
        </w:tc>
        <w:tc>
          <w:tcPr>
            <w:tcW w:w="5480"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vMerge w:val="continue"/>
            <w:tcBorders>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23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排放方式</w:t>
            </w:r>
          </w:p>
        </w:tc>
        <w:tc>
          <w:tcPr>
            <w:tcW w:w="312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shd w:val="pct10" w:color="auto" w:fill="FFFFFF"/>
                <w14:textFill>
                  <w14:solidFill>
                    <w14:schemeClr w14:val="tx1"/>
                  </w14:solidFill>
                </w14:textFill>
              </w:rPr>
            </w:pPr>
            <w:r>
              <w:rPr>
                <w:rFonts w:hint="default"/>
                <w:b/>
                <w:bCs/>
                <w:color w:val="000000" w:themeColor="text1"/>
                <w:szCs w:val="20"/>
                <w:highlight w:val="none"/>
                <w14:textFill>
                  <w14:solidFill>
                    <w14:schemeClr w14:val="tx1"/>
                  </w14:solidFill>
                </w14:textFill>
              </w:rPr>
              <w:t>废水排放量Q/（m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/d）；水污染物当量W/（无量纲）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23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23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三级A</w:t>
            </w:r>
          </w:p>
        </w:tc>
        <w:tc>
          <w:tcPr>
            <w:tcW w:w="23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Q＜200或W＜6000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4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三级B</w:t>
            </w:r>
          </w:p>
        </w:tc>
        <w:tc>
          <w:tcPr>
            <w:tcW w:w="23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间接排放</w:t>
            </w:r>
          </w:p>
        </w:tc>
        <w:tc>
          <w:tcPr>
            <w:tcW w:w="312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（2）评价范围</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根据《环境影响评价技术导则 地表水环境》（HJ2.3-2018）中第5.3.2.2条规定，并结合项目实际情况，本次环评地表水环境影响评价不作预测评价，仅对污、废水的产生情况和依托可行性等进行说明，并进行简单的环境影响分析。因此，本项目不设地表水评价范围。</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67" w:name="_Toc120173071"/>
      <w:r>
        <w:rPr>
          <w:color w:val="000000" w:themeColor="text1"/>
          <w:highlight w:val="none"/>
          <w:lang w:eastAsia="zh-CN"/>
          <w14:textFill>
            <w14:solidFill>
              <w14:schemeClr w14:val="tx1"/>
            </w14:solidFill>
          </w14:textFill>
        </w:rPr>
        <w:t>地下水环境</w:t>
      </w:r>
      <w:bookmarkEnd w:id="67"/>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（1）评价工作等级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根据《环境影响评价导则-地下水环境》（HJ610-2016），评价工作等级的划分应依据建设项目行业分类和地下水环境敏感程度分级进行判定，具体如下：</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1）建设项目行业分类</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本项目属</w:t>
      </w:r>
      <w:r>
        <w:rPr>
          <w:rFonts w:hint="eastAsia" w:cs="Times New Roman"/>
          <w:bCs/>
          <w:color w:val="000000" w:themeColor="text1"/>
          <w:szCs w:val="24"/>
          <w:highlight w:val="none"/>
          <w:lang w:eastAsia="zh-CN"/>
          <w14:textFill>
            <w14:solidFill>
              <w14:schemeClr w14:val="tx1"/>
            </w14:solidFill>
          </w14:textFill>
        </w:rPr>
        <w:t>天然气勘探及试采项目</w:t>
      </w:r>
      <w:r>
        <w:rPr>
          <w:rFonts w:cs="Times New Roman"/>
          <w:bCs/>
          <w:color w:val="000000" w:themeColor="text1"/>
          <w:szCs w:val="24"/>
          <w:highlight w:val="none"/>
          <w14:textFill>
            <w14:solidFill>
              <w14:schemeClr w14:val="tx1"/>
            </w14:solidFill>
          </w14:textFill>
        </w:rPr>
        <w:t>，根据《环境影响评价导则-地下水环境》（HJ 610-2016）附录A地下水环境影响评价行业分类表，本项目属其中</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天然气、页岩气开采（含净化）</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，属于II类建设项目。</w:t>
      </w:r>
    </w:p>
    <w:p>
      <w:pPr>
        <w:tabs>
          <w:tab w:val="left" w:pos="0"/>
        </w:tabs>
        <w:ind w:firstLine="480"/>
        <w:rPr>
          <w:rFonts w:hint="eastAsia"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根据《环境影响评价技术导则陆地石油天然气开发建设项目》（HJ349-2023），常规天然气和页岩气、致密气等非常规天然气开采井场、站场（含净化厂）等工程，油类和废水等输送管道，按照</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类建设项目开展地下水环境影响评价。</w:t>
      </w:r>
    </w:p>
    <w:p>
      <w:pPr>
        <w:tabs>
          <w:tab w:val="left" w:pos="0"/>
        </w:tabs>
        <w:ind w:firstLine="480"/>
        <w:rPr>
          <w:rFonts w:hint="eastAsia" w:cs="Times New Roman"/>
          <w:color w:val="000000" w:themeColor="text1"/>
          <w:kern w:val="0"/>
          <w:szCs w:val="20"/>
          <w:highlight w:val="none"/>
          <w:lang w:eastAsia="zh-CN"/>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本项目为</w:t>
      </w:r>
      <w:r>
        <w:rPr>
          <w:rFonts w:hint="eastAsia" w:cs="Times New Roman"/>
          <w:bCs/>
          <w:color w:val="000000" w:themeColor="text1"/>
          <w:szCs w:val="24"/>
          <w:highlight w:val="none"/>
          <w:lang w:val="en-US" w:eastAsia="zh-CN"/>
          <w14:textFill>
            <w14:solidFill>
              <w14:schemeClr w14:val="tx1"/>
            </w14:solidFill>
          </w14:textFill>
        </w:rPr>
        <w:t>页岩气</w:t>
      </w:r>
      <w:r>
        <w:rPr>
          <w:rFonts w:hint="eastAsia" w:cs="Times New Roman"/>
          <w:bCs/>
          <w:color w:val="000000" w:themeColor="text1"/>
          <w:szCs w:val="24"/>
          <w:highlight w:val="none"/>
          <w14:textFill>
            <w14:solidFill>
              <w14:schemeClr w14:val="tx1"/>
            </w14:solidFill>
          </w14:textFill>
        </w:rPr>
        <w:t>试采工程，</w:t>
      </w:r>
      <w:r>
        <w:rPr>
          <w:rFonts w:hint="eastAsia" w:cs="Times New Roman"/>
          <w:color w:val="000000" w:themeColor="text1"/>
          <w:kern w:val="0"/>
          <w:szCs w:val="20"/>
          <w:highlight w:val="none"/>
          <w14:textFill>
            <w14:solidFill>
              <w14:schemeClr w14:val="tx1"/>
            </w14:solidFill>
          </w14:textFill>
        </w:rPr>
        <w:t>试采站场</w:t>
      </w:r>
      <w:r>
        <w:rPr>
          <w:rFonts w:cs="Times New Roman"/>
          <w:color w:val="000000" w:themeColor="text1"/>
          <w:kern w:val="0"/>
          <w:szCs w:val="20"/>
          <w:highlight w:val="none"/>
          <w14:textFill>
            <w14:solidFill>
              <w14:schemeClr w14:val="tx1"/>
            </w14:solidFill>
          </w14:textFill>
        </w:rPr>
        <w:t>地下水环境影响评价项目类别为II类</w:t>
      </w:r>
      <w:r>
        <w:rPr>
          <w:rFonts w:hint="eastAsia" w:cs="Times New Roman"/>
          <w:color w:val="000000" w:themeColor="text1"/>
          <w:kern w:val="0"/>
          <w:szCs w:val="20"/>
          <w:highlight w:val="none"/>
          <w14:textFill>
            <w14:solidFill>
              <w14:schemeClr w14:val="tx1"/>
            </w14:solidFill>
          </w14:textFill>
        </w:rPr>
        <w:t>。本项目管线属于天然气</w:t>
      </w:r>
      <w:r>
        <w:rPr>
          <w:rFonts w:hint="eastAsia" w:cs="Times New Roman"/>
          <w:color w:val="000000" w:themeColor="text1"/>
          <w:kern w:val="0"/>
          <w:szCs w:val="20"/>
          <w:highlight w:val="none"/>
          <w:lang w:val="en-US" w:eastAsia="zh-CN"/>
          <w14:textFill>
            <w14:solidFill>
              <w14:schemeClr w14:val="tx1"/>
            </w14:solidFill>
          </w14:textFill>
        </w:rPr>
        <w:t>和废水混输的</w:t>
      </w:r>
      <w:r>
        <w:rPr>
          <w:rFonts w:hint="eastAsia" w:cs="Times New Roman"/>
          <w:color w:val="000000" w:themeColor="text1"/>
          <w:kern w:val="0"/>
          <w:szCs w:val="20"/>
          <w:highlight w:val="none"/>
          <w14:textFill>
            <w14:solidFill>
              <w14:schemeClr w14:val="tx1"/>
            </w14:solidFill>
          </w14:textFill>
        </w:rPr>
        <w:t>集输管线，</w:t>
      </w:r>
      <w:r>
        <w:rPr>
          <w:rFonts w:hint="eastAsia" w:cs="Times New Roman"/>
          <w:color w:val="000000" w:themeColor="text1"/>
          <w:kern w:val="0"/>
          <w:szCs w:val="20"/>
          <w:highlight w:val="none"/>
          <w:lang w:val="en-US" w:eastAsia="zh-CN"/>
          <w14:textFill>
            <w14:solidFill>
              <w14:schemeClr w14:val="tx1"/>
            </w14:solidFill>
          </w14:textFill>
        </w:rPr>
        <w:t>管线</w:t>
      </w:r>
      <w:r>
        <w:rPr>
          <w:rFonts w:hint="eastAsia" w:cs="Times New Roman"/>
          <w:color w:val="000000" w:themeColor="text1"/>
          <w:kern w:val="0"/>
          <w:szCs w:val="20"/>
          <w:highlight w:val="none"/>
          <w14:textFill>
            <w14:solidFill>
              <w14:schemeClr w14:val="tx1"/>
            </w14:solidFill>
          </w14:textFill>
        </w:rPr>
        <w:t>按照</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w:t>
      </w:r>
      <w:r>
        <w:rPr>
          <w:rFonts w:hint="eastAsia" w:cs="Times New Roman"/>
          <w:color w:val="000000" w:themeColor="text1"/>
          <w:kern w:val="0"/>
          <w:szCs w:val="20"/>
          <w:highlight w:val="none"/>
          <w14:textFill>
            <w14:solidFill>
              <w14:schemeClr w14:val="tx1"/>
            </w14:solidFill>
          </w14:textFill>
        </w:rPr>
        <w:t>建设项目开展地下水环境影响评价，项目管线地下水环境影响评价项目类别为“</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w:t>
      </w:r>
      <w:r>
        <w:rPr>
          <w:rFonts w:hint="eastAsia" w:cs="Times New Roman"/>
          <w:color w:val="000000" w:themeColor="text1"/>
          <w:kern w:val="0"/>
          <w:szCs w:val="20"/>
          <w:highlight w:val="none"/>
          <w14:textFill>
            <w14:solidFill>
              <w14:schemeClr w14:val="tx1"/>
            </w14:solidFill>
          </w14:textFill>
        </w:rPr>
        <w:t>”</w:t>
      </w:r>
      <w:r>
        <w:rPr>
          <w:rFonts w:hint="eastAsia" w:cs="Times New Roman"/>
          <w:color w:val="000000" w:themeColor="text1"/>
          <w:kern w:val="0"/>
          <w:szCs w:val="20"/>
          <w:highlight w:val="none"/>
          <w:lang w:eastAsia="zh-CN"/>
          <w14:textFill>
            <w14:solidFill>
              <w14:schemeClr w14:val="tx1"/>
            </w14:solidFill>
          </w14:textFill>
        </w:rPr>
        <w:t>。</w:t>
      </w:r>
    </w:p>
    <w:p>
      <w:pPr>
        <w:pStyle w:val="14"/>
        <w:spacing w:before="120"/>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2.6</w:t>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noBreakHyphen/>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instrText xml:space="preserve"> SEQ 表 \* ARABIC \s 2 </w:instrText>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2</w:t>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地下水环境影响评价行业分类表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0"/>
        <w:gridCol w:w="1035"/>
        <w:gridCol w:w="1053"/>
        <w:gridCol w:w="1977"/>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60" w:type="dxa"/>
            <w:vMerge w:val="restart"/>
            <w:vAlign w:val="center"/>
          </w:tcPr>
          <w:p>
            <w:pPr>
              <w:keepNext w:val="0"/>
              <w:keepLines w:val="0"/>
              <w:suppressLineNumbers w:val="0"/>
              <w:autoSpaceDE w:val="0"/>
              <w:autoSpaceDN w:val="0"/>
              <w:spacing w:before="0" w:beforeAutospacing="0" w:after="0" w:afterAutospacing="0" w:line="240" w:lineRule="auto"/>
              <w:ind w:left="0" w:right="0" w:firstLine="0" w:firstLineChars="0"/>
              <w:jc w:val="right"/>
              <w:textAlignment w:val="baseline"/>
              <w:rPr>
                <w:rFonts w:hint="default" w:cs="Times New Roman"/>
                <w:b/>
                <w:bCs/>
                <w:color w:val="000000" w:themeColor="text1"/>
                <w:kern w:val="0"/>
                <w:sz w:val="21"/>
                <w:szCs w:val="21"/>
                <w:highlight w:val="none"/>
                <w:lang w:eastAsia="en-US"/>
                <w14:textFill>
                  <w14:solidFill>
                    <w14:schemeClr w14:val="tx1"/>
                  </w14:solidFill>
                </w14:textFill>
              </w:rPr>
            </w:pPr>
            <w:r>
              <w:rPr>
                <w:rFonts w:hint="default" w:cs="Times New Roman"/>
                <w:b/>
                <w:bCs/>
                <w:color w:val="000000" w:themeColor="text1"/>
                <w:kern w:val="0"/>
                <w:sz w:val="21"/>
                <w:szCs w:val="21"/>
                <w:highlight w:val="none"/>
                <w:lang w:eastAsia="en-US"/>
                <w14:textFill>
                  <w14:solidFill>
                    <w14:schemeClr w14:val="tx1"/>
                  </w14:solidFill>
                </w14:textFill>
              </w:rPr>
              <w:t>行业类别</w:t>
            </w:r>
          </w:p>
          <w:p>
            <w:pPr>
              <w:keepNext w:val="0"/>
              <w:keepLines w:val="0"/>
              <w:suppressLineNumbers w:val="0"/>
              <w:autoSpaceDE w:val="0"/>
              <w:autoSpaceDN w:val="0"/>
              <w:spacing w:before="0" w:beforeAutospacing="0" w:after="0" w:afterAutospacing="0" w:line="240" w:lineRule="auto"/>
              <w:ind w:left="0" w:right="0" w:firstLine="0" w:firstLineChars="0"/>
              <w:jc w:val="left"/>
              <w:textAlignment w:val="baseline"/>
              <w:rPr>
                <w:rFonts w:hint="default" w:cs="Times New Roman"/>
                <w:b/>
                <w:bCs/>
                <w:color w:val="000000" w:themeColor="text1"/>
                <w:kern w:val="0"/>
                <w:sz w:val="21"/>
                <w:szCs w:val="21"/>
                <w:highlight w:val="none"/>
                <w14:textFill>
                  <w14:solidFill>
                    <w14:schemeClr w14:val="tx1"/>
                  </w14:solidFill>
                </w14:textFill>
              </w:rPr>
            </w:pPr>
            <w:r>
              <w:rPr>
                <w:rFonts w:hint="eastAsia" w:cs="Times New Roman"/>
                <w:b/>
                <w:bCs/>
                <w:color w:val="000000" w:themeColor="text1"/>
                <w:kern w:val="0"/>
                <w:sz w:val="21"/>
                <w:szCs w:val="21"/>
                <w:highlight w:val="none"/>
                <w14:textFill>
                  <w14:solidFill>
                    <w14:schemeClr w14:val="tx1"/>
                  </w14:solidFill>
                </w14:textFill>
              </w:rPr>
              <w:t>环评类别</w:t>
            </w:r>
          </w:p>
        </w:tc>
        <w:tc>
          <w:tcPr>
            <w:tcW w:w="1035" w:type="dxa"/>
            <w:vMerge w:val="restart"/>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lang w:eastAsia="en-US"/>
                <w14:textFill>
                  <w14:solidFill>
                    <w14:schemeClr w14:val="tx1"/>
                  </w14:solidFill>
                </w14:textFill>
              </w:rPr>
            </w:pPr>
            <w:r>
              <w:rPr>
                <w:rFonts w:hint="default" w:cs="Times New Roman"/>
                <w:b/>
                <w:bCs/>
                <w:color w:val="000000" w:themeColor="text1"/>
                <w:kern w:val="0"/>
                <w:sz w:val="21"/>
                <w:szCs w:val="21"/>
                <w:highlight w:val="none"/>
                <w:lang w:eastAsia="en-US"/>
                <w14:textFill>
                  <w14:solidFill>
                    <w14:schemeClr w14:val="tx1"/>
                  </w14:solidFill>
                </w14:textFill>
              </w:rPr>
              <w:t>报告书</w:t>
            </w:r>
          </w:p>
        </w:tc>
        <w:tc>
          <w:tcPr>
            <w:tcW w:w="1053" w:type="dxa"/>
            <w:vMerge w:val="restart"/>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lang w:eastAsia="en-US"/>
                <w14:textFill>
                  <w14:solidFill>
                    <w14:schemeClr w14:val="tx1"/>
                  </w14:solidFill>
                </w14:textFill>
              </w:rPr>
            </w:pPr>
            <w:r>
              <w:rPr>
                <w:rFonts w:hint="default" w:cs="Times New Roman"/>
                <w:b/>
                <w:bCs/>
                <w:color w:val="000000" w:themeColor="text1"/>
                <w:kern w:val="0"/>
                <w:sz w:val="21"/>
                <w:szCs w:val="21"/>
                <w:highlight w:val="none"/>
                <w:lang w:eastAsia="en-US"/>
                <w14:textFill>
                  <w14:solidFill>
                    <w14:schemeClr w14:val="tx1"/>
                  </w14:solidFill>
                </w14:textFill>
              </w:rPr>
              <w:t>报告表</w:t>
            </w:r>
          </w:p>
        </w:tc>
        <w:tc>
          <w:tcPr>
            <w:tcW w:w="3048" w:type="dxa"/>
            <w:gridSpan w:val="2"/>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14:textFill>
                  <w14:solidFill>
                    <w14:schemeClr w14:val="tx1"/>
                  </w14:solidFill>
                </w14:textFill>
              </w:rPr>
            </w:pPr>
            <w:r>
              <w:rPr>
                <w:rFonts w:hint="default" w:cs="Times New Roman"/>
                <w:b/>
                <w:bCs/>
                <w:color w:val="000000" w:themeColor="text1"/>
                <w:kern w:val="0"/>
                <w:sz w:val="21"/>
                <w:szCs w:val="21"/>
                <w:highlight w:val="none"/>
                <w14:textFill>
                  <w14:solidFill>
                    <w14:schemeClr w14:val="tx1"/>
                  </w14:solidFill>
                </w14:textFill>
              </w:rPr>
              <w:t>地下水环境影响评价项目类别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0" w:type="dxa"/>
            <w:vMerge w:val="continue"/>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14:textFill>
                  <w14:solidFill>
                    <w14:schemeClr w14:val="tx1"/>
                  </w14:solidFill>
                </w14:textFill>
              </w:rPr>
            </w:pPr>
          </w:p>
        </w:tc>
        <w:tc>
          <w:tcPr>
            <w:tcW w:w="1035" w:type="dxa"/>
            <w:vMerge w:val="continue"/>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14:textFill>
                  <w14:solidFill>
                    <w14:schemeClr w14:val="tx1"/>
                  </w14:solidFill>
                </w14:textFill>
              </w:rPr>
            </w:pPr>
          </w:p>
        </w:tc>
        <w:tc>
          <w:tcPr>
            <w:tcW w:w="1053" w:type="dxa"/>
            <w:vMerge w:val="continue"/>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14:textFill>
                  <w14:solidFill>
                    <w14:schemeClr w14:val="tx1"/>
                  </w14:solidFill>
                </w14:textFill>
              </w:rPr>
            </w:pPr>
          </w:p>
        </w:tc>
        <w:tc>
          <w:tcPr>
            <w:tcW w:w="1977"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lang w:eastAsia="en-US"/>
                <w14:textFill>
                  <w14:solidFill>
                    <w14:schemeClr w14:val="tx1"/>
                  </w14:solidFill>
                </w14:textFill>
              </w:rPr>
            </w:pPr>
            <w:r>
              <w:rPr>
                <w:rFonts w:hint="default" w:cs="Times New Roman"/>
                <w:b/>
                <w:bCs/>
                <w:color w:val="000000" w:themeColor="text1"/>
                <w:kern w:val="0"/>
                <w:sz w:val="21"/>
                <w:szCs w:val="21"/>
                <w:highlight w:val="none"/>
                <w:lang w:eastAsia="en-US"/>
                <w14:textFill>
                  <w14:solidFill>
                    <w14:schemeClr w14:val="tx1"/>
                  </w14:solidFill>
                </w14:textFill>
              </w:rPr>
              <w:t>报告书</w:t>
            </w:r>
          </w:p>
        </w:tc>
        <w:tc>
          <w:tcPr>
            <w:tcW w:w="1071"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b/>
                <w:bCs/>
                <w:color w:val="000000" w:themeColor="text1"/>
                <w:kern w:val="0"/>
                <w:sz w:val="21"/>
                <w:szCs w:val="21"/>
                <w:highlight w:val="none"/>
                <w:lang w:eastAsia="en-US"/>
                <w14:textFill>
                  <w14:solidFill>
                    <w14:schemeClr w14:val="tx1"/>
                  </w14:solidFill>
                </w14:textFill>
              </w:rPr>
            </w:pPr>
            <w:r>
              <w:rPr>
                <w:rFonts w:hint="default" w:cs="Times New Roman"/>
                <w:b/>
                <w:bCs/>
                <w:color w:val="000000" w:themeColor="text1"/>
                <w:kern w:val="0"/>
                <w:sz w:val="21"/>
                <w:szCs w:val="21"/>
                <w:highlight w:val="none"/>
                <w:lang w:eastAsia="en-US"/>
                <w14:textFill>
                  <w14:solidFill>
                    <w14:schemeClr w14:val="tx1"/>
                  </w14:solidFill>
                </w14:textFill>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0"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天然气、页岩气开采（含净化）</w:t>
            </w:r>
          </w:p>
        </w:tc>
        <w:tc>
          <w:tcPr>
            <w:tcW w:w="1035"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全部</w:t>
            </w:r>
          </w:p>
        </w:tc>
        <w:tc>
          <w:tcPr>
            <w:tcW w:w="1053"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eastAsia" w:cs="Times New Roman"/>
                <w:color w:val="000000" w:themeColor="text1"/>
                <w:kern w:val="0"/>
                <w:sz w:val="21"/>
                <w:szCs w:val="21"/>
                <w:highlight w:val="none"/>
                <w:lang w:eastAsia="en-US"/>
                <w14:textFill>
                  <w14:solidFill>
                    <w14:schemeClr w14:val="tx1"/>
                  </w14:solidFill>
                </w14:textFill>
              </w:rPr>
              <w:t>—</w:t>
            </w:r>
          </w:p>
        </w:tc>
        <w:tc>
          <w:tcPr>
            <w:tcW w:w="1977"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II类</w:t>
            </w:r>
            <w:r>
              <w:rPr>
                <w:rFonts w:hint="eastAsia" w:cs="Times New Roman"/>
                <w:color w:val="000000" w:themeColor="text1"/>
                <w:kern w:val="0"/>
                <w:sz w:val="21"/>
                <w:szCs w:val="21"/>
                <w:highlight w:val="none"/>
                <w:lang w:eastAsia="en-US"/>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试采</w:t>
            </w:r>
            <w:r>
              <w:rPr>
                <w:rFonts w:hint="eastAsia" w:cs="Times New Roman"/>
                <w:color w:val="000000" w:themeColor="text1"/>
                <w:kern w:val="0"/>
                <w:sz w:val="21"/>
                <w:szCs w:val="21"/>
                <w:highlight w:val="none"/>
                <w:lang w:eastAsia="en-US"/>
                <w14:textFill>
                  <w14:solidFill>
                    <w14:schemeClr w14:val="tx1"/>
                  </w14:solidFill>
                </w14:textFill>
              </w:rPr>
              <w:t>站√）</w:t>
            </w:r>
          </w:p>
        </w:tc>
        <w:tc>
          <w:tcPr>
            <w:tcW w:w="1071"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eastAsia="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0"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石油、天然气、成品油管线（不含城市天然气管线）</w:t>
            </w:r>
          </w:p>
        </w:tc>
        <w:tc>
          <w:tcPr>
            <w:tcW w:w="1035"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油II类，气III类</w:t>
            </w:r>
          </w:p>
        </w:tc>
        <w:tc>
          <w:tcPr>
            <w:tcW w:w="1053"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eastAsia" w:cs="Times New Roman"/>
                <w:color w:val="000000" w:themeColor="text1"/>
                <w:kern w:val="0"/>
                <w:sz w:val="21"/>
                <w:szCs w:val="21"/>
                <w:highlight w:val="none"/>
                <w:lang w:eastAsia="en-US"/>
                <w14:textFill>
                  <w14:solidFill>
                    <w14:schemeClr w14:val="tx1"/>
                  </w14:solidFill>
                </w14:textFill>
              </w:rPr>
              <w:t>油II类，气</w:t>
            </w:r>
            <w:r>
              <w:rPr>
                <w:rFonts w:hint="eastAsia" w:cs="Times New Roman"/>
                <w:color w:val="000000" w:themeColor="text1"/>
                <w:kern w:val="0"/>
                <w:sz w:val="21"/>
                <w:szCs w:val="21"/>
                <w:highlight w:val="none"/>
                <w14:textFill>
                  <w14:solidFill>
                    <w14:schemeClr w14:val="tx1"/>
                  </w14:solidFill>
                </w14:textFill>
              </w:rPr>
              <w:t>Ⅳ类</w:t>
            </w:r>
          </w:p>
        </w:tc>
        <w:tc>
          <w:tcPr>
            <w:tcW w:w="1977"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II类</w:t>
            </w:r>
            <w:r>
              <w:rPr>
                <w:rFonts w:hint="eastAsia" w:cs="Times New Roman"/>
                <w:color w:val="000000" w:themeColor="text1"/>
                <w:kern w:val="0"/>
                <w:sz w:val="21"/>
                <w:szCs w:val="21"/>
                <w:highlight w:val="none"/>
                <w:lang w:eastAsia="en-US"/>
                <w14:textFill>
                  <w14:solidFill>
                    <w14:schemeClr w14:val="tx1"/>
                  </w14:solidFill>
                </w14:textFill>
              </w:rPr>
              <w:t>（管线√）</w:t>
            </w:r>
          </w:p>
        </w:tc>
        <w:tc>
          <w:tcPr>
            <w:tcW w:w="1071" w:type="dxa"/>
            <w:vAlign w:val="center"/>
          </w:tcPr>
          <w:p>
            <w:pPr>
              <w:keepNext w:val="0"/>
              <w:keepLines w:val="0"/>
              <w:suppressLineNumbers w:val="0"/>
              <w:autoSpaceDE w:val="0"/>
              <w:autoSpaceDN w:val="0"/>
              <w:snapToGrid/>
              <w:spacing w:before="0" w:beforeAutospacing="0" w:after="0" w:afterAutospacing="0" w:line="315" w:lineRule="atLeast"/>
              <w:ind w:left="0" w:right="0" w:firstLine="0" w:firstLineChars="0"/>
              <w:jc w:val="center"/>
              <w:textAlignment w:val="baseline"/>
              <w:rPr>
                <w:rFonts w:hint="default" w:cs="Times New Roman"/>
                <w:color w:val="000000" w:themeColor="text1"/>
                <w:kern w:val="0"/>
                <w:sz w:val="21"/>
                <w:szCs w:val="21"/>
                <w:highlight w:val="none"/>
                <w:lang w:eastAsia="en-US"/>
                <w14:textFill>
                  <w14:solidFill>
                    <w14:schemeClr w14:val="tx1"/>
                  </w14:solidFill>
                </w14:textFill>
              </w:rPr>
            </w:pPr>
            <w:r>
              <w:rPr>
                <w:rFonts w:hint="eastAsia" w:cs="Times New Roman"/>
                <w:color w:val="000000" w:themeColor="text1"/>
                <w:kern w:val="0"/>
                <w:sz w:val="21"/>
                <w:szCs w:val="21"/>
                <w:highlight w:val="none"/>
                <w:lang w:eastAsia="en-US"/>
                <w14:textFill>
                  <w14:solidFill>
                    <w14:schemeClr w14:val="tx1"/>
                  </w14:solidFill>
                </w14:textFill>
              </w:rPr>
              <w:t>—</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2）建设项目地下水环境敏感程度</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建设项目地下水环境敏感程度可分为敏感、较敏感、不敏感三级，分级原则见表2.6-</w:t>
      </w:r>
      <w:r>
        <w:rPr>
          <w:rFonts w:hint="eastAsia" w:cs="Times New Roman"/>
          <w:bCs/>
          <w:color w:val="000000" w:themeColor="text1"/>
          <w:szCs w:val="24"/>
          <w:highlight w:val="none"/>
          <w:lang w:val="en-US" w:eastAsia="zh-CN"/>
          <w14:textFill>
            <w14:solidFill>
              <w14:schemeClr w14:val="tx1"/>
            </w14:solidFill>
          </w14:textFill>
        </w:rPr>
        <w:t>3</w:t>
      </w:r>
      <w:r>
        <w:rPr>
          <w:rFonts w:cs="Times New Roman"/>
          <w:bCs/>
          <w:color w:val="000000" w:themeColor="text1"/>
          <w:szCs w:val="24"/>
          <w:highlight w:val="none"/>
          <w14:textFill>
            <w14:solidFill>
              <w14:schemeClr w14:val="tx1"/>
            </w14:solidFill>
          </w14:textFill>
        </w:rPr>
        <w:t>。</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地下水环境敏感程度分级</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423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5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分级</w:t>
            </w:r>
          </w:p>
        </w:tc>
        <w:tc>
          <w:tcPr>
            <w:tcW w:w="423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项目场地的地下水环境敏感特征</w:t>
            </w:r>
          </w:p>
        </w:tc>
        <w:tc>
          <w:tcPr>
            <w:tcW w:w="284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敏感</w:t>
            </w:r>
          </w:p>
        </w:tc>
        <w:tc>
          <w:tcPr>
            <w:tcW w:w="423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284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14:textFill>
                  <w14:solidFill>
                    <w14:schemeClr w14:val="tx1"/>
                  </w14:solidFill>
                </w14:textFill>
              </w:rPr>
              <w:t>根据调查，本项目未位于集中式饮用水源保护区和补给径流区内，也不涉及地下水环境相关的其它保护区和分布区；根据现场</w:t>
            </w:r>
            <w:r>
              <w:rPr>
                <w:rFonts w:hint="eastAsia"/>
                <w:color w:val="000000" w:themeColor="text1"/>
                <w:szCs w:val="20"/>
                <w14:textFill>
                  <w14:solidFill>
                    <w14:schemeClr w14:val="tx1"/>
                  </w14:solidFill>
                </w14:textFill>
              </w:rPr>
              <w:t>调查</w:t>
            </w:r>
            <w:r>
              <w:rPr>
                <w:rFonts w:hint="default"/>
                <w:color w:val="000000" w:themeColor="text1"/>
                <w:szCs w:val="20"/>
                <w14:textFill>
                  <w14:solidFill>
                    <w14:schemeClr w14:val="tx1"/>
                  </w14:solidFill>
                </w14:textFill>
              </w:rPr>
              <w:t>，评价范围内</w:t>
            </w:r>
            <w:r>
              <w:rPr>
                <w:rFonts w:hint="eastAsia"/>
                <w:color w:val="000000" w:themeColor="text1"/>
                <w:szCs w:val="20"/>
                <w14:textFill>
                  <w14:solidFill>
                    <w14:schemeClr w14:val="tx1"/>
                  </w14:solidFill>
                </w14:textFill>
              </w:rPr>
              <w:t>有分散式泉点和水井，作为周边农户的</w:t>
            </w:r>
            <w:r>
              <w:rPr>
                <w:rFonts w:hint="default"/>
                <w:color w:val="000000" w:themeColor="text1"/>
                <w:szCs w:val="20"/>
                <w14:textFill>
                  <w14:solidFill>
                    <w14:schemeClr w14:val="tx1"/>
                  </w14:solidFill>
                </w14:textFill>
              </w:rPr>
              <w:t>饮水</w:t>
            </w:r>
            <w:r>
              <w:rPr>
                <w:rFonts w:hint="eastAsia"/>
                <w:color w:val="000000" w:themeColor="text1"/>
                <w:szCs w:val="20"/>
                <w14:textFill>
                  <w14:solidFill>
                    <w14:schemeClr w14:val="tx1"/>
                  </w14:solidFill>
                </w14:textFill>
              </w:rPr>
              <w:t>源</w:t>
            </w:r>
            <w:r>
              <w:rPr>
                <w:rFonts w:hint="default"/>
                <w:color w:val="000000" w:themeColor="text1"/>
                <w:szCs w:val="20"/>
                <w14:textFill>
                  <w14:solidFill>
                    <w14:schemeClr w14:val="tx1"/>
                  </w14:solidFill>
                </w14:textFill>
              </w:rPr>
              <w:t>。因此，评价区地下水环境敏感程度可定为</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较敏感</w:t>
            </w:r>
            <w:r>
              <w:rPr>
                <w:rFonts w:hint="eastAsia"/>
                <w:b/>
                <w:bCs/>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较敏感（√）</w:t>
            </w:r>
          </w:p>
        </w:tc>
        <w:tc>
          <w:tcPr>
            <w:tcW w:w="423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集中式饮用水源地（包括已建成的在用、备用、应急水源地，在建和规划的水源地）准保护区以外的补给径流区；</w:t>
            </w:r>
            <w:r>
              <w:rPr>
                <w:rFonts w:hint="default"/>
                <w:bCs/>
                <w:color w:val="000000" w:themeColor="text1"/>
                <w:szCs w:val="20"/>
                <w:highlight w:val="none"/>
                <w14:textFill>
                  <w14:solidFill>
                    <w14:schemeClr w14:val="tx1"/>
                  </w14:solidFill>
                </w14:textFill>
              </w:rPr>
              <w:t>未划定准保护区的集中式饮用水源地，</w:t>
            </w:r>
            <w:r>
              <w:rPr>
                <w:rFonts w:hint="default"/>
                <w:color w:val="000000" w:themeColor="text1"/>
                <w:szCs w:val="20"/>
                <w:highlight w:val="none"/>
                <w14:textFill>
                  <w14:solidFill>
                    <w14:schemeClr w14:val="tx1"/>
                  </w14:solidFill>
                </w14:textFill>
              </w:rPr>
              <w:t>其保护区以外的补给径流区；分散式饮用水源地；特殊地下水资源（如矿泉水、温泉等）保护区以外的分布区以及分散居民饮用水源等其它未列入上述敏感分级的环境敏感区</w:t>
            </w:r>
          </w:p>
        </w:tc>
        <w:tc>
          <w:tcPr>
            <w:tcW w:w="284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u w:val="single"/>
                <w14:textFill>
                  <w14:solidFill>
                    <w14:schemeClr w14:val="tx1"/>
                  </w14:solidFill>
                </w14:textFill>
              </w:rPr>
            </w:pPr>
            <w:r>
              <w:rPr>
                <w:rFonts w:hint="default"/>
                <w:color w:val="000000" w:themeColor="text1"/>
                <w:szCs w:val="20"/>
                <w:highlight w:val="none"/>
                <w14:textFill>
                  <w14:solidFill>
                    <w14:schemeClr w14:val="tx1"/>
                  </w14:solidFill>
                </w14:textFill>
              </w:rPr>
              <w:t>不敏感</w:t>
            </w:r>
          </w:p>
        </w:tc>
        <w:tc>
          <w:tcPr>
            <w:tcW w:w="423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上述地区之外的其它地区</w:t>
            </w:r>
          </w:p>
        </w:tc>
        <w:tc>
          <w:tcPr>
            <w:tcW w:w="284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3）地下水评价等级确定</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地下水评价工作等级分级</w:t>
      </w:r>
    </w:p>
    <w:tbl>
      <w:tblPr>
        <w:tblStyle w:val="52"/>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56"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295"/>
              <w:keepNext w:val="0"/>
              <w:keepLines w:val="0"/>
              <w:widowControl/>
              <w:suppressLineNumbers w:val="0"/>
              <w:spacing w:before="0" w:beforeAutospacing="0" w:after="0" w:afterAutospacing="0"/>
              <w:ind w:left="0" w:right="0"/>
              <w:jc w:val="righ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项目类别</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环境敏感程度</w:t>
            </w:r>
          </w:p>
        </w:tc>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fldChar w:fldCharType="begin"/>
            </w:r>
            <w:r>
              <w:rPr>
                <w:rFonts w:hint="default"/>
                <w:color w:val="000000" w:themeColor="text1"/>
                <w:szCs w:val="20"/>
                <w:highlight w:val="none"/>
                <w14:textFill>
                  <w14:solidFill>
                    <w14:schemeClr w14:val="tx1"/>
                  </w14:solidFill>
                </w14:textFill>
              </w:rPr>
              <w:instrText xml:space="preserve"> = 1 \* ROMAN </w:instrText>
            </w:r>
            <w:r>
              <w:rPr>
                <w:rFonts w:hint="default"/>
                <w:color w:val="000000" w:themeColor="text1"/>
                <w:szCs w:val="20"/>
                <w:highlight w:val="none"/>
                <w14:textFill>
                  <w14:solidFill>
                    <w14:schemeClr w14:val="tx1"/>
                  </w14:solidFill>
                </w14:textFill>
              </w:rPr>
              <w:fldChar w:fldCharType="separate"/>
            </w:r>
            <w:r>
              <w:rPr>
                <w:rFonts w:hint="default"/>
                <w:color w:val="000000" w:themeColor="text1"/>
                <w:szCs w:val="20"/>
                <w:highlight w:val="none"/>
                <w14:textFill>
                  <w14:solidFill>
                    <w14:schemeClr w14:val="tx1"/>
                  </w14:solidFill>
                </w14:textFill>
              </w:rPr>
              <w:t>I</w:t>
            </w:r>
            <w:r>
              <w:rPr>
                <w:rFonts w:hint="default"/>
                <w:color w:val="000000" w:themeColor="text1"/>
                <w:szCs w:val="20"/>
                <w:highlight w:val="none"/>
                <w14:textFill>
                  <w14:solidFill>
                    <w14:schemeClr w14:val="tx1"/>
                  </w14:solidFill>
                </w14:textFill>
              </w:rPr>
              <w:fldChar w:fldCharType="end"/>
            </w:r>
            <w:r>
              <w:rPr>
                <w:rFonts w:hint="default"/>
                <w:color w:val="000000" w:themeColor="text1"/>
                <w:szCs w:val="20"/>
                <w:highlight w:val="none"/>
                <w14:textFill>
                  <w14:solidFill>
                    <w14:schemeClr w14:val="tx1"/>
                  </w14:solidFill>
                </w14:textFill>
              </w:rPr>
              <w:t>类项目</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fldChar w:fldCharType="begin"/>
            </w:r>
            <w:r>
              <w:rPr>
                <w:rFonts w:hint="default"/>
                <w:b/>
                <w:bCs/>
                <w:color w:val="000000" w:themeColor="text1"/>
                <w:szCs w:val="20"/>
                <w:highlight w:val="none"/>
                <w14:textFill>
                  <w14:solidFill>
                    <w14:schemeClr w14:val="tx1"/>
                  </w14:solidFill>
                </w14:textFill>
              </w:rPr>
              <w:instrText xml:space="preserve"> = 2 \* ROMAN </w:instrText>
            </w:r>
            <w:r>
              <w:rPr>
                <w:rFonts w:hint="default"/>
                <w:b/>
                <w:bCs/>
                <w:color w:val="000000" w:themeColor="text1"/>
                <w:szCs w:val="20"/>
                <w:highlight w:val="none"/>
                <w14:textFill>
                  <w14:solidFill>
                    <w14:schemeClr w14:val="tx1"/>
                  </w14:solidFill>
                </w14:textFill>
              </w:rPr>
              <w:fldChar w:fldCharType="separate"/>
            </w:r>
            <w:r>
              <w:rPr>
                <w:rFonts w:hint="default"/>
                <w:b/>
                <w:bCs/>
                <w:color w:val="000000" w:themeColor="text1"/>
                <w:szCs w:val="20"/>
                <w:highlight w:val="none"/>
                <w14:textFill>
                  <w14:solidFill>
                    <w14:schemeClr w14:val="tx1"/>
                  </w14:solidFill>
                </w14:textFill>
              </w:rPr>
              <w:t>II</w:t>
            </w:r>
            <w:r>
              <w:rPr>
                <w:rFonts w:hint="default"/>
                <w:b/>
                <w:bCs/>
                <w:color w:val="000000" w:themeColor="text1"/>
                <w:szCs w:val="20"/>
                <w:highlight w:val="none"/>
                <w14:textFill>
                  <w14:solidFill>
                    <w14:schemeClr w14:val="tx1"/>
                  </w14:solidFill>
                </w14:textFill>
              </w:rPr>
              <w:fldChar w:fldCharType="end"/>
            </w:r>
            <w:r>
              <w:rPr>
                <w:rFonts w:hint="default"/>
                <w:b/>
                <w:bCs/>
                <w:color w:val="000000" w:themeColor="text1"/>
                <w:szCs w:val="20"/>
                <w:highlight w:val="none"/>
                <w14:textFill>
                  <w14:solidFill>
                    <w14:schemeClr w14:val="tx1"/>
                  </w14:solidFill>
                </w14:textFill>
              </w:rPr>
              <w:t>类项目</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fldChar w:fldCharType="begin"/>
            </w:r>
            <w:r>
              <w:rPr>
                <w:rFonts w:hint="default"/>
                <w:color w:val="000000" w:themeColor="text1"/>
                <w:szCs w:val="20"/>
                <w:highlight w:val="none"/>
                <w14:textFill>
                  <w14:solidFill>
                    <w14:schemeClr w14:val="tx1"/>
                  </w14:solidFill>
                </w14:textFill>
              </w:rPr>
              <w:instrText xml:space="preserve"> = 3 \* ROMAN </w:instrText>
            </w:r>
            <w:r>
              <w:rPr>
                <w:rFonts w:hint="default"/>
                <w:color w:val="000000" w:themeColor="text1"/>
                <w:szCs w:val="20"/>
                <w:highlight w:val="none"/>
                <w14:textFill>
                  <w14:solidFill>
                    <w14:schemeClr w14:val="tx1"/>
                  </w14:solidFill>
                </w14:textFill>
              </w:rPr>
              <w:fldChar w:fldCharType="separate"/>
            </w:r>
            <w:r>
              <w:rPr>
                <w:rFonts w:hint="default"/>
                <w:color w:val="000000" w:themeColor="text1"/>
                <w:szCs w:val="20"/>
                <w:highlight w:val="none"/>
                <w14:textFill>
                  <w14:solidFill>
                    <w14:schemeClr w14:val="tx1"/>
                  </w14:solidFill>
                </w14:textFill>
              </w:rPr>
              <w:t>III</w:t>
            </w:r>
            <w:r>
              <w:rPr>
                <w:rFonts w:hint="default"/>
                <w:color w:val="000000" w:themeColor="text1"/>
                <w:szCs w:val="20"/>
                <w:highlight w:val="none"/>
                <w14:textFill>
                  <w14:solidFill>
                    <w14:schemeClr w14:val="tx1"/>
                  </w14:solidFill>
                </w14:textFill>
              </w:rPr>
              <w:fldChar w:fldCharType="end"/>
            </w:r>
            <w:r>
              <w:rPr>
                <w:rFonts w:hint="default"/>
                <w:color w:val="000000" w:themeColor="text1"/>
                <w:szCs w:val="20"/>
                <w:highlight w:val="none"/>
                <w14:textFill>
                  <w14:solidFill>
                    <w14:schemeClr w14:val="tx1"/>
                  </w14:solidFill>
                </w14:textFill>
              </w:rPr>
              <w:t>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敏感</w:t>
            </w:r>
          </w:p>
        </w:tc>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较敏感</w:t>
            </w:r>
          </w:p>
        </w:tc>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shd w:val="pct10" w:color="auto" w:fill="FFFFFF"/>
                <w14:textFill>
                  <w14:solidFill>
                    <w14:schemeClr w14:val="tx1"/>
                  </w14:solidFill>
                </w14:textFill>
              </w:rPr>
              <w:t>二</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不敏感</w:t>
            </w:r>
          </w:p>
        </w:tc>
        <w:tc>
          <w:tcPr>
            <w:tcW w:w="205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c>
          <w:tcPr>
            <w:tcW w:w="205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综上所述，根据《环境影响评价技术导则—地下水环境》（HJ610-2016）规定，</w:t>
      </w:r>
      <w:r>
        <w:rPr>
          <w:rFonts w:hint="eastAsia" w:cs="Times New Roman"/>
          <w:color w:val="000000" w:themeColor="text1"/>
          <w:szCs w:val="24"/>
          <w:highlight w:val="none"/>
          <w14:textFill>
            <w14:solidFill>
              <w14:schemeClr w14:val="tx1"/>
            </w14:solidFill>
          </w14:textFill>
        </w:rPr>
        <w:t>本项目试采站地下水环境影响评价等级为二级，</w:t>
      </w:r>
      <w:r>
        <w:rPr>
          <w:rFonts w:hint="eastAsia" w:cs="Times New Roman"/>
          <w:color w:val="000000" w:themeColor="text1"/>
          <w:szCs w:val="24"/>
          <w:highlight w:val="none"/>
          <w:lang w:val="en-US" w:eastAsia="zh-CN"/>
          <w14:textFill>
            <w14:solidFill>
              <w14:schemeClr w14:val="tx1"/>
            </w14:solidFill>
          </w14:textFill>
        </w:rPr>
        <w:t>集输</w:t>
      </w:r>
      <w:r>
        <w:rPr>
          <w:rFonts w:hint="eastAsia" w:cs="Times New Roman"/>
          <w:color w:val="000000" w:themeColor="text1"/>
          <w:szCs w:val="24"/>
          <w:highlight w:val="none"/>
          <w14:textFill>
            <w14:solidFill>
              <w14:schemeClr w14:val="tx1"/>
            </w14:solidFill>
          </w14:textFill>
        </w:rPr>
        <w:t>管线地下水评价等级为</w:t>
      </w:r>
      <w:r>
        <w:rPr>
          <w:rFonts w:hint="eastAsia" w:cs="Times New Roman"/>
          <w:color w:val="000000" w:themeColor="text1"/>
          <w:szCs w:val="24"/>
          <w:highlight w:val="none"/>
          <w:lang w:val="en-US" w:eastAsia="zh-CN"/>
          <w14:textFill>
            <w14:solidFill>
              <w14:schemeClr w14:val="tx1"/>
            </w14:solidFill>
          </w14:textFill>
        </w:rPr>
        <w:t>二</w:t>
      </w:r>
      <w:r>
        <w:rPr>
          <w:rFonts w:hint="eastAsia" w:cs="Times New Roman"/>
          <w:color w:val="000000" w:themeColor="text1"/>
          <w:szCs w:val="24"/>
          <w:highlight w:val="none"/>
          <w14:textFill>
            <w14:solidFill>
              <w14:schemeClr w14:val="tx1"/>
            </w14:solidFill>
          </w14:textFill>
        </w:rPr>
        <w:t>级</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（2）评价范围</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技术导则—地下水环境》（HJ610-2016）规定，地下水环境现状调查与评价的范围应包括相关的地下水环境保护目标，以能说明地下水环境的现状，反映调查评价区地下水基本流场特征，满足地下水环境影响预测和评价为基本原则。评价范围确定方法可采用公式法、查表法和自定义法确定，当计算或查表范围超出水文地质单元边界时，应以水文地质单元边界为宜。</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①试采站</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color w:val="000000" w:themeColor="text1"/>
          <w:szCs w:val="24"/>
          <w14:textFill>
            <w14:solidFill>
              <w14:schemeClr w14:val="tx1"/>
            </w14:solidFill>
          </w14:textFill>
        </w:rPr>
        <w:t>结合本项目周边的区域地质条件、地下水补给径流排泄条件、地形地貌特征、地下水开发利用情况和环境保护目标分布，本次评价采用自定义法。通过区域水文地质资料分析，结合项目所处地地形地貌、地层岩性、</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14:textFill>
            <w14:solidFill>
              <w14:schemeClr w14:val="tx1"/>
            </w14:solidFill>
          </w14:textFill>
        </w:rPr>
        <w:t>、地表水文及水文地质条件，本项目场井附近水文地质边界明显，故使用自定义法确定评价范围边界。项目区地下水从北西往南东流，最终汇入州河。项目北西侧、北侧、南侧均以山脊分水岭为边界，东侧及南东侧以州河支流及州河为排泄边界，构成一个相对独立的水文地质单元。本项目地下水环境影响评价范围共计1.35km</w:t>
      </w:r>
      <w:r>
        <w:rPr>
          <w:rFonts w:hint="eastAsia" w:cs="Times New Roman"/>
          <w:color w:val="000000" w:themeColor="text1"/>
          <w:szCs w:val="24"/>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w:t>
      </w:r>
    </w:p>
    <w:p>
      <w:pPr>
        <w:pStyle w:val="93"/>
        <w:rPr>
          <w:rFonts w:hint="eastAsia" w:eastAsia="宋体" w:cs="Times New Roman"/>
          <w:color w:val="000000" w:themeColor="text1"/>
          <w:szCs w:val="24"/>
          <w:highlight w:val="none"/>
          <w:lang w:eastAsia="zh-CN"/>
          <w14:textFill>
            <w14:solidFill>
              <w14:schemeClr w14:val="tx1"/>
            </w14:solidFill>
          </w14:textFill>
        </w:rPr>
      </w:pPr>
    </w:p>
    <w:p>
      <w:pPr>
        <w:pStyle w:val="93"/>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w:t>
      </w:r>
    </w:p>
    <w:p>
      <w:pPr>
        <w:pStyle w:val="163"/>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项目所在区地下水环境评价范围图</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②</w:t>
      </w:r>
      <w:r>
        <w:rPr>
          <w:rFonts w:cs="Times New Roman"/>
          <w:bCs/>
          <w:color w:val="000000" w:themeColor="text1"/>
          <w:szCs w:val="24"/>
          <w:highlight w:val="none"/>
          <w14:textFill>
            <w14:solidFill>
              <w14:schemeClr w14:val="tx1"/>
            </w14:solidFill>
          </w14:textFill>
        </w:rPr>
        <w:t>管线</w:t>
      </w:r>
    </w:p>
    <w:p>
      <w:pPr>
        <w:rPr>
          <w:rFonts w:hint="eastAsia" w:eastAsia="宋体"/>
          <w:color w:val="000000" w:themeColor="text1"/>
          <w:highlight w:val="none"/>
          <w:lang w:val="en-US" w:eastAsia="zh-CN"/>
          <w14:textFill>
            <w14:solidFill>
              <w14:schemeClr w14:val="tx1"/>
            </w14:solidFill>
          </w14:textFill>
        </w:rPr>
      </w:pPr>
      <w:r>
        <w:rPr>
          <w:rFonts w:cs="Times New Roman"/>
          <w:bCs/>
          <w:color w:val="000000" w:themeColor="text1"/>
          <w:szCs w:val="24"/>
          <w:highlight w:val="none"/>
          <w14:textFill>
            <w14:solidFill>
              <w14:schemeClr w14:val="tx1"/>
            </w14:solidFill>
          </w14:textFill>
        </w:rPr>
        <w:t>根据</w:t>
      </w:r>
      <w:r>
        <w:rPr>
          <w:rFonts w:hint="eastAsia" w:cs="Times New Roman"/>
          <w:bCs/>
          <w:color w:val="000000" w:themeColor="text1"/>
          <w:szCs w:val="24"/>
          <w:highlight w:val="none"/>
          <w14:textFill>
            <w14:solidFill>
              <w14:schemeClr w14:val="tx1"/>
            </w14:solidFill>
          </w14:textFill>
        </w:rPr>
        <w:t>《环境影响评价技术导则陆地石油天然气开发建设项目》（HJ349-2023）和</w:t>
      </w:r>
      <w:r>
        <w:rPr>
          <w:rFonts w:cs="Times New Roman"/>
          <w:bCs/>
          <w:color w:val="000000" w:themeColor="text1"/>
          <w:szCs w:val="24"/>
          <w:highlight w:val="none"/>
          <w14:textFill>
            <w14:solidFill>
              <w14:schemeClr w14:val="tx1"/>
            </w14:solidFill>
          </w14:textFill>
        </w:rPr>
        <w:t>《环境影响评价技术导则地下水环境》（HJ610-2016）8.2.2.2，线性工程应以工程边界两侧分别向外延伸200m作为调查评价范围，本项目管线不穿越饮用水源保护区</w:t>
      </w:r>
      <w:r>
        <w:rPr>
          <w:rFonts w:hint="eastAsia" w:cs="Times New Roman"/>
          <w:bCs/>
          <w:color w:val="000000" w:themeColor="text1"/>
          <w:szCs w:val="24"/>
          <w:highlight w:val="none"/>
          <w14:textFill>
            <w14:solidFill>
              <w14:schemeClr w14:val="tx1"/>
            </w14:solidFill>
          </w14:textFill>
        </w:rPr>
        <w:t>。根据前述原则</w:t>
      </w:r>
      <w:r>
        <w:rPr>
          <w:rFonts w:cs="Times New Roman"/>
          <w:bCs/>
          <w:color w:val="000000" w:themeColor="text1"/>
          <w:szCs w:val="24"/>
          <w:highlight w:val="none"/>
          <w14:textFill>
            <w14:solidFill>
              <w14:schemeClr w14:val="tx1"/>
            </w14:solidFill>
          </w14:textFill>
        </w:rPr>
        <w:t>确定本项目管线地下水评价范围为集输管线两侧分别外扩200m</w:t>
      </w:r>
      <w:r>
        <w:rPr>
          <w:rFonts w:hint="eastAsia" w:cs="Times New Roman"/>
          <w:bCs/>
          <w:color w:val="000000" w:themeColor="text1"/>
          <w:szCs w:val="24"/>
          <w:highlight w:val="none"/>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68" w:name="_Toc120173072"/>
      <w:r>
        <w:rPr>
          <w:color w:val="000000" w:themeColor="text1"/>
          <w:highlight w:val="none"/>
          <w:lang w:eastAsia="zh-CN"/>
          <w14:textFill>
            <w14:solidFill>
              <w14:schemeClr w14:val="tx1"/>
            </w14:solidFill>
          </w14:textFill>
        </w:rPr>
        <w:t>大气环境</w:t>
      </w:r>
      <w:bookmarkEnd w:id="68"/>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（1）评价工作等级</w:t>
      </w:r>
    </w:p>
    <w:p>
      <w:pPr>
        <w:tabs>
          <w:tab w:val="left" w:pos="0"/>
        </w:tabs>
        <w:ind w:firstLine="480"/>
        <w:rPr>
          <w:rFonts w:hint="default" w:cs="Times New Roman"/>
          <w:bCs/>
          <w:color w:val="000000" w:themeColor="text1"/>
          <w:szCs w:val="24"/>
          <w:highlight w:val="none"/>
          <w:lang w:eastAsia="zh-CN"/>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根据《环境影响评价技术导则 大气环境》（HJ2.2-2018）</w:t>
      </w:r>
      <w:r>
        <w:rPr>
          <w:rFonts w:hint="eastAsia" w:cs="Times New Roman"/>
          <w:bCs/>
          <w:color w:val="000000" w:themeColor="text1"/>
          <w:szCs w:val="24"/>
          <w:highlight w:val="none"/>
          <w:lang w:val="en-US" w:eastAsia="zh-CN"/>
          <w14:textFill>
            <w14:solidFill>
              <w14:schemeClr w14:val="tx1"/>
            </w14:solidFill>
          </w14:textFill>
        </w:rPr>
        <w:t>中5.3.1</w:t>
      </w:r>
      <w:r>
        <w:rPr>
          <w:rFonts w:hint="default" w:ascii="Times New Roman" w:hAnsi="Times New Roman" w:cs="Times New Roman"/>
          <w:bCs/>
          <w:color w:val="000000" w:themeColor="text1"/>
          <w:szCs w:val="24"/>
          <w:highlight w:val="none"/>
          <w14:textFill>
            <w14:solidFill>
              <w14:schemeClr w14:val="tx1"/>
            </w14:solidFill>
          </w14:textFill>
        </w:rPr>
        <w:t>的规定</w:t>
      </w:r>
      <w:r>
        <w:rPr>
          <w:rFonts w:hint="eastAsia" w:cs="Times New Roman"/>
          <w:bCs/>
          <w:color w:val="000000" w:themeColor="text1"/>
          <w:szCs w:val="24"/>
          <w:highlight w:val="none"/>
          <w:lang w:eastAsia="zh-CN"/>
          <w14:textFill>
            <w14:solidFill>
              <w14:schemeClr w14:val="tx1"/>
            </w14:solidFill>
          </w14:textFill>
        </w:rPr>
        <w:t>：“择项目污染源正常排放的主要污染物及排放参数，采用附录A推荐模型中估算模型分别计算项目污染源的最大环境影响，然后按评价工作分级判据进行分级”</w:t>
      </w:r>
      <w:r>
        <w:rPr>
          <w:rFonts w:hint="default" w:cs="Times New Roman"/>
          <w:bCs/>
          <w:color w:val="000000" w:themeColor="text1"/>
          <w:szCs w:val="24"/>
          <w:highlight w:val="none"/>
          <w:lang w:eastAsia="zh-CN"/>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default" w:cs="Times New Roman"/>
          <w:bCs/>
          <w:color w:val="000000" w:themeColor="text1"/>
          <w:szCs w:val="24"/>
          <w:highlight w:val="none"/>
          <w:lang w:eastAsia="zh-CN"/>
          <w14:textFill>
            <w14:solidFill>
              <w14:schemeClr w14:val="tx1"/>
            </w14:solidFill>
          </w14:textFill>
        </w:rPr>
        <w:t>根据天然气开发项目环境影响特点，</w:t>
      </w:r>
      <w:r>
        <w:rPr>
          <w:rFonts w:hint="eastAsia" w:cs="Times New Roman"/>
          <w:bCs/>
          <w:color w:val="000000" w:themeColor="text1"/>
          <w:szCs w:val="24"/>
          <w:highlight w:val="none"/>
          <w:lang w:val="en-US" w:eastAsia="zh-CN"/>
          <w14:textFill>
            <w14:solidFill>
              <w14:schemeClr w14:val="tx1"/>
            </w14:solidFill>
          </w14:textFill>
        </w:rPr>
        <w:t>本项目施工期（钻前工程施工、钻井工程施工、储层改造工程施工、油气集输工程施工）的废气污染物主要包括</w:t>
      </w:r>
      <w:r>
        <w:rPr>
          <w:rFonts w:hint="default" w:cs="Times New Roman"/>
          <w:bCs/>
          <w:color w:val="000000" w:themeColor="text1"/>
          <w:szCs w:val="24"/>
          <w:highlight w:val="none"/>
          <w:lang w:eastAsia="zh-CN"/>
          <w14:textFill>
            <w14:solidFill>
              <w14:schemeClr w14:val="tx1"/>
            </w14:solidFill>
          </w14:textFill>
        </w:rPr>
        <w:t>施工机械、施工车辆产生的尾气、</w:t>
      </w:r>
      <w:r>
        <w:rPr>
          <w:rFonts w:hint="eastAsia" w:cs="Times New Roman"/>
          <w:bCs/>
          <w:color w:val="000000" w:themeColor="text1"/>
          <w:szCs w:val="24"/>
          <w:highlight w:val="none"/>
          <w:lang w:val="en-US" w:eastAsia="zh-CN"/>
          <w14:textFill>
            <w14:solidFill>
              <w14:schemeClr w14:val="tx1"/>
            </w14:solidFill>
          </w14:textFill>
        </w:rPr>
        <w:t>备用柴油动力机/</w:t>
      </w:r>
      <w:r>
        <w:rPr>
          <w:rFonts w:hint="default" w:cs="Times New Roman"/>
          <w:bCs/>
          <w:color w:val="000000" w:themeColor="text1"/>
          <w:szCs w:val="24"/>
          <w:highlight w:val="none"/>
          <w:lang w:eastAsia="zh-CN"/>
          <w14:textFill>
            <w14:solidFill>
              <w14:schemeClr w14:val="tx1"/>
            </w14:solidFill>
          </w14:textFill>
        </w:rPr>
        <w:t>柴油发电机废气，由于施工期较短暂，</w:t>
      </w:r>
      <w:r>
        <w:rPr>
          <w:rFonts w:hint="eastAsia" w:cs="Times New Roman"/>
          <w:bCs/>
          <w:color w:val="000000" w:themeColor="text1"/>
          <w:szCs w:val="24"/>
          <w:highlight w:val="none"/>
          <w:lang w:val="en-US" w:eastAsia="zh-CN"/>
          <w14:textFill>
            <w14:solidFill>
              <w14:schemeClr w14:val="tx1"/>
            </w14:solidFill>
          </w14:textFill>
        </w:rPr>
        <w:t>且随时施工结束，上述大气污染源将撤离，其影响将消除，因此，施工期废气污染物不作等级判定依据。</w:t>
      </w:r>
    </w:p>
    <w:p>
      <w:pPr>
        <w:tabs>
          <w:tab w:val="left" w:pos="0"/>
        </w:tabs>
        <w:ind w:firstLine="480"/>
        <w:rPr>
          <w:rFonts w:hint="default" w:cs="Times New Roman"/>
          <w:bCs/>
          <w:color w:val="000000" w:themeColor="text1"/>
          <w:szCs w:val="24"/>
          <w:lang w:val="en-US"/>
          <w14:textFill>
            <w14:solidFill>
              <w14:schemeClr w14:val="tx1"/>
            </w14:solidFill>
          </w14:textFill>
        </w:rPr>
      </w:pPr>
      <w:r>
        <w:rPr>
          <w:rFonts w:cs="Times New Roman"/>
          <w:bCs/>
          <w:color w:val="000000" w:themeColor="text1"/>
          <w:szCs w:val="24"/>
          <w14:textFill>
            <w14:solidFill>
              <w14:schemeClr w14:val="tx1"/>
            </w14:solidFill>
          </w14:textFill>
        </w:rPr>
        <w:t>由于本项目依托</w:t>
      </w:r>
      <w:r>
        <w:rPr>
          <w:rFonts w:hint="eastAsia" w:cs="Times New Roman"/>
          <w:bCs/>
          <w:color w:val="000000" w:themeColor="text1"/>
          <w:szCs w:val="24"/>
          <w:lang w:eastAsia="zh-CN"/>
          <w14:textFill>
            <w14:solidFill>
              <w14:schemeClr w14:val="tx1"/>
            </w14:solidFill>
          </w14:textFill>
        </w:rPr>
        <w:t>雷页1试采站</w:t>
      </w:r>
      <w:r>
        <w:rPr>
          <w:rFonts w:cs="Times New Roman"/>
          <w:bCs/>
          <w:color w:val="000000" w:themeColor="text1"/>
          <w:szCs w:val="24"/>
          <w14:textFill>
            <w14:solidFill>
              <w14:schemeClr w14:val="tx1"/>
            </w14:solidFill>
          </w14:textFill>
        </w:rPr>
        <w:t>火炬系统长明火灯的天然气燃烧量为系统匹配的固有量（不因本项目建设而增加长明火炬的天然气使用量），因此，且本工程的建设不会导致</w:t>
      </w:r>
      <w:r>
        <w:rPr>
          <w:rFonts w:hint="eastAsia" w:cs="Times New Roman"/>
          <w:bCs/>
          <w:color w:val="000000" w:themeColor="text1"/>
          <w:szCs w:val="24"/>
          <w:lang w:eastAsia="zh-CN"/>
          <w14:textFill>
            <w14:solidFill>
              <w14:schemeClr w14:val="tx1"/>
            </w14:solidFill>
          </w14:textFill>
        </w:rPr>
        <w:t>雷页1试采站</w:t>
      </w:r>
      <w:r>
        <w:rPr>
          <w:rFonts w:cs="Times New Roman"/>
          <w:bCs/>
          <w:color w:val="000000" w:themeColor="text1"/>
          <w:szCs w:val="24"/>
          <w14:textFill>
            <w14:solidFill>
              <w14:schemeClr w14:val="tx1"/>
            </w14:solidFill>
          </w14:textFill>
        </w:rPr>
        <w:t>内的火炬系统废气排放量增加；此外，集输设备检修或事故状态下时产生放空燃烧废气会有所增加，但其为非正常工况下排放，排放时间短，且废气量较小。</w:t>
      </w:r>
      <w:r>
        <w:rPr>
          <w:rFonts w:hint="eastAsia" w:cs="Times New Roman"/>
          <w:bCs/>
          <w:color w:val="000000" w:themeColor="text1"/>
          <w:szCs w:val="24"/>
          <w:lang w:val="en-US" w:eastAsia="zh-CN"/>
          <w14:textFill>
            <w14:solidFill>
              <w14:schemeClr w14:val="tx1"/>
            </w14:solidFill>
          </w14:textFill>
        </w:rPr>
        <w:t>因此，</w:t>
      </w:r>
      <w:r>
        <w:rPr>
          <w:rFonts w:hint="eastAsia" w:cs="Times New Roman"/>
          <w:bCs/>
          <w:color w:val="000000" w:themeColor="text1"/>
          <w:szCs w:val="24"/>
          <w:highlight w:val="none"/>
          <w:lang w:val="en-US" w:eastAsia="zh-CN"/>
          <w14:textFill>
            <w14:solidFill>
              <w14:schemeClr w14:val="tx1"/>
            </w14:solidFill>
          </w14:textFill>
        </w:rPr>
        <w:t>本次评价主要采用</w:t>
      </w:r>
      <w:r>
        <w:rPr>
          <w:rFonts w:ascii="Times New Roman" w:hAnsi="Times New Roman"/>
          <w:bCs/>
          <w:color w:val="000000" w:themeColor="text1"/>
          <w:kern w:val="2"/>
          <w:sz w:val="24"/>
          <w:szCs w:val="24"/>
          <w:highlight w:val="none"/>
          <w:lang w:eastAsia="zh-CN"/>
          <w14:textFill>
            <w14:solidFill>
              <w14:schemeClr w14:val="tx1"/>
            </w14:solidFill>
          </w14:textFill>
        </w:rPr>
        <w:t>试采期水套加热炉燃烧废气</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作为判定依据。</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评价工作等级按《环境影响评价技术导则 大气环境》（HJ2.2-2018）规定的分级判据进行划分（见</w:t>
      </w:r>
      <w:r>
        <w:rPr>
          <w:rFonts w:hint="default" w:cs="Times New Roman"/>
          <w:bCs/>
          <w:color w:val="000000" w:themeColor="text1"/>
          <w:szCs w:val="24"/>
          <w:highlight w:val="none"/>
          <w:lang w:val="en-US"/>
          <w14:textFill>
            <w14:solidFill>
              <w14:schemeClr w14:val="tx1"/>
            </w14:solidFill>
          </w14:textFill>
        </w:rPr>
        <w:fldChar w:fldCharType="begin"/>
      </w:r>
      <w:r>
        <w:rPr>
          <w:rFonts w:hint="default" w:cs="Times New Roman"/>
          <w:bCs/>
          <w:color w:val="000000" w:themeColor="text1"/>
          <w:szCs w:val="24"/>
          <w:highlight w:val="none"/>
          <w:lang w:val="en-US"/>
          <w14:textFill>
            <w14:solidFill>
              <w14:schemeClr w14:val="tx1"/>
            </w14:solidFill>
          </w14:textFill>
        </w:rPr>
        <w:instrText xml:space="preserve"> REF _Ref20734 \h </w:instrText>
      </w:r>
      <w:r>
        <w:rPr>
          <w:rFonts w:hint="default" w:cs="Times New Roman"/>
          <w:bCs/>
          <w:color w:val="000000" w:themeColor="text1"/>
          <w:szCs w:val="24"/>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4</w:t>
      </w:r>
      <w:r>
        <w:rPr>
          <w:rFonts w:hint="default" w:cs="Times New Roman"/>
          <w:bCs/>
          <w:color w:val="000000" w:themeColor="text1"/>
          <w:szCs w:val="24"/>
          <w:highlight w:val="none"/>
          <w:lang w:val="en-US"/>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），如污染物数i大于1，取P中最大值（Pmax）。</w:t>
      </w:r>
    </w:p>
    <w:p>
      <w:pPr>
        <w:pStyle w:val="201"/>
        <w:spacing w:before="163"/>
        <w:rPr>
          <w:color w:val="000000" w:themeColor="text1"/>
          <w:highlight w:val="none"/>
          <w14:textFill>
            <w14:solidFill>
              <w14:schemeClr w14:val="tx1"/>
            </w14:solidFill>
          </w14:textFill>
        </w:rPr>
      </w:pPr>
      <w:bookmarkStart w:id="69" w:name="_Ref143334905"/>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bookmarkEnd w:id="6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大气评价工作等级</w:t>
      </w:r>
    </w:p>
    <w:tbl>
      <w:tblPr>
        <w:tblStyle w:val="52"/>
        <w:tblW w:w="8222" w:type="dxa"/>
        <w:jc w:val="center"/>
        <w:tblLayout w:type="fixed"/>
        <w:tblCellMar>
          <w:top w:w="0" w:type="dxa"/>
          <w:left w:w="0" w:type="dxa"/>
          <w:bottom w:w="0" w:type="dxa"/>
          <w:right w:w="0" w:type="dxa"/>
        </w:tblCellMar>
      </w:tblPr>
      <w:tblGrid>
        <w:gridCol w:w="2554"/>
        <w:gridCol w:w="5668"/>
      </w:tblGrid>
      <w:tr>
        <w:tblPrEx>
          <w:tblCellMar>
            <w:top w:w="0" w:type="dxa"/>
            <w:left w:w="0" w:type="dxa"/>
            <w:bottom w:w="0" w:type="dxa"/>
            <w:right w:w="0" w:type="dxa"/>
          </w:tblCellMar>
        </w:tblPrEx>
        <w:trPr>
          <w:tblHeade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评价工作等级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评价工作分级判据</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eastAsia="Times New Roman"/>
                <w:color w:val="000000" w:themeColor="text1"/>
                <w:szCs w:val="20"/>
                <w:highlight w:val="none"/>
                <w14:textFill>
                  <w14:solidFill>
                    <w14:schemeClr w14:val="tx1"/>
                  </w14:solidFill>
                </w14:textFill>
              </w:rPr>
            </w:pPr>
            <w:r>
              <w:rPr>
                <w:rFonts w:hint="default" w:eastAsia="Times New Roman"/>
                <w:color w:val="000000" w:themeColor="text1"/>
                <w:szCs w:val="20"/>
                <w:highlight w:val="none"/>
                <w14:textFill>
                  <w14:solidFill>
                    <w14:schemeClr w14:val="tx1"/>
                  </w14:solidFill>
                </w14:textFill>
              </w:rPr>
              <w:t>Pmax≥10%</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eastAsia="Times New Roman"/>
                <w:color w:val="000000" w:themeColor="text1"/>
                <w:szCs w:val="20"/>
                <w:highlight w:val="none"/>
                <w14:textFill>
                  <w14:solidFill>
                    <w14:schemeClr w14:val="tx1"/>
                  </w14:solidFill>
                </w14:textFill>
              </w:rPr>
            </w:pPr>
            <w:r>
              <w:rPr>
                <w:rFonts w:hint="default" w:eastAsia="Times New Roman"/>
                <w:color w:val="000000" w:themeColor="text1"/>
                <w:szCs w:val="20"/>
                <w:highlight w:val="none"/>
                <w14:textFill>
                  <w14:solidFill>
                    <w14:schemeClr w14:val="tx1"/>
                  </w14:solidFill>
                </w14:textFill>
              </w:rPr>
              <w:t>1%</w:t>
            </w:r>
            <w:r>
              <w:rPr>
                <w:rFonts w:hint="default"/>
                <w:color w:val="000000" w:themeColor="text1"/>
                <w:szCs w:val="20"/>
                <w:highlight w:val="none"/>
                <w14:textFill>
                  <w14:solidFill>
                    <w14:schemeClr w14:val="tx1"/>
                  </w14:solidFill>
                </w14:textFill>
              </w:rPr>
              <w:t>≤</w:t>
            </w:r>
            <w:r>
              <w:rPr>
                <w:rFonts w:hint="default" w:eastAsia="Times New Roman"/>
                <w:color w:val="000000" w:themeColor="text1"/>
                <w:szCs w:val="20"/>
                <w:highlight w:val="none"/>
                <w14:textFill>
                  <w14:solidFill>
                    <w14:schemeClr w14:val="tx1"/>
                  </w14:solidFill>
                </w14:textFill>
              </w:rPr>
              <w:t>Pmax</w:t>
            </w:r>
            <w:r>
              <w:rPr>
                <w:rFonts w:hint="default"/>
                <w:color w:val="000000" w:themeColor="text1"/>
                <w:szCs w:val="20"/>
                <w:highlight w:val="none"/>
                <w14:textFill>
                  <w14:solidFill>
                    <w14:schemeClr w14:val="tx1"/>
                  </w14:solidFill>
                </w14:textFill>
              </w:rPr>
              <w:t>＜</w:t>
            </w:r>
            <w:r>
              <w:rPr>
                <w:rFonts w:hint="default" w:eastAsia="Times New Roman"/>
                <w:color w:val="000000" w:themeColor="text1"/>
                <w:szCs w:val="20"/>
                <w:highlight w:val="none"/>
                <w14:textFill>
                  <w14:solidFill>
                    <w14:schemeClr w14:val="tx1"/>
                  </w14:solidFill>
                </w14:textFill>
              </w:rPr>
              <w:t>10%</w:t>
            </w:r>
          </w:p>
        </w:tc>
      </w:tr>
      <w:tr>
        <w:tblPrEx>
          <w:tblCellMar>
            <w:top w:w="0" w:type="dxa"/>
            <w:left w:w="0" w:type="dxa"/>
            <w:bottom w:w="0" w:type="dxa"/>
            <w:right w:w="0" w:type="dxa"/>
          </w:tblCellMar>
        </w:tblPrEx>
        <w:trPr>
          <w:jc w:val="center"/>
        </w:trPr>
        <w:tc>
          <w:tcPr>
            <w:tcW w:w="2554"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5668" w:type="dxa"/>
            <w:tcBorders>
              <w:top w:val="single" w:color="000000" w:sz="6" w:space="0"/>
              <w:left w:val="single" w:color="000000" w:sz="6" w:space="0"/>
              <w:bottom w:val="single" w:color="000000" w:sz="6" w:space="0"/>
              <w:right w:val="single" w:color="000000" w:sz="6" w:space="0"/>
            </w:tcBorders>
            <w:vAlign w:val="center"/>
          </w:tcPr>
          <w:p>
            <w:pPr>
              <w:pStyle w:val="295"/>
              <w:keepNext w:val="0"/>
              <w:keepLines w:val="0"/>
              <w:widowControl/>
              <w:suppressLineNumbers w:val="0"/>
              <w:spacing w:before="0" w:beforeAutospacing="0" w:after="0" w:afterAutospacing="0"/>
              <w:ind w:left="0" w:right="0"/>
              <w:rPr>
                <w:rFonts w:hint="default" w:eastAsia="Times New Roman"/>
                <w:color w:val="000000" w:themeColor="text1"/>
                <w:szCs w:val="20"/>
                <w:highlight w:val="none"/>
                <w14:textFill>
                  <w14:solidFill>
                    <w14:schemeClr w14:val="tx1"/>
                  </w14:solidFill>
                </w14:textFill>
              </w:rPr>
            </w:pPr>
            <w:r>
              <w:rPr>
                <w:rFonts w:hint="default" w:eastAsia="Times New Roman"/>
                <w:color w:val="000000" w:themeColor="text1"/>
                <w:szCs w:val="20"/>
                <w:highlight w:val="none"/>
                <w14:textFill>
                  <w14:solidFill>
                    <w14:schemeClr w14:val="tx1"/>
                  </w14:solidFill>
                </w14:textFill>
              </w:rPr>
              <w:t>P</w:t>
            </w:r>
            <w:r>
              <w:rPr>
                <w:rFonts w:hint="default" w:eastAsia="Times New Roman"/>
                <w:color w:val="000000" w:themeColor="text1"/>
                <w:position w:val="-1"/>
                <w:szCs w:val="20"/>
                <w:highlight w:val="none"/>
                <w14:textFill>
                  <w14:solidFill>
                    <w14:schemeClr w14:val="tx1"/>
                  </w14:solidFill>
                </w14:textFill>
              </w:rPr>
              <w:t>max</w:t>
            </w:r>
            <w:r>
              <w:rPr>
                <w:rFonts w:hint="default"/>
                <w:color w:val="000000" w:themeColor="text1"/>
                <w:szCs w:val="20"/>
                <w:highlight w:val="none"/>
                <w14:textFill>
                  <w14:solidFill>
                    <w14:schemeClr w14:val="tx1"/>
                  </w14:solidFill>
                </w14:textFill>
              </w:rPr>
              <w:t>＜</w:t>
            </w:r>
            <w:r>
              <w:rPr>
                <w:rFonts w:hint="default" w:eastAsia="Times New Roman"/>
                <w:color w:val="000000" w:themeColor="text1"/>
                <w:szCs w:val="20"/>
                <w:highlight w:val="none"/>
                <w14:textFill>
                  <w14:solidFill>
                    <w14:schemeClr w14:val="tx1"/>
                  </w14:solidFill>
                </w14:textFill>
              </w:rPr>
              <w:t>1%</w:t>
            </w:r>
          </w:p>
        </w:tc>
      </w:tr>
    </w:tbl>
    <w:p>
      <w:pPr>
        <w:pStyle w:val="201"/>
        <w:spacing w:before="163"/>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表2.6-5  主要大气污染物估算模型计算结果表</w:t>
      </w:r>
    </w:p>
    <w:tbl>
      <w:tblPr>
        <w:tblStyle w:val="5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852"/>
        <w:gridCol w:w="1825"/>
        <w:gridCol w:w="1853"/>
        <w:gridCol w:w="123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3"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污染源</w:t>
            </w:r>
          </w:p>
        </w:tc>
        <w:tc>
          <w:tcPr>
            <w:tcW w:w="500"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污染物</w:t>
            </w:r>
          </w:p>
        </w:tc>
        <w:tc>
          <w:tcPr>
            <w:tcW w:w="1071"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最大落地浓度</w:t>
            </w:r>
          </w:p>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C</w:t>
            </w:r>
            <w:r>
              <w:rPr>
                <w:rFonts w:hint="default" w:eastAsia="黑体" w:cs="Times New Roman"/>
                <w:b/>
                <w:bCs/>
                <w:color w:val="000000" w:themeColor="text1"/>
                <w:vertAlign w:val="subscript"/>
                <w14:textFill>
                  <w14:solidFill>
                    <w14:schemeClr w14:val="tx1"/>
                  </w14:solidFill>
                </w14:textFill>
              </w:rPr>
              <w:t>i</w:t>
            </w:r>
            <w:r>
              <w:rPr>
                <w:rFonts w:hint="default" w:eastAsia="黑体" w:cs="Times New Roman"/>
                <w:b/>
                <w:bCs/>
                <w:color w:val="000000" w:themeColor="text1"/>
                <w14:textFill>
                  <w14:solidFill>
                    <w14:schemeClr w14:val="tx1"/>
                  </w14:solidFill>
                </w14:textFill>
              </w:rPr>
              <w:t>（μg/m</w:t>
            </w:r>
            <w:r>
              <w:rPr>
                <w:rFonts w:hint="default" w:eastAsia="黑体" w:cs="Times New Roman"/>
                <w:b/>
                <w:bCs/>
                <w:color w:val="000000" w:themeColor="text1"/>
                <w:vertAlign w:val="superscript"/>
                <w14:textFill>
                  <w14:solidFill>
                    <w14:schemeClr w14:val="tx1"/>
                  </w14:solidFill>
                </w14:textFill>
              </w:rPr>
              <w:t>3</w:t>
            </w:r>
            <w:r>
              <w:rPr>
                <w:rFonts w:hint="default" w:eastAsia="黑体" w:cs="Times New Roman"/>
                <w:b/>
                <w:bCs/>
                <w:color w:val="000000" w:themeColor="text1"/>
                <w14:textFill>
                  <w14:solidFill>
                    <w14:schemeClr w14:val="tx1"/>
                  </w14:solidFill>
                </w14:textFill>
              </w:rPr>
              <w:t>）</w:t>
            </w:r>
          </w:p>
        </w:tc>
        <w:tc>
          <w:tcPr>
            <w:tcW w:w="1087" w:type="pct"/>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环境标准C</w:t>
            </w:r>
            <w:r>
              <w:rPr>
                <w:rFonts w:hint="default" w:eastAsia="黑体" w:cs="Times New Roman"/>
                <w:b/>
                <w:bCs/>
                <w:color w:val="000000" w:themeColor="text1"/>
                <w:vertAlign w:val="subscript"/>
                <w14:textFill>
                  <w14:solidFill>
                    <w14:schemeClr w14:val="tx1"/>
                  </w14:solidFill>
                </w14:textFill>
              </w:rPr>
              <w:t>0i</w:t>
            </w:r>
            <w:r>
              <w:rPr>
                <w:rFonts w:hint="default" w:eastAsia="黑体" w:cs="Times New Roman"/>
                <w:b/>
                <w:bCs/>
                <w:color w:val="000000" w:themeColor="text1"/>
                <w14:textFill>
                  <w14:solidFill>
                    <w14:schemeClr w14:val="tx1"/>
                  </w14:solidFill>
                </w14:textFill>
              </w:rPr>
              <w:t>（μg/m</w:t>
            </w:r>
            <w:r>
              <w:rPr>
                <w:rFonts w:hint="default" w:eastAsia="黑体" w:cs="Times New Roman"/>
                <w:b/>
                <w:bCs/>
                <w:color w:val="000000" w:themeColor="text1"/>
                <w:vertAlign w:val="superscript"/>
                <w14:textFill>
                  <w14:solidFill>
                    <w14:schemeClr w14:val="tx1"/>
                  </w14:solidFill>
                </w14:textFill>
              </w:rPr>
              <w:t>3</w:t>
            </w:r>
            <w:r>
              <w:rPr>
                <w:rFonts w:hint="default" w:eastAsia="黑体" w:cs="Times New Roman"/>
                <w:b/>
                <w:bCs/>
                <w:color w:val="000000" w:themeColor="text1"/>
                <w14:textFill>
                  <w14:solidFill>
                    <w14:schemeClr w14:val="tx1"/>
                  </w14:solidFill>
                </w14:textFill>
              </w:rPr>
              <w:t>）</w:t>
            </w:r>
          </w:p>
        </w:tc>
        <w:tc>
          <w:tcPr>
            <w:tcW w:w="722"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P</w:t>
            </w:r>
            <w:r>
              <w:rPr>
                <w:rFonts w:hint="default" w:eastAsia="黑体" w:cs="Times New Roman"/>
                <w:b/>
                <w:bCs/>
                <w:color w:val="000000" w:themeColor="text1"/>
                <w:vertAlign w:val="subscript"/>
                <w14:textFill>
                  <w14:solidFill>
                    <w14:schemeClr w14:val="tx1"/>
                  </w14:solidFill>
                </w14:textFill>
              </w:rPr>
              <w:t>max</w:t>
            </w:r>
            <w:r>
              <w:rPr>
                <w:rFonts w:hint="default" w:eastAsia="黑体" w:cs="Times New Roman"/>
                <w:b/>
                <w:bCs/>
                <w:color w:val="000000" w:themeColor="text1"/>
                <w14:textFill>
                  <w14:solidFill>
                    <w14:schemeClr w14:val="tx1"/>
                  </w14:solidFill>
                </w14:textFill>
              </w:rPr>
              <w:t>（%）</w:t>
            </w:r>
          </w:p>
        </w:tc>
        <w:tc>
          <w:tcPr>
            <w:tcW w:w="624" w:type="pct"/>
            <w:vAlign w:val="center"/>
          </w:tcPr>
          <w:p>
            <w:pPr>
              <w:pStyle w:val="253"/>
              <w:keepNext w:val="0"/>
              <w:keepLines w:val="0"/>
              <w:widowControl/>
              <w:suppressLineNumbers w:val="0"/>
              <w:spacing w:before="0" w:beforeAutospacing="0" w:after="0" w:afterAutospacing="0"/>
              <w:ind w:left="0" w:right="0"/>
              <w:rPr>
                <w:rFonts w:hint="default" w:eastAsia="黑体" w:cs="Times New Roman"/>
                <w:b/>
                <w:bCs/>
                <w:color w:val="000000" w:themeColor="text1"/>
                <w14:textFill>
                  <w14:solidFill>
                    <w14:schemeClr w14:val="tx1"/>
                  </w14:solidFill>
                </w14:textFill>
              </w:rPr>
            </w:pPr>
            <w:r>
              <w:rPr>
                <w:rFonts w:hint="default" w:eastAsia="黑体" w:cs="Times New Roman"/>
                <w:b/>
                <w:bCs/>
                <w:color w:val="000000" w:themeColor="text1"/>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3" w:type="pct"/>
            <w:vMerge w:val="restar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水套炉</w:t>
            </w:r>
            <w:r>
              <w:rPr>
                <w:rFonts w:hint="default" w:cs="Times New Roman"/>
                <w:bCs/>
                <w:color w:val="000000" w:themeColor="text1"/>
                <w14:textFill>
                  <w14:solidFill>
                    <w14:schemeClr w14:val="tx1"/>
                  </w14:solidFill>
                </w14:textFill>
              </w:rPr>
              <w:t>燃烧废气</w:t>
            </w:r>
          </w:p>
        </w:tc>
        <w:tc>
          <w:tcPr>
            <w:tcW w:w="500"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color w:val="000000" w:themeColor="text1"/>
                <w14:textFill>
                  <w14:solidFill>
                    <w14:schemeClr w14:val="tx1"/>
                  </w14:solidFill>
                </w14:textFill>
              </w:rPr>
            </w:pPr>
            <w:r>
              <w:rPr>
                <w:rFonts w:hint="default" w:cs="Times New Roman"/>
                <w:bCs/>
                <w:color w:val="000000" w:themeColor="text1"/>
                <w14:textFill>
                  <w14:solidFill>
                    <w14:schemeClr w14:val="tx1"/>
                  </w14:solidFill>
                </w14:textFill>
              </w:rPr>
              <w:t>颗粒物</w:t>
            </w:r>
          </w:p>
        </w:tc>
        <w:tc>
          <w:tcPr>
            <w:tcW w:w="1071" w:type="pct"/>
            <w:shd w:val="clear" w:color="auto" w:fill="auto"/>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2.88</w:t>
            </w:r>
          </w:p>
        </w:tc>
        <w:tc>
          <w:tcPr>
            <w:tcW w:w="1087" w:type="pct"/>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900</w:t>
            </w:r>
          </w:p>
        </w:tc>
        <w:tc>
          <w:tcPr>
            <w:tcW w:w="722" w:type="pct"/>
            <w:shd w:val="clear" w:color="auto" w:fill="auto"/>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0</w:t>
            </w:r>
            <w:r>
              <w:rPr>
                <w:rFonts w:hint="eastAsia"/>
                <w:bCs/>
                <w:color w:val="000000" w:themeColor="text1"/>
                <w:sz w:val="21"/>
                <w:szCs w:val="21"/>
                <w14:textFill>
                  <w14:solidFill>
                    <w14:schemeClr w14:val="tx1"/>
                  </w14:solidFill>
                </w14:textFill>
              </w:rPr>
              <w:t>.32</w:t>
            </w:r>
          </w:p>
        </w:tc>
        <w:tc>
          <w:tcPr>
            <w:tcW w:w="624" w:type="pct"/>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3" w:type="pct"/>
            <w:vMerge w:val="continue"/>
            <w:shd w:val="clear" w:color="auto" w:fill="auto"/>
            <w:vAlign w:val="center"/>
          </w:tcPr>
          <w:p>
            <w:pPr>
              <w:pStyle w:val="253"/>
              <w:keepNext w:val="0"/>
              <w:keepLines w:val="0"/>
              <w:widowControl/>
              <w:suppressLineNumbers w:val="0"/>
              <w:spacing w:before="0" w:beforeAutospacing="0" w:after="0" w:afterAutospacing="0"/>
              <w:ind w:left="0" w:right="0"/>
              <w:rPr>
                <w:rFonts w:hint="default" w:cs="Times New Roman"/>
                <w:bCs/>
                <w:color w:val="000000" w:themeColor="text1"/>
                <w14:textFill>
                  <w14:solidFill>
                    <w14:schemeClr w14:val="tx1"/>
                  </w14:solidFill>
                </w14:textFill>
              </w:rPr>
            </w:pPr>
          </w:p>
        </w:tc>
        <w:tc>
          <w:tcPr>
            <w:tcW w:w="500" w:type="pct"/>
            <w:shd w:val="clear" w:color="auto" w:fill="auto"/>
            <w:vAlign w:val="center"/>
          </w:tcPr>
          <w:p>
            <w:pPr>
              <w:pStyle w:val="253"/>
              <w:keepNext w:val="0"/>
              <w:keepLines w:val="0"/>
              <w:widowControl/>
              <w:suppressLineNumbers w:val="0"/>
              <w:spacing w:before="0" w:beforeAutospacing="0" w:after="0" w:afterAutospacing="0"/>
              <w:ind w:left="0" w:right="0"/>
              <w:rPr>
                <w:rFonts w:hint="default" w:eastAsia="黑体" w:cs="Times New Roman"/>
                <w:color w:val="000000" w:themeColor="text1"/>
                <w14:textFill>
                  <w14:solidFill>
                    <w14:schemeClr w14:val="tx1"/>
                  </w14:solidFill>
                </w14:textFill>
              </w:rPr>
            </w:pPr>
            <w:r>
              <w:rPr>
                <w:rFonts w:hint="default" w:cs="Times New Roman"/>
                <w:bCs/>
                <w:color w:val="000000" w:themeColor="text1"/>
                <w14:textFill>
                  <w14:solidFill>
                    <w14:schemeClr w14:val="tx1"/>
                  </w14:solidFill>
                </w14:textFill>
              </w:rPr>
              <w:t>NO</w:t>
            </w:r>
            <w:r>
              <w:rPr>
                <w:rFonts w:hint="default" w:cs="Times New Roman"/>
                <w:bCs/>
                <w:color w:val="000000" w:themeColor="text1"/>
                <w:vertAlign w:val="subscript"/>
                <w14:textFill>
                  <w14:solidFill>
                    <w14:schemeClr w14:val="tx1"/>
                  </w14:solidFill>
                </w14:textFill>
              </w:rPr>
              <w:t>X</w:t>
            </w:r>
          </w:p>
        </w:tc>
        <w:tc>
          <w:tcPr>
            <w:tcW w:w="1071" w:type="pct"/>
            <w:shd w:val="clear" w:color="auto" w:fill="auto"/>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18.6</w:t>
            </w:r>
          </w:p>
        </w:tc>
        <w:tc>
          <w:tcPr>
            <w:tcW w:w="1087" w:type="pct"/>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w:t>
            </w:r>
          </w:p>
        </w:tc>
        <w:tc>
          <w:tcPr>
            <w:tcW w:w="722" w:type="pct"/>
            <w:shd w:val="clear" w:color="auto" w:fill="auto"/>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7.44</w:t>
            </w:r>
          </w:p>
        </w:tc>
        <w:tc>
          <w:tcPr>
            <w:tcW w:w="624" w:type="pct"/>
            <w:vAlign w:val="center"/>
          </w:tcPr>
          <w:p>
            <w:pPr>
              <w:keepNext w:val="0"/>
              <w:keepLines w:val="0"/>
              <w:suppressLineNumbers w:val="0"/>
              <w:spacing w:before="12" w:beforeLines="5" w:beforeAutospacing="0" w:after="12" w:afterLines="5" w:afterAutospacing="0" w:line="240" w:lineRule="exact"/>
              <w:ind w:left="-72" w:leftChars="-30" w:right="-72" w:rightChars="-30" w:firstLine="0" w:firstLineChars="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二级</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line="360" w:lineRule="auto"/>
        <w:ind w:firstLine="480" w:firstLineChars="200"/>
        <w:jc w:val="both"/>
        <w:textAlignment w:val="auto"/>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根据表2.6-5判定结果，本项目废气最大地面环境空气质量浓度占标率小于10%，根据《环境影响评价技术导则 大气环境》（HJ2.2-2018）分级判据，确定本项目整体环境空气评价等级为二级</w:t>
      </w:r>
      <w:r>
        <w:rPr>
          <w:rFonts w:hint="eastAsia" w:ascii="Times New Roman" w:hAnsi="Times New Roman"/>
          <w:bCs/>
          <w:color w:val="000000" w:themeColor="text1"/>
          <w:kern w:val="2"/>
          <w:sz w:val="24"/>
          <w:szCs w:val="24"/>
          <w:highlight w:val="none"/>
          <w:lang w:eastAsia="zh-CN"/>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（2）评价范围</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根据《环境影响评价技术导则大气环境》（HJ 2.2-2018），</w:t>
      </w:r>
      <w:r>
        <w:rPr>
          <w:rFonts w:ascii="Times New Roman" w:hAnsi="Times New Roman"/>
          <w:bCs/>
          <w:color w:val="000000" w:themeColor="text1"/>
          <w:kern w:val="2"/>
          <w:sz w:val="24"/>
          <w:szCs w:val="24"/>
          <w:highlight w:val="none"/>
          <w:lang w:eastAsia="zh-CN"/>
          <w14:textFill>
            <w14:solidFill>
              <w14:schemeClr w14:val="tx1"/>
            </w14:solidFill>
          </w14:textFill>
        </w:rPr>
        <w:t>本次大气环境评价范围为以</w:t>
      </w:r>
      <w:r>
        <w:rPr>
          <w:rFonts w:hint="eastAsia"/>
          <w:bCs/>
          <w:color w:val="000000" w:themeColor="text1"/>
          <w:kern w:val="2"/>
          <w:sz w:val="24"/>
          <w:szCs w:val="24"/>
          <w:highlight w:val="none"/>
          <w:lang w:val="en-US" w:eastAsia="zh-CN"/>
          <w14:textFill>
            <w14:solidFill>
              <w14:schemeClr w14:val="tx1"/>
            </w14:solidFill>
          </w14:textFill>
        </w:rPr>
        <w:t>雷页1试采站</w:t>
      </w:r>
      <w:r>
        <w:rPr>
          <w:rFonts w:ascii="Times New Roman" w:hAnsi="Times New Roman"/>
          <w:bCs/>
          <w:color w:val="000000" w:themeColor="text1"/>
          <w:kern w:val="2"/>
          <w:sz w:val="24"/>
          <w:szCs w:val="24"/>
          <w:highlight w:val="none"/>
          <w:lang w:eastAsia="zh-CN"/>
          <w14:textFill>
            <w14:solidFill>
              <w14:schemeClr w14:val="tx1"/>
            </w14:solidFill>
          </w14:textFill>
        </w:rPr>
        <w:t>所在地为中心点，边长为5.0km的矩形区域，总评价范围约25km</w:t>
      </w:r>
      <w:r>
        <w:rPr>
          <w:rFonts w:ascii="Times New Roman" w:hAnsi="Times New Roman"/>
          <w:bCs/>
          <w:color w:val="000000" w:themeColor="text1"/>
          <w:kern w:val="2"/>
          <w:sz w:val="24"/>
          <w:szCs w:val="24"/>
          <w:highlight w:val="none"/>
          <w:vertAlign w:val="superscript"/>
          <w:lang w:eastAsia="zh-CN"/>
          <w14:textFill>
            <w14:solidFill>
              <w14:schemeClr w14:val="tx1"/>
            </w14:solidFill>
          </w14:textFill>
        </w:rPr>
        <w:t>2</w:t>
      </w:r>
      <w:r>
        <w:rPr>
          <w:rFonts w:ascii="Times New Roman" w:hAnsi="Times New Roman"/>
          <w:bCs/>
          <w:color w:val="000000" w:themeColor="text1"/>
          <w:kern w:val="2"/>
          <w:sz w:val="24"/>
          <w:szCs w:val="24"/>
          <w:highlight w:val="none"/>
          <w:lang w:eastAsia="zh-CN"/>
          <w14:textFill>
            <w14:solidFill>
              <w14:schemeClr w14:val="tx1"/>
            </w14:solidFill>
          </w14:textFill>
        </w:rPr>
        <w:t>。本次评价重点关注井场、试采站周边500m范围内的大气环境保护目标</w:t>
      </w:r>
      <w:r>
        <w:rPr>
          <w:rFonts w:cs="Times New Roman"/>
          <w:color w:val="000000" w:themeColor="text1"/>
          <w:szCs w:val="24"/>
          <w:highlight w:val="none"/>
          <w14:textFill>
            <w14:solidFill>
              <w14:schemeClr w14:val="tx1"/>
            </w14:solidFill>
          </w14:textFill>
        </w:rPr>
        <w:t>和</w:t>
      </w:r>
      <w:r>
        <w:rPr>
          <w:rFonts w:hint="eastAsia" w:cs="Times New Roman"/>
          <w:color w:val="000000" w:themeColor="text1"/>
          <w:szCs w:val="24"/>
          <w:highlight w:val="none"/>
          <w:lang w:val="en-US" w:eastAsia="zh-CN"/>
          <w14:textFill>
            <w14:solidFill>
              <w14:schemeClr w14:val="tx1"/>
            </w14:solidFill>
          </w14:textFill>
        </w:rPr>
        <w:t>雷页1</w:t>
      </w:r>
      <w:r>
        <w:rPr>
          <w:rFonts w:hint="eastAsia" w:cs="Times New Roman"/>
          <w:color w:val="000000" w:themeColor="text1"/>
          <w:highlight w:val="none"/>
          <w:lang w:val="en-US" w:eastAsia="zh-CN"/>
          <w14:textFill>
            <w14:solidFill>
              <w14:schemeClr w14:val="tx1"/>
            </w14:solidFill>
          </w14:textFill>
        </w:rPr>
        <w:t>试验井组井场</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雷页1试采站</w:t>
      </w:r>
      <w:r>
        <w:rPr>
          <w:rFonts w:hint="eastAsia" w:cs="Times New Roman"/>
          <w:color w:val="000000" w:themeColor="text1"/>
          <w:highlight w:val="none"/>
          <w14:textFill>
            <w14:solidFill>
              <w14:schemeClr w14:val="tx1"/>
            </w14:solidFill>
          </w14:textFill>
        </w:rPr>
        <w:t>站</w:t>
      </w:r>
      <w:r>
        <w:rPr>
          <w:rFonts w:cs="Times New Roman"/>
          <w:color w:val="000000" w:themeColor="text1"/>
          <w:highlight w:val="none"/>
          <w14:textFill>
            <w14:solidFill>
              <w14:schemeClr w14:val="tx1"/>
            </w14:solidFill>
          </w14:textFill>
        </w:rPr>
        <w:t>之间的</w:t>
      </w:r>
      <w:r>
        <w:rPr>
          <w:rFonts w:hint="eastAsia" w:cs="Times New Roman"/>
          <w:color w:val="000000" w:themeColor="text1"/>
          <w:highlight w:val="none"/>
          <w:lang w:val="en-US" w:eastAsia="zh-CN"/>
          <w14:textFill>
            <w14:solidFill>
              <w14:schemeClr w14:val="tx1"/>
            </w14:solidFill>
          </w14:textFill>
        </w:rPr>
        <w:t>外输</w:t>
      </w:r>
      <w:r>
        <w:rPr>
          <w:rFonts w:cs="Times New Roman"/>
          <w:color w:val="000000" w:themeColor="text1"/>
          <w:highlight w:val="none"/>
          <w14:textFill>
            <w14:solidFill>
              <w14:schemeClr w14:val="tx1"/>
            </w14:solidFill>
          </w14:textFill>
        </w:rPr>
        <w:t>管道两侧</w:t>
      </w:r>
      <w:r>
        <w:rPr>
          <w:rFonts w:hint="eastAsia" w:cs="Times New Roman"/>
          <w:color w:val="000000" w:themeColor="text1"/>
          <w:highlight w:val="none"/>
          <w:lang w:val="en-US" w:eastAsia="zh-CN"/>
          <w14:textFill>
            <w14:solidFill>
              <w14:schemeClr w14:val="tx1"/>
            </w14:solidFill>
          </w14:textFill>
        </w:rPr>
        <w:t>2</w:t>
      </w:r>
      <w:r>
        <w:rPr>
          <w:rFonts w:cs="Times New Roman"/>
          <w:color w:val="000000" w:themeColor="text1"/>
          <w:highlight w:val="none"/>
          <w14:textFill>
            <w14:solidFill>
              <w14:schemeClr w14:val="tx1"/>
            </w14:solidFill>
          </w14:textFill>
        </w:rPr>
        <w:t>00m范围</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0" w:name="_Toc120173073"/>
      <w:r>
        <w:rPr>
          <w:color w:val="000000" w:themeColor="text1"/>
          <w:highlight w:val="none"/>
          <w:lang w:eastAsia="zh-CN"/>
          <w14:textFill>
            <w14:solidFill>
              <w14:schemeClr w14:val="tx1"/>
            </w14:solidFill>
          </w14:textFill>
        </w:rPr>
        <w:t>声环境</w:t>
      </w:r>
      <w:bookmarkEnd w:id="70"/>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（1）评价工作等级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根据《环境影响评价技术导则 声环境》（HJ2.4-2021）规定，声环境评价等级的划分依据建设项目所在区域的声环境功能区类别，建设项目建设前后所在区域的声环境质量变化程度，受建设项目影响人口的数量。本项目位于《声环境质量标准》（GB3096-2008）2类区域，</w:t>
      </w:r>
      <w:r>
        <w:rPr>
          <w:rFonts w:ascii="Times New Roman" w:hAnsi="Times New Roman"/>
          <w:bCs/>
          <w:color w:val="000000" w:themeColor="text1"/>
          <w:kern w:val="2"/>
          <w:sz w:val="24"/>
          <w:szCs w:val="24"/>
          <w:highlight w:val="none"/>
          <w:lang w:eastAsia="zh-CN"/>
          <w14:textFill>
            <w14:solidFill>
              <w14:schemeClr w14:val="tx1"/>
            </w14:solidFill>
          </w14:textFill>
        </w:rPr>
        <w:t>主要为施工期噪声影响，建设前后评价范围内敏感目标噪声级增高不超过5dB（A），受噪声影响人口数量变化不大。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因此，参照《环境影响评价技术导则 声环境》（HJ2.4-2021）第5条的规定，本工程的声环境影响评价工作等级定为二级。</w:t>
      </w:r>
    </w:p>
    <w:p>
      <w:pPr>
        <w:pStyle w:val="201"/>
        <w:spacing w:before="163"/>
        <w:rPr>
          <w:color w:val="000000" w:themeColor="text1"/>
          <w:highlight w:val="none"/>
          <w14:textFill>
            <w14:solidFill>
              <w14:schemeClr w14:val="tx1"/>
            </w14:solidFill>
          </w14:textFill>
        </w:rPr>
      </w:pPr>
      <w:bookmarkStart w:id="71" w:name="_Ref20734"/>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7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声环境评价等级判别表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268"/>
        <w:gridCol w:w="2513"/>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划分依据</w:t>
            </w:r>
          </w:p>
        </w:tc>
        <w:tc>
          <w:tcPr>
            <w:tcW w:w="226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项目情况</w:t>
            </w:r>
          </w:p>
        </w:tc>
        <w:tc>
          <w:tcPr>
            <w:tcW w:w="251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影响识别</w:t>
            </w:r>
          </w:p>
        </w:tc>
        <w:tc>
          <w:tcPr>
            <w:tcW w:w="117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评级等级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区域声环境功能区类别</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农村地区</w:t>
            </w:r>
          </w:p>
        </w:tc>
        <w:tc>
          <w:tcPr>
            <w:tcW w:w="251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2类地区</w:t>
            </w:r>
          </w:p>
        </w:tc>
        <w:tc>
          <w:tcPr>
            <w:tcW w:w="117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本项目建设前后所在区域的声环境质量变化程度</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试采期</w:t>
            </w:r>
            <w:r>
              <w:rPr>
                <w:rFonts w:hint="default"/>
                <w:color w:val="000000" w:themeColor="text1"/>
                <w:szCs w:val="20"/>
                <w:highlight w:val="none"/>
                <w14:textFill>
                  <w14:solidFill>
                    <w14:schemeClr w14:val="tx1"/>
                  </w14:solidFill>
                </w14:textFill>
              </w:rPr>
              <w:t>厂界噪声达标，区域声环境质量变化程度小</w:t>
            </w:r>
          </w:p>
        </w:tc>
        <w:tc>
          <w:tcPr>
            <w:tcW w:w="251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项目建设前后</w:t>
            </w:r>
            <w:r>
              <w:rPr>
                <w:rFonts w:hint="default"/>
                <w:color w:val="000000" w:themeColor="text1"/>
                <w:szCs w:val="20"/>
                <w:highlight w:val="none"/>
                <w14:textFill>
                  <w14:solidFill>
                    <w14:schemeClr w14:val="tx1"/>
                  </w14:solidFill>
                </w14:textFill>
              </w:rPr>
              <w:t>变化幅度小于3dB（A）</w:t>
            </w:r>
          </w:p>
        </w:tc>
        <w:tc>
          <w:tcPr>
            <w:tcW w:w="117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受影响人口的数量</w:t>
            </w:r>
          </w:p>
        </w:tc>
        <w:tc>
          <w:tcPr>
            <w:tcW w:w="2268"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井场声环境评价范围内</w:t>
            </w:r>
            <w:r>
              <w:rPr>
                <w:rFonts w:hint="eastAsia"/>
                <w:color w:val="000000" w:themeColor="text1"/>
                <w:szCs w:val="20"/>
                <w:highlight w:val="none"/>
                <w:lang w:val="en-US" w:eastAsia="zh-CN"/>
                <w14:textFill>
                  <w14:solidFill>
                    <w14:schemeClr w14:val="tx1"/>
                  </w14:solidFill>
                </w14:textFill>
              </w:rPr>
              <w:t>仅少量</w:t>
            </w:r>
            <w:r>
              <w:rPr>
                <w:rFonts w:hint="default"/>
                <w:color w:val="000000" w:themeColor="text1"/>
                <w:szCs w:val="20"/>
                <w:highlight w:val="none"/>
                <w14:textFill>
                  <w14:solidFill>
                    <w14:schemeClr w14:val="tx1"/>
                  </w14:solidFill>
                </w14:textFill>
              </w:rPr>
              <w:t>居民敏感目标分布</w:t>
            </w:r>
            <w:r>
              <w:rPr>
                <w:rFonts w:hint="eastAsia"/>
                <w:color w:val="000000" w:themeColor="text1"/>
                <w:szCs w:val="20"/>
                <w:highlight w:val="none"/>
                <w:lang w:val="en-US" w:eastAsia="zh-CN"/>
                <w14:textFill>
                  <w14:solidFill>
                    <w14:schemeClr w14:val="tx1"/>
                  </w14:solidFill>
                </w14:textFill>
              </w:rPr>
              <w:t>且距离较远</w:t>
            </w:r>
          </w:p>
        </w:tc>
        <w:tc>
          <w:tcPr>
            <w:tcW w:w="2513"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项目建设前后</w:t>
            </w:r>
            <w:r>
              <w:rPr>
                <w:rFonts w:hint="default"/>
                <w:color w:val="000000" w:themeColor="text1"/>
                <w:szCs w:val="20"/>
                <w:highlight w:val="none"/>
                <w14:textFill>
                  <w14:solidFill>
                    <w14:schemeClr w14:val="tx1"/>
                  </w14:solidFill>
                </w14:textFill>
              </w:rPr>
              <w:t>受噪声影响人口数量</w:t>
            </w:r>
            <w:r>
              <w:rPr>
                <w:rFonts w:hint="eastAsia"/>
                <w:color w:val="000000" w:themeColor="text1"/>
                <w:szCs w:val="20"/>
                <w:highlight w:val="none"/>
                <w:lang w:val="en-US" w:eastAsia="zh-CN"/>
                <w14:textFill>
                  <w14:solidFill>
                    <w14:schemeClr w14:val="tx1"/>
                  </w14:solidFill>
                </w14:textFill>
              </w:rPr>
              <w:t>变化不大</w:t>
            </w:r>
          </w:p>
        </w:tc>
        <w:tc>
          <w:tcPr>
            <w:tcW w:w="117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（2）评价范围</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bCs/>
          <w:color w:val="000000" w:themeColor="text1"/>
          <w:highlight w:val="none"/>
          <w14:textFill>
            <w14:solidFill>
              <w14:schemeClr w14:val="tx1"/>
            </w14:solidFill>
          </w14:textFill>
        </w:rPr>
        <w:t>《环境影响评价技术导则 声环境》（HJ2.4-2021）</w:t>
      </w:r>
      <w:r>
        <w:rPr>
          <w:rFonts w:hint="eastAsia"/>
          <w:color w:val="000000" w:themeColor="text1"/>
          <w:highlight w:val="none"/>
          <w14:textFill>
            <w14:solidFill>
              <w14:schemeClr w14:val="tx1"/>
            </w14:solidFill>
          </w14:textFill>
        </w:rPr>
        <w:t>中第6</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节的规定，确定为本项目施工期声环境评价范围为</w:t>
      </w:r>
      <w:r>
        <w:rPr>
          <w:rFonts w:cs="Times New Roman"/>
          <w:color w:val="000000" w:themeColor="text1"/>
          <w:highlight w:val="none"/>
          <w14:textFill>
            <w14:solidFill>
              <w14:schemeClr w14:val="tx1"/>
            </w14:solidFill>
          </w14:textFill>
        </w:rPr>
        <w:t>占地范围（含</w:t>
      </w:r>
      <w:r>
        <w:rPr>
          <w:rFonts w:hint="eastAsia" w:cs="Times New Roman"/>
          <w:color w:val="000000" w:themeColor="text1"/>
          <w:highlight w:val="none"/>
          <w:lang w:eastAsia="zh-CN"/>
          <w14:textFill>
            <w14:solidFill>
              <w14:schemeClr w14:val="tx1"/>
            </w14:solidFill>
          </w14:textFill>
        </w:rPr>
        <w:t>拟建集输管线</w:t>
      </w:r>
      <w:r>
        <w:rPr>
          <w:rFonts w:cs="Times New Roman"/>
          <w:color w:val="000000" w:themeColor="text1"/>
          <w:highlight w:val="none"/>
          <w14:textFill>
            <w14:solidFill>
              <w14:schemeClr w14:val="tx1"/>
            </w14:solidFill>
          </w14:textFill>
        </w:rPr>
        <w:t>）周边200m范围</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试采期</w:t>
      </w:r>
      <w:r>
        <w:rPr>
          <w:rFonts w:hint="eastAsia"/>
          <w:color w:val="000000" w:themeColor="text1"/>
          <w:highlight w:val="none"/>
          <w14:textFill>
            <w14:solidFill>
              <w14:schemeClr w14:val="tx1"/>
            </w14:solidFill>
          </w14:textFill>
        </w:rPr>
        <w:t>声环境评价范围为</w:t>
      </w:r>
      <w:r>
        <w:rPr>
          <w:rFonts w:hint="eastAsia"/>
          <w:color w:val="000000" w:themeColor="text1"/>
          <w:highlight w:val="none"/>
          <w:lang w:eastAsia="zh-CN"/>
          <w14:textFill>
            <w14:solidFill>
              <w14:schemeClr w14:val="tx1"/>
            </w14:solidFill>
          </w14:textFill>
        </w:rPr>
        <w:t>雷页1试验井组</w:t>
      </w:r>
      <w:r>
        <w:rPr>
          <w:rFonts w:hint="eastAsia"/>
          <w:color w:val="000000" w:themeColor="text1"/>
          <w:highlight w:val="none"/>
          <w14:textFill>
            <w14:solidFill>
              <w14:schemeClr w14:val="tx1"/>
            </w14:solidFill>
          </w14:textFill>
        </w:rPr>
        <w:t>试采站周边200m范围</w:t>
      </w:r>
      <w:r>
        <w:rPr>
          <w:rFonts w:cs="Times New Roman"/>
          <w:bCs/>
          <w:color w:val="000000" w:themeColor="text1"/>
          <w:szCs w:val="24"/>
          <w:highlight w:val="none"/>
          <w14:textFill>
            <w14:solidFill>
              <w14:schemeClr w14:val="tx1"/>
            </w14:solidFill>
          </w14:textFill>
        </w:rPr>
        <w:t>。</w:t>
      </w:r>
    </w:p>
    <w:p>
      <w:pPr>
        <w:tabs>
          <w:tab w:val="left" w:pos="0"/>
        </w:tabs>
        <w:ind w:firstLine="480"/>
        <w:jc w:val="center"/>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2" w:name="_Toc120173074"/>
      <w:r>
        <w:rPr>
          <w:color w:val="000000" w:themeColor="text1"/>
          <w:highlight w:val="none"/>
          <w:lang w:eastAsia="zh-CN"/>
          <w14:textFill>
            <w14:solidFill>
              <w14:schemeClr w14:val="tx1"/>
            </w14:solidFill>
          </w14:textFill>
        </w:rPr>
        <w:t>土壤环境</w:t>
      </w:r>
      <w:bookmarkEnd w:id="72"/>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评价工作等级</w:t>
      </w:r>
    </w:p>
    <w:p>
      <w:pPr>
        <w:tabs>
          <w:tab w:val="left" w:pos="0"/>
        </w:tabs>
        <w:ind w:firstLine="480"/>
        <w:rPr>
          <w:rFonts w:cs="Times New Roman"/>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根据《环境影响评价技术导则陆地石油天然气开发建设项目》（HJ349-2023），</w:t>
      </w:r>
      <w:r>
        <w:rPr>
          <w:rFonts w:hint="eastAsia" w:cs="Times New Roman"/>
          <w:bCs/>
          <w:color w:val="000000" w:themeColor="text1"/>
          <w:szCs w:val="24"/>
          <w:highlight w:val="none"/>
          <w:lang w:val="en-US" w:eastAsia="zh-CN"/>
          <w14:textFill>
            <w14:solidFill>
              <w14:schemeClr w14:val="tx1"/>
            </w14:solidFill>
          </w14:textFill>
        </w:rPr>
        <w:t>本项目所在区域属于非土壤盐化、酸化和碱化地区，按照土壤污染影响型，按相应等级开展评价工作。</w:t>
      </w:r>
      <w:r>
        <w:rPr>
          <w:rFonts w:cs="Times New Roman"/>
          <w:color w:val="000000" w:themeColor="text1"/>
          <w:szCs w:val="24"/>
          <w:highlight w:val="none"/>
          <w14:textFill>
            <w14:solidFill>
              <w14:schemeClr w14:val="tx1"/>
            </w14:solidFill>
          </w14:textFill>
        </w:rPr>
        <w:t>根据《环境影响评价技术导则 土壤环境（试行）》（HJ964-2018），本项目为天然气开采（B072），属于Ⅱ类建设项目。</w:t>
      </w:r>
      <w:r>
        <w:rPr>
          <w:rFonts w:hint="eastAsia" w:cs="Times New Roman"/>
          <w:bCs/>
          <w:color w:val="000000" w:themeColor="text1"/>
          <w:szCs w:val="24"/>
          <w:highlight w:val="none"/>
          <w14:textFill>
            <w14:solidFill>
              <w14:schemeClr w14:val="tx1"/>
            </w14:solidFill>
          </w14:textFill>
        </w:rPr>
        <w:t>根据《环境影响评价技术导则陆地石油天然气开发建设项目》（HJ349-2023），常规天然气和页岩气、致密气等非常规天然气开采井场、站场（含净化厂）等工程，油类和废水等输送管道，按照</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类建设项目开展</w:t>
      </w:r>
      <w:r>
        <w:rPr>
          <w:rFonts w:hint="eastAsia" w:cs="Times New Roman"/>
          <w:bCs/>
          <w:color w:val="000000" w:themeColor="text1"/>
          <w:szCs w:val="24"/>
          <w:highlight w:val="none"/>
          <w:lang w:val="en-US" w:eastAsia="zh-CN"/>
          <w14:textFill>
            <w14:solidFill>
              <w14:schemeClr w14:val="tx1"/>
            </w14:solidFill>
          </w14:textFill>
        </w:rPr>
        <w:t>土壤</w:t>
      </w:r>
      <w:r>
        <w:rPr>
          <w:rFonts w:hint="eastAsia" w:cs="Times New Roman"/>
          <w:bCs/>
          <w:color w:val="000000" w:themeColor="text1"/>
          <w:szCs w:val="24"/>
          <w:highlight w:val="none"/>
          <w14:textFill>
            <w14:solidFill>
              <w14:schemeClr w14:val="tx1"/>
            </w14:solidFill>
          </w14:textFill>
        </w:rPr>
        <w:t>环境影响评价。天然气管道按照Ⅳ类建设项目开展土壤环境影响评价。</w:t>
      </w:r>
      <w:r>
        <w:rPr>
          <w:rFonts w:hint="eastAsia" w:cs="Times New Roman"/>
          <w:bCs/>
          <w:color w:val="000000" w:themeColor="text1"/>
          <w:szCs w:val="24"/>
          <w:highlight w:val="none"/>
          <w:lang w:val="en-US" w:eastAsia="zh-CN"/>
          <w14:textFill>
            <w14:solidFill>
              <w14:schemeClr w14:val="tx1"/>
            </w14:solidFill>
          </w14:textFill>
        </w:rPr>
        <w:t>本项目井场和试采站按照</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类建设</w:t>
      </w:r>
      <w:r>
        <w:rPr>
          <w:rFonts w:hint="eastAsia" w:cs="Times New Roman"/>
          <w:bCs/>
          <w:color w:val="000000" w:themeColor="text1"/>
          <w:szCs w:val="24"/>
          <w:highlight w:val="none"/>
          <w:lang w:val="en-US" w:eastAsia="zh-CN"/>
          <w14:textFill>
            <w14:solidFill>
              <w14:schemeClr w14:val="tx1"/>
            </w14:solidFill>
          </w14:textFill>
        </w:rPr>
        <w:t>项目</w:t>
      </w:r>
      <w:r>
        <w:rPr>
          <w:rFonts w:hint="eastAsia" w:cs="Times New Roman"/>
          <w:bCs/>
          <w:color w:val="000000" w:themeColor="text1"/>
          <w:szCs w:val="24"/>
          <w:highlight w:val="none"/>
          <w14:textFill>
            <w14:solidFill>
              <w14:schemeClr w14:val="tx1"/>
            </w14:solidFill>
          </w14:textFill>
        </w:rPr>
        <w:t>开展土壤环境影响评价</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集输管线为天然气和废水混输管线，也按照</w:t>
      </w:r>
      <w:r>
        <w:rPr>
          <w:rFonts w:cs="Times New Roman"/>
          <w:bCs/>
          <w:color w:val="000000" w:themeColor="text1"/>
          <w:szCs w:val="24"/>
          <w:highlight w:val="none"/>
          <w14:textFill>
            <w14:solidFill>
              <w14:schemeClr w14:val="tx1"/>
            </w14:solidFill>
          </w14:textFill>
        </w:rPr>
        <w:t>Ⅱ</w:t>
      </w:r>
      <w:r>
        <w:rPr>
          <w:rFonts w:hint="eastAsia" w:cs="Times New Roman"/>
          <w:bCs/>
          <w:color w:val="000000" w:themeColor="text1"/>
          <w:szCs w:val="24"/>
          <w:highlight w:val="none"/>
          <w14:textFill>
            <w14:solidFill>
              <w14:schemeClr w14:val="tx1"/>
            </w14:solidFill>
          </w14:textFill>
        </w:rPr>
        <w:t>类建设</w:t>
      </w:r>
      <w:r>
        <w:rPr>
          <w:rFonts w:hint="eastAsia" w:cs="Times New Roman"/>
          <w:bCs/>
          <w:color w:val="000000" w:themeColor="text1"/>
          <w:szCs w:val="24"/>
          <w:highlight w:val="none"/>
          <w:lang w:val="en-US" w:eastAsia="zh-CN"/>
          <w14:textFill>
            <w14:solidFill>
              <w14:schemeClr w14:val="tx1"/>
            </w14:solidFill>
          </w14:textFill>
        </w:rPr>
        <w:t>项目</w:t>
      </w:r>
      <w:r>
        <w:rPr>
          <w:rFonts w:hint="eastAsia" w:cs="Times New Roman"/>
          <w:bCs/>
          <w:color w:val="000000" w:themeColor="text1"/>
          <w:szCs w:val="24"/>
          <w:highlight w:val="none"/>
          <w14:textFill>
            <w14:solidFill>
              <w14:schemeClr w14:val="tx1"/>
            </w14:solidFill>
          </w14:textFill>
        </w:rPr>
        <w:t>开展土壤环境影响评价</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本项目</w:t>
      </w:r>
      <w:r>
        <w:rPr>
          <w:rFonts w:cs="Times New Roman"/>
          <w:color w:val="000000" w:themeColor="text1"/>
          <w:szCs w:val="24"/>
          <w:highlight w:val="none"/>
          <w14:textFill>
            <w14:solidFill>
              <w14:schemeClr w14:val="tx1"/>
            </w14:solidFill>
          </w14:textFill>
        </w:rPr>
        <w:t>周边环境敏感程度判别依据见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_Ref143334890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，土壤环境影响评价工作等级划分见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_Ref143334896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6</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63"/>
        <w:rPr>
          <w:color w:val="000000" w:themeColor="text1"/>
          <w:highlight w:val="none"/>
          <w14:textFill>
            <w14:solidFill>
              <w14:schemeClr w14:val="tx1"/>
            </w14:solidFill>
          </w14:textFill>
        </w:rPr>
      </w:pPr>
      <w:bookmarkStart w:id="73" w:name="_Ref14333489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7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污染影响型项目敏感程度分级表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敏感程度</w:t>
            </w:r>
          </w:p>
        </w:tc>
        <w:tc>
          <w:tcPr>
            <w:tcW w:w="642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敏感</w:t>
            </w:r>
          </w:p>
        </w:tc>
        <w:tc>
          <w:tcPr>
            <w:tcW w:w="642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较敏感</w:t>
            </w:r>
          </w:p>
        </w:tc>
        <w:tc>
          <w:tcPr>
            <w:tcW w:w="642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不敏感</w:t>
            </w:r>
          </w:p>
        </w:tc>
        <w:tc>
          <w:tcPr>
            <w:tcW w:w="642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其他情况</w:t>
            </w:r>
          </w:p>
        </w:tc>
      </w:tr>
    </w:tbl>
    <w:p>
      <w:pPr>
        <w:pStyle w:val="201"/>
        <w:spacing w:before="163"/>
        <w:rPr>
          <w:color w:val="000000" w:themeColor="text1"/>
          <w:highlight w:val="none"/>
          <w14:textFill>
            <w14:solidFill>
              <w14:schemeClr w14:val="tx1"/>
            </w14:solidFill>
          </w14:textFill>
        </w:rPr>
      </w:pPr>
      <w:bookmarkStart w:id="74" w:name="_Ref14333489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7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污染影响型评价工作等级划分表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730"/>
        <w:gridCol w:w="730"/>
        <w:gridCol w:w="731"/>
        <w:gridCol w:w="731"/>
        <w:gridCol w:w="731"/>
        <w:gridCol w:w="731"/>
        <w:gridCol w:w="731"/>
        <w:gridCol w:w="73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Merge w:val="restart"/>
            <w:tcBorders>
              <w:tl2br w:val="single" w:color="auto" w:sz="4" w:space="0"/>
            </w:tcBorders>
            <w:vAlign w:val="center"/>
          </w:tcPr>
          <w:p>
            <w:pPr>
              <w:pStyle w:val="295"/>
              <w:keepNext w:val="0"/>
              <w:keepLines w:val="0"/>
              <w:widowControl/>
              <w:suppressLineNumbers w:val="0"/>
              <w:spacing w:before="0" w:beforeAutospacing="0" w:after="0" w:afterAutospacing="0"/>
              <w:ind w:left="0" w:right="0"/>
              <w:jc w:val="right"/>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占地规模</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 xml:space="preserve">敏感程度 </w:t>
            </w:r>
          </w:p>
        </w:tc>
        <w:tc>
          <w:tcPr>
            <w:tcW w:w="219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I类</w:t>
            </w:r>
          </w:p>
        </w:tc>
        <w:tc>
          <w:tcPr>
            <w:tcW w:w="2193" w:type="dxa"/>
            <w:gridSpan w:val="3"/>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pct10" w:color="auto" w:fill="FFFFFF"/>
                <w14:textFill>
                  <w14:solidFill>
                    <w14:schemeClr w14:val="tx1"/>
                  </w14:solidFill>
                </w14:textFill>
              </w:rPr>
              <w:t>II类</w:t>
            </w:r>
          </w:p>
        </w:tc>
        <w:tc>
          <w:tcPr>
            <w:tcW w:w="2193" w:type="dxa"/>
            <w:gridSpan w:val="3"/>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Merge w:val="continue"/>
            <w:tcBorders>
              <w:tl2br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73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大</w:t>
            </w:r>
          </w:p>
        </w:tc>
        <w:tc>
          <w:tcPr>
            <w:tcW w:w="730"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中</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小</w:t>
            </w:r>
          </w:p>
        </w:tc>
        <w:tc>
          <w:tcPr>
            <w:tcW w:w="73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中</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pct10" w:color="auto" w:fill="FFFFFF"/>
                <w14:textFill>
                  <w14:solidFill>
                    <w14:schemeClr w14:val="tx1"/>
                  </w14:solidFill>
                </w14:textFill>
              </w:rPr>
              <w:t>小</w:t>
            </w:r>
          </w:p>
        </w:tc>
        <w:tc>
          <w:tcPr>
            <w:tcW w:w="73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中</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pct10" w:color="auto" w:fill="FFFFFF"/>
                <w14:textFill>
                  <w14:solidFill>
                    <w14:schemeClr w14:val="tx1"/>
                  </w14:solidFill>
                </w14:textFill>
              </w:rPr>
              <w:t>敏感</w:t>
            </w:r>
          </w:p>
        </w:tc>
        <w:tc>
          <w:tcPr>
            <w:tcW w:w="73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0"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pct10" w:color="auto" w:fill="FFFFFF"/>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较敏感</w:t>
            </w:r>
          </w:p>
        </w:tc>
        <w:tc>
          <w:tcPr>
            <w:tcW w:w="73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0"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不敏感</w:t>
            </w:r>
          </w:p>
        </w:tc>
        <w:tc>
          <w:tcPr>
            <w:tcW w:w="73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0"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三级</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731" w:type="dxa"/>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2" w:type="dxa"/>
            <w:gridSpan w:val="10"/>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注：“-”表示可不开展土壤环境影响评价工作。</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根据现场调查和收集资料，项目及周边存在耕地等土壤环境敏感目标，土壤环境敏感；</w:t>
      </w:r>
      <w:r>
        <w:rPr>
          <w:rFonts w:hint="default" w:ascii="Times New Roman" w:hAnsi="Times New Roman" w:cs="Times New Roman"/>
          <w:color w:val="000000" w:themeColor="text1"/>
          <w:szCs w:val="24"/>
          <w:highlight w:val="none"/>
          <w14:textFill>
            <w14:solidFill>
              <w14:schemeClr w14:val="tx1"/>
            </w14:solidFill>
          </w14:textFill>
        </w:rPr>
        <w:t>建设项目占地主要为临时占地</w:t>
      </w:r>
      <w:r>
        <w:rPr>
          <w:rFonts w:hint="eastAsia" w:cs="Times New Roman"/>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井场和试采站</w:t>
      </w:r>
      <w:r>
        <w:rPr>
          <w:rFonts w:hint="default" w:ascii="Times New Roman" w:hAnsi="Times New Roman" w:cs="Times New Roman"/>
          <w:color w:val="000000" w:themeColor="text1"/>
          <w:szCs w:val="24"/>
          <w:highlight w:val="none"/>
          <w14:textFill>
            <w14:solidFill>
              <w14:schemeClr w14:val="tx1"/>
            </w14:solidFill>
          </w14:textFill>
        </w:rPr>
        <w:t>占地</w:t>
      </w:r>
      <w:r>
        <w:rPr>
          <w:rFonts w:hint="eastAsia" w:cs="Times New Roman"/>
          <w:color w:val="000000" w:themeColor="text1"/>
          <w:szCs w:val="24"/>
          <w:highlight w:val="none"/>
          <w:lang w:val="en-US" w:eastAsia="zh-CN"/>
          <w14:textFill>
            <w14:solidFill>
              <w14:schemeClr w14:val="tx1"/>
            </w14:solidFill>
          </w14:textFill>
        </w:rPr>
        <w:t>0.6173hm</w:t>
      </w:r>
      <w:r>
        <w:rPr>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小于5hm</w:t>
      </w:r>
      <w:r>
        <w:rPr>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集输管线</w:t>
      </w:r>
      <w:r>
        <w:rPr>
          <w:rFonts w:hint="default" w:ascii="Times New Roman" w:hAnsi="Times New Roman" w:cs="Times New Roman"/>
          <w:color w:val="000000" w:themeColor="text1"/>
          <w:szCs w:val="24"/>
          <w:highlight w:val="none"/>
          <w14:textFill>
            <w14:solidFill>
              <w14:schemeClr w14:val="tx1"/>
            </w14:solidFill>
          </w14:textFill>
        </w:rPr>
        <w:t>占地</w:t>
      </w:r>
      <w:r>
        <w:rPr>
          <w:rFonts w:hint="eastAsia" w:cs="Times New Roman"/>
          <w:color w:val="000000" w:themeColor="text1"/>
          <w:szCs w:val="24"/>
          <w:highlight w:val="none"/>
          <w:lang w:val="en-US" w:eastAsia="zh-CN"/>
          <w14:textFill>
            <w14:solidFill>
              <w14:schemeClr w14:val="tx1"/>
            </w14:solidFill>
          </w14:textFill>
        </w:rPr>
        <w:t>0.112</w:t>
      </w:r>
      <w:r>
        <w:rPr>
          <w:rFonts w:hint="default" w:ascii="Times New Roman" w:hAnsi="Times New Roman" w:cs="Times New Roman"/>
          <w:color w:val="000000" w:themeColor="text1"/>
          <w:szCs w:val="24"/>
          <w:highlight w:val="none"/>
          <w14:textFill>
            <w14:solidFill>
              <w14:schemeClr w14:val="tx1"/>
            </w14:solidFill>
          </w14:textFill>
        </w:rPr>
        <w:t>hm</w:t>
      </w:r>
      <w:r>
        <w:rPr>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小于5hm</w:t>
      </w:r>
      <w:r>
        <w:rPr>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因此占地规模</w:t>
      </w:r>
      <w:r>
        <w:rPr>
          <w:rFonts w:hint="eastAsia" w:cs="Times New Roman"/>
          <w:color w:val="000000" w:themeColor="text1"/>
          <w:szCs w:val="24"/>
          <w:highlight w:val="none"/>
          <w:lang w:val="en-US" w:eastAsia="zh-CN"/>
          <w14:textFill>
            <w14:solidFill>
              <w14:schemeClr w14:val="tx1"/>
            </w14:solidFill>
          </w14:textFill>
        </w:rPr>
        <w:t>均</w:t>
      </w:r>
      <w:r>
        <w:rPr>
          <w:rFonts w:cs="Times New Roman"/>
          <w:color w:val="000000" w:themeColor="text1"/>
          <w:szCs w:val="24"/>
          <w:highlight w:val="none"/>
          <w14:textFill>
            <w14:solidFill>
              <w14:schemeClr w14:val="tx1"/>
            </w14:solidFill>
          </w14:textFill>
        </w:rPr>
        <w:t>为小型。因此，根据污染影响型评价工作等级划分表，本项目</w:t>
      </w:r>
      <w:r>
        <w:rPr>
          <w:rFonts w:hint="eastAsia" w:cs="Times New Roman"/>
          <w:bCs/>
          <w:color w:val="000000" w:themeColor="text1"/>
          <w:szCs w:val="24"/>
          <w:highlight w:val="none"/>
          <w:lang w:val="en-US" w:eastAsia="zh-CN"/>
          <w14:textFill>
            <w14:solidFill>
              <w14:schemeClr w14:val="tx1"/>
            </w14:solidFill>
          </w14:textFill>
        </w:rPr>
        <w:t>井场和试采站和集输管线</w:t>
      </w:r>
      <w:r>
        <w:rPr>
          <w:rFonts w:cs="Times New Roman"/>
          <w:color w:val="000000" w:themeColor="text1"/>
          <w:szCs w:val="24"/>
          <w:highlight w:val="none"/>
          <w14:textFill>
            <w14:solidFill>
              <w14:schemeClr w14:val="tx1"/>
            </w14:solidFill>
          </w14:textFill>
        </w:rPr>
        <w:t>土壤环境影响评价等级</w:t>
      </w:r>
      <w:r>
        <w:rPr>
          <w:rFonts w:hint="eastAsia" w:cs="Times New Roman"/>
          <w:color w:val="000000" w:themeColor="text1"/>
          <w:szCs w:val="24"/>
          <w:highlight w:val="none"/>
          <w:lang w:val="en-US" w:eastAsia="zh-CN"/>
          <w14:textFill>
            <w14:solidFill>
              <w14:schemeClr w14:val="tx1"/>
            </w14:solidFill>
          </w14:textFill>
        </w:rPr>
        <w:t>均</w:t>
      </w:r>
      <w:r>
        <w:rPr>
          <w:rFonts w:cs="Times New Roman"/>
          <w:color w:val="000000" w:themeColor="text1"/>
          <w:szCs w:val="24"/>
          <w:highlight w:val="none"/>
          <w14:textFill>
            <w14:solidFill>
              <w14:schemeClr w14:val="tx1"/>
            </w14:solidFill>
          </w14:textFill>
        </w:rPr>
        <w:t>为二级。</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（2）评价范围</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根据《环境影响评价技术导则 土壤环境（试行）》（HJ964-2018），本项目土壤环境评价范围为项目</w:t>
      </w:r>
      <w:r>
        <w:rPr>
          <w:rFonts w:hint="eastAsia" w:cs="Times New Roman"/>
          <w:color w:val="000000" w:themeColor="text1"/>
          <w:szCs w:val="24"/>
          <w:highlight w:val="none"/>
          <w14:textFill>
            <w14:solidFill>
              <w14:schemeClr w14:val="tx1"/>
            </w14:solidFill>
          </w14:textFill>
        </w:rPr>
        <w:t>（包括井场、放喷池、清水池、外输管线等）</w:t>
      </w:r>
      <w:r>
        <w:rPr>
          <w:rFonts w:cs="Times New Roman"/>
          <w:color w:val="000000" w:themeColor="text1"/>
          <w:szCs w:val="24"/>
          <w:highlight w:val="none"/>
          <w14:textFill>
            <w14:solidFill>
              <w14:schemeClr w14:val="tx1"/>
            </w14:solidFill>
          </w14:textFill>
        </w:rPr>
        <w:t>占地范围内全部和占地范围外0.2km</w:t>
      </w:r>
      <w:r>
        <w:rPr>
          <w:rFonts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5" w:name="_Toc120173075"/>
      <w:r>
        <w:rPr>
          <w:color w:val="000000" w:themeColor="text1"/>
          <w:highlight w:val="none"/>
          <w:lang w:eastAsia="zh-CN"/>
          <w14:textFill>
            <w14:solidFill>
              <w14:schemeClr w14:val="tx1"/>
            </w14:solidFill>
          </w14:textFill>
        </w:rPr>
        <w:t>生态环境</w:t>
      </w:r>
      <w:bookmarkEnd w:id="75"/>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评价工作等级</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根据《环境影响评价技术导则</w:t>
      </w:r>
      <w:r>
        <w:rPr>
          <w:rFonts w:ascii="Times New Roman" w:hAnsi="Times New Roman"/>
          <w:color w:val="000000" w:themeColor="text1"/>
          <w:spacing w:val="-8"/>
          <w:highlight w:val="none"/>
          <w:lang w:eastAsia="zh-CN"/>
          <w14:textFill>
            <w14:solidFill>
              <w14:schemeClr w14:val="tx1"/>
            </w14:solidFill>
          </w14:textFill>
        </w:rPr>
        <w:t xml:space="preserve"> </w:t>
      </w:r>
      <w:r>
        <w:rPr>
          <w:rFonts w:ascii="Times New Roman" w:hAnsi="Times New Roman"/>
          <w:color w:val="000000" w:themeColor="text1"/>
          <w:highlight w:val="none"/>
          <w:lang w:eastAsia="zh-CN"/>
          <w14:textFill>
            <w14:solidFill>
              <w14:schemeClr w14:val="tx1"/>
            </w14:solidFill>
          </w14:textFill>
        </w:rPr>
        <w:t>生态影响》（HJ19-2022），判断本项目是否涉及下文a~f，以此来确定本项目生态环境评价工作等级：</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生态影响评价工作等级判定表</w:t>
      </w:r>
    </w:p>
    <w:tbl>
      <w:tblPr>
        <w:tblStyle w:val="53"/>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481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481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导则规定</w:t>
            </w:r>
          </w:p>
        </w:tc>
        <w:tc>
          <w:tcPr>
            <w:tcW w:w="248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a）涉及国家公园、自然保护区、世界自然遗产、重要生境时，评价等级为一级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b）涉及自然公园时，评价等级为二级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c）涉及生态保护红线时，评价等级不低于二级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d）根据HJ2.3判断属于水文要素影响型且地表水评价等级不低于二级的建设项目，生态影响评价等级不低于二级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248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①本项目为</w:t>
            </w:r>
            <w:r>
              <w:rPr>
                <w:rFonts w:hint="eastAsia"/>
                <w:color w:val="000000" w:themeColor="text1"/>
                <w:szCs w:val="21"/>
                <w:highlight w:val="none"/>
                <w:lang w:val="en-US" w:eastAsia="zh-CN"/>
                <w14:textFill>
                  <w14:solidFill>
                    <w14:schemeClr w14:val="tx1"/>
                  </w14:solidFill>
                </w14:textFill>
              </w:rPr>
              <w:t>钻井及试采工程</w:t>
            </w:r>
            <w:r>
              <w:rPr>
                <w:rFonts w:hint="default"/>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虽钻井过程中将涉及地下含水层，但本项目在钻井过程中，在钻遇地下可能的含水层时采用较为清洁的清水钻或水基钻井液，同时井下设置套管保护，封绝地下含水层，因此，本项目</w:t>
            </w:r>
            <w:r>
              <w:rPr>
                <w:rFonts w:hint="default"/>
                <w:color w:val="000000" w:themeColor="text1"/>
                <w:szCs w:val="21"/>
                <w:highlight w:val="none"/>
                <w14:textFill>
                  <w14:solidFill>
                    <w14:schemeClr w14:val="tx1"/>
                  </w14:solidFill>
                </w14:textFill>
              </w:rPr>
              <w:t>对地下水水位影响较小；②根据本项目的林地叠图资料可知</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本项目</w:t>
            </w:r>
            <w:r>
              <w:rPr>
                <w:rFonts w:hint="default"/>
                <w:bCs/>
                <w:color w:val="000000" w:themeColor="text1"/>
                <w:szCs w:val="21"/>
                <w:highlight w:val="none"/>
                <w14:textFill>
                  <w14:solidFill>
                    <w14:schemeClr w14:val="tx1"/>
                  </w14:solidFill>
                </w14:textFill>
              </w:rPr>
              <w:t>土壤评价范围内</w:t>
            </w:r>
            <w:r>
              <w:rPr>
                <w:rFonts w:hint="eastAsia"/>
                <w:bCs/>
                <w:color w:val="000000" w:themeColor="text1"/>
                <w:szCs w:val="21"/>
                <w:highlight w:val="none"/>
                <w14:textFill>
                  <w14:solidFill>
                    <w14:schemeClr w14:val="tx1"/>
                  </w14:solidFill>
                </w14:textFill>
              </w:rPr>
              <w:t>有天然林</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公益林</w:t>
            </w:r>
            <w:r>
              <w:rPr>
                <w:rFonts w:hint="eastAsia"/>
                <w:bCs/>
                <w:color w:val="000000" w:themeColor="text1"/>
                <w:szCs w:val="21"/>
                <w:highlight w:val="none"/>
                <w14:textFill>
                  <w14:solidFill>
                    <w14:schemeClr w14:val="tx1"/>
                  </w14:solidFill>
                </w14:textFill>
              </w:rPr>
              <w:t>分布，</w:t>
            </w:r>
            <w:r>
              <w:rPr>
                <w:rFonts w:hint="eastAsia"/>
                <w:bCs/>
                <w:color w:val="000000" w:themeColor="text1"/>
                <w:szCs w:val="21"/>
                <w:highlight w:val="none"/>
                <w:lang w:eastAsia="zh-CN"/>
                <w14:textFill>
                  <w14:solidFill>
                    <w14:schemeClr w14:val="tx1"/>
                  </w14:solidFill>
                </w14:textFill>
              </w:rPr>
              <w:t>距离最近天然林约</w:t>
            </w:r>
            <w:r>
              <w:rPr>
                <w:rFonts w:hint="eastAsia"/>
                <w:bCs/>
                <w:color w:val="000000" w:themeColor="text1"/>
                <w:szCs w:val="21"/>
                <w:highlight w:val="none"/>
                <w:lang w:val="en-US" w:eastAsia="zh-CN"/>
                <w14:textFill>
                  <w14:solidFill>
                    <w14:schemeClr w14:val="tx1"/>
                  </w14:solidFill>
                </w14:textFill>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f）当工程占地规模大于20km</w:t>
            </w:r>
            <w:r>
              <w:rPr>
                <w:rFonts w:hint="default"/>
                <w:color w:val="000000" w:themeColor="text1"/>
                <w:szCs w:val="20"/>
                <w:highlight w:val="none"/>
                <w:vertAlign w:val="superscript"/>
                <w14:textFill>
                  <w14:solidFill>
                    <w14:schemeClr w14:val="tx1"/>
                  </w14:solidFill>
                </w14:textFill>
              </w:rPr>
              <w:t>2</w:t>
            </w:r>
            <w:r>
              <w:rPr>
                <w:rFonts w:hint="default"/>
                <w:color w:val="000000" w:themeColor="text1"/>
                <w:szCs w:val="20"/>
                <w:highlight w:val="none"/>
                <w14:textFill>
                  <w14:solidFill>
                    <w14:schemeClr w14:val="tx1"/>
                  </w14:solidFill>
                </w14:textFill>
              </w:rPr>
              <w:t>时（包括永久和临时占用陆域和水域），评价等级不低于二级；改扩建项目的占地范围以新增占地（包括陆域和水域）确定</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建设项目涉及经论证对保护生物多样性具有重要意义的区域时，可适当上调评价等级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w:t>
            </w:r>
          </w:p>
        </w:tc>
        <w:tc>
          <w:tcPr>
            <w:tcW w:w="481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在矿山开采可能导致矿区土地利用类型明显改变，或拦河闸坝建设可能明显改变水文情势等情况下，评价等级应上调一级</w:t>
            </w:r>
          </w:p>
        </w:tc>
        <w:tc>
          <w:tcPr>
            <w:tcW w:w="248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不涉及</w:t>
            </w:r>
          </w:p>
        </w:tc>
      </w:tr>
    </w:tbl>
    <w:p>
      <w:pPr>
        <w:tabs>
          <w:tab w:val="left" w:pos="0"/>
        </w:tabs>
        <w:spacing w:before="163"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本项目占地</w:t>
      </w:r>
      <w:r>
        <w:rPr>
          <w:rFonts w:hint="eastAsia" w:cs="Times New Roman"/>
          <w:bCs/>
          <w:color w:val="000000" w:themeColor="text1"/>
          <w:szCs w:val="24"/>
          <w:highlight w:val="none"/>
          <w:lang w:eastAsia="zh-CN"/>
          <w14:textFill>
            <w14:solidFill>
              <w14:schemeClr w14:val="tx1"/>
            </w14:solidFill>
          </w14:textFill>
        </w:rPr>
        <w:t>1.2808hm</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，评价范围及井场占地范围不涉及国家公园、自然保护区、世界自然遗产、重要生境、湿地、饮用水源保护区、基本草原、重点生态功能保护区、沙化土地封禁保护区等敏感目标，属一般区域，</w:t>
      </w:r>
      <w:r>
        <w:rPr>
          <w:rFonts w:hint="eastAsia" w:cs="Times New Roman"/>
          <w:bCs/>
          <w:color w:val="000000" w:themeColor="text1"/>
          <w:szCs w:val="24"/>
          <w:highlight w:val="none"/>
          <w:lang w:eastAsia="zh-CN"/>
          <w14:textFill>
            <w14:solidFill>
              <w14:schemeClr w14:val="tx1"/>
            </w14:solidFill>
          </w14:textFill>
        </w:rPr>
        <w:t>但土壤评价范围内有</w:t>
      </w:r>
      <w:r>
        <w:rPr>
          <w:rFonts w:cs="Times New Roman"/>
          <w:bCs/>
          <w:color w:val="000000" w:themeColor="text1"/>
          <w:szCs w:val="24"/>
          <w:highlight w:val="none"/>
          <w14:textFill>
            <w14:solidFill>
              <w14:schemeClr w14:val="tx1"/>
            </w14:solidFill>
          </w14:textFill>
        </w:rPr>
        <w:t>公益林、</w:t>
      </w:r>
      <w:r>
        <w:rPr>
          <w:rFonts w:hint="eastAsia" w:cs="Times New Roman"/>
          <w:bCs/>
          <w:color w:val="000000" w:themeColor="text1"/>
          <w:szCs w:val="24"/>
          <w:highlight w:val="none"/>
          <w:lang w:eastAsia="zh-CN"/>
          <w14:textFill>
            <w14:solidFill>
              <w14:schemeClr w14:val="tx1"/>
            </w14:solidFill>
          </w14:textFill>
        </w:rPr>
        <w:t>天然林分布（位于东侧，最近距离约6m）</w:t>
      </w:r>
      <w:r>
        <w:rPr>
          <w:rFonts w:hint="eastAsia"/>
          <w:bCs/>
          <w:color w:val="000000" w:themeColor="text1"/>
          <w:szCs w:val="24"/>
          <w:highlight w:val="none"/>
          <w:lang w:val="en-US" w:eastAsia="zh-CN"/>
          <w14:textFill>
            <w14:solidFill>
              <w14:schemeClr w14:val="tx1"/>
            </w14:solidFill>
          </w14:textFill>
        </w:rPr>
        <w:t>，</w:t>
      </w:r>
      <w:r>
        <w:rPr>
          <w:rFonts w:hint="eastAsia"/>
          <w:bCs/>
          <w:color w:val="000000" w:themeColor="text1"/>
          <w:szCs w:val="24"/>
          <w:highlight w:val="none"/>
          <w14:textFill>
            <w14:solidFill>
              <w14:schemeClr w14:val="tx1"/>
            </w14:solidFill>
          </w14:textFill>
        </w:rPr>
        <w:t>考虑到项目土壤影响评价范围200m内有天然林分布，</w:t>
      </w:r>
      <w:r>
        <w:rPr>
          <w:rFonts w:hint="eastAsia"/>
          <w:bCs/>
          <w:color w:val="000000" w:themeColor="text1"/>
          <w:szCs w:val="24"/>
          <w:highlight w:val="none"/>
          <w:lang w:val="en-US" w:eastAsia="zh-CN"/>
          <w14:textFill>
            <w14:solidFill>
              <w14:schemeClr w14:val="tx1"/>
            </w14:solidFill>
          </w14:textFill>
        </w:rPr>
        <w:t>施工期、试采期废气排放对周边天然林具有一定的大气污染沉降影响，</w:t>
      </w:r>
      <w:r>
        <w:rPr>
          <w:rFonts w:cs="Times New Roman"/>
          <w:bCs/>
          <w:color w:val="000000" w:themeColor="text1"/>
          <w:szCs w:val="24"/>
          <w:highlight w:val="none"/>
          <w14:textFill>
            <w14:solidFill>
              <w14:schemeClr w14:val="tx1"/>
            </w14:solidFill>
          </w14:textFill>
        </w:rPr>
        <w:t>故陆生生态环境影响评价工作等级定为二级。</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项目评价区无较大的地表水体分布，</w:t>
      </w:r>
      <w:r>
        <w:rPr>
          <w:rFonts w:hint="eastAsia" w:cs="Times New Roman"/>
          <w:color w:val="000000" w:themeColor="text1"/>
          <w:szCs w:val="24"/>
          <w:highlight w:val="none"/>
          <w:lang w:val="en-US" w:eastAsia="zh-CN"/>
          <w14:textFill>
            <w14:solidFill>
              <w14:schemeClr w14:val="tx1"/>
            </w14:solidFill>
          </w14:textFill>
        </w:rPr>
        <w:t>管线较短且无沟渠、河流穿越</w:t>
      </w:r>
      <w:r>
        <w:rPr>
          <w:rFonts w:hint="eastAsia" w:cs="Times New Roman"/>
          <w:bCs/>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项目评价范围不涉及水域，</w:t>
      </w:r>
      <w:r>
        <w:rPr>
          <w:rFonts w:hint="eastAsia" w:cs="Times New Roman"/>
          <w:color w:val="000000" w:themeColor="text1"/>
          <w:szCs w:val="24"/>
          <w:highlight w:val="none"/>
          <w:lang w:val="en-US" w:eastAsia="zh-CN"/>
          <w14:textFill>
            <w14:solidFill>
              <w14:schemeClr w14:val="tx1"/>
            </w14:solidFill>
          </w14:textFill>
        </w:rPr>
        <w:t>同时本</w:t>
      </w:r>
      <w:r>
        <w:rPr>
          <w:rFonts w:hint="default" w:ascii="Times New Roman" w:hAnsi="Times New Roman" w:cs="Times New Roman"/>
          <w:color w:val="000000" w:themeColor="text1"/>
          <w:szCs w:val="24"/>
          <w:highlight w:val="none"/>
          <w14:textFill>
            <w14:solidFill>
              <w14:schemeClr w14:val="tx1"/>
            </w14:solidFill>
          </w14:textFill>
        </w:rPr>
        <w:t>项目废水不外排</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因此，本项目</w:t>
      </w:r>
      <w:r>
        <w:rPr>
          <w:rFonts w:hint="default" w:ascii="Times New Roman" w:hAnsi="Times New Roman" w:cs="Times New Roman"/>
          <w:color w:val="000000" w:themeColor="text1"/>
          <w:szCs w:val="24"/>
          <w:highlight w:val="none"/>
          <w14:textFill>
            <w14:solidFill>
              <w14:schemeClr w14:val="tx1"/>
            </w14:solidFill>
          </w14:textFill>
        </w:rPr>
        <w:t>无需进行水生生态评价</w:t>
      </w:r>
      <w:r>
        <w:rPr>
          <w:rFonts w:hint="default" w:ascii="Times New Roman" w:hAnsi="Times New Roman" w:cs="Times New Roman"/>
          <w:color w:val="000000" w:themeColor="text1"/>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（2）评价范围</w:t>
      </w:r>
    </w:p>
    <w:p>
      <w:pPr>
        <w:ind w:firstLine="480"/>
        <w:rPr>
          <w:rFonts w:cs="Times New Roman"/>
          <w:bCs/>
          <w:color w:val="000000" w:themeColor="text1"/>
          <w:szCs w:val="24"/>
          <w:highlight w:val="none"/>
          <w14:textFill>
            <w14:solidFill>
              <w14:schemeClr w14:val="tx1"/>
            </w14:solidFill>
          </w14:textFill>
        </w:rPr>
      </w:pPr>
      <w:bookmarkStart w:id="76" w:name="_Hlk155272651"/>
      <w:r>
        <w:rPr>
          <w:rFonts w:cs="Times New Roman"/>
          <w:bCs/>
          <w:color w:val="000000" w:themeColor="text1"/>
          <w:szCs w:val="24"/>
          <w:highlight w:val="none"/>
          <w14:textFill>
            <w14:solidFill>
              <w14:schemeClr w14:val="tx1"/>
            </w14:solidFill>
          </w14:textFill>
        </w:rPr>
        <w:t>根据《环境影响评价技术导则 生态影响》（HJ19-2022）、《环境影响评价技术导则</w:t>
      </w:r>
      <w:r>
        <w:rPr>
          <w:rFonts w:hint="eastAsia" w:cs="Times New Roman"/>
          <w:bCs/>
          <w:color w:val="000000" w:themeColor="text1"/>
          <w:szCs w:val="24"/>
          <w:highlight w:val="none"/>
          <w14:textFill>
            <w14:solidFill>
              <w14:schemeClr w14:val="tx1"/>
            </w14:solidFill>
          </w14:textFill>
        </w:rPr>
        <w:t xml:space="preserve"> </w:t>
      </w:r>
      <w:r>
        <w:rPr>
          <w:rFonts w:cs="Times New Roman"/>
          <w:bCs/>
          <w:color w:val="000000" w:themeColor="text1"/>
          <w:szCs w:val="24"/>
          <w:highlight w:val="none"/>
          <w14:textFill>
            <w14:solidFill>
              <w14:schemeClr w14:val="tx1"/>
            </w14:solidFill>
          </w14:textFill>
        </w:rPr>
        <w:t>陆地石油天然气开发建设项目》（HJ349-2023）</w:t>
      </w:r>
      <w:r>
        <w:rPr>
          <w:rFonts w:hint="eastAsia" w:cs="Times New Roman"/>
          <w:bCs/>
          <w:color w:val="000000" w:themeColor="text1"/>
          <w:szCs w:val="24"/>
          <w:highlight w:val="none"/>
          <w14:textFill>
            <w14:solidFill>
              <w14:schemeClr w14:val="tx1"/>
            </w14:solidFill>
          </w14:textFill>
        </w:rPr>
        <w:t>。本次生态评价范围确定原则如下：</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a）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b</w:t>
      </w:r>
      <w:r>
        <w:rPr>
          <w:rFonts w:cs="Times New Roman"/>
          <w:bCs/>
          <w:color w:val="000000" w:themeColor="text1"/>
          <w:szCs w:val="24"/>
          <w:highlight w:val="none"/>
          <w14:textFill>
            <w14:solidFill>
              <w14:schemeClr w14:val="tx1"/>
            </w14:solidFill>
          </w14:textFill>
        </w:rPr>
        <w:t>）井场、站场（含净化厂）等工程以场界周围50米范围、集输管道等线性工程两侧外延300米为评价范围。通过大气、地表水、噪声等环境要素间接影响生态保护目标的项目，其评价范围应涵盖污染物排放产生的间接生态影响区域。</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c</w:t>
      </w:r>
      <w:r>
        <w:rPr>
          <w:rFonts w:cs="Times New Roman"/>
          <w:bCs/>
          <w:color w:val="000000" w:themeColor="text1"/>
          <w:szCs w:val="24"/>
          <w:highlight w:val="none"/>
          <w14:textFill>
            <w14:solidFill>
              <w14:schemeClr w14:val="tx1"/>
            </w14:solidFill>
          </w14:textFill>
        </w:rPr>
        <w:t>）占用生态敏感区的工程，应根据生态敏感区的主要生态功能、保护对象等合理确定评价范围。线性工程穿越生态敏感区时，以线路穿越段向两端外延1千米、线路中心线向两侧外延1千米为评价范围，并结合生态敏感区主要保护对象的分布、生态学特征、项目的穿越方式、周边地形地貌等适当调整。</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本项目不涉及直接占用</w:t>
      </w:r>
      <w:r>
        <w:rPr>
          <w:rFonts w:cs="Times New Roman"/>
          <w:bCs/>
          <w:color w:val="000000" w:themeColor="text1"/>
          <w:szCs w:val="24"/>
          <w:highlight w:val="none"/>
          <w14:textFill>
            <w14:solidFill>
              <w14:schemeClr w14:val="tx1"/>
            </w14:solidFill>
          </w14:textFill>
        </w:rPr>
        <w:t>生态敏感区</w:t>
      </w:r>
      <w:r>
        <w:rPr>
          <w:rFonts w:hint="eastAsia" w:cs="Times New Roman"/>
          <w:bCs/>
          <w:color w:val="000000" w:themeColor="text1"/>
          <w:szCs w:val="24"/>
          <w:highlight w:val="none"/>
          <w14:textFill>
            <w14:solidFill>
              <w14:schemeClr w14:val="tx1"/>
            </w14:solidFill>
          </w14:textFill>
        </w:rPr>
        <w:t>。因此，本次评价根据上述</w:t>
      </w:r>
      <w:r>
        <w:rPr>
          <w:rFonts w:cs="Times New Roman"/>
          <w:bCs/>
          <w:color w:val="000000" w:themeColor="text1"/>
          <w:szCs w:val="24"/>
          <w:highlight w:val="none"/>
          <w14:textFill>
            <w14:solidFill>
              <w14:schemeClr w14:val="tx1"/>
            </w14:solidFill>
          </w14:textFill>
        </w:rPr>
        <w:t>评价范围的划分原则和本项目现场踏勘调查实际情况，依据项目建设对生态因子的影响方式、影响程度和生态因子之间的相互影响和相互依存关系，确定评价范围如下：</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站场工程：</w:t>
      </w:r>
      <w:r>
        <w:rPr>
          <w:rFonts w:cs="Times New Roman"/>
          <w:bCs/>
          <w:color w:val="000000" w:themeColor="text1"/>
          <w:szCs w:val="24"/>
          <w:highlight w:val="none"/>
          <w14:textFill>
            <w14:solidFill>
              <w14:schemeClr w14:val="tx1"/>
            </w14:solidFill>
          </w14:textFill>
        </w:rPr>
        <w:t>主要</w:t>
      </w:r>
      <w:r>
        <w:rPr>
          <w:rFonts w:hint="eastAsia" w:cs="Times New Roman"/>
          <w:bCs/>
          <w:color w:val="000000" w:themeColor="text1"/>
          <w:szCs w:val="24"/>
          <w:highlight w:val="none"/>
          <w14:textFill>
            <w14:solidFill>
              <w14:schemeClr w14:val="tx1"/>
            </w14:solidFill>
          </w14:textFill>
        </w:rPr>
        <w:t>包含井场（含边坡）、表土与弃土临时堆场、清水池、放喷池及放喷管线、生活区</w:t>
      </w:r>
      <w:r>
        <w:rPr>
          <w:rFonts w:cs="Times New Roman"/>
          <w:bCs/>
          <w:color w:val="000000" w:themeColor="text1"/>
          <w:szCs w:val="24"/>
          <w:highlight w:val="none"/>
          <w14:textFill>
            <w14:solidFill>
              <w14:schemeClr w14:val="tx1"/>
            </w14:solidFill>
          </w14:textFill>
        </w:rPr>
        <w:t>占地等</w:t>
      </w:r>
      <w:r>
        <w:rPr>
          <w:rFonts w:hint="eastAsia" w:cs="Times New Roman"/>
          <w:bCs/>
          <w:color w:val="000000" w:themeColor="text1"/>
          <w:szCs w:val="24"/>
          <w:highlight w:val="none"/>
          <w14:textFill>
            <w14:solidFill>
              <w14:schemeClr w14:val="tx1"/>
            </w14:solidFill>
          </w14:textFill>
        </w:rPr>
        <w:t>，考虑到土壤影响评价范围为200m，本次站场工程生态评价范围由5</w:t>
      </w:r>
      <w:r>
        <w:rPr>
          <w:rFonts w:cs="Times New Roman"/>
          <w:bCs/>
          <w:color w:val="000000" w:themeColor="text1"/>
          <w:szCs w:val="24"/>
          <w:highlight w:val="none"/>
          <w14:textFill>
            <w14:solidFill>
              <w14:schemeClr w14:val="tx1"/>
            </w14:solidFill>
          </w14:textFill>
        </w:rPr>
        <w:t>0m</w:t>
      </w:r>
      <w:r>
        <w:rPr>
          <w:rFonts w:hint="eastAsia" w:cs="Times New Roman"/>
          <w:bCs/>
          <w:color w:val="000000" w:themeColor="text1"/>
          <w:szCs w:val="24"/>
          <w:highlight w:val="none"/>
          <w14:textFill>
            <w14:solidFill>
              <w14:schemeClr w14:val="tx1"/>
            </w14:solidFill>
          </w14:textFill>
        </w:rPr>
        <w:t>扩展至200m。</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线性工程：主要包括进场道路、外输管线等。以进场道路、外输管道</w:t>
      </w:r>
      <w:r>
        <w:rPr>
          <w:rFonts w:cs="Times New Roman"/>
          <w:bCs/>
          <w:color w:val="000000" w:themeColor="text1"/>
          <w:szCs w:val="24"/>
          <w:highlight w:val="none"/>
          <w14:textFill>
            <w14:solidFill>
              <w14:schemeClr w14:val="tx1"/>
            </w14:solidFill>
          </w14:textFill>
        </w:rPr>
        <w:t>两侧300m</w:t>
      </w:r>
      <w:r>
        <w:rPr>
          <w:rFonts w:hint="eastAsia" w:cs="Times New Roman"/>
          <w:bCs/>
          <w:color w:val="000000" w:themeColor="text1"/>
          <w:szCs w:val="24"/>
          <w:highlight w:val="none"/>
          <w14:textFill>
            <w14:solidFill>
              <w14:schemeClr w14:val="tx1"/>
            </w14:solidFill>
          </w14:textFill>
        </w:rPr>
        <w:t>的范围内的区域。</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此外，本次评价还</w:t>
      </w:r>
      <w:r>
        <w:rPr>
          <w:rFonts w:cs="Times New Roman"/>
          <w:bCs/>
          <w:color w:val="000000" w:themeColor="text1"/>
          <w:szCs w:val="24"/>
          <w:highlight w:val="none"/>
          <w14:textFill>
            <w14:solidFill>
              <w14:schemeClr w14:val="tx1"/>
            </w14:solidFill>
          </w14:textFill>
        </w:rPr>
        <w:t>同时考虑与项目区的气候过程、水文过程、生物过程等生物地球化学循环过程的相互作用关系，以项目影响区域所涉及的完整气候单元、水文单元、生态单元、地理单元界限为参照边界进行修正和完善，最终确定评价范围，</w:t>
      </w:r>
      <w:bookmarkEnd w:id="76"/>
      <w:r>
        <w:rPr>
          <w:rFonts w:cs="Times New Roman"/>
          <w:bCs/>
          <w:color w:val="000000" w:themeColor="text1"/>
          <w:szCs w:val="24"/>
          <w:highlight w:val="none"/>
          <w14:textFill>
            <w14:solidFill>
              <w14:schemeClr w14:val="tx1"/>
            </w14:solidFill>
          </w14:textFill>
        </w:rPr>
        <w:t>面积为</w:t>
      </w:r>
      <w:r>
        <w:rPr>
          <w:rFonts w:hint="eastAsia" w:cs="Times New Roman"/>
          <w:bCs/>
          <w:color w:val="000000" w:themeColor="text1"/>
          <w:szCs w:val="24"/>
          <w:highlight w:val="none"/>
          <w:lang w:val="en-US" w:eastAsia="zh-CN"/>
          <w14:textFill>
            <w14:solidFill>
              <w14:schemeClr w14:val="tx1"/>
            </w14:solidFill>
          </w14:textFill>
        </w:rPr>
        <w:t>26.82</w:t>
      </w:r>
      <w:r>
        <w:rPr>
          <w:rFonts w:cs="Times New Roman"/>
          <w:bCs/>
          <w:color w:val="000000" w:themeColor="text1"/>
          <w:szCs w:val="24"/>
          <w:highlight w:val="none"/>
          <w14:textFill>
            <w14:solidFill>
              <w14:schemeClr w14:val="tx1"/>
            </w14:solidFill>
          </w14:textFill>
        </w:rPr>
        <w:t>hm</w:t>
      </w:r>
      <w:r>
        <w:rPr>
          <w:rFonts w:cs="Times New Roman"/>
          <w:bCs/>
          <w:color w:val="000000" w:themeColor="text1"/>
          <w:szCs w:val="24"/>
          <w:highlight w:val="none"/>
          <w:vertAlign w:val="superscript"/>
          <w14:textFill>
            <w14:solidFill>
              <w14:schemeClr w14:val="tx1"/>
            </w14:solidFill>
          </w14:textFill>
        </w:rPr>
        <w:t>2</w:t>
      </w:r>
      <w:r>
        <w:rPr>
          <w:rFonts w:hint="eastAsia" w:cs="Times New Roman"/>
          <w:bCs/>
          <w:color w:val="000000" w:themeColor="text1"/>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7" w:name="_Toc120173076"/>
      <w:r>
        <w:rPr>
          <w:color w:val="000000" w:themeColor="text1"/>
          <w:highlight w:val="none"/>
          <w:lang w:eastAsia="zh-CN"/>
          <w14:textFill>
            <w14:solidFill>
              <w14:schemeClr w14:val="tx1"/>
            </w14:solidFill>
          </w14:textFill>
        </w:rPr>
        <w:t>环境风险</w:t>
      </w:r>
      <w:bookmarkEnd w:id="77"/>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t>评价工作等级</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详细评价工作等级判定过程见后文6</w:t>
      </w:r>
      <w:r>
        <w:rPr>
          <w:rFonts w:cs="Times New Roman"/>
          <w:bCs/>
          <w:color w:val="000000" w:themeColor="text1"/>
          <w:szCs w:val="24"/>
          <w:highlight w:val="none"/>
          <w14:textFill>
            <w14:solidFill>
              <w14:schemeClr w14:val="tx1"/>
            </w14:solidFill>
          </w14:textFill>
        </w:rPr>
        <w:t>.1</w:t>
      </w:r>
      <w:r>
        <w:rPr>
          <w:rFonts w:hint="eastAsia" w:cs="Times New Roman"/>
          <w:bCs/>
          <w:color w:val="000000" w:themeColor="text1"/>
          <w:szCs w:val="24"/>
          <w:highlight w:val="none"/>
          <w14:textFill>
            <w14:solidFill>
              <w14:schemeClr w14:val="tx1"/>
            </w14:solidFill>
          </w14:textFill>
        </w:rPr>
        <w:t>小结，此处仅罗列判定结果。</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评价等级根据《建设项目环境风险评价技术导则》（HJ169-2018）评价等级划分原则，建设项目环境风险评价工作等级判定标准表见下表。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表2.6-9 环境风险评价分级判定</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86"/>
        <w:gridCol w:w="1601"/>
        <w:gridCol w:w="1916"/>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环境风险潜势</w:t>
            </w:r>
          </w:p>
        </w:tc>
        <w:tc>
          <w:tcPr>
            <w:tcW w:w="158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Ⅳ、Ⅴ</w:t>
            </w:r>
            <w:r>
              <w:rPr>
                <w:rFonts w:hint="default"/>
                <w:color w:val="000000" w:themeColor="text1"/>
                <w:szCs w:val="20"/>
                <w:highlight w:val="none"/>
                <w:vertAlign w:val="superscript"/>
                <w14:textFill>
                  <w14:solidFill>
                    <w14:schemeClr w14:val="tx1"/>
                  </w14:solidFill>
                </w14:textFill>
              </w:rPr>
              <w:t>+</w:t>
            </w:r>
          </w:p>
        </w:tc>
        <w:tc>
          <w:tcPr>
            <w:tcW w:w="16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Ⅲ</w:t>
            </w:r>
          </w:p>
        </w:tc>
        <w:tc>
          <w:tcPr>
            <w:tcW w:w="191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Ⅱ</w:t>
            </w:r>
          </w:p>
        </w:tc>
        <w:tc>
          <w:tcPr>
            <w:tcW w:w="156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clear" w:color="FFFFFF" w:fill="D9D9D9"/>
                <w14:textFill>
                  <w14:solidFill>
                    <w14:schemeClr w14:val="tx1"/>
                  </w14:solidFill>
                </w14:textFill>
              </w:rPr>
            </w:pPr>
            <w:r>
              <w:rPr>
                <w:rFonts w:hint="default"/>
                <w:color w:val="000000" w:themeColor="text1"/>
                <w:szCs w:val="20"/>
                <w:highlight w:val="none"/>
                <w:shd w:val="clear" w:color="FFFFFF" w:fill="D9D9D9"/>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评价工作等级</w:t>
            </w:r>
          </w:p>
        </w:tc>
        <w:tc>
          <w:tcPr>
            <w:tcW w:w="158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16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c>
          <w:tcPr>
            <w:tcW w:w="191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c>
          <w:tcPr>
            <w:tcW w:w="156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clear" w:color="FFFFFF" w:fill="D9D9D9"/>
                <w14:textFill>
                  <w14:solidFill>
                    <w14:schemeClr w14:val="tx1"/>
                  </w14:solidFill>
                </w14:textFill>
              </w:rPr>
            </w:pPr>
            <w:r>
              <w:rPr>
                <w:rFonts w:hint="default"/>
                <w:color w:val="000000" w:themeColor="text1"/>
                <w:szCs w:val="20"/>
                <w:highlight w:val="none"/>
                <w:shd w:val="clear" w:color="FFFFFF" w:fill="D9D9D9"/>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2" w:type="dxa"/>
            <w:gridSpan w:val="5"/>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a 是相对于详细评价工作内容而言，在描述危险物质、环境影响途径、环境危害后果、</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pct10" w:color="auto" w:fill="FFFFFF"/>
                <w14:textFill>
                  <w14:solidFill>
                    <w14:schemeClr w14:val="tx1"/>
                  </w14:solidFill>
                </w14:textFill>
              </w:rPr>
            </w:pPr>
            <w:r>
              <w:rPr>
                <w:rFonts w:hint="default"/>
                <w:color w:val="000000" w:themeColor="text1"/>
                <w:szCs w:val="20"/>
                <w:highlight w:val="none"/>
                <w14:textFill>
                  <w14:solidFill>
                    <w14:schemeClr w14:val="tx1"/>
                  </w14:solidFill>
                </w14:textFill>
              </w:rPr>
              <w:t>风险防范措施等方面给出定性的说明。</w:t>
            </w:r>
          </w:p>
        </w:tc>
      </w:tr>
    </w:tbl>
    <w:p>
      <w:pPr>
        <w:pStyle w:val="21"/>
        <w:keepNext w:val="0"/>
        <w:keepLines w:val="0"/>
        <w:pageBreakBefore w:val="0"/>
        <w:widowControl/>
        <w:kinsoku/>
        <w:wordWrap/>
        <w:overflowPunct/>
        <w:topLinePunct w:val="0"/>
        <w:autoSpaceDE/>
        <w:autoSpaceDN/>
        <w:bidi w:val="0"/>
        <w:adjustRightInd w:val="0"/>
        <w:snapToGrid w:val="0"/>
        <w:spacing w:before="164" w:beforeLines="50"/>
        <w:ind w:left="0" w:firstLine="480"/>
        <w:jc w:val="both"/>
        <w:textAlignment w:val="auto"/>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钻井</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施工期天然气所含的甲烷和油类物质的Q值计算结果为</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0.537</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，Q值＜1；储层改造阶段的风险物质盐酸和柴油的Q值计算结果为</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.606，Q值＜1；试采期</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站内</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天然气所含的</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甲烷</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的Q值计算结果为</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29</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，Q值＜1</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试采期</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外输管线</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天然气所含的甲烷的Q值计算结果为</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019</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，Q值＜1。该项目</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钻井阶段、</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储层改造阶段</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试采期</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站内、</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试采期</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外输管线</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环境风险潜势</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均</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为I</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因此，该项目环境风险潜势为Ⅰ</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，本项目</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其环境风险评价等级为</w:t>
      </w:r>
      <w:r>
        <w:rPr>
          <w:rFonts w:hint="eastAsia"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“简单分析”</w:t>
      </w:r>
      <w:r>
        <w:rPr>
          <w:rFonts w:ascii="Times New Roman" w:hAnsi="Times New Roman" w:eastAsia="宋体" w:cstheme="minorBidi"/>
          <w:color w:val="000000" w:themeColor="text1"/>
          <w:kern w:val="2"/>
          <w:sz w:val="24"/>
          <w:szCs w:val="22"/>
          <w:highlight w:val="none"/>
          <w:lang w:val="en-US" w:eastAsia="zh-CN" w:bidi="ar-SA"/>
          <w14:textFill>
            <w14:solidFill>
              <w14:schemeClr w14:val="tx1"/>
            </w14:solidFill>
          </w14:textFill>
        </w:rPr>
        <w:t>。</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（2）评价范围</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cs="Times New Roman"/>
          <w:color w:val="000000" w:themeColor="text1"/>
          <w:szCs w:val="24"/>
          <w:highlight w:val="none"/>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简单分析，不设置环境风险评价范围，只对涉及的危险物质、环境影响途径、环境危害、风险防范措施等方面给出定性的说明。</w:t>
      </w:r>
      <w:r>
        <w:rPr>
          <w:rFonts w:ascii="Times New Roman" w:hAnsi="Times New Roman"/>
          <w:bCs/>
          <w:color w:val="000000" w:themeColor="text1"/>
          <w:highlight w:val="none"/>
          <w:lang w:eastAsia="zh-CN"/>
          <w14:textFill>
            <w14:solidFill>
              <w14:schemeClr w14:val="tx1"/>
            </w14:solidFill>
          </w14:textFill>
        </w:rPr>
        <w:t>本项目外环境关系简单，无环境制约因素，项目与外环境相容</w:t>
      </w:r>
      <w:r>
        <w:rPr>
          <w:rFonts w:hint="eastAsia" w:ascii="Times New Roman" w:hAnsi="Times New Roman"/>
          <w:bCs/>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本次环境风险重点调查井场周</w:t>
      </w:r>
      <w:r>
        <w:rPr>
          <w:rFonts w:hint="default" w:ascii="Times New Roman" w:hAnsi="Times New Roman" w:cs="Times New Roman"/>
          <w:color w:val="000000" w:themeColor="text1"/>
          <w:szCs w:val="24"/>
          <w:highlight w:val="none"/>
          <w:lang w:eastAsia="zh-CN"/>
          <w14:textFill>
            <w14:solidFill>
              <w14:schemeClr w14:val="tx1"/>
            </w14:solidFill>
          </w14:textFill>
        </w:rPr>
        <w:t>边500m范围与管线沿线两侧200m范围</w:t>
      </w:r>
      <w:r>
        <w:rPr>
          <w:rFonts w:cs="Times New Roman"/>
          <w:color w:val="000000" w:themeColor="text1"/>
          <w:szCs w:val="24"/>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8" w:name="_Toc24136"/>
      <w:r>
        <w:rPr>
          <w:color w:val="000000" w:themeColor="text1"/>
          <w:highlight w:val="none"/>
          <w:lang w:eastAsia="zh-CN"/>
          <w14:textFill>
            <w14:solidFill>
              <w14:schemeClr w14:val="tx1"/>
            </w14:solidFill>
          </w14:textFill>
        </w:rPr>
        <w:t>相关政策、规范符合性分析</w:t>
      </w:r>
      <w:bookmarkEnd w:id="78"/>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79" w:name="_Toc120173078"/>
      <w:r>
        <w:rPr>
          <w:color w:val="000000" w:themeColor="text1"/>
          <w:highlight w:val="none"/>
          <w:lang w:eastAsia="zh-CN"/>
          <w14:textFill>
            <w14:solidFill>
              <w14:schemeClr w14:val="tx1"/>
            </w14:solidFill>
          </w14:textFill>
        </w:rPr>
        <w:t>产业政策及相关文件符合性分析</w:t>
      </w:r>
      <w:bookmarkEnd w:id="79"/>
    </w:p>
    <w:p>
      <w:pPr>
        <w:tabs>
          <w:tab w:val="left" w:pos="0"/>
        </w:tabs>
        <w:ind w:firstLine="480"/>
        <w:rPr>
          <w:rFonts w:cs="Times New Roman"/>
          <w:bCs/>
          <w:color w:val="000000" w:themeColor="text1"/>
          <w:szCs w:val="24"/>
          <w:highlight w:val="none"/>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根据《产业结构调整指导目录（2024年本）》（</w:t>
      </w:r>
      <w:r>
        <w:rPr>
          <w:rFonts w:hint="eastAsia" w:ascii="Times New Roman" w:hAnsi="Times New Roman"/>
          <w:color w:val="000000" w:themeColor="text1"/>
          <w:sz w:val="24"/>
          <w:highlight w:val="none"/>
          <w:lang w:eastAsia="zh-CN"/>
          <w14:textFill>
            <w14:solidFill>
              <w14:schemeClr w14:val="tx1"/>
            </w14:solidFill>
          </w14:textFill>
        </w:rPr>
        <w:t>中华人民共和国国家发展和改革委员会令第7号</w:t>
      </w:r>
      <w:r>
        <w:rPr>
          <w:rFonts w:ascii="Times New Roman" w:hAnsi="Times New Roman"/>
          <w:color w:val="000000" w:themeColor="text1"/>
          <w:sz w:val="24"/>
          <w:highlight w:val="none"/>
          <w:lang w:eastAsia="zh-CN"/>
          <w14:textFill>
            <w14:solidFill>
              <w14:schemeClr w14:val="tx1"/>
            </w14:solidFill>
          </w14:textFill>
        </w:rPr>
        <w:t>），该项目属于其中第一</w:t>
      </w:r>
      <w:r>
        <w:rPr>
          <w:rFonts w:ascii="宋体" w:hAnsi="宋体"/>
          <w:color w:val="000000" w:themeColor="text1"/>
          <w:sz w:val="24"/>
          <w:highlight w:val="none"/>
          <w:lang w:eastAsia="zh-CN"/>
          <w14:textFill>
            <w14:solidFill>
              <w14:schemeClr w14:val="tx1"/>
            </w14:solidFill>
          </w14:textFill>
        </w:rPr>
        <w:t>类“鼓励类”第七条“石油天然气”第一款“石油天然气开采”</w:t>
      </w:r>
      <w:r>
        <w:rPr>
          <w:rFonts w:hint="eastAsia" w:ascii="Times New Roman" w:hAnsi="Times New Roman"/>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lang w:eastAsia="zh-CN"/>
          <w14:textFill>
            <w14:solidFill>
              <w14:schemeClr w14:val="tx1"/>
            </w14:solidFill>
          </w14:textFill>
        </w:rPr>
        <w:t>因此本项目符合国家产业政策</w:t>
      </w:r>
      <w:r>
        <w:rPr>
          <w:rFonts w:ascii="Times New Roman" w:hAnsi="Times New Roman"/>
          <w:bCs/>
          <w:color w:val="000000" w:themeColor="text1"/>
          <w:kern w:val="2"/>
          <w:sz w:val="24"/>
          <w:szCs w:val="24"/>
          <w:highlight w:val="none"/>
          <w:lang w:eastAsia="zh-CN"/>
          <w14:textFill>
            <w14:solidFill>
              <w14:schemeClr w14:val="tx1"/>
            </w14:solidFill>
          </w14:textFill>
        </w:rPr>
        <w:t>。</w:t>
      </w:r>
    </w:p>
    <w:p>
      <w:pPr>
        <w:pStyle w:val="4"/>
        <w:pageBreakBefore w:val="0"/>
        <w:widowControl w:val="0"/>
        <w:kinsoku/>
        <w:wordWrap/>
        <w:overflowPunct/>
        <w:topLinePunct w:val="0"/>
        <w:bidi w:val="0"/>
        <w:adjustRightInd w:val="0"/>
        <w:snapToGrid w:val="0"/>
        <w:spacing w:before="0" w:beforeLines="0"/>
        <w:ind w:left="480" w:leftChars="0" w:firstLineChars="0"/>
        <w:textAlignment w:val="auto"/>
        <w:rPr>
          <w:rFonts w:hint="default" w:ascii="Times New Roman" w:hAnsi="Times New Roman" w:cs="Times New Roman"/>
          <w:b/>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用地及空间</w:t>
      </w:r>
      <w:r>
        <w:rPr>
          <w:rFonts w:hint="default" w:ascii="Times New Roman" w:hAnsi="Times New Roman" w:cs="Times New Roman"/>
          <w:color w:val="000000" w:themeColor="text1"/>
          <w:highlight w:val="none"/>
          <w:lang w:eastAsia="zh-CN"/>
          <w14:textFill>
            <w14:solidFill>
              <w14:schemeClr w14:val="tx1"/>
            </w14:solidFill>
          </w14:textFill>
        </w:rPr>
        <w:t>符合性分析</w:t>
      </w:r>
    </w:p>
    <w:p>
      <w:pPr>
        <w:pStyle w:val="5"/>
        <w:spacing w:before="0" w:beforeLines="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本项目与周边基本农田位置关系</w:t>
      </w:r>
    </w:p>
    <w:p>
      <w:pPr>
        <w:pStyle w:val="21"/>
        <w:spacing w:before="0"/>
        <w:ind w:left="0" w:firstLine="480"/>
        <w:jc w:val="both"/>
        <w:rPr>
          <w:rFonts w:hint="default"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本项目为新建，</w:t>
      </w:r>
      <w:r>
        <w:rPr>
          <w:rFonts w:hint="eastAsia"/>
          <w:color w:val="000000" w:themeColor="text1"/>
          <w14:textFill>
            <w14:solidFill>
              <w14:schemeClr w14:val="tx1"/>
            </w14:solidFill>
          </w14:textFill>
        </w:rPr>
        <w:t>通过</w:t>
      </w:r>
      <w:r>
        <w:rPr>
          <w:rFonts w:hint="default" w:ascii="Times New Roman" w:hAnsi="Times New Roman" w:cs="Times New Roman"/>
          <w:color w:val="000000" w:themeColor="text1"/>
          <w14:textFill>
            <w14:solidFill>
              <w14:schemeClr w14:val="tx1"/>
            </w14:solidFill>
          </w14:textFill>
        </w:rPr>
        <w:t>与宣汉县自然资源局和通川区自然资源局基本农田分布图叠图分析本项目临时占用基本农田</w:t>
      </w:r>
      <w:r>
        <w:rPr>
          <w:rFonts w:hint="eastAsia" w:ascii="Times New Roman" w:hAnsi="Times New Roman" w:cs="Times New Roman"/>
          <w:color w:val="000000" w:themeColor="text1"/>
          <w:lang w:val="en-US" w:eastAsia="zh-CN"/>
          <w14:textFill>
            <w14:solidFill>
              <w14:schemeClr w14:val="tx1"/>
            </w14:solidFill>
          </w14:textFill>
        </w:rPr>
        <w:t>12808</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vertAlign w:val="baseline"/>
          <w:lang w:eastAsia="zh-CN"/>
          <w14:textFill>
            <w14:solidFill>
              <w14:schemeClr w14:val="tx1"/>
            </w14:solidFill>
          </w14:textFill>
        </w:rPr>
        <w:t>（</w:t>
      </w:r>
      <w:r>
        <w:rPr>
          <w:rFonts w:hint="default" w:ascii="Times New Roman" w:hAnsi="Times New Roman" w:cs="Times New Roman"/>
          <w:color w:val="000000" w:themeColor="text1"/>
          <w:vertAlign w:val="baseline"/>
          <w:lang w:val="en-US" w:eastAsia="zh-CN"/>
          <w14:textFill>
            <w14:solidFill>
              <w14:schemeClr w14:val="tx1"/>
            </w14:solidFill>
          </w14:textFill>
        </w:rPr>
        <w:t>其中井场占地面积</w:t>
      </w:r>
      <w:r>
        <w:rPr>
          <w:rFonts w:hint="eastAsia" w:ascii="Times New Roman" w:hAnsi="Times New Roman" w:cs="Times New Roman"/>
          <w:color w:val="000000" w:themeColor="text1"/>
          <w:vertAlign w:val="baseline"/>
          <w:lang w:val="en-US" w:eastAsia="zh-CN"/>
          <w14:textFill>
            <w14:solidFill>
              <w14:schemeClr w14:val="tx1"/>
            </w14:solidFill>
          </w14:textFill>
        </w:rPr>
        <w:t>6201m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，表土堆放区占地面积</w:t>
      </w:r>
      <w:r>
        <w:rPr>
          <w:rFonts w:hint="eastAsia" w:ascii="Times New Roman" w:hAnsi="Times New Roman" w:cs="Times New Roman"/>
          <w:color w:val="000000" w:themeColor="text1"/>
          <w:vertAlign w:val="baseline"/>
          <w:lang w:val="en-US" w:eastAsia="zh-CN"/>
          <w14:textFill>
            <w14:solidFill>
              <w14:schemeClr w14:val="tx1"/>
            </w14:solidFill>
          </w14:textFill>
        </w:rPr>
        <w:t>1579m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，井场边坡占地</w:t>
      </w:r>
      <w:r>
        <w:rPr>
          <w:rFonts w:hint="eastAsia" w:ascii="Times New Roman" w:hAnsi="Times New Roman" w:cs="Times New Roman"/>
          <w:color w:val="000000" w:themeColor="text1"/>
          <w:vertAlign w:val="baseline"/>
          <w:lang w:val="en-US" w:eastAsia="zh-CN"/>
          <w14:textFill>
            <w14:solidFill>
              <w14:schemeClr w14:val="tx1"/>
            </w14:solidFill>
          </w14:textFill>
        </w:rPr>
        <w:t>面积2327m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，集输管线占地面积1120m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，进场道路占地181m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，其与周边基本农田位置关系见附图9</w:t>
      </w:r>
      <w:r>
        <w:rPr>
          <w:rFonts w:hint="default" w:ascii="Times New Roman" w:hAnsi="Times New Roman" w:cs="Times New Roman"/>
          <w:color w:val="000000" w:themeColor="text1"/>
          <w:highlight w:val="none"/>
          <w:lang w:eastAsia="zh-CN"/>
          <w14:textFill>
            <w14:solidFill>
              <w14:schemeClr w14:val="tx1"/>
            </w14:solidFill>
          </w14:textFill>
        </w:rPr>
        <w:t>。</w:t>
      </w:r>
    </w:p>
    <w:p>
      <w:pPr>
        <w:rPr>
          <w:rFonts w:hint="eastAsia"/>
          <w:lang w:eastAsia="zh-CN"/>
        </w:rPr>
      </w:pPr>
      <w:r>
        <w:rPr>
          <w:rFonts w:hint="eastAsia"/>
          <w:lang w:eastAsia="zh-CN"/>
        </w:rPr>
        <w:t>***</w:t>
      </w:r>
    </w:p>
    <w:p>
      <w:pPr>
        <w:pStyle w:val="5"/>
        <w:spacing w:before="0" w:beforeLines="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本项目与《基本农田保护条例》符合性分析</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基本农田保护条例》（国务院第257号）中第十五条提到，基本农田保护区经依法划定后，任何单位和个人不得改变或者占用。国家能源、交通、水利、军事设施等重点建设项目选址确实无法避开基本农田，需要占用基本农田，涉及农用地转用或者征收土地的，必须经国务院批准。占用基本农田的单位应当按照县级以上地方人民政府的要求，将所占用基本农田耕作层的土壤用于新开垦耕地、劣质地或者其他耕地的土壤改良。</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根据自然资源部印发《关于做好占用永久基本农田重大建设项目用地预审的通知》（自然资规〔2018〕3号）相关规定明确以下六类项目经批准可以占用永久基本农田中：</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其他能源项目，包括国家级规划明确的且符合国家产业政策的能源开采、油气管线、水电、核电项目</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；以及自然资源部印发《两部关于加强和改进永久基本农田保护工作的通知》（自然资规〔2019〕1号）中相关规定，</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矿业权申请人依法申请战略性矿产探矿权，开展地质勘查需临时用地的，应依法办理临时用地审批手续。石油、天然气、页岩气、煤层气等油气战略性矿产的地质勘查，经批准可临时占用永久基本农田布设探井。在试采和取得采矿权后转为开采井的，可直接依法办理农用地转用和土地征收审批手续，按规定补划永久基本农田。</w:t>
      </w:r>
      <w:r>
        <w:rPr>
          <w:rFonts w:ascii="宋体" w:hAnsi="宋体"/>
          <w:color w:val="000000" w:themeColor="text1"/>
          <w:highlight w:val="none"/>
          <w14:textFill>
            <w14:solidFill>
              <w14:schemeClr w14:val="tx1"/>
            </w14:solidFill>
          </w14:textFill>
        </w:rPr>
        <w:t>”</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根据四川省自然资源厅《关于解决油气勘探开发用地问题的复函》（川自然资函〔2019〕197号）文件要求，油气勘探开发项目可在无法避让基本农田的情况下，办理临时用地。</w:t>
      </w:r>
    </w:p>
    <w:p>
      <w:pPr>
        <w:pStyle w:val="123"/>
        <w:ind w:firstLine="482"/>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本项目为天然气</w:t>
      </w:r>
      <w:r>
        <w:rPr>
          <w:rFonts w:hint="eastAsia"/>
          <w:b/>
          <w:bCs/>
          <w:color w:val="000000" w:themeColor="text1"/>
          <w:highlight w:val="none"/>
          <w14:textFill>
            <w14:solidFill>
              <w14:schemeClr w14:val="tx1"/>
            </w14:solidFill>
          </w14:textFill>
        </w:rPr>
        <w:t>实验性</w:t>
      </w:r>
      <w:r>
        <w:rPr>
          <w:b/>
          <w:bCs/>
          <w:color w:val="000000" w:themeColor="text1"/>
          <w:highlight w:val="none"/>
          <w14:textFill>
            <w14:solidFill>
              <w14:schemeClr w14:val="tx1"/>
            </w14:solidFill>
          </w14:textFill>
        </w:rPr>
        <w:t>探井</w:t>
      </w:r>
      <w:r>
        <w:rPr>
          <w:rFonts w:hint="eastAsia"/>
          <w:b/>
          <w:bCs/>
          <w:color w:val="000000" w:themeColor="text1"/>
          <w:highlight w:val="none"/>
          <w14:textFill>
            <w14:solidFill>
              <w14:schemeClr w14:val="tx1"/>
            </w14:solidFill>
          </w14:textFill>
        </w:rPr>
        <w:t>及试采</w:t>
      </w:r>
      <w:r>
        <w:rPr>
          <w:b/>
          <w:bCs/>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符合国家产业政策，项目占地均为临时占地，项目不涉及占用生态保护红线，</w:t>
      </w:r>
      <w:r>
        <w:rPr>
          <w:rFonts w:hint="eastAsia"/>
          <w:color w:val="000000" w:themeColor="text1"/>
          <w:highlight w:val="none"/>
          <w14:textFill>
            <w14:solidFill>
              <w14:schemeClr w14:val="tx1"/>
            </w14:solidFill>
          </w14:textFill>
        </w:rPr>
        <w:t>仅</w:t>
      </w:r>
      <w:r>
        <w:rPr>
          <w:color w:val="000000" w:themeColor="text1"/>
          <w:highlight w:val="none"/>
          <w14:textFill>
            <w14:solidFill>
              <w14:schemeClr w14:val="tx1"/>
            </w14:solidFill>
          </w14:textFill>
        </w:rPr>
        <w:t>涉及基本农田。建设单位对临时占地除了在施工中采取措施减少基本农田破坏外，在施工结束后，对开挖破坏段耕地质量的恢复，除补偿因临时占地对农田产量的直接损失外，还将考虑施工结束后因土壤结构破坏、养分流失而造成的影响，对农作物产量的间接损失以及土壤恢复进行补偿，以用于耕作层土恢复。本项目属于（自然资规〔2018〕3号）中明确的</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符合国家产业政策的能源开采</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《自然资源部农业农村部关于加强和改进永久基本农田保护工作的通知》（自然资规〔2019〕1号）</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范畴。因此，建设单位应按照文件要求，尽快办理基本农田征、占用手续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办理完基本农田和林地等相关用地手续后，方可开工建设</w:t>
      </w:r>
      <w:r>
        <w:rPr>
          <w:color w:val="000000" w:themeColor="text1"/>
          <w:highlight w:val="none"/>
          <w14:textFill>
            <w14:solidFill>
              <w14:schemeClr w14:val="tx1"/>
            </w14:solidFill>
          </w14:textFill>
        </w:rPr>
        <w:t>。</w:t>
      </w:r>
    </w:p>
    <w:p>
      <w:pPr>
        <w:pStyle w:val="5"/>
        <w:spacing w:before="0" w:beforeLines="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与《自然资源部关于规范临时用地管理的通知》（自然资规〔2021〕2号）</w:t>
      </w:r>
      <w:r>
        <w:rPr>
          <w:color w:val="000000" w:themeColor="text1"/>
          <w:highlight w:val="none"/>
          <w14:textFill>
            <w14:solidFill>
              <w14:schemeClr w14:val="tx1"/>
            </w14:solidFill>
          </w14:textFill>
        </w:rPr>
        <w:t>的符合性分析</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本项目与《自然资源部关于规范临时用地管理的通知》（自然资规〔2021〕2号）、《四川省自然资源厅关于进一步明确临时用地管理有关事项的通知》（川自然资规〔2022〕3号）的符合性见下表：</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与《自然资源部关于规范临时用地管理的通知》和《四川省自然资源厅关于进一步明确临时用地管理有关事项的通知》的符合性分析</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4"/>
        <w:gridCol w:w="4163"/>
        <w:gridCol w:w="2607"/>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53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自然资源部关于规范临时用地管理的通知要求</w:t>
            </w:r>
          </w:p>
        </w:tc>
        <w:tc>
          <w:tcPr>
            <w:tcW w:w="158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w:t>
            </w:r>
          </w:p>
        </w:tc>
        <w:tc>
          <w:tcPr>
            <w:tcW w:w="52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本项目为天然气资源勘查</w:t>
            </w:r>
            <w:r>
              <w:rPr>
                <w:rFonts w:hint="eastAsia"/>
                <w:color w:val="000000" w:themeColor="text1"/>
                <w:szCs w:val="20"/>
                <w:highlight w:val="none"/>
                <w:lang w:val="en-US" w:eastAsia="zh-CN"/>
                <w14:textFill>
                  <w14:solidFill>
                    <w14:schemeClr w14:val="tx1"/>
                  </w14:solidFill>
                </w14:textFill>
              </w:rPr>
              <w:t>及试采</w:t>
            </w:r>
            <w:r>
              <w:rPr>
                <w:rFonts w:hint="default"/>
                <w:color w:val="000000" w:themeColor="text1"/>
                <w:szCs w:val="20"/>
                <w:highlight w:val="none"/>
                <w14:textFill>
                  <w14:solidFill>
                    <w14:schemeClr w14:val="tx1"/>
                  </w14:solidFill>
                </w14:textFill>
              </w:rPr>
              <w:t>项目，项目建设时钻井井场、配套管线、电力设施、进场道路等钻井及配套设施均需临时占用部分土地；后期试采工程将在原井场建设，不格外新增占地。</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项目施工、地质勘查使用临时用地时应坚持“用多少、批多少、占多少、恢复多少”，尽量不占或者少占耕地。临时用地使用期限一般不超过两年。建设周期较长的能源、交通、水利等基础设施建设项目施工使用的临时用地，期限不超过四年。</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施工期临时用地，使用期限不超过2年，施工结束后立即进行复垦，新增占地面积小</w:t>
            </w:r>
            <w:r>
              <w:rPr>
                <w:rFonts w:hint="eastAsia"/>
                <w:color w:val="000000" w:themeColor="text1"/>
                <w:szCs w:val="20"/>
                <w:highlight w:val="none"/>
                <w:lang w:eastAsia="zh-CN"/>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w:t>
            </w:r>
            <w:r>
              <w:rPr>
                <w:rFonts w:hint="eastAsia"/>
                <w:color w:val="000000" w:themeColor="text1"/>
                <w:szCs w:val="20"/>
                <w:highlight w:val="none"/>
                <w14:textFill>
                  <w14:solidFill>
                    <w14:schemeClr w14:val="tx1"/>
                  </w14:solidFill>
                </w14:textFill>
              </w:rPr>
              <w:t>涉及基本农田，</w:t>
            </w:r>
            <w:r>
              <w:rPr>
                <w:rFonts w:hint="default"/>
                <w:color w:val="000000" w:themeColor="text1"/>
                <w:szCs w:val="20"/>
                <w:highlight w:val="none"/>
                <w14:textFill>
                  <w14:solidFill>
                    <w14:schemeClr w14:val="tx1"/>
                  </w14:solidFill>
                </w14:textFill>
              </w:rPr>
              <w:t>临时用地将按照要求办理用地手续</w:t>
            </w:r>
            <w:r>
              <w:rPr>
                <w:rFonts w:hint="eastAsia"/>
                <w:color w:val="000000" w:themeColor="text1"/>
                <w:szCs w:val="20"/>
                <w:highlight w:val="none"/>
                <w14:textFill>
                  <w14:solidFill>
                    <w14:schemeClr w14:val="tx1"/>
                  </w14:solidFill>
                </w14:textFill>
              </w:rPr>
              <w:t>。且</w:t>
            </w:r>
            <w:r>
              <w:rPr>
                <w:rFonts w:hint="eastAsia"/>
                <w:color w:val="000000" w:themeColor="text1"/>
                <w:szCs w:val="20"/>
                <w:highlight w:val="none"/>
                <w:lang w:val="en-US" w:eastAsia="zh-CN"/>
                <w14:textFill>
                  <w14:solidFill>
                    <w14:schemeClr w14:val="tx1"/>
                  </w14:solidFill>
                </w14:textFill>
              </w:rPr>
              <w:t>本次评价要求</w:t>
            </w:r>
            <w:r>
              <w:rPr>
                <w:rFonts w:hint="eastAsia"/>
                <w:color w:val="000000" w:themeColor="text1"/>
                <w:szCs w:val="20"/>
                <w:highlight w:val="none"/>
                <w14:textFill>
                  <w14:solidFill>
                    <w14:schemeClr w14:val="tx1"/>
                  </w14:solidFill>
                </w14:textFill>
              </w:rPr>
              <w:t>临时用地</w:t>
            </w:r>
            <w:r>
              <w:rPr>
                <w:rFonts w:hint="default"/>
                <w:color w:val="000000" w:themeColor="text1"/>
                <w:szCs w:val="20"/>
                <w:highlight w:val="none"/>
                <w14:textFill>
                  <w14:solidFill>
                    <w14:schemeClr w14:val="tx1"/>
                  </w14:solidFill>
                </w14:textFill>
              </w:rPr>
              <w:t>施工结束后</w:t>
            </w:r>
            <w:r>
              <w:rPr>
                <w:rFonts w:hint="eastAsia"/>
                <w:color w:val="000000" w:themeColor="text1"/>
                <w:szCs w:val="20"/>
                <w:highlight w:val="none"/>
                <w14:textFill>
                  <w14:solidFill>
                    <w14:schemeClr w14:val="tx1"/>
                  </w14:solidFill>
                </w14:textFill>
              </w:rPr>
              <w:t>将</w:t>
            </w:r>
            <w:r>
              <w:rPr>
                <w:rFonts w:hint="default"/>
                <w:color w:val="000000" w:themeColor="text1"/>
                <w:szCs w:val="20"/>
                <w:highlight w:val="none"/>
                <w14:textFill>
                  <w14:solidFill>
                    <w14:schemeClr w14:val="tx1"/>
                  </w14:solidFill>
                </w14:textFill>
              </w:rPr>
              <w:t>立即</w:t>
            </w:r>
            <w:r>
              <w:rPr>
                <w:rFonts w:hint="eastAsia"/>
                <w:color w:val="000000" w:themeColor="text1"/>
                <w:szCs w:val="20"/>
                <w:highlight w:val="none"/>
                <w:lang w:val="en-US" w:eastAsia="zh-CN"/>
                <w14:textFill>
                  <w14:solidFill>
                    <w14:schemeClr w14:val="tx1"/>
                  </w14:solidFill>
                </w14:textFill>
              </w:rPr>
              <w:t>对其</w:t>
            </w:r>
            <w:r>
              <w:rPr>
                <w:rFonts w:hint="default"/>
                <w:color w:val="000000" w:themeColor="text1"/>
                <w:szCs w:val="20"/>
                <w:highlight w:val="none"/>
                <w14:textFill>
                  <w14:solidFill>
                    <w14:schemeClr w14:val="tx1"/>
                  </w14:solidFill>
                </w14:textFill>
              </w:rPr>
              <w:t>进行复垦</w:t>
            </w:r>
            <w:r>
              <w:rPr>
                <w:rFonts w:hint="eastAsia"/>
                <w:color w:val="000000" w:themeColor="text1"/>
                <w:szCs w:val="20"/>
                <w:highlight w:val="none"/>
                <w:lang w:eastAsia="zh-CN"/>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建设单位不会转让、出租、抵押临时用地。若临时用地期满且后续不</w:t>
            </w:r>
            <w:r>
              <w:rPr>
                <w:rFonts w:hint="eastAsia"/>
                <w:color w:val="000000" w:themeColor="text1"/>
                <w:szCs w:val="20"/>
                <w:highlight w:val="none"/>
                <w:lang w:eastAsia="zh-CN"/>
                <w14:textFill>
                  <w14:solidFill>
                    <w14:schemeClr w14:val="tx1"/>
                  </w14:solidFill>
                </w14:textFill>
              </w:rPr>
              <w:t>再</w:t>
            </w:r>
            <w:r>
              <w:rPr>
                <w:rFonts w:hint="default"/>
                <w:color w:val="000000" w:themeColor="text1"/>
                <w:szCs w:val="20"/>
                <w:highlight w:val="none"/>
                <w14:textFill>
                  <w14:solidFill>
                    <w14:schemeClr w14:val="tx1"/>
                  </w14:solidFill>
                </w14:textFill>
              </w:rPr>
              <w:t>利用，建设单位将在用地期满之日起一年内完成土地复垦</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并按照当地主管部门恢复用地性质</w:t>
            </w:r>
            <w:r>
              <w:rPr>
                <w:rFonts w:hint="eastAsia"/>
                <w:color w:val="000000" w:themeColor="text1"/>
                <w:szCs w:val="20"/>
                <w:highlight w:val="none"/>
                <w:lang w:eastAsia="zh-CN"/>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pStyle w:val="21"/>
        <w:spacing w:before="120" w:beforeLines="5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综上所述，本项目新增的临时占地与《自然资源部关于规范临时用地管理的通知》（自然资规〔2021〕2号）、《四川省自然资源厅关于进一步明确临时用地管理有关事项的通知》（川自然资规〔2022〕3号）中相关要求相符。</w:t>
      </w:r>
    </w:p>
    <w:p>
      <w:pPr>
        <w:pStyle w:val="5"/>
        <w:spacing w:before="0" w:beforeLines="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与《四川省自然资源厅关于进一步明确临时用地管理有关事项的通知》（川自然资规〔2022〕3号）</w:t>
      </w:r>
      <w:r>
        <w:rPr>
          <w:color w:val="000000" w:themeColor="text1"/>
          <w:highlight w:val="none"/>
          <w14:textFill>
            <w14:solidFill>
              <w14:schemeClr w14:val="tx1"/>
            </w14:solidFill>
          </w14:textFill>
        </w:rPr>
        <w:t>的符合性分析</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本项目与《自然资源部关于规范临时用地管理的通知》（自然资规〔2021〕2号）、《四川省自然资源厅关于进一步明确临时用地管理有关事项的通知》（川自然资规〔2022〕3号）的符合性见下表：</w:t>
      </w:r>
    </w:p>
    <w:p>
      <w:pPr>
        <w:pStyle w:val="201"/>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20 与《自然资源部关于规范临时用地管理的通知》和《四川省自然资源厅关于进一步明确临时用地管理有关事项的通知》的符合性分析</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4"/>
        <w:gridCol w:w="4163"/>
        <w:gridCol w:w="2607"/>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53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自然资源部关于规范临时用地管理的通知要求</w:t>
            </w:r>
          </w:p>
        </w:tc>
        <w:tc>
          <w:tcPr>
            <w:tcW w:w="158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w:t>
            </w:r>
          </w:p>
        </w:tc>
        <w:tc>
          <w:tcPr>
            <w:tcW w:w="52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进一步规范临时用地审批。临时用地审批权不得下放或委托相关部门行使。涉及占用耕地和永久基本农田的临时用地，由市级自然资源主管部门负责审批</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14:textFill>
                  <w14:solidFill>
                    <w14:schemeClr w14:val="tx1"/>
                  </w14:solidFill>
                </w14:textFill>
              </w:rPr>
              <w:t>不涉及的由县级自然资源主管部门负责审批。需要临时使用林地的，应当按照《中华人民共和国森林法》有关规定进行临时用地审批。临时用地位于地质灾害易发区进行工程建设的，申请人应按照《地质灾害防治条例》有关规定提供地质灾害危险性评估报告，并落实防治措施</w:t>
            </w:r>
            <w:r>
              <w:rPr>
                <w:rFonts w:hint="default"/>
                <w:color w:val="000000" w:themeColor="text1"/>
                <w:szCs w:val="20"/>
                <w:highlight w:val="none"/>
                <w14:textFill>
                  <w14:solidFill>
                    <w14:schemeClr w14:val="tx1"/>
                  </w14:solidFill>
                </w14:textFill>
              </w:rPr>
              <w:t>。</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w:t>
            </w:r>
            <w:r>
              <w:rPr>
                <w:rFonts w:hint="eastAsia"/>
                <w:color w:val="000000" w:themeColor="text1"/>
                <w:szCs w:val="20"/>
                <w:highlight w:val="none"/>
                <w14:textFill>
                  <w14:solidFill>
                    <w14:schemeClr w14:val="tx1"/>
                  </w14:solidFill>
                </w14:textFill>
              </w:rPr>
              <w:t>严格按照要求向主管部门申请林地、耕地和永久基本农田的临时用地</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严格按照《地质灾害防治条例》有关规定提供地质灾害危险性评估报告，并落实防治措施</w:t>
            </w:r>
            <w:r>
              <w:rPr>
                <w:rFonts w:hint="default"/>
                <w:color w:val="000000" w:themeColor="text1"/>
                <w:szCs w:val="20"/>
                <w:highlight w:val="none"/>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进一步落实临时用地恢复责任。县级自然资源主管部门负责审查临时用地土地复垦方案，并在土地复垦义务人完成复垦工作后，会同农业农村等相关部门开展复垦验收。审批临时用地的市、县级自然资源主管部门，应通知申请人根据《土地复垦条例实施办法》有关规定办理土地复垦费用预存手续</w:t>
            </w:r>
            <w:r>
              <w:rPr>
                <w:rFonts w:hint="default"/>
                <w:color w:val="000000" w:themeColor="text1"/>
                <w:szCs w:val="20"/>
                <w:highlight w:val="none"/>
                <w14:textFill>
                  <w14:solidFill>
                    <w14:schemeClr w14:val="tx1"/>
                  </w14:solidFill>
                </w14:textFill>
              </w:rPr>
              <w:t>。</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本项目严格缴纳复垦保证金，根据《土地复垦条例实施办法》有关规定办理土地复垦费用预存手续。</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r>
              <w:rPr>
                <w:rFonts w:hint="default"/>
                <w:color w:val="000000" w:themeColor="text1"/>
                <w:szCs w:val="20"/>
                <w:highlight w:val="none"/>
                <w14:textFill>
                  <w14:solidFill>
                    <w14:schemeClr w14:val="tx1"/>
                  </w14:solidFill>
                </w14:textFill>
              </w:rPr>
              <w:t>。</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本项目新增用地涉及部分基本农田，本项目天然气资源的实验性探井钻井及试采工程，其相关设施将临时占用基本农田，临时用地将按照要求办理用地手续。</w:t>
            </w:r>
            <w:r>
              <w:rPr>
                <w:rFonts w:hint="eastAsia"/>
                <w:color w:val="000000" w:themeColor="text1"/>
                <w:szCs w:val="20"/>
                <w:highlight w:val="none"/>
                <w14:textFill>
                  <w14:solidFill>
                    <w14:schemeClr w14:val="tx1"/>
                  </w14:solidFill>
                </w14:textFill>
              </w:rPr>
              <w:t>编制临时用地踏勘报告，</w:t>
            </w:r>
            <w:r>
              <w:rPr>
                <w:rFonts w:hint="default"/>
                <w:color w:val="000000" w:themeColor="text1"/>
                <w:szCs w:val="20"/>
                <w:highlight w:val="none"/>
                <w14:textFill>
                  <w14:solidFill>
                    <w14:schemeClr w14:val="tx1"/>
                  </w14:solidFill>
                </w14:textFill>
              </w:rPr>
              <w:t>且临时用地施工结束后将立即进行复垦</w:t>
            </w:r>
            <w:r>
              <w:rPr>
                <w:rFonts w:hint="eastAsia"/>
                <w:color w:val="000000" w:themeColor="text1"/>
                <w:szCs w:val="20"/>
                <w:highlight w:val="none"/>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进一步严格临时用地监管。市、县级自然资源主管部门应按照相关规定对临时用地选址、审批、备案、使用、复垦进行严格审核把关、依法监督检查，严禁违规认定临时用地，严禁在法律法规规定的禁止区域审批临时用地，严禁擅自扩大临时用地审批范围和延长使用期限，严禁以临时用地名义规避建设用地审批手续特别是建设占用耕地和永久基本农田，要坚持节约集约用地，切实保障临时用地依法管理、有序使用、及时恢复</w:t>
            </w:r>
            <w:r>
              <w:rPr>
                <w:rFonts w:hint="default"/>
                <w:color w:val="000000" w:themeColor="text1"/>
                <w:szCs w:val="20"/>
                <w:highlight w:val="none"/>
                <w14:textFill>
                  <w14:solidFill>
                    <w14:schemeClr w14:val="tx1"/>
                  </w14:solidFill>
                </w14:textFill>
              </w:rPr>
              <w:t>。</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建设单位</w:t>
            </w:r>
            <w:r>
              <w:rPr>
                <w:rFonts w:hint="eastAsia"/>
                <w:color w:val="000000" w:themeColor="text1"/>
                <w:szCs w:val="20"/>
                <w:highlight w:val="none"/>
                <w14:textFill>
                  <w14:solidFill>
                    <w14:schemeClr w14:val="tx1"/>
                  </w14:solidFill>
                </w14:textFill>
              </w:rPr>
              <w:t>坚持节约集约用地，切实保障临时用地依法管理、有序使用、及时恢复。</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5</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进一步加强临时用地监督检查。自然资源厅建立定期抽查和定期通报制度，组织厅机关相关处（室、局）和直属单位对全省临时用地审批、备案、使用、复垦情况进行监督检查，加强临时用地信息化管理，对不符合用地要求和未按要求完成复垦任务的，予以公开通报，责令限期改正，并依据法律法规的规定对违法违规问题严肃处理。</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建设单位严格按照主管部门要求办理临时用地手续，并严禁超范围</w:t>
            </w:r>
            <w:r>
              <w:rPr>
                <w:rFonts w:hint="eastAsia"/>
                <w:color w:val="000000" w:themeColor="text1"/>
                <w:szCs w:val="20"/>
                <w:highlight w:val="none"/>
                <w:lang w:eastAsia="zh-CN"/>
                <w14:textFill>
                  <w14:solidFill>
                    <w14:schemeClr w14:val="tx1"/>
                  </w14:solidFill>
                </w14:textFill>
              </w:rPr>
              <w:t>占用</w:t>
            </w:r>
            <w:r>
              <w:rPr>
                <w:rFonts w:hint="eastAsia"/>
                <w:color w:val="000000" w:themeColor="text1"/>
                <w:szCs w:val="20"/>
                <w:highlight w:val="none"/>
                <w14:textFill>
                  <w14:solidFill>
                    <w14:schemeClr w14:val="tx1"/>
                  </w14:solidFill>
                </w14:textFill>
              </w:rPr>
              <w:t>，及时对临时用地进行复垦</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符合</w:t>
            </w:r>
          </w:p>
        </w:tc>
      </w:tr>
    </w:tbl>
    <w:p>
      <w:pPr>
        <w:pStyle w:val="21"/>
        <w:spacing w:before="120" w:beforeLines="50"/>
        <w:ind w:left="0" w:firstLine="480"/>
        <w:jc w:val="both"/>
        <w:rPr>
          <w:rFonts w:hint="eastAsia"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综上所述，本项目新增的临时占地与《自然资源部关于规范临时用地管理的通知》（自然资规〔2021〕2号）、《四川省自然资源厅关于进一步明确临时用地管理有关事项的通知》（川自然资规〔2022〕3号）中相关要求相符</w:t>
      </w:r>
      <w:r>
        <w:rPr>
          <w:rFonts w:hint="eastAsia" w:ascii="Times New Roman" w:hAnsi="Times New Roman"/>
          <w:color w:val="000000" w:themeColor="text1"/>
          <w:highlight w:val="none"/>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lang w:eastAsia="zh-CN"/>
          <w14:textFill>
            <w14:solidFill>
              <w14:schemeClr w14:val="tx1"/>
            </w14:solidFill>
          </w14:textFill>
        </w:rPr>
      </w:pPr>
      <w:bookmarkStart w:id="80" w:name="_Toc120173081"/>
      <w:r>
        <w:rPr>
          <w:color w:val="000000" w:themeColor="text1"/>
          <w:highlight w:val="none"/>
          <w:lang w:eastAsia="zh-CN"/>
          <w14:textFill>
            <w14:solidFill>
              <w14:schemeClr w14:val="tx1"/>
            </w14:solidFill>
          </w14:textFill>
        </w:rPr>
        <w:t>与</w:t>
      </w:r>
      <w:r>
        <w:rPr>
          <w:rFonts w:hint="eastAsia"/>
          <w:color w:val="000000" w:themeColor="text1"/>
          <w:highlight w:val="none"/>
          <w:lang w:eastAsia="zh-CN"/>
          <w14:textFill>
            <w14:solidFill>
              <w14:schemeClr w14:val="tx1"/>
            </w14:solidFill>
          </w14:textFill>
        </w:rPr>
        <w:t>城乡</w:t>
      </w:r>
      <w:r>
        <w:rPr>
          <w:color w:val="000000" w:themeColor="text1"/>
          <w:highlight w:val="none"/>
          <w:lang w:eastAsia="zh-CN"/>
          <w14:textFill>
            <w14:solidFill>
              <w14:schemeClr w14:val="tx1"/>
            </w14:solidFill>
          </w14:textFill>
        </w:rPr>
        <w:t>规划符合性分析</w:t>
      </w:r>
      <w:bookmarkEnd w:id="80"/>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根据现场调查</w:t>
      </w:r>
      <w:r>
        <w:rPr>
          <w:rFonts w:hint="eastAsia" w:ascii="Times New Roman" w:hAnsi="Times New Roman"/>
          <w:color w:val="000000" w:themeColor="text1"/>
          <w:highlight w:val="none"/>
          <w:lang w:val="en-US" w:eastAsia="zh-CN"/>
          <w14:textFill>
            <w14:solidFill>
              <w14:schemeClr w14:val="tx1"/>
            </w14:solidFill>
          </w14:textFill>
        </w:rPr>
        <w:t>和</w:t>
      </w:r>
      <w:r>
        <w:rPr>
          <w:rFonts w:hint="eastAsia"/>
          <w:color w:val="000000" w:themeColor="text1"/>
          <w:highlight w:val="none"/>
          <w:lang w:val="en-US" w:eastAsia="zh-CN"/>
          <w14:textFill>
            <w14:solidFill>
              <w14:schemeClr w14:val="tx1"/>
            </w14:solidFill>
          </w14:textFill>
        </w:rPr>
        <w:t>与宣汉县城镇开发边界叠图</w:t>
      </w:r>
      <w:r>
        <w:rPr>
          <w:color w:val="000000" w:themeColor="text1"/>
          <w:highlight w:val="none"/>
          <w:lang w:eastAsia="zh-CN"/>
          <w14:textFill>
            <w14:solidFill>
              <w14:schemeClr w14:val="tx1"/>
            </w14:solidFill>
          </w14:textFill>
        </w:rPr>
        <w:t>，</w:t>
      </w:r>
      <w:r>
        <w:rPr>
          <w:rFonts w:ascii="Times New Roman" w:hAnsi="Times New Roman"/>
          <w:color w:val="000000" w:themeColor="text1"/>
          <w:highlight w:val="none"/>
          <w:lang w:eastAsia="zh-CN"/>
          <w14:textFill>
            <w14:solidFill>
              <w14:schemeClr w14:val="tx1"/>
            </w14:solidFill>
          </w14:textFill>
        </w:rPr>
        <w:t>项目位于农村地区，</w:t>
      </w:r>
      <w:r>
        <w:rPr>
          <w:rFonts w:hint="eastAsia" w:ascii="Times New Roman" w:hAnsi="Times New Roman"/>
          <w:color w:val="000000" w:themeColor="text1"/>
          <w:highlight w:val="none"/>
          <w:lang w:eastAsia="zh-CN"/>
          <w14:textFill>
            <w14:solidFill>
              <w14:schemeClr w14:val="tx1"/>
            </w14:solidFill>
          </w14:textFill>
        </w:rPr>
        <w:t>距离最近的乡镇***距离约1.6km</w:t>
      </w:r>
      <w:r>
        <w:rPr>
          <w:rFonts w:ascii="Times New Roman" w:hAnsi="Times New Roman"/>
          <w:color w:val="000000" w:themeColor="text1"/>
          <w:highlight w:val="none"/>
          <w:lang w:eastAsia="zh-CN"/>
          <w14:textFill>
            <w14:solidFill>
              <w14:schemeClr w14:val="tx1"/>
            </w14:solidFill>
          </w14:textFill>
        </w:rPr>
        <w:t>，</w:t>
      </w:r>
      <w:r>
        <w:rPr>
          <w:rFonts w:cs="Times New Roman"/>
          <w:color w:val="000000" w:themeColor="text1"/>
          <w14:textFill>
            <w14:solidFill>
              <w14:schemeClr w14:val="tx1"/>
            </w14:solidFill>
          </w14:textFill>
        </w:rPr>
        <w:t>远离乡镇，不涉及乡镇规划建城范围；</w:t>
      </w:r>
      <w:r>
        <w:rPr>
          <w:rFonts w:hint="eastAsia" w:cs="Times New Roman"/>
          <w:color w:val="000000" w:themeColor="text1"/>
          <w14:textFill>
            <w14:solidFill>
              <w14:schemeClr w14:val="tx1"/>
            </w14:solidFill>
          </w14:textFill>
        </w:rPr>
        <w:t>同时对照项目与区域城镇开发边界套合图（附图7），项目未处于城镇开发边界范围内</w:t>
      </w:r>
      <w:r>
        <w:rPr>
          <w:rFonts w:ascii="Times New Roman" w:hAnsi="Times New Roman"/>
          <w:color w:val="000000" w:themeColor="text1"/>
          <w:highlight w:val="none"/>
          <w:lang w:eastAsia="zh-CN"/>
          <w14:textFill>
            <w14:solidFill>
              <w14:schemeClr w14:val="tx1"/>
            </w14:solidFill>
          </w14:textFill>
        </w:rPr>
        <w:t>。</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lang w:eastAsia="zh-CN"/>
          <w14:textFill>
            <w14:solidFill>
              <w14:schemeClr w14:val="tx1"/>
            </w14:solidFill>
          </w14:textFill>
        </w:rPr>
        <w:t>综上所述，项目</w:t>
      </w:r>
      <w:r>
        <w:rPr>
          <w:color w:val="000000" w:themeColor="text1"/>
          <w:highlight w:val="none"/>
          <w:lang w:eastAsia="zh-CN"/>
          <w14:textFill>
            <w14:solidFill>
              <w14:schemeClr w14:val="tx1"/>
            </w14:solidFill>
          </w14:textFill>
        </w:rPr>
        <w:t>本项目选址符合当地城乡规划。</w:t>
      </w:r>
      <w:r>
        <w:rPr>
          <w:rFonts w:ascii="Times New Roman" w:hAnsi="Times New Roman"/>
          <w:color w:val="000000" w:themeColor="text1"/>
          <w:highlight w:val="none"/>
          <w:lang w:eastAsia="zh-CN"/>
          <w14:textFill>
            <w14:solidFill>
              <w14:schemeClr w14:val="tx1"/>
            </w14:solidFill>
          </w14:textFill>
        </w:rPr>
        <w:t>项目建设前，建设单位应向宣汉县自然资源和规划局提出工程用地申请，得到批复后方可动工。</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与达州市“三区三线”的符合性分析</w:t>
      </w:r>
    </w:p>
    <w:p>
      <w:pPr>
        <w:pStyle w:val="21"/>
        <w:tabs>
          <w:tab w:val="left" w:pos="863"/>
        </w:tabs>
        <w:spacing w:before="0"/>
        <w:ind w:left="0" w:firstLine="480"/>
        <w:rPr>
          <w:rFonts w:ascii="Times New Roman" w:hAnsi="Times New Roman"/>
          <w:color w:val="000000" w:themeColor="text1"/>
          <w:kern w:val="2"/>
          <w:szCs w:val="22"/>
          <w:highlight w:val="none"/>
          <w:lang w:eastAsia="zh-CN"/>
          <w14:textFill>
            <w14:solidFill>
              <w14:schemeClr w14:val="tx1"/>
            </w14:solidFill>
          </w14:textFill>
        </w:rPr>
      </w:pPr>
      <w:r>
        <w:rPr>
          <w:rFonts w:hint="eastAsia" w:ascii="Times New Roman" w:hAnsi="Times New Roman"/>
          <w:color w:val="000000" w:themeColor="text1"/>
          <w:kern w:val="2"/>
          <w:szCs w:val="22"/>
          <w:highlight w:val="none"/>
          <w:lang w:eastAsia="zh-CN"/>
          <w14:textFill>
            <w14:solidFill>
              <w14:schemeClr w14:val="tx1"/>
            </w14:solidFill>
          </w14:textFill>
        </w:rPr>
        <w:t>（1）与达州市《达州市国土空间总体规划（2021-2035）》的符合性分析</w:t>
      </w:r>
    </w:p>
    <w:p>
      <w:pPr>
        <w:pStyle w:val="21"/>
        <w:tabs>
          <w:tab w:val="left" w:pos="863"/>
        </w:tabs>
        <w:spacing w:before="0"/>
        <w:ind w:left="0" w:firstLine="480"/>
        <w:rPr>
          <w:color w:val="000000" w:themeColor="text1"/>
          <w:highlight w:val="none"/>
          <w:lang w:eastAsia="zh-CN"/>
          <w14:textFill>
            <w14:solidFill>
              <w14:schemeClr w14:val="tx1"/>
            </w14:solidFill>
          </w14:textFill>
        </w:rPr>
      </w:pPr>
      <w:r>
        <w:rPr>
          <w:rFonts w:hint="eastAsia" w:ascii="Times New Roman" w:hAnsi="Times New Roman"/>
          <w:color w:val="000000" w:themeColor="text1"/>
          <w:kern w:val="2"/>
          <w:szCs w:val="22"/>
          <w:highlight w:val="none"/>
          <w:lang w:eastAsia="zh-CN"/>
          <w14:textFill>
            <w14:solidFill>
              <w14:schemeClr w14:val="tx1"/>
            </w14:solidFill>
          </w14:textFill>
        </w:rPr>
        <w:t>根据《达州市国土空间总体规划（2021-2035）》中的要求：“强化底线约束，严格管控</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w:t>
      </w:r>
      <w:r>
        <w:rPr>
          <w:rFonts w:hint="default" w:ascii="Times New Roman" w:hAnsi="Times New Roman" w:cs="Times New Roman"/>
          <w:color w:val="000000" w:themeColor="text1"/>
          <w:kern w:val="2"/>
          <w:szCs w:val="22"/>
          <w:highlight w:val="none"/>
          <w:lang w:eastAsia="zh-CN"/>
          <w14:textFill>
            <w14:solidFill>
              <w14:schemeClr w14:val="tx1"/>
            </w14:solidFill>
          </w14:textFill>
        </w:rPr>
        <w:t>三线</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w:t>
      </w:r>
      <w:r>
        <w:rPr>
          <w:rFonts w:hint="default" w:ascii="Times New Roman" w:hAnsi="Times New Roman" w:cs="Times New Roman"/>
          <w:color w:val="000000" w:themeColor="text1"/>
          <w:kern w:val="2"/>
          <w:szCs w:val="22"/>
          <w:highlight w:val="none"/>
          <w:lang w:eastAsia="zh-CN"/>
          <w14:textFill>
            <w14:solidFill>
              <w14:schemeClr w14:val="tx1"/>
            </w14:solidFill>
          </w14:textFill>
        </w:rPr>
        <w:t>。优化市域空间总体格局，形成</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w:t>
      </w:r>
      <w:r>
        <w:rPr>
          <w:rFonts w:hint="default" w:ascii="Times New Roman" w:hAnsi="Times New Roman" w:cs="Times New Roman"/>
          <w:color w:val="000000" w:themeColor="text1"/>
          <w:kern w:val="2"/>
          <w:szCs w:val="22"/>
          <w:highlight w:val="none"/>
          <w:lang w:eastAsia="zh-CN"/>
          <w14:textFill>
            <w14:solidFill>
              <w14:schemeClr w14:val="tx1"/>
            </w14:solidFill>
          </w14:textFill>
        </w:rPr>
        <w:t>北特中都南粮，一屏两廊三带、一核两翼六轴</w:t>
      </w:r>
      <w:r>
        <w:rPr>
          <w:rFonts w:hint="eastAsia" w:ascii="Times New Roman" w:hAnsi="Times New Roman" w:cs="Times New Roman"/>
          <w:color w:val="000000" w:themeColor="text1"/>
          <w:kern w:val="2"/>
          <w:szCs w:val="22"/>
          <w:highlight w:val="none"/>
          <w:lang w:val="en-US" w:eastAsia="zh-CN"/>
          <w14:textFill>
            <w14:solidFill>
              <w14:schemeClr w14:val="tx1"/>
            </w14:solidFill>
          </w14:textFill>
        </w:rPr>
        <w:t>’</w:t>
      </w:r>
      <w:r>
        <w:rPr>
          <w:rFonts w:hint="eastAsia" w:ascii="Times New Roman" w:hAnsi="Times New Roman"/>
          <w:color w:val="000000" w:themeColor="text1"/>
          <w:kern w:val="2"/>
          <w:szCs w:val="22"/>
          <w:highlight w:val="none"/>
          <w:lang w:eastAsia="zh-CN"/>
          <w14:textFill>
            <w14:solidFill>
              <w14:schemeClr w14:val="tx1"/>
            </w14:solidFill>
          </w14:textFill>
        </w:rPr>
        <w:t>的市域总体格局”。本项目位于达州市中部区域的宣汉县，属于《达州市国土空间总体规划（2021-2035）》中的</w:t>
      </w:r>
      <w:bookmarkStart w:id="81" w:name="_Hlk143336328"/>
      <w:r>
        <w:rPr>
          <w:rFonts w:hint="eastAsia" w:ascii="Times New Roman" w:hAnsi="Times New Roman"/>
          <w:color w:val="000000" w:themeColor="text1"/>
          <w:kern w:val="2"/>
          <w:szCs w:val="22"/>
          <w:highlight w:val="none"/>
          <w:lang w:eastAsia="zh-CN"/>
          <w14:textFill>
            <w14:solidFill>
              <w14:schemeClr w14:val="tx1"/>
            </w14:solidFill>
          </w14:textFill>
        </w:rPr>
        <w:t>北部生态农业产业区内</w:t>
      </w:r>
      <w:bookmarkEnd w:id="81"/>
      <w:r>
        <w:rPr>
          <w:rFonts w:hint="eastAsia" w:ascii="Times New Roman" w:hAnsi="Times New Roman"/>
          <w:color w:val="000000" w:themeColor="text1"/>
          <w:kern w:val="2"/>
          <w:szCs w:val="22"/>
          <w:highlight w:val="none"/>
          <w:lang w:eastAsia="zh-CN"/>
          <w14:textFill>
            <w14:solidFill>
              <w14:schemeClr w14:val="tx1"/>
            </w14:solidFill>
          </w14:textFill>
        </w:rPr>
        <w:t>，</w:t>
      </w:r>
      <w:r>
        <w:rPr>
          <w:rFonts w:ascii="Times New Roman" w:hAnsi="Times New Roman"/>
          <w:color w:val="000000" w:themeColor="text1"/>
          <w:kern w:val="2"/>
          <w:szCs w:val="22"/>
          <w:highlight w:val="none"/>
          <w:lang w:eastAsia="zh-CN"/>
          <w14:textFill>
            <w14:solidFill>
              <w14:schemeClr w14:val="tx1"/>
            </w14:solidFill>
          </w14:textFill>
        </w:rPr>
        <w:t>本项目为</w:t>
      </w:r>
      <w:r>
        <w:rPr>
          <w:rFonts w:hint="eastAsia" w:ascii="Times New Roman" w:hAnsi="Times New Roman"/>
          <w:color w:val="000000" w:themeColor="text1"/>
          <w:kern w:val="2"/>
          <w:szCs w:val="22"/>
          <w:highlight w:val="none"/>
          <w:lang w:eastAsia="zh-CN"/>
          <w14:textFill>
            <w14:solidFill>
              <w14:schemeClr w14:val="tx1"/>
            </w14:solidFill>
          </w14:textFill>
        </w:rPr>
        <w:t>天然气实验性探井</w:t>
      </w:r>
      <w:r>
        <w:rPr>
          <w:rFonts w:hint="eastAsia" w:ascii="Times New Roman" w:hAnsi="Times New Roman"/>
          <w:color w:val="000000" w:themeColor="text1"/>
          <w:kern w:val="2"/>
          <w:szCs w:val="22"/>
          <w:highlight w:val="none"/>
          <w:lang w:val="en-US" w:eastAsia="zh-CN"/>
          <w14:textFill>
            <w14:solidFill>
              <w14:schemeClr w14:val="tx1"/>
            </w14:solidFill>
          </w14:textFill>
        </w:rPr>
        <w:t>及试采</w:t>
      </w:r>
      <w:r>
        <w:rPr>
          <w:rFonts w:hint="eastAsia" w:ascii="Times New Roman" w:hAnsi="Times New Roman"/>
          <w:color w:val="000000" w:themeColor="text1"/>
          <w:kern w:val="2"/>
          <w:szCs w:val="22"/>
          <w:highlight w:val="none"/>
          <w:lang w:eastAsia="zh-CN"/>
          <w14:textFill>
            <w14:solidFill>
              <w14:schemeClr w14:val="tx1"/>
            </w14:solidFill>
          </w14:textFill>
        </w:rPr>
        <w:t>工程项目，</w:t>
      </w:r>
      <w:r>
        <w:rPr>
          <w:rFonts w:ascii="Times New Roman" w:hAnsi="Times New Roman"/>
          <w:color w:val="000000" w:themeColor="text1"/>
          <w:kern w:val="2"/>
          <w:szCs w:val="22"/>
          <w:highlight w:val="none"/>
          <w:lang w:eastAsia="zh-CN"/>
          <w14:textFill>
            <w14:solidFill>
              <w14:schemeClr w14:val="tx1"/>
            </w14:solidFill>
          </w14:textFill>
        </w:rPr>
        <w:t>工程建设将会涉及一部分</w:t>
      </w:r>
      <w:r>
        <w:rPr>
          <w:rFonts w:hint="eastAsia" w:ascii="Times New Roman" w:hAnsi="Times New Roman"/>
          <w:color w:val="000000" w:themeColor="text1"/>
          <w:kern w:val="2"/>
          <w:szCs w:val="22"/>
          <w:highlight w:val="none"/>
          <w:lang w:eastAsia="zh-CN"/>
          <w14:textFill>
            <w14:solidFill>
              <w14:schemeClr w14:val="tx1"/>
            </w14:solidFill>
          </w14:textFill>
        </w:rPr>
        <w:t>基本</w:t>
      </w:r>
      <w:r>
        <w:rPr>
          <w:rFonts w:ascii="Times New Roman" w:hAnsi="Times New Roman"/>
          <w:color w:val="000000" w:themeColor="text1"/>
          <w:kern w:val="2"/>
          <w:szCs w:val="22"/>
          <w:highlight w:val="none"/>
          <w:lang w:eastAsia="zh-CN"/>
          <w14:textFill>
            <w14:solidFill>
              <w14:schemeClr w14:val="tx1"/>
            </w14:solidFill>
          </w14:textFill>
        </w:rPr>
        <w:t>农田，</w:t>
      </w:r>
      <w:r>
        <w:rPr>
          <w:rFonts w:hint="eastAsia" w:ascii="Times New Roman" w:hAnsi="Times New Roman"/>
          <w:color w:val="000000" w:themeColor="text1"/>
          <w:kern w:val="2"/>
          <w:szCs w:val="22"/>
          <w:highlight w:val="none"/>
          <w:lang w:eastAsia="zh-CN"/>
          <w14:textFill>
            <w14:solidFill>
              <w14:schemeClr w14:val="tx1"/>
            </w14:solidFill>
          </w14:textFill>
        </w:rPr>
        <w:t>总体上项目占地面积较小，建设单位将按相关要求办理用地手续并采取基本农田占用补偿措施</w:t>
      </w:r>
      <w:r>
        <w:rPr>
          <w:rFonts w:ascii="Times New Roman" w:hAnsi="Times New Roman"/>
          <w:color w:val="000000" w:themeColor="text1"/>
          <w:kern w:val="2"/>
          <w:szCs w:val="22"/>
          <w:highlight w:val="none"/>
          <w:lang w:eastAsia="zh-CN"/>
          <w14:textFill>
            <w14:solidFill>
              <w14:schemeClr w14:val="tx1"/>
            </w14:solidFill>
          </w14:textFill>
        </w:rPr>
        <w:t>，</w:t>
      </w:r>
      <w:r>
        <w:rPr>
          <w:rFonts w:hint="eastAsia" w:ascii="Times New Roman" w:hAnsi="Times New Roman"/>
          <w:color w:val="000000" w:themeColor="text1"/>
          <w:kern w:val="2"/>
          <w:szCs w:val="22"/>
          <w:highlight w:val="none"/>
          <w:lang w:eastAsia="zh-CN"/>
          <w14:textFill>
            <w14:solidFill>
              <w14:schemeClr w14:val="tx1"/>
            </w14:solidFill>
          </w14:textFill>
        </w:rPr>
        <w:t>并且</w:t>
      </w:r>
      <w:r>
        <w:rPr>
          <w:rFonts w:ascii="Times New Roman" w:hAnsi="Times New Roman"/>
          <w:color w:val="000000" w:themeColor="text1"/>
          <w:kern w:val="2"/>
          <w:szCs w:val="22"/>
          <w:highlight w:val="none"/>
          <w:lang w:eastAsia="zh-CN"/>
          <w14:textFill>
            <w14:solidFill>
              <w14:schemeClr w14:val="tx1"/>
            </w14:solidFill>
          </w14:textFill>
        </w:rPr>
        <w:t>施工结束后将对临时占地区域</w:t>
      </w:r>
      <w:r>
        <w:rPr>
          <w:rFonts w:hint="eastAsia" w:ascii="Times New Roman" w:hAnsi="Times New Roman"/>
          <w:color w:val="000000" w:themeColor="text1"/>
          <w:kern w:val="2"/>
          <w:szCs w:val="22"/>
          <w:highlight w:val="none"/>
          <w:lang w:eastAsia="zh-CN"/>
          <w14:textFill>
            <w14:solidFill>
              <w14:schemeClr w14:val="tx1"/>
            </w14:solidFill>
          </w14:textFill>
        </w:rPr>
        <w:t>进行</w:t>
      </w:r>
      <w:r>
        <w:rPr>
          <w:rFonts w:ascii="Times New Roman" w:hAnsi="Times New Roman"/>
          <w:color w:val="000000" w:themeColor="text1"/>
          <w:kern w:val="2"/>
          <w:szCs w:val="22"/>
          <w:highlight w:val="none"/>
          <w:lang w:eastAsia="zh-CN"/>
          <w14:textFill>
            <w14:solidFill>
              <w14:schemeClr w14:val="tx1"/>
            </w14:solidFill>
          </w14:textFill>
        </w:rPr>
        <w:t>复垦。</w:t>
      </w:r>
      <w:r>
        <w:rPr>
          <w:rFonts w:hint="eastAsia" w:ascii="Times New Roman" w:hAnsi="Times New Roman"/>
          <w:color w:val="000000" w:themeColor="text1"/>
          <w:kern w:val="2"/>
          <w:szCs w:val="22"/>
          <w:highlight w:val="none"/>
          <w:lang w:eastAsia="zh-CN"/>
          <w14:textFill>
            <w14:solidFill>
              <w14:schemeClr w14:val="tx1"/>
            </w14:solidFill>
          </w14:textFill>
        </w:rPr>
        <w:t>从总体而言，项目的建设不会对达州市国土空间总体规划造成较大影响。因此，项目的建设符合《达州市国土空间总体规划（2021-2035）》。</w:t>
      </w:r>
    </w:p>
    <w:p>
      <w:pPr>
        <w:pStyle w:val="21"/>
        <w:tabs>
          <w:tab w:val="left" w:pos="863"/>
        </w:tabs>
        <w:spacing w:before="0"/>
        <w:ind w:left="0" w:firstLine="480"/>
        <w:rPr>
          <w:rFonts w:ascii="Times New Roman" w:hAnsi="Times New Roman"/>
          <w:color w:val="000000" w:themeColor="text1"/>
          <w:kern w:val="2"/>
          <w:szCs w:val="22"/>
          <w:highlight w:val="none"/>
          <w:lang w:eastAsia="zh-CN"/>
          <w14:textFill>
            <w14:solidFill>
              <w14:schemeClr w14:val="tx1"/>
            </w14:solidFill>
          </w14:textFill>
        </w:rPr>
      </w:pPr>
      <w:r>
        <w:rPr>
          <w:rFonts w:hint="eastAsia" w:ascii="Times New Roman" w:hAnsi="Times New Roman"/>
          <w:color w:val="000000" w:themeColor="text1"/>
          <w:kern w:val="2"/>
          <w:szCs w:val="22"/>
          <w:highlight w:val="none"/>
          <w:lang w:eastAsia="zh-CN"/>
          <w14:textFill>
            <w14:solidFill>
              <w14:schemeClr w14:val="tx1"/>
            </w14:solidFill>
          </w14:textFill>
        </w:rPr>
        <w:t>（2）与达州市“三区三线”的符合性分析</w:t>
      </w:r>
    </w:p>
    <w:p>
      <w:pPr>
        <w:pStyle w:val="21"/>
        <w:tabs>
          <w:tab w:val="left" w:pos="863"/>
        </w:tabs>
        <w:spacing w:before="0"/>
        <w:ind w:left="0" w:firstLine="480"/>
        <w:rPr>
          <w:rFonts w:ascii="Times New Roman" w:hAnsi="Times New Roman"/>
          <w:color w:val="000000" w:themeColor="text1"/>
          <w:kern w:val="2"/>
          <w:szCs w:val="22"/>
          <w:highlight w:val="none"/>
          <w:lang w:eastAsia="zh-CN"/>
          <w14:textFill>
            <w14:solidFill>
              <w14:schemeClr w14:val="tx1"/>
            </w14:solidFill>
          </w14:textFill>
        </w:rPr>
      </w:pPr>
      <w:r>
        <w:rPr>
          <w:rFonts w:hint="eastAsia" w:ascii="Times New Roman" w:hAnsi="Times New Roman"/>
          <w:color w:val="000000" w:themeColor="text1"/>
          <w:highlight w:val="none"/>
          <w:lang w:eastAsia="zh-CN"/>
          <w14:textFill>
            <w14:solidFill>
              <w14:schemeClr w14:val="tx1"/>
            </w14:solidFill>
          </w14:textFill>
        </w:rPr>
        <w:t>通过与宣汉县自然资源局</w:t>
      </w:r>
      <w:r>
        <w:rPr>
          <w:rFonts w:hint="eastAsia" w:ascii="Times New Roman" w:hAnsi="Times New Roman"/>
          <w:color w:val="000000" w:themeColor="text1"/>
          <w:kern w:val="2"/>
          <w:szCs w:val="22"/>
          <w:highlight w:val="none"/>
          <w:lang w:eastAsia="zh-CN"/>
          <w14:textFill>
            <w14:solidFill>
              <w14:schemeClr w14:val="tx1"/>
            </w14:solidFill>
          </w14:textFill>
        </w:rPr>
        <w:t>“三区三线”</w:t>
      </w:r>
      <w:r>
        <w:rPr>
          <w:rFonts w:hint="eastAsia" w:ascii="Times New Roman" w:hAnsi="Times New Roman"/>
          <w:color w:val="000000" w:themeColor="text1"/>
          <w:kern w:val="2"/>
          <w:szCs w:val="22"/>
          <w:highlight w:val="none"/>
          <w:lang w:val="en-US" w:eastAsia="zh-CN"/>
          <w14:textFill>
            <w14:solidFill>
              <w14:schemeClr w14:val="tx1"/>
            </w14:solidFill>
          </w14:textFill>
        </w:rPr>
        <w:t>划分数据叠图可知，本项目</w:t>
      </w:r>
      <w:r>
        <w:rPr>
          <w:rFonts w:hint="eastAsia" w:ascii="Times New Roman" w:hAnsi="Times New Roman"/>
          <w:color w:val="000000" w:themeColor="text1"/>
          <w:highlight w:val="none"/>
          <w:lang w:val="en-US" w:eastAsia="zh-CN"/>
          <w14:textFill>
            <w14:solidFill>
              <w14:schemeClr w14:val="tx1"/>
            </w14:solidFill>
          </w14:textFill>
        </w:rPr>
        <w:t>施工期</w:t>
      </w:r>
      <w:r>
        <w:rPr>
          <w:rFonts w:hint="eastAsia" w:ascii="Times New Roman" w:hAnsi="Times New Roman"/>
          <w:color w:val="000000" w:themeColor="text1"/>
          <w:highlight w:val="none"/>
          <w:lang w:eastAsia="zh-CN"/>
          <w14:textFill>
            <w14:solidFill>
              <w14:schemeClr w14:val="tx1"/>
            </w14:solidFill>
          </w14:textFill>
        </w:rPr>
        <w:t>占用基本农田</w:t>
      </w:r>
      <w:r>
        <w:rPr>
          <w:rFonts w:hint="eastAsia" w:ascii="Times New Roman" w:hAnsi="Times New Roman"/>
          <w:color w:val="000000" w:themeColor="text1"/>
          <w:highlight w:val="none"/>
          <w:lang w:val="en-US" w:eastAsia="zh-CN"/>
          <w14:textFill>
            <w14:solidFill>
              <w14:schemeClr w14:val="tx1"/>
            </w14:solidFill>
          </w14:textFill>
        </w:rPr>
        <w:t>约</w:t>
      </w:r>
      <w:r>
        <w:rPr>
          <w:rFonts w:hint="eastAsia" w:ascii="Times New Roman" w:hAnsi="Times New Roman" w:cs="Times New Roman"/>
          <w:color w:val="000000" w:themeColor="text1"/>
          <w:lang w:val="en-US" w:eastAsia="zh-CN"/>
          <w14:textFill>
            <w14:solidFill>
              <w14:schemeClr w14:val="tx1"/>
            </w14:solidFill>
          </w14:textFill>
        </w:rPr>
        <w:t>12808</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试采期对临时占地恢复后，试采井站占用约</w:t>
      </w:r>
      <w:r>
        <w:rPr>
          <w:rFonts w:hint="eastAsia" w:ascii="Times New Roman" w:hAnsi="Times New Roman" w:cs="Times New Roman"/>
          <w:color w:val="000000" w:themeColor="text1"/>
          <w:vertAlign w:val="baseline"/>
          <w:lang w:val="en-US" w:eastAsia="zh-CN"/>
          <w14:textFill>
            <w14:solidFill>
              <w14:schemeClr w14:val="tx1"/>
            </w14:solidFill>
          </w14:textFill>
        </w:rPr>
        <w:t>6201m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olor w:val="000000" w:themeColor="text1"/>
          <w:highlight w:val="none"/>
          <w:vertAlign w:val="baseline"/>
          <w:lang w:eastAsia="zh-CN"/>
          <w14:textFill>
            <w14:solidFill>
              <w14:schemeClr w14:val="tx1"/>
            </w14:solidFill>
          </w14:textFill>
        </w:rPr>
        <w:t>；</w:t>
      </w:r>
      <w:r>
        <w:rPr>
          <w:rFonts w:hint="eastAsia" w:ascii="Times New Roman" w:hAnsi="Times New Roman"/>
          <w:color w:val="000000" w:themeColor="text1"/>
          <w:highlight w:val="none"/>
          <w:vertAlign w:val="baseline"/>
          <w:lang w:val="en-US" w:eastAsia="zh-CN"/>
          <w14:textFill>
            <w14:solidFill>
              <w14:schemeClr w14:val="tx1"/>
            </w14:solidFill>
          </w14:textFill>
        </w:rPr>
        <w:t>选址</w:t>
      </w:r>
      <w:r>
        <w:rPr>
          <w:rFonts w:hint="eastAsia" w:ascii="Times New Roman" w:hAnsi="Times New Roman"/>
          <w:color w:val="000000" w:themeColor="text1"/>
          <w:highlight w:val="none"/>
          <w:lang w:eastAsia="zh-CN"/>
          <w14:textFill>
            <w14:solidFill>
              <w14:schemeClr w14:val="tx1"/>
            </w14:solidFill>
          </w14:textFill>
        </w:rPr>
        <w:t>距离最近的乡镇***距离约1.6km</w:t>
      </w:r>
      <w:r>
        <w:rPr>
          <w:rFonts w:ascii="Times New Roman" w:hAnsi="Times New Roman"/>
          <w:color w:val="000000" w:themeColor="text1"/>
          <w:highlight w:val="none"/>
          <w:lang w:eastAsia="zh-CN"/>
          <w14:textFill>
            <w14:solidFill>
              <w14:schemeClr w14:val="tx1"/>
            </w14:solidFill>
          </w14:textFill>
        </w:rPr>
        <w:t>，远离乡镇，不涉及乡镇规划建城范围</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选址距离</w:t>
      </w:r>
      <w:r>
        <w:rPr>
          <w:rFonts w:hint="eastAsia"/>
          <w:color w:val="000000" w:themeColor="text1"/>
          <w:highlight w:val="none"/>
          <w:lang w:val="en-US" w:eastAsia="zh-CN"/>
          <w14:textFill>
            <w14:solidFill>
              <w14:schemeClr w14:val="tx1"/>
            </w14:solidFill>
          </w14:textFill>
        </w:rPr>
        <w:t>不涉及生态红线。</w:t>
      </w:r>
      <w:r>
        <w:rPr>
          <w:rFonts w:hint="eastAsia" w:ascii="Times New Roman" w:hAnsi="Times New Roman"/>
          <w:color w:val="000000" w:themeColor="text1"/>
          <w:kern w:val="2"/>
          <w:szCs w:val="22"/>
          <w:highlight w:val="none"/>
          <w:lang w:eastAsia="zh-CN"/>
          <w14:textFill>
            <w14:solidFill>
              <w14:schemeClr w14:val="tx1"/>
            </w14:solidFill>
          </w14:textFill>
        </w:rPr>
        <w:t>根据</w:t>
      </w:r>
      <w:r>
        <w:rPr>
          <w:rFonts w:ascii="Times New Roman" w:hAnsi="Times New Roman"/>
          <w:color w:val="000000" w:themeColor="text1"/>
          <w:kern w:val="2"/>
          <w:szCs w:val="22"/>
          <w:highlight w:val="none"/>
          <w:lang w:eastAsia="zh-CN"/>
          <w14:textFill>
            <w14:solidFill>
              <w14:schemeClr w14:val="tx1"/>
            </w14:solidFill>
          </w14:textFill>
        </w:rPr>
        <w:t>达州市</w:t>
      </w:r>
      <w:r>
        <w:rPr>
          <w:color w:val="000000" w:themeColor="text1"/>
          <w:kern w:val="2"/>
          <w:szCs w:val="22"/>
          <w:highlight w:val="none"/>
          <w:lang w:eastAsia="zh-CN"/>
          <w14:textFill>
            <w14:solidFill>
              <w14:schemeClr w14:val="tx1"/>
            </w14:solidFill>
          </w14:textFill>
        </w:rPr>
        <w:t>“三区三线”</w:t>
      </w:r>
      <w:r>
        <w:rPr>
          <w:rFonts w:hint="eastAsia" w:ascii="Times New Roman" w:hAnsi="Times New Roman"/>
          <w:color w:val="000000" w:themeColor="text1"/>
          <w:kern w:val="2"/>
          <w:szCs w:val="22"/>
          <w:highlight w:val="none"/>
          <w:lang w:eastAsia="zh-CN"/>
          <w14:textFill>
            <w14:solidFill>
              <w14:schemeClr w14:val="tx1"/>
            </w14:solidFill>
          </w14:textFill>
        </w:rPr>
        <w:t>的管控要求，项目与</w:t>
      </w:r>
      <w:r>
        <w:rPr>
          <w:rFonts w:ascii="Times New Roman" w:hAnsi="Times New Roman"/>
          <w:color w:val="000000" w:themeColor="text1"/>
          <w:kern w:val="2"/>
          <w:szCs w:val="22"/>
          <w:highlight w:val="none"/>
          <w:lang w:eastAsia="zh-CN"/>
          <w14:textFill>
            <w14:solidFill>
              <w14:schemeClr w14:val="tx1"/>
            </w14:solidFill>
          </w14:textFill>
        </w:rPr>
        <w:t>达州市</w:t>
      </w:r>
      <w:r>
        <w:rPr>
          <w:color w:val="000000" w:themeColor="text1"/>
          <w:kern w:val="2"/>
          <w:szCs w:val="22"/>
          <w:highlight w:val="none"/>
          <w:lang w:eastAsia="zh-CN"/>
          <w14:textFill>
            <w14:solidFill>
              <w14:schemeClr w14:val="tx1"/>
            </w14:solidFill>
          </w14:textFill>
        </w:rPr>
        <w:t>“三区三线”</w:t>
      </w:r>
      <w:r>
        <w:rPr>
          <w:rFonts w:hint="eastAsia" w:ascii="Times New Roman" w:hAnsi="Times New Roman"/>
          <w:color w:val="000000" w:themeColor="text1"/>
          <w:kern w:val="2"/>
          <w:szCs w:val="22"/>
          <w:highlight w:val="none"/>
          <w:lang w:eastAsia="zh-CN"/>
          <w14:textFill>
            <w14:solidFill>
              <w14:schemeClr w14:val="tx1"/>
            </w14:solidFill>
          </w14:textFill>
        </w:rPr>
        <w:t>的</w:t>
      </w:r>
      <w:r>
        <w:rPr>
          <w:rFonts w:ascii="Times New Roman" w:hAnsi="Times New Roman"/>
          <w:color w:val="000000" w:themeColor="text1"/>
          <w:kern w:val="2"/>
          <w:szCs w:val="22"/>
          <w:highlight w:val="none"/>
          <w:lang w:eastAsia="zh-CN"/>
          <w14:textFill>
            <w14:solidFill>
              <w14:schemeClr w14:val="tx1"/>
            </w14:solidFill>
          </w14:textFill>
        </w:rPr>
        <w:t>符合性分析</w:t>
      </w:r>
      <w:r>
        <w:rPr>
          <w:rFonts w:hint="eastAsia" w:ascii="Times New Roman" w:hAnsi="Times New Roman"/>
          <w:color w:val="000000" w:themeColor="text1"/>
          <w:kern w:val="2"/>
          <w:szCs w:val="22"/>
          <w:highlight w:val="none"/>
          <w:lang w:eastAsia="zh-CN"/>
          <w14:textFill>
            <w14:solidFill>
              <w14:schemeClr w14:val="tx1"/>
            </w14:solidFill>
          </w14:textFill>
        </w:rPr>
        <w:t>如下：</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与达州市“三区三线”符合性分析</w:t>
      </w: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40"/>
        <w:gridCol w:w="3600"/>
        <w:gridCol w:w="3400"/>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相关要求</w:t>
            </w:r>
          </w:p>
        </w:tc>
        <w:tc>
          <w:tcPr>
            <w:tcW w:w="340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本项目情况</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城镇空间：以城镇居民生产、生活为主体功能的国土空间，包括城镇建设空间、工矿建设空间以及部分乡级政府驻地的开发建设空间。</w:t>
            </w:r>
          </w:p>
        </w:tc>
        <w:tc>
          <w:tcPr>
            <w:tcW w:w="34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本项目为新增占地建设，占地范围为农田</w:t>
            </w:r>
            <w:r>
              <w:rPr>
                <w:rFonts w:hint="eastAsia"/>
                <w:color w:val="000000" w:themeColor="text1"/>
                <w:szCs w:val="20"/>
                <w:highlight w:val="none"/>
                <w14:textFill>
                  <w14:solidFill>
                    <w14:schemeClr w14:val="tx1"/>
                  </w14:solidFill>
                </w14:textFill>
              </w:rPr>
              <w:t>和耕地等</w:t>
            </w:r>
            <w:r>
              <w:rPr>
                <w:rFonts w:hint="default"/>
                <w:color w:val="000000" w:themeColor="text1"/>
                <w:szCs w:val="20"/>
                <w:highlight w:val="none"/>
                <w14:textFill>
                  <w14:solidFill>
                    <w14:schemeClr w14:val="tx1"/>
                  </w14:solidFill>
                </w14:textFill>
              </w:rPr>
              <w:t>，不涉及城镇建设用地</w:t>
            </w:r>
            <w:r>
              <w:rPr>
                <w:rFonts w:hint="eastAsia"/>
                <w:color w:val="000000" w:themeColor="text1"/>
                <w:szCs w:val="20"/>
                <w:highlight w:val="none"/>
                <w:lang w:eastAsia="zh-CN"/>
                <w14:textFill>
                  <w14:solidFill>
                    <w14:schemeClr w14:val="tx1"/>
                  </w14:solidFill>
                </w14:textFill>
              </w:rPr>
              <w:t>。</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农业空间：以农业生产和农村居民生活为主体功能，承担农产品生产和农村生活功能的国土空间，主要包括永久基本农田、一般农田等农业生产用地以及村庄等农村生活用地。</w:t>
            </w:r>
          </w:p>
        </w:tc>
        <w:tc>
          <w:tcPr>
            <w:tcW w:w="3400" w:type="dxa"/>
            <w:vMerge w:val="restart"/>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本项目为新增占地建设，工程建设将会涉及一部分</w:t>
            </w:r>
            <w:r>
              <w:rPr>
                <w:rFonts w:hint="eastAsia"/>
                <w:color w:val="000000" w:themeColor="text1"/>
                <w:szCs w:val="20"/>
                <w:highlight w:val="none"/>
                <w14:textFill>
                  <w14:solidFill>
                    <w14:schemeClr w14:val="tx1"/>
                  </w14:solidFill>
                </w14:textFill>
              </w:rPr>
              <w:t>基本</w:t>
            </w:r>
            <w:r>
              <w:rPr>
                <w:rFonts w:hint="default"/>
                <w:color w:val="000000" w:themeColor="text1"/>
                <w:szCs w:val="20"/>
                <w:highlight w:val="none"/>
                <w14:textFill>
                  <w14:solidFill>
                    <w14:schemeClr w14:val="tx1"/>
                  </w14:solidFill>
                </w14:textFill>
              </w:rPr>
              <w:t>农田，</w:t>
            </w:r>
            <w:r>
              <w:rPr>
                <w:rFonts w:hint="eastAsia"/>
                <w:color w:val="000000" w:themeColor="text1"/>
                <w:szCs w:val="20"/>
                <w:highlight w:val="none"/>
                <w14:textFill>
                  <w14:solidFill>
                    <w14:schemeClr w14:val="tx1"/>
                  </w14:solidFill>
                </w14:textFill>
              </w:rPr>
              <w:t>建设单位将按相关要求办理用地手续并采取基本农田占用补偿措施</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并且</w:t>
            </w:r>
            <w:r>
              <w:rPr>
                <w:rFonts w:hint="default"/>
                <w:color w:val="000000" w:themeColor="text1"/>
                <w:szCs w:val="20"/>
                <w:highlight w:val="none"/>
                <w14:textFill>
                  <w14:solidFill>
                    <w14:schemeClr w14:val="tx1"/>
                  </w14:solidFill>
                </w14:textFill>
              </w:rPr>
              <w:t>施工结束后将对临时占地区域</w:t>
            </w:r>
            <w:r>
              <w:rPr>
                <w:rFonts w:hint="eastAsia"/>
                <w:color w:val="000000" w:themeColor="text1"/>
                <w:szCs w:val="20"/>
                <w:highlight w:val="none"/>
                <w14:textFill>
                  <w14:solidFill>
                    <w14:schemeClr w14:val="tx1"/>
                  </w14:solidFill>
                </w14:textFill>
              </w:rPr>
              <w:t>进行</w:t>
            </w:r>
            <w:r>
              <w:rPr>
                <w:rFonts w:hint="default"/>
                <w:color w:val="000000" w:themeColor="text1"/>
                <w:szCs w:val="20"/>
                <w:highlight w:val="none"/>
                <w14:textFill>
                  <w14:solidFill>
                    <w14:schemeClr w14:val="tx1"/>
                  </w14:solidFill>
                </w14:textFill>
              </w:rPr>
              <w:t>复垦。</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生态空间：具有自然属性的，以提供生态服务或生态产品为主体功能的国土空间，包括森林、草原、湿地、河流、湖泊、滩涂、荒地、荒漠等。</w:t>
            </w:r>
          </w:p>
        </w:tc>
        <w:tc>
          <w:tcPr>
            <w:tcW w:w="3400" w:type="dxa"/>
            <w:vMerge w:val="continue"/>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生态保护红线：是在生态空间范围内具有特殊重要的生态功能、必须强制性严格保护的区域，是保障和维护国家生态安全的底线和生命线。</w:t>
            </w:r>
          </w:p>
        </w:tc>
        <w:tc>
          <w:tcPr>
            <w:tcW w:w="34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本项目不涉及生态保护红线。</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永久基本农田保护红线：是按照一定时期人口和社会经济发展对农产品的需求，依法确定的不得占用、不得开发、需要永久性保护的耕地空间边界。</w:t>
            </w:r>
          </w:p>
        </w:tc>
        <w:tc>
          <w:tcPr>
            <w:tcW w:w="34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本项目为新增占地建设，工程建设将会涉及一部分</w:t>
            </w:r>
            <w:r>
              <w:rPr>
                <w:rFonts w:hint="eastAsia"/>
                <w:color w:val="000000" w:themeColor="text1"/>
                <w:szCs w:val="20"/>
                <w:highlight w:val="none"/>
                <w14:textFill>
                  <w14:solidFill>
                    <w14:schemeClr w14:val="tx1"/>
                  </w14:solidFill>
                </w14:textFill>
              </w:rPr>
              <w:t>基本</w:t>
            </w:r>
            <w:r>
              <w:rPr>
                <w:rFonts w:hint="default"/>
                <w:color w:val="000000" w:themeColor="text1"/>
                <w:szCs w:val="20"/>
                <w:highlight w:val="none"/>
                <w14:textFill>
                  <w14:solidFill>
                    <w14:schemeClr w14:val="tx1"/>
                  </w14:solidFill>
                </w14:textFill>
              </w:rPr>
              <w:t>农田，</w:t>
            </w:r>
            <w:r>
              <w:rPr>
                <w:rFonts w:hint="eastAsia"/>
                <w:color w:val="000000" w:themeColor="text1"/>
                <w:szCs w:val="20"/>
                <w:highlight w:val="none"/>
                <w14:textFill>
                  <w14:solidFill>
                    <w14:schemeClr w14:val="tx1"/>
                  </w14:solidFill>
                </w14:textFill>
              </w:rPr>
              <w:t>建设单位将按相关要求办理用地手续并采取基本农田占用补偿措施</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并且</w:t>
            </w:r>
            <w:r>
              <w:rPr>
                <w:rFonts w:hint="default"/>
                <w:color w:val="000000" w:themeColor="text1"/>
                <w:szCs w:val="20"/>
                <w:highlight w:val="none"/>
                <w14:textFill>
                  <w14:solidFill>
                    <w14:schemeClr w14:val="tx1"/>
                  </w14:solidFill>
                </w14:textFill>
              </w:rPr>
              <w:t>施工结束后将对临时占地区域</w:t>
            </w:r>
            <w:r>
              <w:rPr>
                <w:rFonts w:hint="eastAsia"/>
                <w:color w:val="000000" w:themeColor="text1"/>
                <w:szCs w:val="20"/>
                <w:highlight w:val="none"/>
                <w14:textFill>
                  <w14:solidFill>
                    <w14:schemeClr w14:val="tx1"/>
                  </w14:solidFill>
                </w14:textFill>
              </w:rPr>
              <w:t>进行</w:t>
            </w:r>
            <w:r>
              <w:rPr>
                <w:rFonts w:hint="default"/>
                <w:color w:val="000000" w:themeColor="text1"/>
                <w:szCs w:val="20"/>
                <w:highlight w:val="none"/>
                <w14:textFill>
                  <w14:solidFill>
                    <w14:schemeClr w14:val="tx1"/>
                  </w14:solidFill>
                </w14:textFill>
              </w:rPr>
              <w:t>复垦。</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4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36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城镇开发边界：在一定时期内，可以进行城镇开发和集中建设的地域空间边界，包括城镇现状建成区、优化发展区，以及因城镇建设发展需要必须实行规划控制的区域。</w:t>
            </w:r>
          </w:p>
        </w:tc>
        <w:tc>
          <w:tcPr>
            <w:tcW w:w="3400"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本项目不涉及城镇开发区。</w:t>
            </w:r>
          </w:p>
        </w:tc>
        <w:tc>
          <w:tcPr>
            <w:tcW w:w="580"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keepNext w:val="0"/>
        <w:keepLines w:val="0"/>
        <w:pageBreakBefore w:val="0"/>
        <w:widowControl w:val="0"/>
        <w:kinsoku w:val="0"/>
        <w:wordWrap w:val="0"/>
        <w:overflowPunct/>
        <w:topLinePunct w:val="0"/>
        <w:autoSpaceDE w:val="0"/>
        <w:autoSpaceDN w:val="0"/>
        <w:bidi w:val="0"/>
        <w:adjustRightInd w:val="0"/>
        <w:snapToGrid w:val="0"/>
        <w:spacing w:before="163" w:beforeLines="50"/>
        <w:ind w:firstLine="480"/>
        <w:textAlignment w:val="auto"/>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综上所述，本项目与区域</w:t>
      </w:r>
      <w:r>
        <w:rPr>
          <w:rFonts w:ascii="宋体" w:hAnsi="宋体" w:cs="Times New Roman"/>
          <w:color w:val="000000" w:themeColor="text1"/>
          <w:highlight w:val="none"/>
          <w14:textFill>
            <w14:solidFill>
              <w14:schemeClr w14:val="tx1"/>
            </w14:solidFill>
          </w14:textFill>
        </w:rPr>
        <w:t>“三区三线”</w:t>
      </w:r>
      <w:r>
        <w:rPr>
          <w:rFonts w:cs="Times New Roman"/>
          <w:color w:val="000000" w:themeColor="text1"/>
          <w:highlight w:val="none"/>
          <w14:textFill>
            <w14:solidFill>
              <w14:schemeClr w14:val="tx1"/>
            </w14:solidFill>
          </w14:textFill>
        </w:rPr>
        <w:t>相符</w:t>
      </w:r>
      <w:r>
        <w:rPr>
          <w:rFonts w:hint="eastAsia" w:cs="Times New Roman"/>
          <w:color w:val="000000" w:themeColor="text1"/>
          <w:highlight w:val="none"/>
          <w14:textFill>
            <w14:solidFill>
              <w14:schemeClr w14:val="tx1"/>
            </w14:solidFill>
          </w14:textFill>
        </w:rPr>
        <w:t>，</w:t>
      </w:r>
      <w:r>
        <w:rPr>
          <w:rFonts w:hint="eastAsia"/>
          <w:caps/>
          <w:color w:val="000000" w:themeColor="text1"/>
          <w:spacing w:val="20"/>
          <w:highlight w:val="none"/>
          <w14:textFill>
            <w14:solidFill>
              <w14:schemeClr w14:val="tx1"/>
            </w14:solidFill>
          </w14:textFill>
        </w:rPr>
        <w:t>具体</w:t>
      </w:r>
      <w:r>
        <w:rPr>
          <w:rFonts w:hint="eastAsia"/>
          <w:caps/>
          <w:color w:val="000000" w:themeColor="text1"/>
          <w:spacing w:val="20"/>
          <w:highlight w:val="none"/>
          <w:lang w:val="en-US" w:eastAsia="zh-CN"/>
          <w14:textFill>
            <w14:solidFill>
              <w14:schemeClr w14:val="tx1"/>
            </w14:solidFill>
          </w14:textFill>
        </w:rPr>
        <w:t>本项目与宣汉县“</w:t>
      </w:r>
      <w:r>
        <w:rPr>
          <w:rFonts w:hint="eastAsia"/>
          <w:caps/>
          <w:color w:val="000000" w:themeColor="text1"/>
          <w:spacing w:val="20"/>
          <w:highlight w:val="none"/>
          <w14:textFill>
            <w14:solidFill>
              <w14:schemeClr w14:val="tx1"/>
            </w14:solidFill>
          </w14:textFill>
        </w:rPr>
        <w:t>三区三线</w:t>
      </w:r>
      <w:r>
        <w:rPr>
          <w:rFonts w:hint="eastAsia"/>
          <w:caps/>
          <w:color w:val="000000" w:themeColor="text1"/>
          <w:spacing w:val="20"/>
          <w:highlight w:val="none"/>
          <w:lang w:val="en-US" w:eastAsia="zh-CN"/>
          <w14:textFill>
            <w14:solidFill>
              <w14:schemeClr w14:val="tx1"/>
            </w14:solidFill>
          </w14:textFill>
        </w:rPr>
        <w:t>”的位置关系见</w:t>
      </w:r>
      <w:r>
        <w:rPr>
          <w:rFonts w:hint="eastAsia"/>
          <w:caps/>
          <w:color w:val="000000" w:themeColor="text1"/>
          <w:spacing w:val="20"/>
          <w:highlight w:val="none"/>
          <w14:textFill>
            <w14:solidFill>
              <w14:schemeClr w14:val="tx1"/>
            </w14:solidFill>
          </w14:textFill>
        </w:rPr>
        <w:t>附图</w:t>
      </w:r>
      <w:r>
        <w:rPr>
          <w:rFonts w:cs="Times New Roman"/>
          <w:color w:val="000000" w:themeColor="text1"/>
          <w:highlight w:val="none"/>
          <w14:textFill>
            <w14:solidFill>
              <w14:schemeClr w14:val="tx1"/>
            </w14:solidFill>
          </w14:textFill>
        </w:rPr>
        <w:t>。</w:t>
      </w:r>
    </w:p>
    <w:p>
      <w:pPr>
        <w:pStyle w:val="4"/>
        <w:pageBreakBefore w:val="0"/>
        <w:widowControl w:val="0"/>
        <w:kinsoku/>
        <w:wordWrap/>
        <w:overflowPunct/>
        <w:topLinePunct w:val="0"/>
        <w:bidi w:val="0"/>
        <w:adjustRightInd w:val="0"/>
        <w:snapToGrid w:val="0"/>
        <w:spacing w:before="0" w:beforeLines="0"/>
        <w:ind w:left="480" w:leftChars="0" w:firstLineChars="0"/>
        <w:textAlignment w:val="auto"/>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与石油天然气开采行业相关技术规范符合性分析</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与《石油天然气开采业污染防治技术政策》的符合性分析</w:t>
      </w:r>
    </w:p>
    <w:p>
      <w:pPr>
        <w:autoSpaceDE w:val="0"/>
        <w:autoSpaceDN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根据《石油天然气开采业污染防治技术政策》（〔2012〕18号），本项目与《石油天然气开采业污染防治技术政策》符合性分析见下表。</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与《石油天然气开采业污染防治技术政策》符合性分析表</w:t>
      </w: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3510"/>
        <w:gridCol w:w="2846"/>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354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技术政策要求</w:t>
            </w:r>
          </w:p>
        </w:tc>
        <w:tc>
          <w:tcPr>
            <w:tcW w:w="287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本工程内容</w:t>
            </w:r>
          </w:p>
        </w:tc>
        <w:tc>
          <w:tcPr>
            <w:tcW w:w="93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7357"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清洁生产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油气田建设应总体规划，优化布局，整体开发，减少占地和油气损失，实现油气和废物的集中收集、处理处置。</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本项目属于</w:t>
            </w:r>
            <w:r>
              <w:rPr>
                <w:rFonts w:hint="eastAsia"/>
                <w:color w:val="000000" w:themeColor="text1"/>
                <w:szCs w:val="20"/>
                <w:highlight w:val="none"/>
                <w:lang w:val="en-US" w:eastAsia="zh-CN"/>
                <w14:textFill>
                  <w14:solidFill>
                    <w14:schemeClr w14:val="tx1"/>
                  </w14:solidFill>
                </w14:textFill>
              </w:rPr>
              <w:t>天然气勘探试采</w:t>
            </w:r>
            <w:r>
              <w:rPr>
                <w:rFonts w:hint="default"/>
                <w:color w:val="000000" w:themeColor="text1"/>
                <w:szCs w:val="20"/>
                <w:highlight w:val="none"/>
                <w14:textFill>
                  <w14:solidFill>
                    <w14:schemeClr w14:val="tx1"/>
                  </w14:solidFill>
                </w14:textFill>
              </w:rPr>
              <w:t>和管线建设，占地较少，</w:t>
            </w:r>
            <w:r>
              <w:rPr>
                <w:rFonts w:hint="default" w:ascii="Times New Roman" w:hAnsi="Times New Roman" w:cs="Times New Roman"/>
                <w:color w:val="000000" w:themeColor="text1"/>
                <w:szCs w:val="20"/>
                <w:highlight w:val="none"/>
                <w14:textFill>
                  <w14:solidFill>
                    <w14:schemeClr w14:val="tx1"/>
                  </w14:solidFill>
                </w14:textFill>
              </w:rPr>
              <w:t>废水、固废收集后集中交由</w:t>
            </w:r>
            <w:r>
              <w:rPr>
                <w:rFonts w:hint="default" w:ascii="Times New Roman" w:hAnsi="Times New Roman" w:cs="Times New Roman"/>
                <w:color w:val="000000" w:themeColor="text1"/>
                <w:szCs w:val="20"/>
                <w:highlight w:val="none"/>
                <w:lang w:val="en-US" w:eastAsia="zh-CN"/>
                <w14:textFill>
                  <w14:solidFill>
                    <w14:schemeClr w14:val="tx1"/>
                  </w14:solidFill>
                </w14:textFill>
              </w:rPr>
              <w:t>相应</w:t>
            </w:r>
            <w:r>
              <w:rPr>
                <w:rFonts w:hint="default" w:ascii="Times New Roman" w:hAnsi="Times New Roman" w:cs="Times New Roman"/>
                <w:color w:val="000000" w:themeColor="text1"/>
                <w:szCs w:val="20"/>
                <w:highlight w:val="none"/>
                <w14:textFill>
                  <w14:solidFill>
                    <w14:schemeClr w14:val="tx1"/>
                  </w14:solidFill>
                </w14:textFill>
              </w:rPr>
              <w:t>具有处置能力的单位处理处置。</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油气田开发不得使用含有国际公约禁用化学物质的油气田化学剂，逐步淘汰微毒及以上油气田化学剂，鼓励使用无毒油气田化学剂。</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本项目无国际公约禁用化学物质，符合要求。</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在油气勘探过程中，宜使用环保型炸药和可控震源，应采取防渗等措施预防燃料泄漏对环境的污染。</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本项目无需炸药，油罐区设置地面硬化防渗、围堰</w:t>
            </w:r>
            <w:r>
              <w:rPr>
                <w:rFonts w:hint="eastAsia" w:ascii="Times New Roman" w:hAnsi="Times New Roman" w:cs="Times New Roman"/>
                <w:color w:val="000000" w:themeColor="text1"/>
                <w:szCs w:val="20"/>
                <w:highlight w:val="none"/>
                <w:lang w:val="en-US" w:eastAsia="zh-CN"/>
                <w14:textFill>
                  <w14:solidFill>
                    <w14:schemeClr w14:val="tx1"/>
                  </w14:solidFill>
                </w14:textFill>
              </w:rPr>
              <w:t>等</w:t>
            </w:r>
            <w:r>
              <w:rPr>
                <w:rFonts w:hint="default" w:ascii="Times New Roman" w:hAnsi="Times New Roman" w:cs="Times New Roman"/>
                <w:color w:val="000000" w:themeColor="text1"/>
                <w:szCs w:val="20"/>
                <w:highlight w:val="none"/>
                <w14:textFill>
                  <w14:solidFill>
                    <w14:schemeClr w14:val="tx1"/>
                  </w14:solidFill>
                </w14:textFill>
              </w:rPr>
              <w:t>，可预防燃料泄漏对环境的污染。</w:t>
            </w:r>
            <w:r>
              <w:rPr>
                <w:rFonts w:hint="eastAsia" w:ascii="Times New Roman" w:hAnsi="Times New Roman" w:cs="Times New Roman"/>
                <w:color w:val="000000" w:themeColor="text1"/>
                <w:szCs w:val="20"/>
                <w:highlight w:val="none"/>
                <w:lang w:val="en-US" w:eastAsia="zh-CN"/>
                <w14:textFill>
                  <w14:solidFill>
                    <w14:schemeClr w14:val="tx1"/>
                  </w14:solidFill>
                </w14:textFill>
              </w:rPr>
              <w:t>符合要求</w:t>
            </w:r>
            <w:r>
              <w:rPr>
                <w:rFonts w:hint="default" w:ascii="Times New Roman" w:hAnsi="Times New Roman" w:cs="Times New Roman"/>
                <w:color w:val="000000" w:themeColor="text1"/>
                <w:szCs w:val="20"/>
                <w:highlight w:val="none"/>
                <w14:textFill>
                  <w14:solidFill>
                    <w14:schemeClr w14:val="tx1"/>
                  </w14:solidFill>
                </w14:textFill>
              </w:rPr>
              <w:t>。</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在钻井过程中，鼓励采用环境友好的钻井液体系；配备完善的固控设备，钻井液循环率达到95%以上；钻井过程产生的废水应回用。</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本项目采用水基钻井液</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仅</w:t>
            </w:r>
            <w:r>
              <w:rPr>
                <w:rFonts w:hint="eastAsia"/>
                <w:color w:val="000000" w:themeColor="text1"/>
                <w:szCs w:val="20"/>
                <w:highlight w:val="none"/>
                <w14:textFill>
                  <w14:solidFill>
                    <w14:schemeClr w14:val="tx1"/>
                  </w14:solidFill>
                </w14:textFill>
              </w:rPr>
              <w:t>三</w:t>
            </w:r>
            <w:r>
              <w:rPr>
                <w:rFonts w:hint="default"/>
                <w:color w:val="000000" w:themeColor="text1"/>
                <w:szCs w:val="20"/>
                <w:highlight w:val="none"/>
                <w14:textFill>
                  <w14:solidFill>
                    <w14:schemeClr w14:val="tx1"/>
                  </w14:solidFill>
                </w14:textFill>
              </w:rPr>
              <w:t>开段可能会转为油基钻井，固控设备完善，钻井液循环率达到95%以上，钻井废水处理回用，符合要求。</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本项目压裂液运输到现场集中配置，现场采取了防漏、防溢措施，酸化残液、压裂残液和返排液</w:t>
            </w:r>
            <w:r>
              <w:rPr>
                <w:rFonts w:hint="eastAsia" w:ascii="Times New Roman" w:hAnsi="Times New Roman" w:cs="Times New Roman"/>
                <w:color w:val="000000" w:themeColor="text1"/>
                <w:szCs w:val="20"/>
                <w:highlight w:val="none"/>
                <w:lang w:val="en-US" w:eastAsia="zh-CN"/>
                <w14:textFill>
                  <w14:solidFill>
                    <w14:schemeClr w14:val="tx1"/>
                  </w14:solidFill>
                </w14:textFill>
              </w:rPr>
              <w:t>等全部收集并</w:t>
            </w:r>
            <w:r>
              <w:rPr>
                <w:rFonts w:hint="default" w:ascii="Times New Roman" w:hAnsi="Times New Roman" w:cs="Times New Roman"/>
                <w:color w:val="000000" w:themeColor="text1"/>
                <w:szCs w:val="20"/>
                <w:highlight w:val="none"/>
                <w14:textFill>
                  <w14:solidFill>
                    <w14:schemeClr w14:val="tx1"/>
                  </w14:solidFill>
                </w14:textFill>
              </w:rPr>
              <w:t>外运处理。压裂作业和试油（气）过程</w:t>
            </w:r>
            <w:r>
              <w:rPr>
                <w:rFonts w:hint="eastAsia" w:ascii="Times New Roman" w:hAnsi="Times New Roman" w:cs="Times New Roman"/>
                <w:color w:val="000000" w:themeColor="text1"/>
                <w:szCs w:val="20"/>
                <w:highlight w:val="none"/>
                <w:lang w:val="en-US" w:eastAsia="zh-CN"/>
                <w14:textFill>
                  <w14:solidFill>
                    <w14:schemeClr w14:val="tx1"/>
                  </w14:solidFill>
                </w14:textFill>
              </w:rPr>
              <w:t>将</w:t>
            </w:r>
            <w:r>
              <w:rPr>
                <w:rFonts w:hint="default" w:ascii="Times New Roman" w:hAnsi="Times New Roman" w:cs="Times New Roman"/>
                <w:color w:val="000000" w:themeColor="text1"/>
                <w:szCs w:val="20"/>
                <w:highlight w:val="none"/>
                <w14:textFill>
                  <w14:solidFill>
                    <w14:schemeClr w14:val="tx1"/>
                  </w14:solidFill>
                </w14:textFill>
              </w:rPr>
              <w:t>采取防喷、地面管线防刺、防漏、防溢等措施</w:t>
            </w:r>
            <w:r>
              <w:rPr>
                <w:rFonts w:hint="eastAsia" w:ascii="Times New Roman" w:hAnsi="Times New Roman" w:cs="Times New Roman"/>
                <w:color w:val="000000" w:themeColor="text1"/>
                <w:szCs w:val="20"/>
                <w:highlight w:val="none"/>
                <w:lang w:eastAsia="zh-CN"/>
                <w14:textFill>
                  <w14:solidFill>
                    <w14:schemeClr w14:val="tx1"/>
                  </w14:solidFill>
                </w14:textFill>
              </w:rPr>
              <w:t>，</w:t>
            </w:r>
            <w:r>
              <w:rPr>
                <w:rFonts w:hint="eastAsia" w:ascii="Times New Roman" w:hAnsi="Times New Roman" w:cs="Times New Roman"/>
                <w:color w:val="000000" w:themeColor="text1"/>
                <w:szCs w:val="20"/>
                <w:highlight w:val="none"/>
                <w:lang w:val="en-US" w:eastAsia="zh-CN"/>
                <w14:textFill>
                  <w14:solidFill>
                    <w14:schemeClr w14:val="tx1"/>
                  </w14:solidFill>
                </w14:textFill>
              </w:rPr>
              <w:t>符合要求</w:t>
            </w:r>
            <w:r>
              <w:rPr>
                <w:rFonts w:hint="default" w:ascii="Times New Roman" w:hAnsi="Times New Roman" w:cs="Times New Roman"/>
                <w:color w:val="000000" w:themeColor="text1"/>
                <w:szCs w:val="20"/>
                <w:highlight w:val="none"/>
                <w14:textFill>
                  <w14:solidFill>
                    <w14:schemeClr w14:val="tx1"/>
                  </w14:solidFill>
                </w14:textFill>
              </w:rPr>
              <w:t>。</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c>
          <w:tcPr>
            <w:tcW w:w="7357"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在开发过程中，伴生气应回收利用，减少温室气体排放，不具备回收利用条件的，应充分燃烧，伴生气回收利用率应达到 80%以上；站场放空天然气应充分燃烧。燃烧放空设施应避开鸟类迁徙通道。</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放喷过程中不具备利用条件，在放喷池进行充分燃烧。放喷池未位于鸟类迁徙通道上。</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c>
          <w:tcPr>
            <w:tcW w:w="7357"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污染治理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ascii="Times New Roman" w:hAnsi="Times New Roman" w:cs="Times New Roman"/>
                <w:color w:val="000000" w:themeColor="text1"/>
                <w:szCs w:val="20"/>
                <w:highlight w:val="none"/>
                <w:lang w:val="en-US" w:eastAsia="zh-CN"/>
                <w14:textFill>
                  <w14:solidFill>
                    <w14:schemeClr w14:val="tx1"/>
                  </w14:solidFill>
                </w14:textFill>
              </w:rPr>
              <w:t>本项目钻井过程中产生的钻井废水经</w:t>
            </w:r>
            <w:r>
              <w:rPr>
                <w:rFonts w:hint="eastAsia" w:cs="Times New Roman"/>
                <w:color w:val="000000" w:themeColor="text1"/>
                <w:szCs w:val="20"/>
                <w:highlight w:val="none"/>
                <w:lang w:val="en-US" w:eastAsia="zh-CN"/>
                <w14:textFill>
                  <w14:solidFill>
                    <w14:schemeClr w14:val="tx1"/>
                  </w14:solidFill>
                </w14:textFill>
              </w:rPr>
              <w:t>不落地装置</w:t>
            </w:r>
            <w:r>
              <w:rPr>
                <w:rFonts w:hint="eastAsia" w:ascii="Times New Roman" w:hAnsi="Times New Roman" w:cs="Times New Roman"/>
                <w:color w:val="000000" w:themeColor="text1"/>
                <w:szCs w:val="20"/>
                <w:highlight w:val="none"/>
                <w:lang w:val="en-US" w:eastAsia="zh-CN"/>
                <w14:textFill>
                  <w14:solidFill>
                    <w14:schemeClr w14:val="tx1"/>
                  </w14:solidFill>
                </w14:textFill>
              </w:rPr>
              <w:t>处理后回用于配制钻井液，剩余不能回用部分通过密闭罐车定期拉运至</w:t>
            </w:r>
            <w:r>
              <w:rPr>
                <w:rFonts w:hint="eastAsia" w:cs="Times New Roman"/>
                <w:color w:val="000000" w:themeColor="text1"/>
                <w:szCs w:val="20"/>
                <w:highlight w:val="none"/>
                <w:lang w:val="en-US" w:eastAsia="zh-CN"/>
                <w14:textFill>
                  <w14:solidFill>
                    <w14:schemeClr w14:val="tx1"/>
                  </w14:solidFill>
                </w14:textFill>
              </w:rPr>
              <w:t>赵家坝污水处理站</w:t>
            </w:r>
            <w:r>
              <w:rPr>
                <w:rFonts w:hint="eastAsia" w:ascii="Times New Roman" w:hAnsi="Times New Roman" w:cs="Times New Roman"/>
                <w:color w:val="000000" w:themeColor="text1"/>
                <w:szCs w:val="20"/>
                <w:highlight w:val="none"/>
                <w:lang w:val="en-US" w:eastAsia="zh-CN"/>
                <w14:textFill>
                  <w14:solidFill>
                    <w14:schemeClr w14:val="tx1"/>
                  </w14:solidFill>
                </w14:textFill>
              </w:rPr>
              <w:t>处理达标后管输至</w:t>
            </w:r>
            <w:r>
              <w:rPr>
                <w:rFonts w:hint="eastAsia" w:cs="Times New Roman"/>
                <w:color w:val="000000" w:themeColor="text1"/>
                <w:szCs w:val="20"/>
                <w:highlight w:val="none"/>
                <w:lang w:val="en-US" w:eastAsia="zh-CN"/>
                <w14:textFill>
                  <w14:solidFill>
                    <w14:schemeClr w14:val="tx1"/>
                  </w14:solidFill>
                </w14:textFill>
              </w:rPr>
              <w:t>普光3井回注站</w:t>
            </w:r>
            <w:r>
              <w:rPr>
                <w:rFonts w:hint="eastAsia" w:ascii="Times New Roman" w:hAnsi="Times New Roman" w:cs="Times New Roman"/>
                <w:color w:val="000000" w:themeColor="text1"/>
                <w:szCs w:val="20"/>
                <w:highlight w:val="none"/>
                <w:lang w:val="en-US" w:eastAsia="zh-CN"/>
                <w14:textFill>
                  <w14:solidFill>
                    <w14:schemeClr w14:val="tx1"/>
                  </w14:solidFill>
                </w14:textFill>
              </w:rPr>
              <w:t>回注；洗井废水</w:t>
            </w:r>
            <w:r>
              <w:rPr>
                <w:rFonts w:hint="eastAsia" w:cs="Times New Roman"/>
                <w:color w:val="000000" w:themeColor="text1"/>
                <w:szCs w:val="20"/>
                <w:highlight w:val="none"/>
                <w:lang w:val="en-US" w:eastAsia="zh-CN"/>
                <w14:textFill>
                  <w14:solidFill>
                    <w14:schemeClr w14:val="tx1"/>
                  </w14:solidFill>
                </w14:textFill>
              </w:rPr>
              <w:t>及</w:t>
            </w:r>
            <w:r>
              <w:rPr>
                <w:rFonts w:hint="eastAsia" w:ascii="Times New Roman" w:hAnsi="Times New Roman" w:cs="Times New Roman"/>
                <w:color w:val="000000" w:themeColor="text1"/>
                <w:szCs w:val="20"/>
                <w:highlight w:val="none"/>
                <w:lang w:val="en-US" w:eastAsia="zh-CN"/>
                <w14:textFill>
                  <w14:solidFill>
                    <w14:schemeClr w14:val="tx1"/>
                  </w14:solidFill>
                </w14:textFill>
              </w:rPr>
              <w:t>压裂返排液临时暂存于</w:t>
            </w:r>
            <w:r>
              <w:rPr>
                <w:rFonts w:hint="eastAsia" w:cs="Times New Roman"/>
                <w:color w:val="000000" w:themeColor="text1"/>
                <w:szCs w:val="20"/>
                <w:highlight w:val="none"/>
                <w:lang w:val="en-US" w:eastAsia="zh-CN"/>
                <w14:textFill>
                  <w14:solidFill>
                    <w14:schemeClr w14:val="tx1"/>
                  </w14:solidFill>
                </w14:textFill>
              </w:rPr>
              <w:t>压裂液储</w:t>
            </w:r>
            <w:r>
              <w:rPr>
                <w:rFonts w:hint="eastAsia" w:ascii="Times New Roman" w:hAnsi="Times New Roman" w:cs="Times New Roman"/>
                <w:color w:val="000000" w:themeColor="text1"/>
                <w:szCs w:val="20"/>
                <w:highlight w:val="none"/>
                <w:lang w:val="en-US" w:eastAsia="zh-CN"/>
                <w14:textFill>
                  <w14:solidFill>
                    <w14:schemeClr w14:val="tx1"/>
                  </w14:solidFill>
                </w14:textFill>
              </w:rPr>
              <w:t>罐内，优先回用于气田周边其他井场配置压裂液使用，若周边井场暂无法使用或压裂返排液水质无法满足回用要求时，则通过密闭罐车定期拉运至</w:t>
            </w:r>
            <w:r>
              <w:rPr>
                <w:rFonts w:hint="eastAsia" w:cs="Times New Roman"/>
                <w:color w:val="000000" w:themeColor="text1"/>
                <w:szCs w:val="20"/>
                <w:highlight w:val="none"/>
                <w:lang w:val="en-US" w:eastAsia="zh-CN"/>
                <w14:textFill>
                  <w14:solidFill>
                    <w14:schemeClr w14:val="tx1"/>
                  </w14:solidFill>
                </w14:textFill>
              </w:rPr>
              <w:t>赵家坝污水处理站</w:t>
            </w:r>
            <w:r>
              <w:rPr>
                <w:rFonts w:hint="eastAsia" w:ascii="Times New Roman" w:hAnsi="Times New Roman" w:cs="Times New Roman"/>
                <w:color w:val="000000" w:themeColor="text1"/>
                <w:szCs w:val="20"/>
                <w:highlight w:val="none"/>
                <w:lang w:val="en-US" w:eastAsia="zh-CN"/>
                <w14:textFill>
                  <w14:solidFill>
                    <w14:schemeClr w14:val="tx1"/>
                  </w14:solidFill>
                </w14:textFill>
              </w:rPr>
              <w:t>处理达标后管输至</w:t>
            </w:r>
            <w:r>
              <w:rPr>
                <w:rFonts w:hint="eastAsia" w:cs="Times New Roman"/>
                <w:color w:val="000000" w:themeColor="text1"/>
                <w:szCs w:val="20"/>
                <w:highlight w:val="none"/>
                <w:lang w:val="en-US" w:eastAsia="zh-CN"/>
                <w14:textFill>
                  <w14:solidFill>
                    <w14:schemeClr w14:val="tx1"/>
                  </w14:solidFill>
                </w14:textFill>
              </w:rPr>
              <w:t>普光3井回注站回注，不外排。</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固体废物收集、贮存、处理处置设施应按照标准要求采取防渗措施。试油（气）后应立即封闭废弃钻井液贮池。</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钻井过程中按相关要求进行固废收集、贮存和处理，并采取相应防渗措施。试油（气）后将对清洁化操作平台清理后封闭</w:t>
            </w:r>
            <w:r>
              <w:rPr>
                <w:rFonts w:hint="default" w:cs="Times New Roman"/>
                <w:color w:val="000000" w:themeColor="text1"/>
                <w:szCs w:val="20"/>
                <w:highlight w:val="none"/>
                <w:lang w:val="en-US" w:eastAsia="zh-CN"/>
                <w14:textFill>
                  <w14:solidFill>
                    <w14:schemeClr w14:val="tx1"/>
                  </w14:solidFill>
                </w14:textFill>
              </w:rPr>
              <w:t>。</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w:t>
            </w:r>
            <w:r>
              <w:rPr>
                <w:rFonts w:hint="default"/>
                <w:color w:val="000000" w:themeColor="text1"/>
                <w:szCs w:val="20"/>
                <w:highlight w:val="none"/>
                <w14:textFill>
                  <w14:solidFill>
                    <w14:schemeClr w14:val="tx1"/>
                  </w14:solidFill>
                </w14:textFill>
              </w:rPr>
              <w:t>不涉及原油，本工程在井口及易产生油污的生产设施底部进行防渗处理，收集可能产生的废油，完钻后统一收集交有资质单位处置。</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对受到油污染的土壤宜采取生物或物化方法进行修复。</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w:t>
            </w:r>
            <w:r>
              <w:rPr>
                <w:rFonts w:hint="default"/>
                <w:color w:val="000000" w:themeColor="text1"/>
                <w:szCs w:val="20"/>
                <w:highlight w:val="none"/>
                <w14:textFill>
                  <w14:solidFill>
                    <w14:schemeClr w14:val="tx1"/>
                  </w14:solidFill>
                </w14:textFill>
              </w:rPr>
              <w:t>不涉及原油，废油很少，通过采取防渗措施，总体不会造成土壤的油污染。</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四</w:t>
            </w:r>
          </w:p>
        </w:tc>
        <w:tc>
          <w:tcPr>
            <w:tcW w:w="7357"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运行风险和环境管理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油气田企业应制定环境保护管理规定，建立并运行健康、安全与环境管理体系。</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建设单位</w:t>
            </w:r>
            <w:r>
              <w:rPr>
                <w:rFonts w:hint="default" w:ascii="Times New Roman" w:hAnsi="Times New Roman" w:cs="Times New Roman"/>
                <w:color w:val="000000" w:themeColor="text1"/>
                <w:szCs w:val="20"/>
                <w:highlight w:val="none"/>
                <w14:textFill>
                  <w14:solidFill>
                    <w14:schemeClr w14:val="tx1"/>
                  </w14:solidFill>
                </w14:textFill>
              </w:rPr>
              <w:t>制定</w:t>
            </w:r>
            <w:r>
              <w:rPr>
                <w:rFonts w:hint="eastAsia" w:cs="Times New Roman"/>
                <w:color w:val="000000" w:themeColor="text1"/>
                <w:szCs w:val="20"/>
                <w:highlight w:val="none"/>
                <w:lang w:val="en-US" w:eastAsia="zh-CN"/>
                <w14:textFill>
                  <w14:solidFill>
                    <w14:schemeClr w14:val="tx1"/>
                  </w14:solidFill>
                </w14:textFill>
              </w:rPr>
              <w:t>了</w:t>
            </w:r>
            <w:r>
              <w:rPr>
                <w:rFonts w:hint="default" w:ascii="Times New Roman" w:hAnsi="Times New Roman" w:cs="Times New Roman"/>
                <w:color w:val="000000" w:themeColor="text1"/>
                <w:szCs w:val="20"/>
                <w:highlight w:val="none"/>
                <w14:textFill>
                  <w14:solidFill>
                    <w14:schemeClr w14:val="tx1"/>
                  </w14:solidFill>
                </w14:textFill>
              </w:rPr>
              <w:t>完善的环境保护管理规定，并建立</w:t>
            </w:r>
            <w:r>
              <w:rPr>
                <w:rFonts w:hint="eastAsia" w:cs="Times New Roman"/>
                <w:color w:val="000000" w:themeColor="text1"/>
                <w:szCs w:val="20"/>
                <w:highlight w:val="none"/>
                <w:lang w:val="en-US" w:eastAsia="zh-CN"/>
                <w14:textFill>
                  <w14:solidFill>
                    <w14:schemeClr w14:val="tx1"/>
                  </w14:solidFill>
                </w14:textFill>
              </w:rPr>
              <w:t>了</w:t>
            </w:r>
            <w:r>
              <w:rPr>
                <w:rFonts w:hint="default" w:ascii="Times New Roman" w:hAnsi="Times New Roman" w:cs="Times New Roman"/>
                <w:color w:val="000000" w:themeColor="text1"/>
                <w:szCs w:val="20"/>
                <w:highlight w:val="none"/>
                <w14:textFill>
                  <w14:solidFill>
                    <w14:schemeClr w14:val="tx1"/>
                  </w14:solidFill>
                </w14:textFill>
              </w:rPr>
              <w:t>运行健康、安全与环境管理体系。</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加强油气田建设、开发过程的环境监督管理。油气田建设过程应开展工程环境监理。</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建设单位制定</w:t>
            </w:r>
            <w:r>
              <w:rPr>
                <w:rFonts w:hint="eastAsia" w:cs="Times New Roman"/>
                <w:color w:val="000000" w:themeColor="text1"/>
                <w:szCs w:val="20"/>
                <w:highlight w:val="none"/>
                <w:lang w:val="en-US" w:eastAsia="zh-CN"/>
                <w14:textFill>
                  <w14:solidFill>
                    <w14:schemeClr w14:val="tx1"/>
                  </w14:solidFill>
                </w14:textFill>
              </w:rPr>
              <w:t>了</w:t>
            </w:r>
            <w:r>
              <w:rPr>
                <w:rFonts w:hint="default" w:ascii="Times New Roman" w:hAnsi="Times New Roman" w:cs="Times New Roman"/>
                <w:color w:val="000000" w:themeColor="text1"/>
                <w:szCs w:val="20"/>
                <w:highlight w:val="none"/>
                <w:lang w:val="en-US" w:eastAsia="zh-CN"/>
                <w14:textFill>
                  <w14:solidFill>
                    <w14:schemeClr w14:val="tx1"/>
                  </w14:solidFill>
                </w14:textFill>
              </w:rPr>
              <w:t>完善的环境监督与管理制度体系和环境监督管理计划。</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在开发过程中，企业应加强油气井套管的检测和维护，防止油气泄漏污染地下水。</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本项目制定了套管检测和维护计划和制度，防止</w:t>
            </w:r>
            <w:r>
              <w:rPr>
                <w:rFonts w:hint="default" w:ascii="Times New Roman" w:hAnsi="Times New Roman" w:cs="Times New Roman"/>
                <w:color w:val="000000" w:themeColor="text1"/>
                <w:szCs w:val="20"/>
                <w:highlight w:val="none"/>
                <w:lang w:eastAsia="zh-CN"/>
                <w14:textFill>
                  <w14:solidFill>
                    <w14:schemeClr w14:val="tx1"/>
                  </w14:solidFill>
                </w14:textFill>
              </w:rPr>
              <w:t>天然气泄漏</w:t>
            </w:r>
            <w:r>
              <w:rPr>
                <w:rFonts w:hint="default" w:ascii="Times New Roman" w:hAnsi="Times New Roman" w:cs="Times New Roman"/>
                <w:color w:val="000000" w:themeColor="text1"/>
                <w:szCs w:val="20"/>
                <w:highlight w:val="none"/>
                <w14:textFill>
                  <w14:solidFill>
                    <w14:schemeClr w14:val="tx1"/>
                  </w14:solidFill>
                </w14:textFill>
              </w:rPr>
              <w:t>污染地下水。</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油气田企业应建立环境保护人员培训制度，环境监测人员、统计人员、污染治理设施操作人员应经培训合格后上岗。</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lang w:val="en-US" w:eastAsia="zh-CN"/>
                <w14:textFill>
                  <w14:solidFill>
                    <w14:schemeClr w14:val="tx1"/>
                  </w14:solidFill>
                </w14:textFill>
              </w:rPr>
              <w:t>建设单位</w:t>
            </w:r>
            <w:r>
              <w:rPr>
                <w:rFonts w:hint="default" w:ascii="Times New Roman" w:hAnsi="Times New Roman" w:cs="Times New Roman"/>
                <w:color w:val="000000" w:themeColor="text1"/>
                <w:szCs w:val="20"/>
                <w:highlight w:val="none"/>
                <w14:textFill>
                  <w14:solidFill>
                    <w14:schemeClr w14:val="tx1"/>
                  </w14:solidFill>
                </w14:textFill>
              </w:rPr>
              <w:t>设置有专门的环境管理部门，并制定有完善的培训制度。</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35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87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建设单位严格按照要求设置突发环境事件应急预案，并定期举行演练。在井场周边设置有事故监测点，实时监测危险因子。</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autoSpaceDE w:val="0"/>
        <w:autoSpaceDN w:val="0"/>
        <w:spacing w:before="163"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由上表可见，本项目与《石油天然气开采业污染防治技术政策》符合。</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与《关于进一步加强石油天然气行业环境影响评价管理的通知》符合性分析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根据《关于进一步加强石油天然气行业环境影响评价管理的通知》（环办环评函〔2019〕910号），本项目符合性分析如下。</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与《关于进一步加强石油天然气行业环境影响评价管理的通知》符合性分析表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5"/>
        <w:gridCol w:w="4163"/>
        <w:gridCol w:w="2607"/>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53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技术政策要求</w:t>
            </w:r>
          </w:p>
        </w:tc>
        <w:tc>
          <w:tcPr>
            <w:tcW w:w="158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52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4644" w:type="pct"/>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推进规划环境影响评价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油气企业在编制内部相关油气开发专项规划时，鼓励同步编制规划环境影响报告书。</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未</w:t>
            </w:r>
            <w:r>
              <w:rPr>
                <w:rFonts w:hint="eastAsia"/>
                <w:color w:val="000000" w:themeColor="text1"/>
                <w:szCs w:val="20"/>
                <w:highlight w:val="none"/>
                <w:lang w:eastAsia="zh-CN"/>
                <w14:textFill>
                  <w14:solidFill>
                    <w14:schemeClr w14:val="tx1"/>
                  </w14:solidFill>
                </w14:textFill>
              </w:rPr>
              <w:t>编制</w:t>
            </w:r>
            <w:r>
              <w:rPr>
                <w:rFonts w:hint="eastAsia"/>
                <w:color w:val="000000" w:themeColor="text1"/>
                <w:szCs w:val="20"/>
                <w:highlight w:val="none"/>
                <w:lang w:val="en-US" w:eastAsia="zh-CN"/>
                <w14:textFill>
                  <w14:solidFill>
                    <w14:schemeClr w14:val="tx1"/>
                  </w14:solidFill>
                </w14:textFill>
              </w:rPr>
              <w:t>相关</w:t>
            </w:r>
            <w:r>
              <w:rPr>
                <w:rFonts w:hint="default"/>
                <w:color w:val="000000" w:themeColor="text1"/>
                <w:szCs w:val="20"/>
                <w:highlight w:val="none"/>
                <w14:textFill>
                  <w14:solidFill>
                    <w14:schemeClr w14:val="tx1"/>
                  </w14:solidFill>
                </w14:textFill>
              </w:rPr>
              <w:t>油气开发专项规划环境影响报告书。</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非强制性要求，不违背。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c>
          <w:tcPr>
            <w:tcW w:w="4644" w:type="pct"/>
            <w:gridSpan w:val="3"/>
            <w:vAlign w:val="center"/>
          </w:tcPr>
          <w:p>
            <w:pPr>
              <w:pStyle w:val="295"/>
              <w:keepNext w:val="0"/>
              <w:keepLines w:val="0"/>
              <w:widowControl/>
              <w:suppressLineNumbers w:val="0"/>
              <w:spacing w:before="0" w:beforeAutospacing="0" w:after="0" w:afterAutospacing="0"/>
              <w:ind w:left="0" w:right="0"/>
              <w:rPr>
                <w:rFonts w:hint="default" w:ascii="宋体" w:hAnsi="宋体"/>
                <w:color w:val="000000" w:themeColor="text1"/>
                <w:szCs w:val="20"/>
                <w:highlight w:val="none"/>
                <w14:textFill>
                  <w14:solidFill>
                    <w14:schemeClr w14:val="tx1"/>
                  </w14:solidFill>
                </w14:textFill>
              </w:rPr>
            </w:pPr>
            <w:r>
              <w:rPr>
                <w:rFonts w:hint="default" w:ascii="宋体" w:hAnsi="宋体"/>
                <w:color w:val="000000" w:themeColor="text1"/>
                <w:szCs w:val="20"/>
                <w:highlight w:val="none"/>
                <w14:textFill>
                  <w14:solidFill>
                    <w14:schemeClr w14:val="tx1"/>
                  </w14:solidFill>
                </w14:textFill>
              </w:rPr>
              <w:t>深化项目环评“放管服”改革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Cs w:val="20"/>
                <w:highlight w:val="none"/>
                <w:u w:val="none"/>
                <w:lang w:val="en-US"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本项目为普光气田</w:t>
            </w:r>
            <w:r>
              <w:rPr>
                <w:rFonts w:hint="eastAsia"/>
                <w:color w:val="000000" w:themeColor="text1"/>
                <w:szCs w:val="20"/>
                <w:highlight w:val="none"/>
                <w:lang w:val="en-US" w:eastAsia="zh-CN"/>
                <w14:textFill>
                  <w14:solidFill>
                    <w14:schemeClr w14:val="tx1"/>
                  </w14:solidFill>
                </w14:textFill>
              </w:rPr>
              <w:t>内陆相气藏</w:t>
            </w:r>
            <w:r>
              <w:rPr>
                <w:rFonts w:hint="default"/>
                <w:color w:val="000000" w:themeColor="text1"/>
                <w:szCs w:val="20"/>
                <w:highlight w:val="none"/>
                <w:lang w:eastAsia="zh-CN"/>
                <w14:textFill>
                  <w14:solidFill>
                    <w14:schemeClr w14:val="tx1"/>
                  </w14:solidFill>
                </w14:textFill>
              </w:rPr>
              <w:t>内新层位</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36"/>
                <w14:textFill>
                  <w14:solidFill>
                    <w14:schemeClr w14:val="tx1"/>
                  </w14:solidFill>
                </w14:textFill>
              </w:rPr>
              <w:t>普光</w:t>
            </w:r>
            <w:r>
              <w:rPr>
                <w:rFonts w:hint="eastAsia"/>
                <w:color w:val="000000" w:themeColor="text1"/>
                <w:szCs w:val="36"/>
                <w:lang w:eastAsia="zh-CN"/>
                <w14:textFill>
                  <w14:solidFill>
                    <w14:schemeClr w14:val="tx1"/>
                  </w14:solidFill>
                </w14:textFill>
              </w:rPr>
              <w:t>******</w:t>
            </w:r>
            <w:r>
              <w:rPr>
                <w:rFonts w:hint="eastAsia"/>
                <w:color w:val="000000" w:themeColor="text1"/>
                <w:szCs w:val="36"/>
                <w14:textFill>
                  <w14:solidFill>
                    <w14:schemeClr w14:val="tx1"/>
                  </w14:solidFill>
                </w14:textFill>
              </w:rPr>
              <w:t>海相</w:t>
            </w:r>
            <w:r>
              <w:rPr>
                <w:rFonts w:hint="eastAsia"/>
                <w:color w:val="000000" w:themeColor="text1"/>
                <w:szCs w:val="36"/>
                <w:lang w:eastAsia="zh-CN"/>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lang w:eastAsia="zh-CN"/>
                <w14:textFill>
                  <w14:solidFill>
                    <w14:schemeClr w14:val="tx1"/>
                  </w14:solidFill>
                </w14:textFill>
              </w:rPr>
              <w:t>的</w:t>
            </w:r>
            <w:r>
              <w:rPr>
                <w:rFonts w:hint="eastAsia"/>
                <w:color w:val="000000" w:themeColor="text1"/>
                <w:szCs w:val="20"/>
                <w:highlight w:val="none"/>
                <w:lang w:val="en-US" w:eastAsia="zh-CN"/>
                <w14:textFill>
                  <w14:solidFill>
                    <w14:schemeClr w14:val="tx1"/>
                  </w14:solidFill>
                </w14:textFill>
              </w:rPr>
              <w:t>页岩气试验性探井</w:t>
            </w:r>
            <w:r>
              <w:rPr>
                <w:rFonts w:hint="default"/>
                <w:color w:val="000000" w:themeColor="text1"/>
                <w:szCs w:val="20"/>
                <w:highlight w:val="none"/>
                <w:lang w:eastAsia="zh-CN"/>
                <w14:textFill>
                  <w14:solidFill>
                    <w14:schemeClr w14:val="tx1"/>
                  </w14:solidFill>
                </w14:textFill>
              </w:rPr>
              <w:t>，主要的实施的目的为：</w:t>
            </w:r>
            <w:r>
              <w:rPr>
                <w:rFonts w:hint="eastAsia" w:ascii="Times New Roman" w:hAnsi="Times New Roman" w:eastAsia="宋体"/>
                <w:b/>
                <w:bCs/>
                <w:color w:val="000000" w:themeColor="text1"/>
                <w:szCs w:val="20"/>
                <w:lang w:val="en-US" w:eastAsia="zh-CN"/>
                <w14:textFill>
                  <w14:solidFill>
                    <w14:schemeClr w14:val="tx1"/>
                  </w14:solidFill>
                </w14:textFill>
              </w:rPr>
              <w:t>为进一步加深对四川盆地川东北普光地区</w:t>
            </w:r>
            <w:r>
              <w:rPr>
                <w:rFonts w:hint="eastAsia"/>
                <w:b/>
                <w:bCs/>
                <w:color w:val="000000" w:themeColor="text1"/>
                <w:szCs w:val="20"/>
                <w:lang w:val="en-US" w:eastAsia="zh-CN"/>
                <w14:textFill>
                  <w14:solidFill>
                    <w14:schemeClr w14:val="tx1"/>
                  </w14:solidFill>
                </w14:textFill>
              </w:rPr>
              <w:t>*********</w:t>
            </w:r>
            <w:r>
              <w:rPr>
                <w:rFonts w:hint="eastAsia" w:ascii="Times New Roman" w:hAnsi="Times New Roman" w:eastAsia="宋体"/>
                <w:b/>
                <w:bCs/>
                <w:color w:val="000000" w:themeColor="text1"/>
                <w:szCs w:val="20"/>
                <w:lang w:val="en-US" w:eastAsia="zh-CN"/>
                <w14:textFill>
                  <w14:solidFill>
                    <w14:schemeClr w14:val="tx1"/>
                  </w14:solidFill>
                </w14:textFill>
              </w:rPr>
              <w:t>页岩气的认知，开展裂缝发育非均质性条件下，变井距试验及充分改造试验；开展距主大断裂距离与产能试验和分小层产能评价试验，为后续该气层建产提供可行性依据</w:t>
            </w:r>
            <w:r>
              <w:rPr>
                <w:rFonts w:hint="eastAsia" w:ascii="Times New Roman" w:hAnsi="Times New Roman"/>
                <w:b/>
                <w:bCs/>
                <w:color w:val="000000" w:themeColor="text1"/>
                <w:szCs w:val="20"/>
                <w:lang w:val="en-US" w:eastAsia="zh-CN"/>
                <w14:textFill>
                  <w14:solidFill>
                    <w14:schemeClr w14:val="tx1"/>
                  </w14:solidFill>
                </w14:textFill>
              </w:rPr>
              <w:t>而部署的两口试验性探井</w:t>
            </w:r>
            <w:r>
              <w:rPr>
                <w:rFonts w:hint="default"/>
                <w:color w:val="000000" w:themeColor="text1"/>
                <w:szCs w:val="20"/>
                <w:highlight w:val="none"/>
                <w:lang w:eastAsia="zh-CN"/>
                <w14:textFill>
                  <w14:solidFill>
                    <w14:schemeClr w14:val="tx1"/>
                  </w14:solidFill>
                </w14:textFill>
              </w:rPr>
              <w:t>。由于本项目目的层地质结构较为复杂，目前对普光区块</w:t>
            </w:r>
            <w:r>
              <w:rPr>
                <w:rFonts w:hint="eastAsia"/>
                <w:color w:val="000000" w:themeColor="text1"/>
                <w:szCs w:val="20"/>
                <w:highlight w:val="none"/>
                <w:lang w:val="en-US" w:eastAsia="zh-CN"/>
                <w14:textFill>
                  <w14:solidFill>
                    <w14:schemeClr w14:val="tx1"/>
                  </w14:solidFill>
                </w14:textFill>
              </w:rPr>
              <w:t>内</w:t>
            </w:r>
            <w:r>
              <w:rPr>
                <w:rFonts w:hint="eastAsia" w:cs="Times New Roman"/>
                <w:color w:val="000000" w:themeColor="text1"/>
                <w:szCs w:val="20"/>
                <w:highlight w:val="none"/>
                <w:lang w:val="en-US" w:eastAsia="zh-CN"/>
                <w14:textFill>
                  <w14:solidFill>
                    <w14:schemeClr w14:val="tx1"/>
                  </w14:solidFill>
                </w14:textFill>
              </w:rPr>
              <w:t>*********</w:t>
            </w:r>
            <w:r>
              <w:rPr>
                <w:rFonts w:hint="eastAsia" w:ascii="Times New Roman" w:hAnsi="Times New Roman" w:cs="Times New Roman"/>
                <w:color w:val="000000" w:themeColor="text1"/>
                <w:szCs w:val="20"/>
                <w:highlight w:val="none"/>
                <w:lang w:val="en-US" w:eastAsia="zh-CN"/>
                <w14:textFill>
                  <w14:solidFill>
                    <w14:schemeClr w14:val="tx1"/>
                  </w14:solidFill>
                </w14:textFill>
              </w:rPr>
              <w:t>页岩气</w:t>
            </w:r>
            <w:r>
              <w:rPr>
                <w:rFonts w:hint="default" w:ascii="Times New Roman" w:hAnsi="Times New Roman" w:cs="Times New Roman"/>
                <w:color w:val="000000" w:themeColor="text1"/>
                <w:szCs w:val="20"/>
                <w:highlight w:val="none"/>
                <w:lang w:eastAsia="zh-CN"/>
                <w14:textFill>
                  <w14:solidFill>
                    <w14:schemeClr w14:val="tx1"/>
                  </w14:solidFill>
                </w14:textFill>
              </w:rPr>
              <w:t>的产能储量仍未探明，暂不具</w:t>
            </w:r>
            <w:r>
              <w:rPr>
                <w:rFonts w:hint="default"/>
                <w:color w:val="000000" w:themeColor="text1"/>
                <w:szCs w:val="20"/>
                <w:highlight w:val="none"/>
                <w:lang w:eastAsia="zh-CN"/>
                <w14:textFill>
                  <w14:solidFill>
                    <w14:schemeClr w14:val="tx1"/>
                  </w14:solidFill>
                </w14:textFill>
              </w:rPr>
              <w:t>备区块开发条件，因此，</w:t>
            </w:r>
            <w:r>
              <w:rPr>
                <w:rFonts w:hint="eastAsia" w:cs="Times New Roman"/>
                <w:b w:val="0"/>
                <w:bCs w:val="0"/>
                <w:color w:val="000000" w:themeColor="text1"/>
                <w:szCs w:val="20"/>
                <w:highlight w:val="none"/>
                <w:u w:val="single"/>
                <w:lang w:val="en-US" w:eastAsia="zh-CN"/>
                <w14:textFill>
                  <w14:solidFill>
                    <w14:schemeClr w14:val="tx1"/>
                  </w14:solidFill>
                </w14:textFill>
              </w:rPr>
              <w:t>本项目性质为新层位的实验性页岩气层探井及试采，不属于新井、加密井、调整井、站场、设备、管道和电缆及其更换工程、弃置工程及配套工程等。</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本次评价提出了有效的生态环境保护和环境风险防范措施。充分论证了施工期和试采期各污染物处置的可行性。</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w:t>
            </w:r>
          </w:p>
        </w:tc>
        <w:tc>
          <w:tcPr>
            <w:tcW w:w="4644" w:type="pct"/>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强化生态环境保护措施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涉及向地表水体排放污染物的陆地油气开采项目，应当符合国家和地方污染物排放标准，满足重点污染物排放总量控制要求。</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本项目涉及施工期和试采期废水均</w:t>
            </w:r>
            <w:r>
              <w:rPr>
                <w:rFonts w:hint="eastAsia"/>
                <w:color w:val="000000" w:themeColor="text1"/>
                <w:szCs w:val="20"/>
                <w:highlight w:val="none"/>
                <w:lang w:val="en-US" w:eastAsia="zh-CN"/>
                <w14:textFill>
                  <w14:solidFill>
                    <w14:schemeClr w14:val="tx1"/>
                  </w14:solidFill>
                </w14:textFill>
              </w:rPr>
              <w:t>采取回用及</w:t>
            </w:r>
            <w:r>
              <w:rPr>
                <w:rFonts w:hint="default"/>
                <w:color w:val="000000" w:themeColor="text1"/>
                <w:szCs w:val="20"/>
                <w:highlight w:val="none"/>
                <w14:textFill>
                  <w14:solidFill>
                    <w14:schemeClr w14:val="tx1"/>
                  </w14:solidFill>
                </w14:textFill>
              </w:rPr>
              <w:t>回注处理，无废水外排。</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封闭地层，一般应当回注到现役油气藏或枯竭废弃油气藏。</w:t>
            </w:r>
          </w:p>
        </w:tc>
        <w:tc>
          <w:tcPr>
            <w:tcW w:w="2607" w:type="dxa"/>
            <w:vAlign w:val="center"/>
          </w:tcPr>
          <w:p>
            <w:pPr>
              <w:pStyle w:val="295"/>
              <w:keepNext w:val="0"/>
              <w:keepLines w:val="0"/>
              <w:widowControl/>
              <w:suppressLineNumbers w:val="0"/>
              <w:spacing w:before="0" w:beforeAutospacing="0" w:after="0" w:afterAutospacing="0"/>
              <w:ind w:left="0" w:right="0"/>
              <w:jc w:val="left"/>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本项目钻井阶段产生的</w:t>
            </w:r>
            <w:r>
              <w:rPr>
                <w:rFonts w:hint="default"/>
                <w:color w:val="000000" w:themeColor="text1"/>
                <w:szCs w:val="20"/>
                <w:highlight w:val="none"/>
                <w:lang w:val="en-US" w:eastAsia="zh-CN"/>
                <w14:textFill>
                  <w14:solidFill>
                    <w14:schemeClr w14:val="tx1"/>
                  </w14:solidFill>
                </w14:textFill>
              </w:rPr>
              <w:t>钻井废水、场地初期雨水</w:t>
            </w:r>
            <w:r>
              <w:rPr>
                <w:rFonts w:hint="eastAsia"/>
                <w:color w:val="000000" w:themeColor="text1"/>
                <w:szCs w:val="20"/>
                <w:highlight w:val="none"/>
                <w:lang w:val="en-US" w:eastAsia="zh-CN"/>
                <w14:textFill>
                  <w14:solidFill>
                    <w14:schemeClr w14:val="tx1"/>
                  </w14:solidFill>
                </w14:textFill>
              </w:rPr>
              <w:t>，以及</w:t>
            </w:r>
            <w:r>
              <w:rPr>
                <w:rFonts w:hint="default"/>
                <w:color w:val="000000" w:themeColor="text1"/>
                <w:szCs w:val="20"/>
                <w:highlight w:val="none"/>
                <w:lang w:val="en-US" w:eastAsia="zh-CN"/>
                <w14:textFill>
                  <w14:solidFill>
                    <w14:schemeClr w14:val="tx1"/>
                  </w14:solidFill>
                </w14:textFill>
              </w:rPr>
              <w:t>储层改造阶段产生的压裂返排液及洗井废水</w:t>
            </w:r>
            <w:r>
              <w:rPr>
                <w:rFonts w:hint="eastAsia"/>
                <w:color w:val="000000" w:themeColor="text1"/>
                <w:szCs w:val="20"/>
                <w:highlight w:val="none"/>
                <w:lang w:val="en-US" w:eastAsia="zh-CN"/>
                <w14:textFill>
                  <w14:solidFill>
                    <w14:schemeClr w14:val="tx1"/>
                  </w14:solidFill>
                </w14:textFill>
              </w:rPr>
              <w:t>都优先考虑回用，不能回用的部分</w:t>
            </w:r>
            <w:r>
              <w:rPr>
                <w:rFonts w:hint="default"/>
                <w:color w:val="000000" w:themeColor="text1"/>
                <w:szCs w:val="20"/>
                <w:highlight w:val="none"/>
                <w:lang w:val="en-US" w:eastAsia="zh-CN"/>
                <w14:textFill>
                  <w14:solidFill>
                    <w14:schemeClr w14:val="tx1"/>
                  </w14:solidFill>
                </w14:textFill>
              </w:rPr>
              <w:t>定期装车拉运至</w:t>
            </w:r>
            <w:r>
              <w:rPr>
                <w:rFonts w:hint="eastAsia"/>
                <w:color w:val="000000" w:themeColor="text1"/>
                <w:szCs w:val="20"/>
                <w:highlight w:val="none"/>
                <w:lang w:val="en-US" w:eastAsia="zh-CN"/>
                <w14:textFill>
                  <w14:solidFill>
                    <w14:schemeClr w14:val="tx1"/>
                  </w14:solidFill>
                </w14:textFill>
              </w:rPr>
              <w:t>赵家坝污水处理站</w:t>
            </w:r>
            <w:r>
              <w:rPr>
                <w:rFonts w:hint="default"/>
                <w:color w:val="000000" w:themeColor="text1"/>
                <w:szCs w:val="20"/>
                <w:highlight w:val="none"/>
                <w:lang w:val="en-US" w:eastAsia="zh-CN"/>
                <w14:textFill>
                  <w14:solidFill>
                    <w14:schemeClr w14:val="tx1"/>
                  </w14:solidFill>
                </w14:textFill>
              </w:rPr>
              <w:t>处理达标后经</w:t>
            </w:r>
            <w:r>
              <w:rPr>
                <w:rFonts w:hint="eastAsia"/>
                <w:color w:val="000000" w:themeColor="text1"/>
                <w:szCs w:val="20"/>
                <w:highlight w:val="none"/>
                <w:lang w:val="en-US" w:eastAsia="zh-CN"/>
                <w14:textFill>
                  <w14:solidFill>
                    <w14:schemeClr w14:val="tx1"/>
                  </w14:solidFill>
                </w14:textFill>
              </w:rPr>
              <w:t>普光3井回注站回注，不外排。</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赵家坝污水处理站</w:t>
            </w:r>
            <w:r>
              <w:rPr>
                <w:rFonts w:hint="default"/>
                <w:color w:val="000000" w:themeColor="text1"/>
                <w:szCs w:val="20"/>
                <w:highlight w:val="none"/>
                <w:lang w:val="en-US" w:eastAsia="zh-CN"/>
                <w14:textFill>
                  <w14:solidFill>
                    <w14:schemeClr w14:val="tx1"/>
                  </w14:solidFill>
                </w14:textFill>
              </w:rPr>
              <w:t>和</w:t>
            </w:r>
            <w:r>
              <w:rPr>
                <w:rFonts w:hint="eastAsia"/>
                <w:color w:val="000000" w:themeColor="text1"/>
                <w:szCs w:val="20"/>
                <w:highlight w:val="none"/>
                <w:lang w:val="en-US" w:eastAsia="zh-CN"/>
                <w14:textFill>
                  <w14:solidFill>
                    <w14:schemeClr w14:val="tx1"/>
                  </w14:solidFill>
                </w14:textFill>
              </w:rPr>
              <w:t>普光3井回注站</w:t>
            </w:r>
            <w:r>
              <w:rPr>
                <w:rFonts w:hint="default"/>
                <w:color w:val="000000" w:themeColor="text1"/>
                <w:szCs w:val="20"/>
                <w:highlight w:val="none"/>
                <w:lang w:val="en-US" w:eastAsia="zh-CN"/>
                <w14:textFill>
                  <w14:solidFill>
                    <w14:schemeClr w14:val="tx1"/>
                  </w14:solidFill>
                </w14:textFill>
              </w:rPr>
              <w:t>已取得环评批复，并已开展竣工环保验收，并在其环评报告中充分论述了回注的环境可行性、污染防治措施、全过程生态环境保护及风险防控措施、监控要求等内容，满足要求</w:t>
            </w:r>
            <w:r>
              <w:rPr>
                <w:rFonts w:hint="default"/>
                <w:color w:val="000000" w:themeColor="text1"/>
                <w:szCs w:val="20"/>
                <w:highlight w:val="none"/>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607"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本项目正常情况下不涉及油基钻井工艺，无废弃油基泥浆、含油钻屑产生。</w:t>
            </w:r>
            <w:r>
              <w:rPr>
                <w:rFonts w:hint="eastAsia" w:cs="Times New Roman"/>
                <w:color w:val="000000" w:themeColor="text1"/>
                <w:szCs w:val="21"/>
                <w:highlight w:val="none"/>
                <w:lang w:val="en-US" w:eastAsia="zh-CN"/>
                <w14:textFill>
                  <w14:solidFill>
                    <w14:schemeClr w14:val="tx1"/>
                  </w14:solidFill>
                </w14:textFill>
              </w:rPr>
              <w:t>仅三开</w:t>
            </w:r>
            <w:r>
              <w:rPr>
                <w:rFonts w:hint="default" w:ascii="Times New Roman" w:hAnsi="Times New Roman" w:cs="Times New Roman"/>
                <w:color w:val="000000" w:themeColor="text1"/>
                <w:szCs w:val="21"/>
                <w:highlight w:val="none"/>
                <w14:textFill>
                  <w14:solidFill>
                    <w14:schemeClr w14:val="tx1"/>
                  </w14:solidFill>
                </w14:textFill>
              </w:rPr>
              <w:t>采用油基钻井泥浆，产生的废弃油基泥浆、含油钻屑及其他固体废物，遵循了减量化、资源化、无害化原则，并按照国家和地方有关固体废物的管理规定交由资质单位处置，本次评价已按照《建设项目危险废物环境影响评价指南》要求进行了评价</w:t>
            </w:r>
            <w:r>
              <w:rPr>
                <w:rFonts w:hint="default" w:ascii="Times New Roman" w:hAnsi="Times New Roman" w:cs="Times New Roman"/>
                <w:color w:val="000000" w:themeColor="text1"/>
                <w:szCs w:val="20"/>
                <w:highlight w:val="none"/>
                <w14:textFill>
                  <w14:solidFill>
                    <w14:schemeClr w14:val="tx1"/>
                  </w14:solidFill>
                </w14:textFill>
              </w:rPr>
              <w:t>。</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本项目天然气均密闭输送</w:t>
            </w:r>
            <w:r>
              <w:rPr>
                <w:rFonts w:hint="default" w:ascii="Times New Roman" w:hAnsi="Times New Roman"/>
                <w:color w:val="000000" w:themeColor="text1"/>
                <w:sz w:val="21"/>
                <w:szCs w:val="21"/>
                <w:highlight w:val="none"/>
                <w:lang w:eastAsia="zh-CN"/>
                <w14:textFill>
                  <w14:solidFill>
                    <w14:schemeClr w14:val="tx1"/>
                  </w14:solidFill>
                </w14:textFill>
              </w:rPr>
              <w:t>，有效降低挥发性有机物无组织排放量</w:t>
            </w:r>
            <w:r>
              <w:rPr>
                <w:rFonts w:hint="default"/>
                <w:color w:val="000000" w:themeColor="text1"/>
                <w:szCs w:val="20"/>
                <w:highlight w:val="none"/>
                <w14:textFill>
                  <w14:solidFill>
                    <w14:schemeClr w14:val="tx1"/>
                  </w14:solidFill>
                </w14:textFill>
              </w:rPr>
              <w:t>。不涉及天然气净化。强化了钻井、输送等环节环境风险防范措施。集气站</w:t>
            </w:r>
            <w:r>
              <w:rPr>
                <w:rFonts w:hint="eastAsia"/>
                <w:color w:val="000000" w:themeColor="text1"/>
                <w:szCs w:val="20"/>
                <w:highlight w:val="none"/>
                <w14:textFill>
                  <w14:solidFill>
                    <w14:schemeClr w14:val="tx1"/>
                  </w14:solidFill>
                </w14:textFill>
              </w:rPr>
              <w:t>水套</w:t>
            </w:r>
            <w:r>
              <w:rPr>
                <w:rFonts w:hint="default"/>
                <w:color w:val="000000" w:themeColor="text1"/>
                <w:szCs w:val="20"/>
                <w:highlight w:val="none"/>
                <w14:textFill>
                  <w14:solidFill>
                    <w14:schemeClr w14:val="tx1"/>
                  </w14:solidFill>
                </w14:textFill>
              </w:rPr>
              <w:t>加热炉与火炬长明灯采用的燃料气为</w:t>
            </w:r>
            <w:r>
              <w:rPr>
                <w:rFonts w:hint="eastAsia"/>
                <w:color w:val="000000" w:themeColor="text1"/>
                <w:szCs w:val="20"/>
                <w:highlight w:val="none"/>
                <w:lang w:val="en-US" w:eastAsia="zh-CN"/>
                <w14:textFill>
                  <w14:solidFill>
                    <w14:schemeClr w14:val="tx1"/>
                  </w14:solidFill>
                </w14:textFill>
              </w:rPr>
              <w:t>自产不含硫</w:t>
            </w:r>
            <w:r>
              <w:rPr>
                <w:rFonts w:hint="default"/>
                <w:color w:val="000000" w:themeColor="text1"/>
                <w:szCs w:val="20"/>
                <w:highlight w:val="none"/>
                <w14:textFill>
                  <w14:solidFill>
                    <w14:schemeClr w14:val="tx1"/>
                  </w14:solidFill>
                </w14:textFill>
              </w:rPr>
              <w:t>天然气作为燃料，满足国家大气污染物排放标准。</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 保护措施。</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项目按标准化井场进行建设，试采井站在原钻井平台占地范围内实施。本次评价已提出施工结束后，应当及时落实生态保护措施。</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陆地油气长输管道项目，原则上应当单独编制环评文件。</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本项目不涉及油气长输管道。</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本项目不涉及油气储存。本项目进行了非甲烷总烃监测，同时站场内设置了可燃气体报警仪、硫化氢气体检测仪、硫化氢气体报警仪。本次评价</w:t>
            </w:r>
            <w:r>
              <w:rPr>
                <w:rFonts w:hint="eastAsia"/>
                <w:color w:val="000000" w:themeColor="text1"/>
                <w:szCs w:val="20"/>
                <w:highlight w:val="none"/>
                <w:lang w:val="en-US" w:eastAsia="zh-CN"/>
                <w14:textFill>
                  <w14:solidFill>
                    <w14:schemeClr w14:val="tx1"/>
                  </w14:solidFill>
                </w14:textFill>
              </w:rPr>
              <w:t>提出</w:t>
            </w:r>
            <w:r>
              <w:rPr>
                <w:rFonts w:hint="default"/>
                <w:color w:val="000000" w:themeColor="text1"/>
                <w:szCs w:val="20"/>
                <w:highlight w:val="none"/>
                <w14:textFill>
                  <w14:solidFill>
                    <w14:schemeClr w14:val="tx1"/>
                  </w14:solidFill>
                </w14:textFill>
              </w:rPr>
              <w:t>了地下水污染防治和跟踪监测要求。</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油气企业应当加强风险防控，按规定编制突发环境事件应急预案，报所在地生态环境主管部门备案。海洋油气勘探开发溢油应急计划报相关海域生态环境监督管理局备案。</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本次评价要求</w:t>
            </w:r>
            <w:r>
              <w:rPr>
                <w:rFonts w:hint="default" w:ascii="Times New Roman" w:hAnsi="Times New Roman" w:cs="Times New Roman"/>
                <w:color w:val="000000" w:themeColor="text1"/>
                <w:szCs w:val="20"/>
                <w:highlight w:val="none"/>
                <w14:textFill>
                  <w14:solidFill>
                    <w14:schemeClr w14:val="tx1"/>
                  </w14:solidFill>
                </w14:textFill>
              </w:rPr>
              <w:t>建设单位严格按照相关要求编制突发环境事件应急预案，并报所在地生态环境主管部门备案。</w:t>
            </w:r>
          </w:p>
        </w:tc>
        <w:tc>
          <w:tcPr>
            <w:tcW w:w="52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综上所述，本项目符合《关于进一步加强石油天然气行业环境影响评价管理的通知》（环办环评函〔2019〕910号）的相关要求。</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与《陆上石油天然气开采业绿色矿山建设规范》（DZ/T0317-2018）符合性分析</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《陆上石油天然气开采业绿色矿山建设规范》（DZ/T 0317-2018）规定了陆上石油和天然气开采行业绿色矿山矿区环境、资源开发方式、资源综合利用、节能减排、科技创新与信息化、企业管理与企业形象方面的要求。</w:t>
      </w:r>
    </w:p>
    <w:p>
      <w:pPr>
        <w:widowControl w:val="0"/>
        <w:tabs>
          <w:tab w:val="left" w:pos="0"/>
        </w:tabs>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本项目与《陆上石油天然气开采业绿色矿山建设规范》（DZ/T0317-2018）的符合性分析详见表2.7-3。</w:t>
      </w:r>
    </w:p>
    <w:p>
      <w:pPr>
        <w:pStyle w:val="201"/>
        <w:spacing w:before="163"/>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 xml:space="preserve">  本项目与绿色矿山建设规范符合性分析</w:t>
      </w:r>
    </w:p>
    <w:tbl>
      <w:tblPr>
        <w:tblStyle w:val="52"/>
        <w:tblW w:w="8220" w:type="dxa"/>
        <w:jc w:val="center"/>
        <w:tblLayout w:type="fixed"/>
        <w:tblCellMar>
          <w:top w:w="0" w:type="dxa"/>
          <w:left w:w="28" w:type="dxa"/>
          <w:bottom w:w="0" w:type="dxa"/>
          <w:right w:w="28" w:type="dxa"/>
        </w:tblCellMar>
      </w:tblPr>
      <w:tblGrid>
        <w:gridCol w:w="690"/>
        <w:gridCol w:w="3416"/>
        <w:gridCol w:w="3418"/>
        <w:gridCol w:w="696"/>
      </w:tblGrid>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内容</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基本要求</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相符性</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矿区环境</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矿区功能分区布局合理、矿区应绿化、美化，整体环境整洁美观生产、运输、储存等管理规范有序</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建立有管理机构、制定管理制度、运行有序，管理规范；矿区地面道路、供水、供电、卫生、环保等基础配套设施完善，道路平整规范，油气生产、储运过程安全有序</w:t>
            </w:r>
            <w:r>
              <w:rPr>
                <w:rFonts w:hint="eastAsia"/>
                <w:color w:val="000000" w:themeColor="text1"/>
                <w:szCs w:val="20"/>
                <w:highlight w:val="none"/>
                <w:lang w:eastAsia="zh-CN"/>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资源开发方式</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资源开发应与环境保护、资源保护、城乡建设</w:t>
            </w:r>
            <w:r>
              <w:rPr>
                <w:rFonts w:hint="eastAsia"/>
                <w:color w:val="000000" w:themeColor="text1"/>
                <w:szCs w:val="20"/>
                <w:highlight w:val="none"/>
                <w:lang w:eastAsia="zh-CN"/>
                <w14:textFill>
                  <w14:solidFill>
                    <w14:schemeClr w14:val="tx1"/>
                  </w14:solidFill>
                </w14:textFill>
              </w:rPr>
              <w:t>相</w:t>
            </w:r>
            <w:r>
              <w:rPr>
                <w:rFonts w:hint="default"/>
                <w:color w:val="000000" w:themeColor="text1"/>
                <w:szCs w:val="20"/>
                <w:highlight w:val="none"/>
                <w:lang w:eastAsia="zh-CN"/>
                <w14:textFill>
                  <w14:solidFill>
                    <w14:schemeClr w14:val="tx1"/>
                  </w14:solidFill>
                </w14:textFill>
              </w:rPr>
              <w:t>协调，最大限度减少对自然环境的扰动和破坏，选择资源节约型、环境友好型开发方式因矿制宜选择开采工艺和装备，符合清洁生产要求应贯彻“边开采、边治理、边恢复”的原则，及时治理恢复矿区地质环境，复垦矿区压占和损毁土地</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采用丛式井进行钻采，减小了平台占地，优化了平台布局；钻井期间采用网电钻井，减少柴油使用，符合清洁生产要求；施工结束后对无后续开发计划临时占地进行覆土和绿化</w:t>
            </w:r>
            <w:r>
              <w:rPr>
                <w:rFonts w:hint="eastAsia"/>
                <w:color w:val="000000" w:themeColor="text1"/>
                <w:szCs w:val="20"/>
                <w:highlight w:val="none"/>
                <w:lang w:eastAsia="zh-CN"/>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资源综合利用</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按照减量化、资源化、再利用的原则，综合开发利用油气藏共伴生资源，综合利用固体废弃物、废水等，发展循环经济</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水基岩屑减量化后交由固废烧结厂进行烧结后综合利用；压裂返排液优先回用于本项目压裂工段及周边平台压裂工段，不能回用的用罐车拉运至</w:t>
            </w:r>
            <w:r>
              <w:rPr>
                <w:rFonts w:hint="eastAsia"/>
                <w:color w:val="000000" w:themeColor="text1"/>
                <w:szCs w:val="20"/>
                <w:highlight w:val="none"/>
                <w:lang w:eastAsia="zh-CN"/>
                <w14:textFill>
                  <w14:solidFill>
                    <w14:schemeClr w14:val="tx1"/>
                  </w14:solidFill>
                </w14:textFill>
              </w:rPr>
              <w:t>赵家坝污水处理站</w:t>
            </w:r>
            <w:r>
              <w:rPr>
                <w:rFonts w:hint="default"/>
                <w:color w:val="000000" w:themeColor="text1"/>
                <w:szCs w:val="20"/>
                <w:highlight w:val="none"/>
                <w:lang w:eastAsia="zh-CN"/>
                <w14:textFill>
                  <w14:solidFill>
                    <w14:schemeClr w14:val="tx1"/>
                  </w14:solidFill>
                </w14:textFill>
              </w:rPr>
              <w:t>处理达标后经</w:t>
            </w:r>
            <w:r>
              <w:rPr>
                <w:rFonts w:hint="eastAsia"/>
                <w:color w:val="000000" w:themeColor="text1"/>
                <w:szCs w:val="20"/>
                <w:highlight w:val="none"/>
                <w:lang w:eastAsia="zh-CN"/>
                <w14:textFill>
                  <w14:solidFill>
                    <w14:schemeClr w14:val="tx1"/>
                  </w14:solidFill>
                </w14:textFill>
              </w:rPr>
              <w:t>普光3井回注站回注，不外排。</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节能减排</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建立油气田生产安全过程能耗核算体系，通过采取节能减排措施，控制并减少单位产品能耗、物耗、水耗，减少“三废”排放</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为降低能耗，本工程采取如下节能措施：（1）放空阀采用密封性和可靠性良好的阀门减少放空漏失量；（2）选用高效加热炉，节约能量，同时减少天然气消耗量；（3）充分利用井口的压力，以满足不设增压设备直接外输的工艺，降低项目耗电量；（4）在满足工艺和安全要求的情况下，尽可能采用节电型产品</w:t>
            </w:r>
            <w:r>
              <w:rPr>
                <w:rFonts w:hint="eastAsia"/>
                <w:color w:val="000000" w:themeColor="text1"/>
                <w:szCs w:val="20"/>
                <w:highlight w:val="none"/>
                <w:lang w:eastAsia="zh-CN"/>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科技创新与信息化</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建立科技研发对话，推广转化科技成果，加大技术改造力度，推动产业升级建设数字化油气田，实现企业生产、经营、管理的信息化</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普光分公司建立有信息化监控管理体系</w:t>
            </w:r>
            <w:r>
              <w:rPr>
                <w:rFonts w:hint="eastAsia"/>
                <w:color w:val="000000" w:themeColor="text1"/>
                <w:szCs w:val="20"/>
                <w:highlight w:val="none"/>
                <w:lang w:eastAsia="zh-CN"/>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CellMar>
            <w:top w:w="0" w:type="dxa"/>
            <w:left w:w="28" w:type="dxa"/>
            <w:bottom w:w="0" w:type="dxa"/>
            <w:right w:w="2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企业管理与企业形象</w:t>
            </w:r>
          </w:p>
        </w:tc>
        <w:tc>
          <w:tcPr>
            <w:tcW w:w="3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应建立涵盖产权、责任、管理和文化等方面的企业管理制度应建立质量管理体系、环境管理体系和职业健康安全管理体系，确保质量、环境、职业健康与安全的管理</w:t>
            </w:r>
          </w:p>
        </w:tc>
        <w:tc>
          <w:tcPr>
            <w:tcW w:w="3418" w:type="dxa"/>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建设单位建立了相关管理制度；建立了质量管理体系、HSE管理体系和职业健康安全管理体系</w:t>
            </w:r>
            <w:r>
              <w:rPr>
                <w:rFonts w:hint="eastAsia"/>
                <w:color w:val="000000" w:themeColor="text1"/>
                <w:szCs w:val="20"/>
                <w:highlight w:val="none"/>
                <w:lang w:eastAsia="zh-CN"/>
                <w14:textFill>
                  <w14:solidFill>
                    <w14:schemeClr w14:val="tx1"/>
                  </w14:solidFill>
                </w14:textFill>
              </w:rPr>
              <w:t>。</w:t>
            </w:r>
          </w:p>
        </w:tc>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29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pStyle w:val="4"/>
        <w:pageBreakBefore w:val="0"/>
        <w:widowControl w:val="0"/>
        <w:kinsoku/>
        <w:wordWrap/>
        <w:overflowPunct/>
        <w:topLinePunct w:val="0"/>
        <w:bidi w:val="0"/>
        <w:adjustRightInd w:val="0"/>
        <w:snapToGrid w:val="0"/>
        <w:spacing w:before="0" w:beforeLines="0"/>
        <w:ind w:left="480" w:leftChars="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与</w:t>
      </w:r>
      <w:r>
        <w:rPr>
          <w:rFonts w:hint="eastAsia" w:cs="Times New Roman"/>
          <w:color w:val="000000" w:themeColor="text1"/>
          <w:highlight w:val="none"/>
          <w:lang w:val="en-US" w:eastAsia="zh-CN"/>
          <w14:textFill>
            <w14:solidFill>
              <w14:schemeClr w14:val="tx1"/>
            </w14:solidFill>
          </w14:textFill>
        </w:rPr>
        <w:t>主体功能区及生态功能区</w:t>
      </w:r>
      <w:r>
        <w:rPr>
          <w:rFonts w:hint="default" w:cs="Times New Roman"/>
          <w:color w:val="000000" w:themeColor="text1"/>
          <w:highlight w:val="none"/>
          <w:lang w:val="en-US" w:eastAsia="zh-CN"/>
          <w14:textFill>
            <w14:solidFill>
              <w14:schemeClr w14:val="tx1"/>
            </w14:solidFill>
          </w14:textFill>
        </w:rPr>
        <w:t>符合性分析</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生态功能区划符合性分析</w:t>
      </w:r>
    </w:p>
    <w:p>
      <w:pPr>
        <w:pStyle w:val="250"/>
        <w:adjustRightInd w:val="0"/>
        <w:snapToGrid w:val="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评价区域为农林生态系统，生态系统单一，结构简单，环境异质性差。区域以自然生境为主，易于恢复。</w:t>
      </w:r>
    </w:p>
    <w:p>
      <w:pPr>
        <w:pStyle w:val="250"/>
        <w:adjustRightInd w:val="0"/>
        <w:snapToGrid w:val="0"/>
        <w:ind w:firstLine="480"/>
        <w:rPr>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根据《四川省生态功能区划》，项目所在地达州市</w:t>
      </w:r>
      <w:r>
        <w:rPr>
          <w:rFonts w:hint="eastAsia"/>
          <w:color w:val="000000" w:themeColor="text1"/>
          <w:szCs w:val="24"/>
          <w:highlight w:val="none"/>
          <w:lang w:eastAsia="zh-CN"/>
          <w14:textFill>
            <w14:solidFill>
              <w14:schemeClr w14:val="tx1"/>
            </w14:solidFill>
          </w14:textFill>
        </w:rPr>
        <w:t>宣汉县***</w:t>
      </w:r>
      <w:r>
        <w:rPr>
          <w:color w:val="000000" w:themeColor="text1"/>
          <w:szCs w:val="24"/>
          <w:highlight w:val="none"/>
          <w14:textFill>
            <w14:solidFill>
              <w14:schemeClr w14:val="tx1"/>
            </w14:solidFill>
          </w14:textFill>
        </w:rPr>
        <w:t>位于Ⅰ四川盆地亚热带农林生态区——Ⅰ-2盆中丘陵农林复合生态亚区——Ⅰ-2-1盆北深丘农林与土壤保持生态功能区，其生态建设与发展方向为：发掘历史文化财富，开发人文景观资源，发展旅游观光业及相关产业链。维护森林生态系统和农田生态系统的良性循环，改善水土流失现状；发展中药材产业，做好野生资源保护工作。拟建项目区不占用自然保护区、森林公园、地质公园和风景名胜区等环境敏感区，占地面积占区域土地面积的比例很小，严格按照水保要求采取水土流失防治措施，项目建设不会明显加剧区域的水土流失和地质灾害，对天然林资源、动植物资源影响小，因此，项目建设对该生态功能区的生态功能影响很小，符合《四川省生态功能区划》要求。</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与四川省主体功能区规划的符合性分析</w:t>
      </w:r>
    </w:p>
    <w:p>
      <w:pPr>
        <w:pStyle w:val="25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（1）四川省主体功能区规划概述</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根据《四川省主体功能区规划》（川府发〔2013〕16号文）（以下简称《规划》），全省主体功能区分为以下四个大类：</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1）重点开发区域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包括成都平原、川南、川东北和攀西地区19市（州）中的89个县（市、区），以及与之相连的50个点状开发城镇，该区域面积10.3万平方公里，占全省幅员面积21.2%；分为国家层面重点开发区域和省级层面重点开发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该功能区是全省经济增长的重要支撑区，实施加快推进新型工业化新型城镇化的主要承载区，是全省经济和人口密集区。</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2）限制开发区域（农产品主产区）</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幅员面积13.4%。</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3）限制开发区域（重点生态功能区）</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生态功能区共57个县（市），总面积31.8万平方公里，扣除其中省级重点生态功能区中重点开发的县城镇及重点镇规划面积，占全省幅员面积65.4%；分为国家层面的重点生态功能区和省级层面的重点生态功能区。</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4）禁止开发区域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该区域是四川省自然文化资源的重要区域，森林、湿地生态、生物多样性和珍稀动植物基因资源保护地，重要水土保持区域与重要饮用水水源保护地。</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25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（2）与四川省主体功能区规划的符合性分析</w:t>
      </w:r>
    </w:p>
    <w:p>
      <w:pPr>
        <w:pStyle w:val="2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四川省人民政府关于印发四川省主体功能区规划的通知》（川府发〔2013〕16号），本项目所在地属限制开发区域（农产品主产区），不属于重点生态功能区，该地区无国家级自然保护区、世界文化遗产、国家风景名胜区、国家森林公园和国家地质公园。项目不在禁止开发区，不在重点保护区内，符合《四川省主体功能区规划》要求。</w:t>
      </w:r>
    </w:p>
    <w:p>
      <w:pPr>
        <w:pStyle w:val="25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3962400</wp:posOffset>
                </wp:positionH>
                <wp:positionV relativeFrom="paragraph">
                  <wp:posOffset>1052830</wp:posOffset>
                </wp:positionV>
                <wp:extent cx="534035" cy="234950"/>
                <wp:effectExtent l="0" t="0" r="170815" b="184150"/>
                <wp:wrapNone/>
                <wp:docPr id="13" name="圆角矩形标注 13"/>
                <wp:cNvGraphicFramePr/>
                <a:graphic xmlns:a="http://schemas.openxmlformats.org/drawingml/2006/main">
                  <a:graphicData uri="http://schemas.microsoft.com/office/word/2010/wordprocessingShape">
                    <wps:wsp>
                      <wps:cNvSpPr/>
                      <wps:spPr>
                        <a:xfrm>
                          <a:off x="5150485" y="1953895"/>
                          <a:ext cx="534035" cy="234950"/>
                        </a:xfrm>
                        <a:prstGeom prst="wedgeRoundRectCallout">
                          <a:avLst>
                            <a:gd name="adj1" fmla="val 78509"/>
                            <a:gd name="adj2" fmla="val 126335"/>
                            <a:gd name="adj3" fmla="val 16667"/>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olor w:val="FFFFFF" w:themeColor="background1"/>
                                <w:sz w:val="15"/>
                                <w:szCs w:val="15"/>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sz w:val="15"/>
                                <w:szCs w:val="15"/>
                                <w:lang w:val="en-US" w:eastAsia="zh-CN"/>
                                <w14:textOutline w14:w="9525">
                                  <w14:solidFill>
                                    <w14:srgbClr w14:val="FF0000"/>
                                  </w14:solidFill>
                                  <w14:round/>
                                </w14:textOutline>
                                <w14:textFill>
                                  <w14:solidFill>
                                    <w14:schemeClr w14:val="bg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2pt;margin-top:82.9pt;height:18.5pt;width:42.05pt;z-index:251667456;v-text-anchor:middle;mso-width-relative:page;mso-height-relative:page;" fillcolor="#FFFFFF [3212]" filled="t" stroked="f" coordsize="21600,21600" o:gfxdata="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rvQeXbAAAACwEAAA8AAAAAAAAAAQAgAAAAIgAAAGRycy9kb3ducmV2LnhtbFBLAQIUABQA&#10;AAAIAIdO4kCo6gHs0QIAAHYFAAAOAAAAAAAAAAEAIAAAACoBAABkcnMvZTJvRG9jLnhtbFBLBQYA&#10;AAAABgAGAFkBAABtBgAAAAA=&#10;" adj="27758,38088,1440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olor w:val="FFFFFF" w:themeColor="background1"/>
                          <w:sz w:val="15"/>
                          <w:szCs w:val="15"/>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sz w:val="15"/>
                          <w:szCs w:val="15"/>
                          <w:lang w:val="en-US" w:eastAsia="zh-CN"/>
                          <w14:textOutline w14:w="9525">
                            <w14:solidFill>
                              <w14:srgbClr w14:val="FF0000"/>
                            </w14:solidFill>
                            <w14:round/>
                          </w14:textOutline>
                          <w14:textFill>
                            <w14:solidFill>
                              <w14:schemeClr w14:val="bg1"/>
                            </w14:solidFill>
                          </w14:textFill>
                        </w:rPr>
                        <w:t>本项目</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4597400</wp:posOffset>
                </wp:positionH>
                <wp:positionV relativeFrom="paragraph">
                  <wp:posOffset>1414780</wp:posOffset>
                </wp:positionV>
                <wp:extent cx="75565" cy="75565"/>
                <wp:effectExtent l="10795" t="0" r="46990" b="46990"/>
                <wp:wrapNone/>
                <wp:docPr id="11" name="十字星 11"/>
                <wp:cNvGraphicFramePr/>
                <a:graphic xmlns:a="http://schemas.openxmlformats.org/drawingml/2006/main">
                  <a:graphicData uri="http://schemas.microsoft.com/office/word/2010/wordprocessingShape">
                    <wps:wsp>
                      <wps:cNvSpPr/>
                      <wps:spPr>
                        <a:xfrm>
                          <a:off x="5753100" y="2297430"/>
                          <a:ext cx="75565" cy="75565"/>
                        </a:xfrm>
                        <a:prstGeom prst="star4">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62pt;margin-top:111.4pt;height:5.95pt;width:5.95pt;z-index:251666432;v-text-anchor:middle;mso-width-relative:page;mso-height-relative:page;" fillcolor="#FF0000" filled="t" stroked="t" coordsize="21600,21600" o:gfxdata="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eiih3bAAAACwEAAA8AAAAAAAAAAQAgAAAA&#10;IgAAAGRycy9kb3ducmV2LnhtbFBLAQIUABQAAAAIAIdO4kCSMhDYegIAAAMFAAAOAAAAAAAAAAEA&#10;IAAAACoBAABkcnMvZTJvRG9jLnhtbFBLBQYAAAAABgAGAFkBAAAWBgAAAAA=&#10;" adj="8100">
                <v:fill on="t" focussize="0,0"/>
                <v:stroke weight="1pt" color="#FF0000 [2404]" miterlimit="8" joinstyle="miter"/>
                <v:imagedata o:title=""/>
                <o:lock v:ext="edit" aspectratio="f"/>
              </v:shape>
            </w:pict>
          </mc:Fallback>
        </mc:AlternateContent>
      </w:r>
      <w:r>
        <w:rPr>
          <w:rFonts w:hint="default"/>
          <w:color w:val="000000" w:themeColor="text1"/>
          <w:highlight w:val="none"/>
          <w14:textFill>
            <w14:solidFill>
              <w14:schemeClr w14:val="tx1"/>
            </w14:solidFill>
          </w14:textFill>
        </w:rPr>
        <w:drawing>
          <wp:inline distT="0" distB="0" distL="114300" distR="114300">
            <wp:extent cx="5184140" cy="3619500"/>
            <wp:effectExtent l="0" t="0" r="16510" b="0"/>
            <wp:docPr id="435197355" name="图片 1"/>
            <wp:cNvGraphicFramePr/>
            <a:graphic xmlns:a="http://schemas.openxmlformats.org/drawingml/2006/main">
              <a:graphicData uri="http://schemas.openxmlformats.org/drawingml/2006/picture">
                <pic:pic xmlns:pic="http://schemas.openxmlformats.org/drawingml/2006/picture">
                  <pic:nvPicPr>
                    <pic:cNvPr id="435197355" name="图片 1"/>
                    <pic:cNvPicPr>
                      <a:picLocks noChangeArrowheads="1"/>
                    </pic:cNvPicPr>
                  </pic:nvPicPr>
                  <pic:blipFill>
                    <a:blip r:embed="rId14" cstate="print">
                      <a:extLst>
                        <a:ext uri="{28A0092B-C50C-407E-A947-70E740481C1C}">
                          <a14:useLocalDpi xmlns:a14="http://schemas.microsoft.com/office/drawing/2010/main" val="0"/>
                        </a:ext>
                      </a:extLst>
                    </a:blip>
                    <a:srcRect l="14778" r="13237"/>
                    <a:stretch>
                      <a:fillRect/>
                    </a:stretch>
                  </pic:blipFill>
                  <pic:spPr>
                    <a:xfrm>
                      <a:off x="0" y="0"/>
                      <a:ext cx="5184140" cy="3619500"/>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四川省主体功能区划</w:t>
      </w:r>
      <w:r>
        <w:rPr>
          <w:rFonts w:hint="eastAsia"/>
          <w:color w:val="000000" w:themeColor="text1"/>
          <w:highlight w:val="none"/>
          <w14:textFill>
            <w14:solidFill>
              <w14:schemeClr w14:val="tx1"/>
            </w14:solidFill>
          </w14:textFill>
        </w:rPr>
        <w:t>图</w:t>
      </w:r>
    </w:p>
    <w:p>
      <w:pPr>
        <w:pStyle w:val="4"/>
        <w:pageBreakBefore w:val="0"/>
        <w:widowControl w:val="0"/>
        <w:kinsoku/>
        <w:wordWrap/>
        <w:overflowPunct/>
        <w:topLinePunct w:val="0"/>
        <w:bidi w:val="0"/>
        <w:adjustRightInd w:val="0"/>
        <w:snapToGrid w:val="0"/>
        <w:spacing w:before="0" w:beforeLines="0"/>
        <w:ind w:left="480" w:leftChars="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与</w:t>
      </w:r>
      <w:r>
        <w:rPr>
          <w:rFonts w:hint="eastAsia" w:cs="Times New Roman"/>
          <w:color w:val="000000" w:themeColor="text1"/>
          <w:highlight w:val="none"/>
          <w:lang w:val="en-US" w:eastAsia="zh-CN"/>
          <w14:textFill>
            <w14:solidFill>
              <w14:schemeClr w14:val="tx1"/>
            </w14:solidFill>
          </w14:textFill>
        </w:rPr>
        <w:t>社会经济及能源规划</w:t>
      </w:r>
      <w:r>
        <w:rPr>
          <w:rFonts w:hint="default" w:cs="Times New Roman"/>
          <w:color w:val="000000" w:themeColor="text1"/>
          <w:highlight w:val="none"/>
          <w:lang w:val="en-US" w:eastAsia="zh-CN"/>
          <w14:textFill>
            <w14:solidFill>
              <w14:schemeClr w14:val="tx1"/>
            </w14:solidFill>
          </w14:textFill>
        </w:rPr>
        <w:t>符合性分析</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与《达州市国民经济和社会发展第十四个五年规划和二〇三五年远景目标纲要》的符合性分析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达州市国民经济和社会发展第十四个五年规划和二〇三五年远景目标纲要》中，强调要打造中国“气大庆”，实施中国“气大庆”建设行动，加强天然气产供储销体系建设，建成全国最大天然气（页岩气）生产基地，天然气年产量力争达到630亿推进中国“气大庆”建设。对接国有油气企业混合所有制改革，探索央（企）地资源开发利益共享共赢发展模式。</w:t>
      </w:r>
      <w:r>
        <w:rPr>
          <w:rFonts w:cs="Times New Roman"/>
          <w:b/>
          <w:bCs/>
          <w:color w:val="000000" w:themeColor="text1"/>
          <w:highlight w:val="none"/>
          <w14:textFill>
            <w14:solidFill>
              <w14:schemeClr w14:val="tx1"/>
            </w14:solidFill>
          </w14:textFill>
        </w:rPr>
        <w:t>加大勘探开发力度，重点实施中石油川东北高含硫天然气开发项目（二期）、达州致密气勘探开发项目等天然气开发项目，统筹加强中石化普光气田新井和中石油其他区块产能建设，服务国家能源战略、保障天然气供应安全</w:t>
      </w:r>
      <w:r>
        <w:rPr>
          <w:rFonts w:cs="Times New Roman"/>
          <w:color w:val="000000" w:themeColor="text1"/>
          <w:highlight w:val="none"/>
          <w14:textFill>
            <w14:solidFill>
              <w14:schemeClr w14:val="tx1"/>
            </w14:solidFill>
          </w14:textFill>
        </w:rPr>
        <w:t>。全面规范提升天然气供应水平，完善天然气管网公平接入机制，推进市域输气管网与国家干网的互联互通，不断扩大天然气“直供”范围。努力提升天然气综合利用水平，因地制宜发展天然气分布式能源，支持建设四川省天然气调峰发电基地，建设川投气电清洁能源发电项目。有序发展天然气（LNG）车船，加快清洁汽车、船舶推广及加气（注）站建设步伐，提高LNG在长途公共交通、货运物流、内河船舶燃料中的比重，大力提升城市公共交通清洁能源（含新能源）使用率。</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本项目属于中石化普光气田新井钻井与试采发项目，因此本项目符合达州市国民经济和社会发展规划纲要。</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与能源发展规划符合性分析</w:t>
      </w:r>
    </w:p>
    <w:p>
      <w:pPr>
        <w:autoSpaceDE w:val="0"/>
        <w:autoSpaceDN w:val="0"/>
        <w:spacing w:line="360" w:lineRule="auto"/>
        <w:ind w:firstLine="482" w:firstLineChars="200"/>
        <w:rPr>
          <w:rFonts w:ascii="Times New Roman" w:hAnsi="Times New Roman"/>
          <w:b/>
          <w:bCs/>
          <w:color w:val="000000" w:themeColor="text1"/>
          <w:sz w:val="24"/>
          <w:highlight w:val="none"/>
          <w:lang w:eastAsia="zh-CN"/>
          <w14:textFill>
            <w14:solidFill>
              <w14:schemeClr w14:val="tx1"/>
            </w14:solidFill>
          </w14:textFill>
        </w:rPr>
      </w:pPr>
      <w:r>
        <w:rPr>
          <w:rFonts w:ascii="Times New Roman" w:hAnsi="Times New Roman"/>
          <w:b/>
          <w:bCs/>
          <w:color w:val="000000" w:themeColor="text1"/>
          <w:sz w:val="24"/>
          <w:highlight w:val="none"/>
          <w:lang w:eastAsia="zh-CN"/>
          <w14:textFill>
            <w14:solidFill>
              <w14:schemeClr w14:val="tx1"/>
            </w14:solidFill>
          </w14:textFill>
        </w:rPr>
        <w:t>（1）与《</w:t>
      </w:r>
      <w:bookmarkStart w:id="82" w:name="_Hlk140914417"/>
      <w:r>
        <w:rPr>
          <w:rFonts w:hint="eastAsia" w:ascii="宋体" w:hAnsi="宋体" w:eastAsia="宋体" w:cs="宋体"/>
          <w:b/>
          <w:bCs/>
          <w:color w:val="000000" w:themeColor="text1"/>
          <w:sz w:val="24"/>
          <w:highlight w:val="none"/>
          <w:lang w:eastAsia="zh-CN"/>
          <w14:textFill>
            <w14:solidFill>
              <w14:schemeClr w14:val="tx1"/>
            </w14:solidFill>
          </w14:textFill>
        </w:rPr>
        <w:t>“十四五”</w:t>
      </w:r>
      <w:r>
        <w:rPr>
          <w:rFonts w:ascii="Times New Roman" w:hAnsi="Times New Roman"/>
          <w:b/>
          <w:bCs/>
          <w:color w:val="000000" w:themeColor="text1"/>
          <w:sz w:val="24"/>
          <w:highlight w:val="none"/>
          <w:lang w:eastAsia="zh-CN"/>
          <w14:textFill>
            <w14:solidFill>
              <w14:schemeClr w14:val="tx1"/>
            </w14:solidFill>
          </w14:textFill>
        </w:rPr>
        <w:t>现代能源体系规划</w:t>
      </w:r>
      <w:bookmarkEnd w:id="82"/>
      <w:r>
        <w:rPr>
          <w:rFonts w:ascii="Times New Roman" w:hAnsi="Times New Roman"/>
          <w:b/>
          <w:bCs/>
          <w:color w:val="000000" w:themeColor="text1"/>
          <w:sz w:val="24"/>
          <w:highlight w:val="none"/>
          <w:lang w:eastAsia="zh-CN"/>
          <w14:textFill>
            <w14:solidFill>
              <w14:schemeClr w14:val="tx1"/>
            </w14:solidFill>
          </w14:textFill>
        </w:rPr>
        <w:t>》符合性分析</w:t>
      </w:r>
    </w:p>
    <w:p>
      <w:pPr>
        <w:autoSpaceDE w:val="0"/>
        <w:autoSpaceDN w:val="0"/>
        <w:spacing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根据国家发展改革委 国家能源局于2022年印发的《</w:t>
      </w:r>
      <w:r>
        <w:rPr>
          <w:rFonts w:hint="eastAsia" w:ascii="宋体" w:hAnsi="宋体" w:eastAsia="宋体" w:cs="宋体"/>
          <w:color w:val="000000" w:themeColor="text1"/>
          <w:sz w:val="24"/>
          <w:highlight w:val="none"/>
          <w:lang w:eastAsia="zh-CN"/>
          <w14:textFill>
            <w14:solidFill>
              <w14:schemeClr w14:val="tx1"/>
            </w14:solidFill>
          </w14:textFill>
        </w:rPr>
        <w:t>“十四五”</w:t>
      </w:r>
      <w:r>
        <w:rPr>
          <w:rFonts w:ascii="Times New Roman" w:hAnsi="Times New Roman"/>
          <w:color w:val="000000" w:themeColor="text1"/>
          <w:sz w:val="24"/>
          <w:highlight w:val="none"/>
          <w:lang w:eastAsia="zh-CN"/>
          <w14:textFill>
            <w14:solidFill>
              <w14:schemeClr w14:val="tx1"/>
            </w14:solidFill>
          </w14:textFill>
        </w:rPr>
        <w:t>现代能源体系规划》（发改能源〔2022〕210号）：油气勘探开发。立足</w:t>
      </w:r>
      <w:r>
        <w:rPr>
          <w:rFonts w:ascii="Times New Roman" w:hAnsi="Times New Roman"/>
          <w:b/>
          <w:bCs/>
          <w:color w:val="000000" w:themeColor="text1"/>
          <w:sz w:val="24"/>
          <w:highlight w:val="none"/>
          <w:lang w:eastAsia="zh-CN"/>
          <w14:textFill>
            <w14:solidFill>
              <w14:schemeClr w14:val="tx1"/>
            </w14:solidFill>
          </w14:textFill>
        </w:rPr>
        <w:t>四川盆地</w:t>
      </w:r>
      <w:r>
        <w:rPr>
          <w:rFonts w:ascii="Times New Roman" w:hAnsi="Times New Roman"/>
          <w:color w:val="000000" w:themeColor="text1"/>
          <w:sz w:val="24"/>
          <w:highlight w:val="none"/>
          <w:lang w:eastAsia="zh-CN"/>
          <w14:textFill>
            <w14:solidFill>
              <w14:schemeClr w14:val="tx1"/>
            </w14:solidFill>
          </w14:textFill>
        </w:rPr>
        <w:t>、塔里木盆地、鄂尔多斯盆地、准噶尔盆地、松辽盆地、渤海湾盆地、柴达木盆地等重点盆地，加强中西部地区和海域风险勘探，强化东部老区精细勘探。推动准噶尔盆地玛湖、吉木萨尔页岩油，鄂尔多斯盆地页岩油、致密气，松辽盆地大庆古龙页岩油，四川盆地川中古隆起、川南页岩气，塔里木盆地顺北、富满、博孜—大北，鄂西、陕南、滇黔北页岩气，海域渤中、垦利、恩平等油气上产工程。加快推进四川盆地“气大庆”、塔里木盆地</w:t>
      </w:r>
      <w:r>
        <w:rPr>
          <w:rFonts w:hint="eastAsia" w:ascii="宋体" w:hAnsi="宋体" w:eastAsia="宋体" w:cs="宋体"/>
          <w:color w:val="000000" w:themeColor="text1"/>
          <w:sz w:val="24"/>
          <w:highlight w:val="none"/>
          <w:lang w:eastAsia="zh-CN"/>
          <w14:textFill>
            <w14:solidFill>
              <w14:schemeClr w14:val="tx1"/>
            </w14:solidFill>
          </w14:textFill>
        </w:rPr>
        <w:t>“深层油气大庆”</w:t>
      </w:r>
      <w:r>
        <w:rPr>
          <w:rFonts w:ascii="Times New Roman" w:hAnsi="Times New Roman"/>
          <w:color w:val="000000" w:themeColor="text1"/>
          <w:sz w:val="24"/>
          <w:highlight w:val="none"/>
          <w:lang w:eastAsia="zh-CN"/>
          <w14:textFill>
            <w14:solidFill>
              <w14:schemeClr w14:val="tx1"/>
            </w14:solidFill>
          </w14:textFill>
        </w:rPr>
        <w:t>、鄂尔多斯亿吨级“油气超级盆地”等标志性工程。加强沁水盆地、鄂尔多斯盆地东缘煤层气勘探开发。开展南海等地区天然气水合物试采。</w:t>
      </w:r>
    </w:p>
    <w:p>
      <w:pPr>
        <w:autoSpaceDE w:val="0"/>
        <w:autoSpaceDN w:val="0"/>
        <w:spacing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本工程位于四川盆地，属于</w:t>
      </w:r>
      <w:r>
        <w:rPr>
          <w:rFonts w:hint="eastAsia" w:ascii="Times New Roman" w:hAnsi="Times New Roman"/>
          <w:color w:val="000000" w:themeColor="text1"/>
          <w:sz w:val="24"/>
          <w:highlight w:val="none"/>
          <w:lang w:val="en-US" w:eastAsia="zh-CN"/>
          <w14:textFill>
            <w14:solidFill>
              <w14:schemeClr w14:val="tx1"/>
            </w14:solidFill>
          </w14:textFill>
        </w:rPr>
        <w:t>致密气</w:t>
      </w:r>
      <w:r>
        <w:rPr>
          <w:rFonts w:ascii="Times New Roman" w:hAnsi="Times New Roman"/>
          <w:color w:val="000000" w:themeColor="text1"/>
          <w:sz w:val="24"/>
          <w:highlight w:val="none"/>
          <w:lang w:eastAsia="zh-CN"/>
          <w14:textFill>
            <w14:solidFill>
              <w14:schemeClr w14:val="tx1"/>
            </w14:solidFill>
          </w14:textFill>
        </w:rPr>
        <w:t>勘探项目。因此，本工程的建设符合《</w:t>
      </w:r>
      <w:r>
        <w:rPr>
          <w:rFonts w:hint="eastAsia" w:ascii="宋体" w:hAnsi="宋体" w:eastAsia="宋体" w:cs="宋体"/>
          <w:color w:val="000000" w:themeColor="text1"/>
          <w:sz w:val="24"/>
          <w:highlight w:val="none"/>
          <w:lang w:eastAsia="zh-CN"/>
          <w14:textFill>
            <w14:solidFill>
              <w14:schemeClr w14:val="tx1"/>
            </w14:solidFill>
          </w14:textFill>
        </w:rPr>
        <w:t>“十四五”</w:t>
      </w:r>
      <w:r>
        <w:rPr>
          <w:rFonts w:ascii="Times New Roman" w:hAnsi="Times New Roman"/>
          <w:color w:val="000000" w:themeColor="text1"/>
          <w:sz w:val="24"/>
          <w:highlight w:val="none"/>
          <w:lang w:eastAsia="zh-CN"/>
          <w14:textFill>
            <w14:solidFill>
              <w14:schemeClr w14:val="tx1"/>
            </w14:solidFill>
          </w14:textFill>
        </w:rPr>
        <w:t>现代能源体系规划》（发改能源〔2022〕210号）要求。</w:t>
      </w:r>
    </w:p>
    <w:p>
      <w:pPr>
        <w:tabs>
          <w:tab w:val="left" w:pos="0"/>
        </w:tabs>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（2）与《四川省矿产资源总体规划（2021-2025年）》的符合性分析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四川省矿产资源总体规划（2021-2025年）》是在自然资源部工作要求和省委、省政府工作部署下，依据《矿产资源规划编制实施办法》《全国矿产资源规划（2021—2025年）》《四川省国民经济和社会发展第十四个五年规划和二〇三五年远景目标纲要》等，结合四川省实际，由省厅会同省发展改革委、经济和信息化厅、财政厅、生态环境厅、商务厅制定，本项目与之符合性分析见下表。</w:t>
      </w:r>
    </w:p>
    <w:p>
      <w:pPr>
        <w:widowControl/>
        <w:tabs>
          <w:tab w:val="left" w:pos="863"/>
        </w:tabs>
        <w:adjustRightInd/>
        <w:snapToGrid/>
        <w:spacing w:line="240" w:lineRule="auto"/>
        <w:ind w:firstLine="0" w:firstLineChars="0"/>
        <w:jc w:val="center"/>
        <w:rPr>
          <w:rFonts w:eastAsia="黑体" w:cs="Times New Roman"/>
          <w:color w:val="000000" w:themeColor="text1"/>
          <w:kern w:val="0"/>
          <w:sz w:val="21"/>
          <w:szCs w:val="21"/>
          <w:highlight w:val="none"/>
          <w14:textFill>
            <w14:solidFill>
              <w14:schemeClr w14:val="tx1"/>
            </w14:solidFill>
          </w14:textFill>
        </w:rPr>
      </w:pPr>
      <w:r>
        <w:rPr>
          <w:rFonts w:eastAsia="黑体" w:cs="Times New Roman"/>
          <w:color w:val="000000" w:themeColor="text1"/>
          <w:kern w:val="0"/>
          <w:sz w:val="21"/>
          <w:szCs w:val="21"/>
          <w:highlight w:val="none"/>
          <w14:textFill>
            <w14:solidFill>
              <w14:schemeClr w14:val="tx1"/>
            </w14:solidFill>
          </w14:textFill>
        </w:rPr>
        <w:t>表2.7-13  与《四川省矿产资源总体规划（2021-2025年）》符合性分析表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240"/>
        <w:gridCol w:w="212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240"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s="Times New Roman"/>
                <w:color w:val="000000" w:themeColor="text1"/>
                <w:sz w:val="21"/>
                <w:szCs w:val="21"/>
                <w:highlight w:val="none"/>
                <w14:textFill>
                  <w14:solidFill>
                    <w14:schemeClr w14:val="tx1"/>
                  </w14:solidFill>
                </w14:textFill>
              </w:rPr>
            </w:pPr>
            <w:r>
              <w:rPr>
                <w:rFonts w:hint="default" w:eastAsia="等线" w:cs="Times New Roman"/>
                <w:color w:val="000000" w:themeColor="text1"/>
                <w:sz w:val="21"/>
                <w:szCs w:val="21"/>
                <w:highlight w:val="none"/>
                <w14:textFill>
                  <w14:solidFill>
                    <w14:schemeClr w14:val="tx1"/>
                  </w14:solidFill>
                </w14:textFill>
              </w:rPr>
              <w:t>文件内容</w:t>
            </w:r>
          </w:p>
        </w:tc>
        <w:tc>
          <w:tcPr>
            <w:tcW w:w="2124"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s="Times New Roman"/>
                <w:color w:val="000000" w:themeColor="text1"/>
                <w:sz w:val="21"/>
                <w:szCs w:val="21"/>
                <w:highlight w:val="none"/>
                <w14:textFill>
                  <w14:solidFill>
                    <w14:schemeClr w14:val="tx1"/>
                  </w14:solidFill>
                </w14:textFill>
              </w:rPr>
            </w:pPr>
            <w:r>
              <w:rPr>
                <w:rFonts w:hint="default" w:eastAsia="等线" w:cs="Times New Roman"/>
                <w:color w:val="000000" w:themeColor="text1"/>
                <w:sz w:val="21"/>
                <w:szCs w:val="21"/>
                <w:highlight w:val="none"/>
                <w14:textFill>
                  <w14:solidFill>
                    <w14:schemeClr w14:val="tx1"/>
                  </w14:solidFill>
                </w14:textFill>
              </w:rPr>
              <w:t>本项目情况</w:t>
            </w:r>
          </w:p>
        </w:tc>
        <w:tc>
          <w:tcPr>
            <w:tcW w:w="858"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s="Times New Roman"/>
                <w:color w:val="000000" w:themeColor="text1"/>
                <w:sz w:val="21"/>
                <w:szCs w:val="21"/>
                <w:highlight w:val="none"/>
                <w14:textFill>
                  <w14:solidFill>
                    <w14:schemeClr w14:val="tx1"/>
                  </w14:solidFill>
                </w14:textFill>
              </w:rPr>
            </w:pPr>
            <w:r>
              <w:rPr>
                <w:rFonts w:hint="default" w:eastAsia="等线" w:cs="Times New Roman"/>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240"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第二章、第三节：一、2025年目标：</w:t>
            </w:r>
          </w:p>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重要矿产实现找矿新突破。加大财政投资矿产勘查力度，提高重要矿产资源综合勘查水平和保障程度，新发现战略性矿产资源大中型矿产地10至15处。国家天然气（页岩气）千亿立方米级产能基地、攀西战略资源创新开发试验区建设得到有力支撑</w:t>
            </w:r>
          </w:p>
        </w:tc>
        <w:tc>
          <w:tcPr>
            <w:tcW w:w="2124"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本项目属于天然气</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cs="Times New Roman"/>
                <w:color w:val="000000" w:themeColor="text1"/>
                <w:sz w:val="21"/>
                <w:szCs w:val="21"/>
                <w:highlight w:val="none"/>
                <w14:textFill>
                  <w14:solidFill>
                    <w14:schemeClr w14:val="tx1"/>
                  </w14:solidFill>
                </w14:textFill>
              </w:rPr>
              <w:t>试采项目</w:t>
            </w:r>
          </w:p>
        </w:tc>
        <w:tc>
          <w:tcPr>
            <w:tcW w:w="858"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240"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第三章、第一节：···</w:t>
            </w:r>
            <w:r>
              <w:rPr>
                <w:rFonts w:hint="default" w:cs="Times New Roman"/>
                <w:b/>
                <w:bCs/>
                <w:color w:val="000000" w:themeColor="text1"/>
                <w:sz w:val="21"/>
                <w:szCs w:val="21"/>
                <w:highlight w:val="none"/>
                <w14:textFill>
                  <w14:solidFill>
                    <w14:schemeClr w14:val="tx1"/>
                  </w14:solidFill>
                </w14:textFill>
              </w:rPr>
              <w:t>川东北能源建材勘查开发区</w:t>
            </w:r>
            <w:r>
              <w:rPr>
                <w:rFonts w:hint="default" w:cs="Times New Roman"/>
                <w:color w:val="000000" w:themeColor="text1"/>
                <w:sz w:val="21"/>
                <w:szCs w:val="21"/>
                <w:highlight w:val="none"/>
                <w14:textFill>
                  <w14:solidFill>
                    <w14:schemeClr w14:val="tx1"/>
                  </w14:solidFill>
                </w14:textFill>
              </w:rPr>
              <w:t>。包括南充、</w:t>
            </w:r>
            <w:r>
              <w:rPr>
                <w:rFonts w:hint="default" w:cs="Times New Roman"/>
                <w:b/>
                <w:bCs/>
                <w:color w:val="000000" w:themeColor="text1"/>
                <w:sz w:val="21"/>
                <w:szCs w:val="21"/>
                <w:highlight w:val="none"/>
                <w14:textFill>
                  <w14:solidFill>
                    <w14:schemeClr w14:val="tx1"/>
                  </w14:solidFill>
                </w14:textFill>
              </w:rPr>
              <w:t>达州</w:t>
            </w:r>
            <w:r>
              <w:rPr>
                <w:rFonts w:hint="default" w:cs="Times New Roman"/>
                <w:color w:val="000000" w:themeColor="text1"/>
                <w:sz w:val="21"/>
                <w:szCs w:val="21"/>
                <w:highlight w:val="none"/>
                <w14:textFill>
                  <w14:solidFill>
                    <w14:schemeClr w14:val="tx1"/>
                  </w14:solidFill>
                </w14:textFill>
              </w:rPr>
              <w:t>、广安、巴中、广元5市，大力发展清洁能源化工、特色矿产品精深加工，推动川东北经济区振兴发展。</w:t>
            </w:r>
            <w:r>
              <w:rPr>
                <w:rFonts w:hint="default" w:cs="Times New Roman"/>
                <w:b/>
                <w:bCs/>
                <w:color w:val="000000" w:themeColor="text1"/>
                <w:sz w:val="21"/>
                <w:szCs w:val="21"/>
                <w:highlight w:val="none"/>
                <w14:textFill>
                  <w14:solidFill>
                    <w14:schemeClr w14:val="tx1"/>
                  </w14:solidFill>
                </w14:textFill>
              </w:rPr>
              <w:t>重点加强达州、广元、广安、巴中地区天然气、页岩油、致密气勘探开发</w:t>
            </w:r>
          </w:p>
        </w:tc>
        <w:tc>
          <w:tcPr>
            <w:tcW w:w="2124"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本项目位于达州，属于天然气</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cs="Times New Roman"/>
                <w:color w:val="000000" w:themeColor="text1"/>
                <w:sz w:val="21"/>
                <w:szCs w:val="21"/>
                <w:highlight w:val="none"/>
                <w14:textFill>
                  <w14:solidFill>
                    <w14:schemeClr w14:val="tx1"/>
                  </w14:solidFill>
                </w14:textFill>
              </w:rPr>
              <w:t>试采项目</w:t>
            </w:r>
          </w:p>
        </w:tc>
        <w:tc>
          <w:tcPr>
            <w:tcW w:w="858"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240"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第五章、第一节：···大力支持天然气、页岩气开采，2025年底全省天然气（页岩气）产量达到630亿立方米/年，2035年建成国家天然气（页岩气）千亿立方米级产能基地</w:t>
            </w:r>
          </w:p>
        </w:tc>
        <w:tc>
          <w:tcPr>
            <w:tcW w:w="2124"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本项目属于天然气</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cs="Times New Roman"/>
                <w:color w:val="000000" w:themeColor="text1"/>
                <w:sz w:val="21"/>
                <w:szCs w:val="21"/>
                <w:highlight w:val="none"/>
                <w14:textFill>
                  <w14:solidFill>
                    <w14:schemeClr w14:val="tx1"/>
                  </w14:solidFill>
                </w14:textFill>
              </w:rPr>
              <w:t>试采项目，试采期将对天然气进行试采，有利于提高全省天然气产量</w:t>
            </w:r>
          </w:p>
        </w:tc>
        <w:tc>
          <w:tcPr>
            <w:tcW w:w="858" w:type="dxa"/>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本项目为</w:t>
      </w:r>
      <w:r>
        <w:rPr>
          <w:rFonts w:hint="eastAsia" w:cs="Times New Roman"/>
          <w:color w:val="000000" w:themeColor="text1"/>
          <w:szCs w:val="24"/>
          <w:highlight w:val="none"/>
          <w:lang w:eastAsia="zh-CN"/>
          <w14:textFill>
            <w14:solidFill>
              <w14:schemeClr w14:val="tx1"/>
            </w14:solidFill>
          </w14:textFill>
        </w:rPr>
        <w:t>天然气勘探及试采工程</w:t>
      </w:r>
      <w:r>
        <w:rPr>
          <w:rFonts w:cs="Times New Roman"/>
          <w:color w:val="000000" w:themeColor="text1"/>
          <w:szCs w:val="24"/>
          <w:highlight w:val="none"/>
          <w14:textFill>
            <w14:solidFill>
              <w14:schemeClr w14:val="tx1"/>
            </w14:solidFill>
          </w14:textFill>
        </w:rPr>
        <w:t>，不属于限制开采的矿产资源，项目位于达州市宣汉县，所在区域属于川东北能源建材勘查开发区，不属于国家和省的规划矿区、储备和保护矿区、限制开采区和禁止开采区，同时也不涉及自然保护区、饮用水水源保护区、风景名胜区等环境敏感区及四川省生态保护红线。拟建项目属于</w:t>
      </w:r>
      <w:r>
        <w:rPr>
          <w:rFonts w:hint="default" w:cs="Times New Roman"/>
          <w:color w:val="000000" w:themeColor="text1"/>
          <w:szCs w:val="24"/>
          <w:highlight w:val="none"/>
          <w14:textFill>
            <w14:solidFill>
              <w14:schemeClr w14:val="tx1"/>
            </w14:solidFill>
          </w14:textFill>
        </w:rPr>
        <w:t>天然气</w:t>
      </w:r>
      <w:r>
        <w:rPr>
          <w:rFonts w:hint="eastAsia" w:cs="Times New Roman"/>
          <w:color w:val="000000" w:themeColor="text1"/>
          <w:szCs w:val="24"/>
          <w:highlight w:val="none"/>
          <w:lang w:val="en-US" w:eastAsia="zh-CN"/>
          <w14:textFill>
            <w14:solidFill>
              <w14:schemeClr w14:val="tx1"/>
            </w14:solidFill>
          </w14:textFill>
        </w:rPr>
        <w:t>勘探及</w:t>
      </w:r>
      <w:r>
        <w:rPr>
          <w:rFonts w:hint="default" w:cs="Times New Roman"/>
          <w:color w:val="000000" w:themeColor="text1"/>
          <w:szCs w:val="24"/>
          <w:highlight w:val="none"/>
          <w14:textFill>
            <w14:solidFill>
              <w14:schemeClr w14:val="tx1"/>
            </w14:solidFill>
          </w14:textFill>
        </w:rPr>
        <w:t>试采项目</w:t>
      </w:r>
      <w:r>
        <w:rPr>
          <w:rFonts w:cs="Times New Roman"/>
          <w:color w:val="000000" w:themeColor="text1"/>
          <w:szCs w:val="24"/>
          <w:highlight w:val="none"/>
          <w14:textFill>
            <w14:solidFill>
              <w14:schemeClr w14:val="tx1"/>
            </w14:solidFill>
          </w14:textFill>
        </w:rPr>
        <w:t>，符合《四川省矿产资源总体规划（2021-2025年）》要求。</w:t>
      </w:r>
    </w:p>
    <w:p>
      <w:pPr>
        <w:tabs>
          <w:tab w:val="left" w:pos="0"/>
        </w:tabs>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（3）与《四川省矿产资源总体规划（2021-2025年）环境影响报告书》符合性分析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生态环境部出具了《关于〈四川省矿产资源总体规划（2021-2025年）环境影响报告书〉的审查意见》（环审〔2022〕105号），该规划提出规划目标：到2025年，主要矿产资源量稳步增长，战略性矿产资源安全保障能力明显提高，勘查开发利用与保护空间布局进一步优化，资源节约集约和高效利用水平进一步提升，绿色矿业发展取得积极成效，全面落实构筑长江黄河上游生态安全屏障要求，基本形成矿产资源勘查开发与生态环境保护协调发展新格局。新增天然气资源量</w:t>
      </w:r>
      <w:r>
        <w:rPr>
          <w:rFonts w:cs="Times New Roman"/>
          <w:color w:val="000000" w:themeColor="text1"/>
          <w:szCs w:val="20"/>
          <w:highlight w:val="none"/>
          <w:lang w:bidi="ar"/>
          <w14:textFill>
            <w14:solidFill>
              <w14:schemeClr w14:val="tx1"/>
            </w14:solidFill>
          </w14:textFill>
        </w:rPr>
        <w:t>≥10000亿立方米。</w:t>
      </w:r>
    </w:p>
    <w:p>
      <w:pPr>
        <w:tabs>
          <w:tab w:val="left" w:pos="0"/>
        </w:tabs>
        <w:ind w:firstLine="480"/>
        <w:rPr>
          <w:rFonts w:cs="Times New Roman"/>
          <w:color w:val="000000" w:themeColor="text1"/>
          <w:szCs w:val="20"/>
          <w:highlight w:val="none"/>
          <w:lang w:bidi="ar"/>
          <w14:textFill>
            <w14:solidFill>
              <w14:schemeClr w14:val="tx1"/>
            </w14:solidFill>
          </w14:textFill>
        </w:rPr>
      </w:pPr>
      <w:r>
        <w:rPr>
          <w:rFonts w:cs="Times New Roman"/>
          <w:color w:val="000000" w:themeColor="text1"/>
          <w:szCs w:val="20"/>
          <w:highlight w:val="none"/>
          <w:lang w:bidi="ar"/>
          <w14:textFill>
            <w14:solidFill>
              <w14:schemeClr w14:val="tx1"/>
            </w14:solidFill>
          </w14:textFill>
        </w:rPr>
        <w:t>到2035年，</w:t>
      </w:r>
      <w:r>
        <w:rPr>
          <w:rFonts w:cs="Times New Roman"/>
          <w:b/>
          <w:bCs/>
          <w:color w:val="000000" w:themeColor="text1"/>
          <w:szCs w:val="20"/>
          <w:highlight w:val="none"/>
          <w:lang w:bidi="ar"/>
          <w14:textFill>
            <w14:solidFill>
              <w14:schemeClr w14:val="tx1"/>
            </w14:solidFill>
          </w14:textFill>
        </w:rPr>
        <w:t>建设完成国家天然气（页岩气）千亿立方米级产能基地</w:t>
      </w:r>
      <w:r>
        <w:rPr>
          <w:rFonts w:cs="Times New Roman"/>
          <w:color w:val="000000" w:themeColor="text1"/>
          <w:szCs w:val="20"/>
          <w:highlight w:val="none"/>
          <w:lang w:bidi="ar"/>
          <w14:textFill>
            <w14:solidFill>
              <w14:schemeClr w14:val="tx1"/>
            </w14:solidFill>
          </w14:textFill>
        </w:rPr>
        <w:t>，形成攀西钒钛磁铁矿、川南煤炭煤层气和川西锂矿资源产业集群。全省重要矿产资源量明显增加，矿业空间布局更加科学，矿山规模结构更趋合理，基本实现重要矿产资源稳定供应。矿产资源利用技术实现新突破，资源利用效率显著提升。矿政管理机制更加完善，基本实现矿产资源领域</w:t>
      </w:r>
      <w:r>
        <w:rPr>
          <w:rFonts w:hint="eastAsia" w:cs="Times New Roman"/>
          <w:color w:val="000000" w:themeColor="text1"/>
          <w:szCs w:val="20"/>
          <w:highlight w:val="none"/>
          <w:lang w:eastAsia="zh-CN" w:bidi="ar"/>
          <w14:textFill>
            <w14:solidFill>
              <w14:schemeClr w14:val="tx1"/>
            </w14:solidFill>
          </w14:textFill>
        </w:rPr>
        <w:t>治理体系和治理能力现代化</w:t>
      </w:r>
      <w:r>
        <w:rPr>
          <w:rFonts w:cs="Times New Roman"/>
          <w:color w:val="000000" w:themeColor="text1"/>
          <w:szCs w:val="20"/>
          <w:highlight w:val="none"/>
          <w:lang w:bidi="ar"/>
          <w14:textFill>
            <w14:solidFill>
              <w14:schemeClr w14:val="tx1"/>
            </w14:solidFill>
          </w14:textFill>
        </w:rPr>
        <w:t>。生态保护、资源开发与民生改善协调发展，矿业走上内涵式、集约型、绿色化的高质量发展新路子，有力支撑“碳达峰、碳中和”战略目标的实施。</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属于石油天然气行业的试采项目，本项目的建设有利于评价下一步天然气清洁能源的开采供应，保障资源储量的稳定增长。因此，本项目建设符合《四川省矿产资源总体规划（2021-2025年）环境影响报告书》的相关要求。</w:t>
      </w:r>
    </w:p>
    <w:p>
      <w:pPr>
        <w:tabs>
          <w:tab w:val="left" w:pos="0"/>
        </w:tabs>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（4）与《达州市矿产资源总体规划（2021-2025年）》的符合性分析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本项目与《达州市矿产资源总体规划（2021-2025年）》符合性分析见下表。</w:t>
      </w:r>
    </w:p>
    <w:p>
      <w:pPr>
        <w:widowControl/>
        <w:tabs>
          <w:tab w:val="left" w:pos="863"/>
        </w:tabs>
        <w:adjustRightInd/>
        <w:snapToGrid/>
        <w:spacing w:line="240" w:lineRule="auto"/>
        <w:ind w:firstLine="0" w:firstLineChars="0"/>
        <w:jc w:val="center"/>
        <w:rPr>
          <w:rFonts w:eastAsia="黑体" w:cs="Times New Roman"/>
          <w:color w:val="000000" w:themeColor="text1"/>
          <w:kern w:val="0"/>
          <w:sz w:val="21"/>
          <w:szCs w:val="21"/>
          <w:highlight w:val="none"/>
          <w14:textFill>
            <w14:solidFill>
              <w14:schemeClr w14:val="tx1"/>
            </w14:solidFill>
          </w14:textFill>
        </w:rPr>
      </w:pPr>
      <w:r>
        <w:rPr>
          <w:rFonts w:eastAsia="黑体" w:cs="Times New Roman"/>
          <w:color w:val="000000" w:themeColor="text1"/>
          <w:kern w:val="0"/>
          <w:sz w:val="21"/>
          <w:szCs w:val="21"/>
          <w:highlight w:val="none"/>
          <w14:textFill>
            <w14:solidFill>
              <w14:schemeClr w14:val="tx1"/>
            </w14:solidFill>
          </w14:textFill>
        </w:rPr>
        <w:t>表2.7-14  与《达州市矿产资源总体规划（2021-2025年）》符合性分析表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39"/>
        <w:gridCol w:w="2124"/>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文件内容</w:t>
            </w:r>
          </w:p>
        </w:tc>
        <w:tc>
          <w:tcPr>
            <w:tcW w:w="1292"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本项目情况</w:t>
            </w:r>
          </w:p>
        </w:tc>
        <w:tc>
          <w:tcPr>
            <w:tcW w:w="521"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···到2025年，实现天然气、煤、石灰岩、地热等矿产资源储量稳步增长···</w:t>
            </w:r>
          </w:p>
        </w:tc>
        <w:tc>
          <w:tcPr>
            <w:tcW w:w="1292" w:type="pct"/>
            <w:vMerge w:val="restar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本项目属于天然气</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cs="Times New Roman"/>
                <w:color w:val="000000" w:themeColor="text1"/>
                <w:sz w:val="21"/>
                <w:szCs w:val="21"/>
                <w:highlight w:val="none"/>
                <w14:textFill>
                  <w14:solidFill>
                    <w14:schemeClr w14:val="tx1"/>
                  </w14:solidFill>
                </w14:textFill>
              </w:rPr>
              <w:t>试采项目，位于宣汉县</w:t>
            </w:r>
          </w:p>
        </w:tc>
        <w:tc>
          <w:tcPr>
            <w:tcW w:w="521"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到2035年，实现天然气（页岩气）找矿取得重大突破，加快建设万达开天然气锂钾综合利用集聚区，打造天然气、锂钾等千亿级特色产业集群，推进砂石资源基地建设</w:t>
            </w:r>
          </w:p>
        </w:tc>
        <w:tc>
          <w:tcPr>
            <w:tcW w:w="1292" w:type="pct"/>
            <w:vMerge w:val="continue"/>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521"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重点开采矿种：天然气、炼焦用煤、地热、石灰岩、砂岩及钾盐。在符合准入条件的前提下，优先出让采矿权，适度扩大开发规模，提高资源供应能力</w:t>
            </w:r>
          </w:p>
        </w:tc>
        <w:tc>
          <w:tcPr>
            <w:tcW w:w="1292" w:type="pct"/>
            <w:vMerge w:val="continue"/>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521"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中部能源化工勘查开发区。包括宣汉县、开江县。加强天然气、页岩气勘探开发，提升天然气资源综合利用水平</w:t>
            </w:r>
          </w:p>
        </w:tc>
        <w:tc>
          <w:tcPr>
            <w:tcW w:w="1292" w:type="pct"/>
            <w:vMerge w:val="continue"/>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521" w:type="pct"/>
            <w:tcMar>
              <w:left w:w="57" w:type="dxa"/>
              <w:right w:w="57"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综上所述，本项目符合《达州市矿产资源总体规划（2021-2025年）》要求。</w:t>
      </w:r>
    </w:p>
    <w:p>
      <w:pPr>
        <w:tabs>
          <w:tab w:val="left" w:pos="0"/>
        </w:tabs>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（5）与《宣汉县矿产资源总体规划（2021-2025年）》的符合性分析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本项目与《宣汉县矿产资源总体规划（2021-2025年）》符合性分析见下表。</w:t>
      </w:r>
    </w:p>
    <w:p>
      <w:pPr>
        <w:widowControl/>
        <w:tabs>
          <w:tab w:val="left" w:pos="863"/>
        </w:tabs>
        <w:adjustRightInd/>
        <w:snapToGrid/>
        <w:spacing w:line="240" w:lineRule="auto"/>
        <w:ind w:firstLine="0" w:firstLineChars="0"/>
        <w:jc w:val="center"/>
        <w:rPr>
          <w:rFonts w:eastAsia="黑体" w:cs="Times New Roman"/>
          <w:color w:val="000000" w:themeColor="text1"/>
          <w:kern w:val="0"/>
          <w:sz w:val="21"/>
          <w:szCs w:val="21"/>
          <w:highlight w:val="none"/>
          <w14:textFill>
            <w14:solidFill>
              <w14:schemeClr w14:val="tx1"/>
            </w14:solidFill>
          </w14:textFill>
        </w:rPr>
      </w:pPr>
      <w:r>
        <w:rPr>
          <w:rFonts w:eastAsia="黑体" w:cs="Times New Roman"/>
          <w:color w:val="000000" w:themeColor="text1"/>
          <w:kern w:val="0"/>
          <w:sz w:val="21"/>
          <w:szCs w:val="21"/>
          <w:highlight w:val="none"/>
          <w14:textFill>
            <w14:solidFill>
              <w14:schemeClr w14:val="tx1"/>
            </w14:solidFill>
          </w14:textFill>
        </w:rPr>
        <w:t>表</w:t>
      </w:r>
      <w:r>
        <w:rPr>
          <w:rFonts w:eastAsia="黑体" w:cs="Times New Roman"/>
          <w:color w:val="000000" w:themeColor="text1"/>
          <w:kern w:val="0"/>
          <w:sz w:val="21"/>
          <w:szCs w:val="21"/>
          <w:highlight w:val="none"/>
          <w14:textFill>
            <w14:solidFill>
              <w14:schemeClr w14:val="tx1"/>
            </w14:solidFill>
          </w14:textFill>
        </w:rPr>
        <w:fldChar w:fldCharType="begin"/>
      </w:r>
      <w:r>
        <w:rPr>
          <w:rFonts w:eastAsia="黑体" w:cs="Times New Roman"/>
          <w:color w:val="000000" w:themeColor="text1"/>
          <w:kern w:val="0"/>
          <w:sz w:val="21"/>
          <w:szCs w:val="21"/>
          <w:highlight w:val="none"/>
          <w14:textFill>
            <w14:solidFill>
              <w14:schemeClr w14:val="tx1"/>
            </w14:solidFill>
          </w14:textFill>
        </w:rPr>
        <w:instrText xml:space="preserve"> STYLEREF 2 \s </w:instrText>
      </w:r>
      <w:r>
        <w:rPr>
          <w:rFonts w:eastAsia="黑体" w:cs="Times New Roman"/>
          <w:color w:val="000000" w:themeColor="text1"/>
          <w:kern w:val="0"/>
          <w:sz w:val="21"/>
          <w:szCs w:val="21"/>
          <w:highlight w:val="none"/>
          <w14:textFill>
            <w14:solidFill>
              <w14:schemeClr w14:val="tx1"/>
            </w14:solidFill>
          </w14:textFill>
        </w:rPr>
        <w:fldChar w:fldCharType="separate"/>
      </w:r>
      <w:r>
        <w:rPr>
          <w:rFonts w:eastAsia="黑体" w:cs="Times New Roman"/>
          <w:color w:val="000000" w:themeColor="text1"/>
          <w:kern w:val="0"/>
          <w:sz w:val="21"/>
          <w:szCs w:val="21"/>
          <w:highlight w:val="none"/>
          <w14:textFill>
            <w14:solidFill>
              <w14:schemeClr w14:val="tx1"/>
            </w14:solidFill>
          </w14:textFill>
        </w:rPr>
        <w:t>2.7</w:t>
      </w:r>
      <w:r>
        <w:rPr>
          <w:rFonts w:eastAsia="黑体" w:cs="Times New Roman"/>
          <w:color w:val="000000" w:themeColor="text1"/>
          <w:kern w:val="0"/>
          <w:sz w:val="21"/>
          <w:szCs w:val="21"/>
          <w:highlight w:val="none"/>
          <w14:textFill>
            <w14:solidFill>
              <w14:schemeClr w14:val="tx1"/>
            </w14:solidFill>
          </w14:textFill>
        </w:rPr>
        <w:fldChar w:fldCharType="end"/>
      </w:r>
      <w:r>
        <w:rPr>
          <w:rFonts w:eastAsia="黑体" w:cs="Times New Roman"/>
          <w:color w:val="000000" w:themeColor="text1"/>
          <w:kern w:val="0"/>
          <w:sz w:val="21"/>
          <w:szCs w:val="21"/>
          <w:highlight w:val="none"/>
          <w14:textFill>
            <w14:solidFill>
              <w14:schemeClr w14:val="tx1"/>
            </w14:solidFill>
          </w14:textFill>
        </w:rPr>
        <w:noBreakHyphen/>
      </w:r>
      <w:r>
        <w:rPr>
          <w:rFonts w:eastAsia="黑体" w:cs="Times New Roman"/>
          <w:color w:val="000000" w:themeColor="text1"/>
          <w:kern w:val="0"/>
          <w:sz w:val="21"/>
          <w:szCs w:val="21"/>
          <w:highlight w:val="none"/>
          <w14:textFill>
            <w14:solidFill>
              <w14:schemeClr w14:val="tx1"/>
            </w14:solidFill>
          </w14:textFill>
        </w:rPr>
        <w:fldChar w:fldCharType="begin"/>
      </w:r>
      <w:r>
        <w:rPr>
          <w:rFonts w:eastAsia="黑体" w:cs="Times New Roman"/>
          <w:color w:val="000000" w:themeColor="text1"/>
          <w:kern w:val="0"/>
          <w:sz w:val="21"/>
          <w:szCs w:val="21"/>
          <w:highlight w:val="none"/>
          <w14:textFill>
            <w14:solidFill>
              <w14:schemeClr w14:val="tx1"/>
            </w14:solidFill>
          </w14:textFill>
        </w:rPr>
        <w:instrText xml:space="preserve"> SEQ 表 \* ARABIC \s 2 </w:instrText>
      </w:r>
      <w:r>
        <w:rPr>
          <w:rFonts w:eastAsia="黑体" w:cs="Times New Roman"/>
          <w:color w:val="000000" w:themeColor="text1"/>
          <w:kern w:val="0"/>
          <w:sz w:val="21"/>
          <w:szCs w:val="21"/>
          <w:highlight w:val="none"/>
          <w14:textFill>
            <w14:solidFill>
              <w14:schemeClr w14:val="tx1"/>
            </w14:solidFill>
          </w14:textFill>
        </w:rPr>
        <w:fldChar w:fldCharType="separate"/>
      </w:r>
      <w:r>
        <w:rPr>
          <w:rFonts w:eastAsia="黑体" w:cs="Times New Roman"/>
          <w:color w:val="000000" w:themeColor="text1"/>
          <w:kern w:val="0"/>
          <w:sz w:val="21"/>
          <w:szCs w:val="21"/>
          <w:highlight w:val="none"/>
          <w14:textFill>
            <w14:solidFill>
              <w14:schemeClr w14:val="tx1"/>
            </w14:solidFill>
          </w14:textFill>
        </w:rPr>
        <w:t>14</w:t>
      </w:r>
      <w:r>
        <w:rPr>
          <w:rFonts w:eastAsia="黑体" w:cs="Times New Roman"/>
          <w:color w:val="000000" w:themeColor="text1"/>
          <w:kern w:val="0"/>
          <w:sz w:val="21"/>
          <w:szCs w:val="21"/>
          <w:highlight w:val="none"/>
          <w14:textFill>
            <w14:solidFill>
              <w14:schemeClr w14:val="tx1"/>
            </w14:solidFill>
          </w14:textFill>
        </w:rPr>
        <w:fldChar w:fldCharType="end"/>
      </w:r>
      <w:r>
        <w:rPr>
          <w:rFonts w:eastAsia="黑体" w:cs="Times New Roman"/>
          <w:color w:val="000000" w:themeColor="text1"/>
          <w:kern w:val="0"/>
          <w:sz w:val="21"/>
          <w:szCs w:val="21"/>
          <w:highlight w:val="none"/>
          <w14:textFill>
            <w14:solidFill>
              <w14:schemeClr w14:val="tx1"/>
            </w14:solidFill>
          </w14:textFill>
        </w:rPr>
        <w:t>5 与《宣汉县矿产资源总体规划（2021-2025年）》符合性分析表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39"/>
        <w:gridCol w:w="2124"/>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文件内容</w:t>
            </w:r>
          </w:p>
        </w:tc>
        <w:tc>
          <w:tcPr>
            <w:tcW w:w="1292"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本项目情况</w:t>
            </w: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2035年，实现页岩气找矿重大突破，建成全国首个深部卤水锂钾综合开发示范产业园，打造天然气、锂钾等千亿级特色产业集群。</w:t>
            </w:r>
          </w:p>
        </w:tc>
        <w:tc>
          <w:tcPr>
            <w:tcW w:w="1292" w:type="pct"/>
            <w:vMerge w:val="restar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ascii="Times New Roman" w:hAnsi="Times New Roman" w:cs="Times New Roman"/>
                <w:color w:val="000000" w:themeColor="text1"/>
                <w:sz w:val="21"/>
                <w:szCs w:val="20"/>
                <w:highlight w:val="none"/>
                <w14:textFill>
                  <w14:solidFill>
                    <w14:schemeClr w14:val="tx1"/>
                  </w14:solidFill>
                </w14:textFill>
              </w:rPr>
              <w:t>本项目属于天然气勘</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ascii="Times New Roman" w:hAnsi="Times New Roman" w:cs="Times New Roman"/>
                <w:color w:val="000000" w:themeColor="text1"/>
                <w:sz w:val="21"/>
                <w:szCs w:val="20"/>
                <w:highlight w:val="none"/>
                <w14:textFill>
                  <w14:solidFill>
                    <w14:schemeClr w14:val="tx1"/>
                  </w14:solidFill>
                </w14:textFill>
              </w:rPr>
              <w:t>试采项目，位于宣汉县，属于有助于宣汉县境内提升天然气资源综合利用水平的项目</w:t>
            </w: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重点勘查矿种：天然气、钾盐和地热。争取财政投资勘查的同时，引导社会资金投入，争取实现找矿突破。</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充分发挥服务和监督管理职能，积极落实省、市安排宣汉县的矿产地质调查和资源潜力评价工作，主攻矿种为天然气、杂卤石型钾盐和地热，圈定找矿靶区和新发现矿产地。</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重点开采矿种：天然气、地热及钾盐。在符合准入条件下，优先出让采矿权，适度扩大开发规模，提高资源供应能力。天然气采矿权出让及开采应符合国家相关管控要求。</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bookmarkStart w:id="83" w:name="_Hlk90924525"/>
            <w:r>
              <w:rPr>
                <w:rFonts w:hint="default" w:cs="Times New Roman"/>
                <w:color w:val="000000" w:themeColor="text1"/>
                <w:sz w:val="21"/>
                <w:szCs w:val="20"/>
                <w:highlight w:val="none"/>
                <w14:textFill>
                  <w14:solidFill>
                    <w14:schemeClr w14:val="tx1"/>
                  </w14:solidFill>
                </w14:textFill>
              </w:rPr>
              <w:t>规划期内，落实四川省安排宣汉县的重点矿种矿产资源调查工程：川南、川东北煤层气调查评价</w:t>
            </w:r>
            <w:bookmarkEnd w:id="83"/>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稳定推进天然气、钾盐矿产资源勘查，加强矿区外围及深部找矿工作，加强富锂卤水综合利用攻关，提升共伴生矿产综合利用水平。</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实施上级落实宣汉县油气资源调查评价，对区域内天然气成因、物性、分布、规模、质量、演化规律、开发利用条件、经济价值及其在国民经济、社会公益事业中的地位和作用等方面进行的全方位分析、评估和预测。</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187"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中部能源化工勘查开发区。包括宣汉县、开江县。加强天然气、页岩气勘探开发，提升天然气资源综合利用水平</w:t>
            </w:r>
          </w:p>
        </w:tc>
        <w:tc>
          <w:tcPr>
            <w:tcW w:w="1292" w:type="pct"/>
            <w:vMerge w:val="continue"/>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p>
        </w:tc>
        <w:tc>
          <w:tcPr>
            <w:tcW w:w="521" w:type="pct"/>
            <w:tcMar>
              <w:left w:w="57"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符合</w:t>
            </w:r>
          </w:p>
        </w:tc>
      </w:tr>
    </w:tbl>
    <w:p>
      <w:pPr>
        <w:tabs>
          <w:tab w:val="left" w:pos="0"/>
        </w:tabs>
        <w:spacing w:before="163" w:beforeLines="50"/>
        <w:ind w:firstLine="480"/>
        <w:rPr>
          <w:rFonts w:cs="Times New Roman"/>
          <w:b/>
          <w:bCs/>
          <w:color w:val="000000" w:themeColor="text1"/>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综上所述，本项目符合《宣汉县矿产资源总体规划（2021-2025年）》要求。</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黑体" w:hAnsi="黑体" w:eastAsia="黑体" w:cs="黑体"/>
          <w:color w:val="000000" w:themeColor="text1"/>
          <w:highlight w:val="none"/>
          <w:lang w:eastAsia="zh-CN"/>
          <w14:textFill>
            <w14:solidFill>
              <w14:schemeClr w14:val="tx1"/>
            </w14:solidFill>
          </w14:textFill>
        </w:rPr>
      </w:pPr>
      <w:r>
        <w:rPr>
          <w:rFonts w:hint="default" w:ascii="黑体" w:hAnsi="黑体" w:eastAsia="黑体" w:cs="黑体"/>
          <w:color w:val="000000" w:themeColor="text1"/>
          <w:highlight w:val="none"/>
          <w:lang w:eastAsia="zh-CN"/>
          <w14:textFill>
            <w14:solidFill>
              <w14:schemeClr w14:val="tx1"/>
            </w14:solidFill>
          </w14:textFill>
        </w:rPr>
        <w:t>与环保政策及规定的符合性分析</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项目与相关大气污染防治规范符合性分析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本项目与相关大气污染防治相关法规、规范符合性分析见下表。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本项目与相关大气污染物防治规范符合性分析表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592"/>
        <w:gridCol w:w="4499"/>
        <w:gridCol w:w="1374"/>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法规、规范</w:t>
            </w:r>
          </w:p>
        </w:tc>
        <w:tc>
          <w:tcPr>
            <w:tcW w:w="449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相关要求</w:t>
            </w:r>
          </w:p>
        </w:tc>
        <w:tc>
          <w:tcPr>
            <w:tcW w:w="137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对照分析</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《中华人民共和国大气污染防治法》</w:t>
            </w:r>
          </w:p>
        </w:tc>
        <w:tc>
          <w:tcPr>
            <w:tcW w:w="4499"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钢铁、建材、有色金属、石油、化工、制药、矿产开采等企业，应当加强精细化管理，采取集中收集处理等措施，严格控制粉尘和气态污染物的排放</w:t>
            </w:r>
          </w:p>
        </w:tc>
        <w:tc>
          <w:tcPr>
            <w:tcW w:w="137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000000" w:themeColor="text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本项目钻前作业采取洒水降尘等措施，备用柴油发电机采用清洁柴油，废气能达标排放</w:t>
            </w:r>
            <w:r>
              <w:rPr>
                <w:rFonts w:hint="eastAsia" w:cs="Times New Roman"/>
                <w:color w:val="000000" w:themeColor="text1"/>
                <w:sz w:val="21"/>
                <w:szCs w:val="21"/>
                <w:highlight w:val="none"/>
                <w:lang w:eastAsia="zh-CN"/>
                <w14:textFill>
                  <w14:solidFill>
                    <w14:schemeClr w14:val="tx1"/>
                  </w14:solidFill>
                </w14:textFill>
              </w:rPr>
              <w:t>。</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大气污染防治行动计划</w:t>
            </w:r>
          </w:p>
        </w:tc>
        <w:tc>
          <w:tcPr>
            <w:tcW w:w="4499"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开展餐饮油烟污染治理。城区餐饮服务经营场所应安装高效油烟净化设施，推广使用高效净化型家用</w:t>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HYPERLINK "https://baike.baidu.com/item/%E5%90%B8%E6%B2%B9%E7%83%9F%E6%9C%BA/5803775?fromModule=lemma_inlink" \t "https://baike.baidu.com/item/_blank" </w:instrText>
            </w:r>
            <w:r>
              <w:rPr>
                <w:rFonts w:hint="default"/>
                <w:color w:val="000000" w:themeColor="text1"/>
                <w:highlight w:val="none"/>
                <w14:textFill>
                  <w14:solidFill>
                    <w14:schemeClr w14:val="tx1"/>
                  </w14:solidFill>
                </w14:textFill>
              </w:rPr>
              <w:fldChar w:fldCharType="separate"/>
            </w:r>
            <w:r>
              <w:rPr>
                <w:rFonts w:hint="default" w:cs="Times New Roman"/>
                <w:color w:val="000000" w:themeColor="text1"/>
                <w:sz w:val="21"/>
                <w:szCs w:val="21"/>
                <w:highlight w:val="none"/>
                <w14:textFill>
                  <w14:solidFill>
                    <w14:schemeClr w14:val="tx1"/>
                  </w14:solidFill>
                </w14:textFill>
              </w:rPr>
              <w:t>吸油烟机</w:t>
            </w:r>
            <w:r>
              <w:rPr>
                <w:rFonts w:hint="default" w:cs="Times New Roman"/>
                <w:color w:val="000000" w:themeColor="text1"/>
                <w:sz w:val="21"/>
                <w:szCs w:val="21"/>
                <w:highlight w:val="none"/>
                <w14:textFill>
                  <w14:solidFill>
                    <w14:schemeClr w14:val="tx1"/>
                  </w14:solidFill>
                </w14:textFill>
              </w:rPr>
              <w:fldChar w:fldCharType="end"/>
            </w:r>
          </w:p>
        </w:tc>
        <w:tc>
          <w:tcPr>
            <w:tcW w:w="137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从以上分析可以看出，本项目的建设符合大气污染防治相关法规、规范相关要求。</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与相关土壤污染防治行动计划符合性</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项目与土壤污染防治行动计划“国发〔2016〕31号”及《土壤污染防治行动计划四川省工作方案》符合性如下表：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与土壤污染防治行动计划符合性</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35"/>
        <w:gridCol w:w="5370"/>
        <w:gridCol w:w="885"/>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tblHeader/>
          <w:jc w:val="center"/>
        </w:trPr>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土壤污染防治行动计划</w:t>
            </w:r>
          </w:p>
        </w:tc>
        <w:tc>
          <w:tcPr>
            <w:tcW w:w="53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相关要求</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本项目情况</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3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《土壤污染防治行动计划》（国发〔2016〕31号）</w:t>
            </w: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不属于回收土地使用权的项目</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14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不涉及重点污染物的排放</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8" w:hRule="atLeast"/>
          <w:jc w:val="center"/>
        </w:trPr>
        <w:tc>
          <w:tcPr>
            <w:tcW w:w="14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严格执行相关行业企业布局选址要求，禁止在居民区、学校、医疗和养老机构等周边新建有色金属冶炼、焦化等行业企业</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不涉及</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14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885" w:type="dxa"/>
            <w:vAlign w:val="center"/>
          </w:tcPr>
          <w:p>
            <w:pPr>
              <w:pStyle w:val="256"/>
              <w:keepNext w:val="0"/>
              <w:keepLines w:val="0"/>
              <w:suppressLineNumbers w:val="0"/>
              <w:spacing w:before="0" w:beforeAutospacing="0" w:after="0" w:afterAutospacing="0" w:line="240" w:lineRule="auto"/>
              <w:ind w:left="0" w:right="0" w:firstLine="0" w:firstLineChars="0"/>
              <w:rPr>
                <w:rFonts w:hint="default"/>
                <w:color w:val="000000" w:themeColor="text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不属于电器电子、汽车等行业</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14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继续淘汰涉重金属重点行业落后产能，完善重金属相关行业准入条件，禁止新建落后产能或产能严重过剩行业的建设项目</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不属于涉重企业</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土壤污染防治行动计划四川省工作方案</w:t>
            </w:r>
          </w:p>
        </w:tc>
        <w:tc>
          <w:tcPr>
            <w:tcW w:w="537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严格控制在优先保护类耕地集中区域新建有色金属矿采选、有色金属冶炼、石油加工、化工、焦化、电镀、制革、天然（页岩）气开采、铅蓄电池、汽车制造、农药、危废处置、电子拆解、涉重等行业企业。</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不涉及</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经上表分析，项目建设与《国务院关于印发土壤污染防治行动计划的通知》（国发〔2016〕31号）相符。</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项目与相关水污染防治行动计划符合性分析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本项目与水污染防治行动计划符合性分析见下表。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本项目与相关水污染物防治规范符合性分析表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592"/>
        <w:gridCol w:w="4114"/>
        <w:gridCol w:w="1760"/>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法规、规范</w:t>
            </w:r>
          </w:p>
        </w:tc>
        <w:tc>
          <w:tcPr>
            <w:tcW w:w="411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相关要求</w:t>
            </w:r>
          </w:p>
        </w:tc>
        <w:tc>
          <w:tcPr>
            <w:tcW w:w="176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对照分析</w:t>
            </w:r>
          </w:p>
        </w:tc>
        <w:tc>
          <w:tcPr>
            <w:tcW w:w="75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水污染防治行动计划</w:t>
            </w:r>
          </w:p>
        </w:tc>
        <w:tc>
          <w:tcPr>
            <w:tcW w:w="411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全面排查装备水平低、环保设施差的小型工业企业。2016年底前，按照水污染防治法律法规要求，全部取缔不符合国家产业政策的小型造纸、制革、印染、染料、炼焦、炼硫、炼砷、炼油、电镀、农药等严重污染水环境的生产项目。</w:t>
            </w:r>
          </w:p>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制定造纸、焦化、氮肥、有色金属、印染、农副食品加工、原料药制造、制革、农药、电镀等行业专项治理方案，实施清洁化改造。新建、改建、扩建上述行业建设项目实行主要污染物排放等量或减量置换。</w:t>
            </w:r>
          </w:p>
        </w:tc>
        <w:tc>
          <w:tcPr>
            <w:tcW w:w="176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000000" w:themeColor="text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本项目为天然气</w:t>
            </w:r>
            <w:r>
              <w:rPr>
                <w:rFonts w:hint="eastAsia" w:cs="Times New Roman"/>
                <w:color w:val="000000" w:themeColor="text1"/>
                <w:sz w:val="21"/>
                <w:szCs w:val="21"/>
                <w:highlight w:val="none"/>
                <w:lang w:val="en-US" w:eastAsia="zh-CN"/>
                <w14:textFill>
                  <w14:solidFill>
                    <w14:schemeClr w14:val="tx1"/>
                  </w14:solidFill>
                </w14:textFill>
              </w:rPr>
              <w:t>勘探及</w:t>
            </w:r>
            <w:r>
              <w:rPr>
                <w:rFonts w:hint="default" w:cs="Times New Roman"/>
                <w:color w:val="000000" w:themeColor="text1"/>
                <w:sz w:val="21"/>
                <w:szCs w:val="21"/>
                <w:highlight w:val="none"/>
                <w14:textFill>
                  <w14:solidFill>
                    <w14:schemeClr w14:val="tx1"/>
                  </w14:solidFill>
                </w14:textFill>
              </w:rPr>
              <w:t>试采项目，不属于上述严重污染水环境的生产项目，本项目废水</w:t>
            </w:r>
            <w:r>
              <w:rPr>
                <w:rFonts w:hint="eastAsia" w:cs="Times New Roman"/>
                <w:color w:val="000000" w:themeColor="text1"/>
                <w:sz w:val="21"/>
                <w:szCs w:val="21"/>
                <w:highlight w:val="none"/>
                <w:lang w:eastAsia="zh-CN"/>
                <w14:textFill>
                  <w14:solidFill>
                    <w14:schemeClr w14:val="tx1"/>
                  </w14:solidFill>
                </w14:textFill>
              </w:rPr>
              <w:t>处理后</w:t>
            </w:r>
            <w:r>
              <w:rPr>
                <w:rFonts w:hint="default" w:cs="Times New Roman"/>
                <w:color w:val="000000" w:themeColor="text1"/>
                <w:sz w:val="21"/>
                <w:szCs w:val="21"/>
                <w:highlight w:val="none"/>
                <w14:textFill>
                  <w14:solidFill>
                    <w14:schemeClr w14:val="tx1"/>
                  </w14:solidFill>
                </w14:textFill>
              </w:rPr>
              <w:t>大部分回用，</w:t>
            </w:r>
            <w:r>
              <w:rPr>
                <w:rFonts w:hint="eastAsia" w:cs="Times New Roman"/>
                <w:color w:val="000000" w:themeColor="text1"/>
                <w:sz w:val="21"/>
                <w:szCs w:val="21"/>
                <w:highlight w:val="none"/>
                <w:lang w:val="en-US" w:eastAsia="zh-CN"/>
                <w14:textFill>
                  <w14:solidFill>
                    <w14:schemeClr w14:val="tx1"/>
                  </w14:solidFill>
                </w14:textFill>
              </w:rPr>
              <w:t>剩余</w:t>
            </w:r>
            <w:r>
              <w:rPr>
                <w:rFonts w:hint="default" w:cs="Times New Roman"/>
                <w:color w:val="000000" w:themeColor="text1"/>
                <w:sz w:val="21"/>
                <w:szCs w:val="21"/>
                <w:highlight w:val="none"/>
                <w14:textFill>
                  <w14:solidFill>
                    <w14:schemeClr w14:val="tx1"/>
                  </w14:solidFill>
                </w14:textFill>
              </w:rPr>
              <w:t>部分回注处理</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w:t>
            </w:r>
            <w:r>
              <w:rPr>
                <w:rFonts w:hint="default" w:cs="Times New Roman"/>
                <w:color w:val="000000" w:themeColor="text1"/>
                <w:sz w:val="21"/>
                <w:szCs w:val="21"/>
                <w:highlight w:val="none"/>
                <w14:textFill>
                  <w14:solidFill>
                    <w14:schemeClr w14:val="tx1"/>
                  </w14:solidFill>
                </w14:textFill>
              </w:rPr>
              <w:t>外排</w:t>
            </w:r>
            <w:r>
              <w:rPr>
                <w:rFonts w:hint="eastAsia" w:cs="Times New Roman"/>
                <w:color w:val="000000" w:themeColor="text1"/>
                <w:sz w:val="21"/>
                <w:szCs w:val="21"/>
                <w:highlight w:val="none"/>
                <w:lang w:eastAsia="zh-CN"/>
                <w14:textFill>
                  <w14:solidFill>
                    <w14:schemeClr w14:val="tx1"/>
                  </w14:solidFill>
                </w14:textFill>
              </w:rPr>
              <w:t>。</w:t>
            </w:r>
          </w:p>
        </w:tc>
        <w:tc>
          <w:tcPr>
            <w:tcW w:w="75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水污染防治行动计划四川省工作方案</w:t>
            </w:r>
          </w:p>
        </w:tc>
        <w:tc>
          <w:tcPr>
            <w:tcW w:w="411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从严控制新建、改建、扩建涉磷行业的项目建设，总磷超标地方执行总磷排放减量置换，2017 年底前，所有涉磷重点工业企业应完善厂区冲洗水和初期雨水收集系统，落实涉磷矿山渣场和尾矿库的防渗、防风、防洪措施，建设规范的雨水收集池、回水池、渗滤液收集池和应急污水处理系统，并推进安装总磷在线监控装置。</w:t>
            </w:r>
          </w:p>
        </w:tc>
        <w:tc>
          <w:tcPr>
            <w:tcW w:w="176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75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5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关于加强长江黄金水道环境污染防控治理的指导意见</w:t>
            </w:r>
          </w:p>
        </w:tc>
        <w:tc>
          <w:tcPr>
            <w:tcW w:w="411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落实主体功能区战略，实施差别化的区域产业政策。科学划定岸线功能分区边界，严格分区管理和用途管制。坚持“以水定发展”，统筹规划沿江岸线资源，严控下游高污染、高排放企业向上游转移。除在建项目外，严禁在干流及主要支流岸线1公里范围内新建布局重化工园区，严控在中上游沿岸地区新建石油化工和煤化工项目。</w:t>
            </w:r>
          </w:p>
        </w:tc>
        <w:tc>
          <w:tcPr>
            <w:tcW w:w="17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c>
          <w:tcPr>
            <w:tcW w:w="75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综上，项目建设符合《水污染防治行动计划</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水污染防治行动计划</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四川省工作方案</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关于加强长江黄金水道环境污染防控治理的指导意见》的要求。</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与</w:t>
      </w:r>
      <w:r>
        <w:rPr>
          <w:rFonts w:hint="eastAsia"/>
          <w:color w:val="000000" w:themeColor="text1"/>
          <w:highlight w:val="none"/>
          <w14:textFill>
            <w14:solidFill>
              <w14:schemeClr w14:val="tx1"/>
            </w14:solidFill>
          </w14:textFill>
        </w:rPr>
        <w:t>《空气质量持续改善行动计划》</w:t>
      </w:r>
      <w:r>
        <w:rPr>
          <w:rFonts w:hint="eastAsia"/>
          <w:color w:val="000000" w:themeColor="text1"/>
          <w:highlight w:val="none"/>
          <w:lang w:val="en-US" w:eastAsia="zh-CN"/>
          <w14:textFill>
            <w14:solidFill>
              <w14:schemeClr w14:val="tx1"/>
            </w14:solidFill>
          </w14:textFill>
        </w:rPr>
        <w:t>符合性分析</w:t>
      </w:r>
    </w:p>
    <w:p>
      <w:pPr>
        <w:tabs>
          <w:tab w:val="left" w:pos="0"/>
        </w:tabs>
        <w:ind w:firstLine="480"/>
        <w:rPr>
          <w:rFonts w:hint="eastAsia"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2023年11月30日</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国务院关于印发《空气质量持续改善行动计划》的通知国发〔2023〕24号</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本项目与其符合性分析见下表。</w:t>
      </w:r>
    </w:p>
    <w:p>
      <w:pPr>
        <w:pStyle w:val="201"/>
        <w:spacing w:before="163"/>
        <w:rPr>
          <w:rFonts w:hint="default" w:eastAsia="黑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 xml:space="preserve"> 与</w:t>
      </w:r>
      <w:r>
        <w:rPr>
          <w:rFonts w:hint="eastAsia"/>
          <w:color w:val="000000" w:themeColor="text1"/>
          <w:highlight w:val="none"/>
          <w14:textFill>
            <w14:solidFill>
              <w14:schemeClr w14:val="tx1"/>
            </w14:solidFill>
          </w14:textFill>
        </w:rPr>
        <w:t>《空气质量持续改善行动计划》</w:t>
      </w:r>
      <w:r>
        <w:rPr>
          <w:color w:val="000000" w:themeColor="text1"/>
          <w:highlight w:val="none"/>
          <w14:textFill>
            <w14:solidFill>
              <w14:schemeClr w14:val="tx1"/>
            </w14:solidFill>
          </w14:textFill>
        </w:rPr>
        <w:t>符合性</w:t>
      </w:r>
      <w:r>
        <w:rPr>
          <w:rFonts w:hint="eastAsia"/>
          <w:color w:val="000000" w:themeColor="text1"/>
          <w:highlight w:val="none"/>
          <w:lang w:val="en-US" w:eastAsia="zh-CN"/>
          <w14:textFill>
            <w14:solidFill>
              <w14:schemeClr w14:val="tx1"/>
            </w14:solidFill>
          </w14:textFill>
        </w:rPr>
        <w:t>分析一览表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94"/>
        <w:gridCol w:w="5490"/>
        <w:gridCol w:w="1006"/>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3" w:hRule="atLeast"/>
          <w:tblHeader/>
          <w:jc w:val="center"/>
        </w:trPr>
        <w:tc>
          <w:tcPr>
            <w:tcW w:w="119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项目</w:t>
            </w:r>
          </w:p>
        </w:tc>
        <w:tc>
          <w:tcPr>
            <w:tcW w:w="54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相关要求</w:t>
            </w:r>
          </w:p>
        </w:tc>
        <w:tc>
          <w:tcPr>
            <w:tcW w:w="10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本项目情况</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9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二、优化产业结构，促进产业产品绿色升级</w:t>
            </w:r>
          </w:p>
        </w:tc>
        <w:tc>
          <w:tcPr>
            <w:tcW w:w="549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0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本项目不属于高耗能、高排放、低水平项目，符合产业政策，不涉及</w:t>
            </w:r>
            <w:r>
              <w:rPr>
                <w:rFonts w:hint="eastAsia"/>
                <w:color w:val="000000" w:themeColor="text1"/>
                <w:sz w:val="21"/>
                <w:szCs w:val="21"/>
                <w14:textFill>
                  <w14:solidFill>
                    <w14:schemeClr w14:val="tx1"/>
                  </w14:solidFill>
                </w14:textFill>
              </w:rPr>
              <w:t>钢铁、焦化、烧结</w:t>
            </w:r>
            <w:r>
              <w:rPr>
                <w:rFonts w:hint="eastAsia"/>
                <w:color w:val="000000" w:themeColor="text1"/>
                <w:sz w:val="21"/>
                <w:szCs w:val="21"/>
                <w:lang w:val="en-US" w:eastAsia="zh-CN"/>
                <w14:textFill>
                  <w14:solidFill>
                    <w14:schemeClr w14:val="tx1"/>
                  </w14:solidFill>
                </w14:textFill>
              </w:rPr>
              <w:t>等产业</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119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三、优化能源结构，加速能源清洁低碳高效发展</w:t>
            </w:r>
          </w:p>
        </w:tc>
        <w:tc>
          <w:tcPr>
            <w:tcW w:w="549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大力发展新能源和清洁能源。到2025年，非化石能源消费比重达20%左右，电能占终端能源消费比重达30%左右。持续增加天然气生产供应，新增天然气优先保障居民生活和清洁取暖需求。</w:t>
            </w:r>
          </w:p>
        </w:tc>
        <w:tc>
          <w:tcPr>
            <w:tcW w:w="10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本项目为天然气勘探试采工程，利于增加天然气供应</w:t>
            </w:r>
          </w:p>
        </w:tc>
        <w:tc>
          <w:tcPr>
            <w:tcW w:w="53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bl>
    <w:p>
      <w:pPr>
        <w:tabs>
          <w:tab w:val="left" w:pos="0"/>
        </w:tabs>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综上，项目建设符合</w:t>
      </w:r>
      <w:r>
        <w:rPr>
          <w:rFonts w:hint="eastAsia" w:cs="Times New Roman"/>
          <w:color w:val="000000" w:themeColor="text1"/>
          <w:szCs w:val="24"/>
          <w:highlight w:val="none"/>
          <w14:textFill>
            <w14:solidFill>
              <w14:schemeClr w14:val="tx1"/>
            </w14:solidFill>
          </w14:textFill>
        </w:rPr>
        <w:t>《空气质量持续改善行动计划》</w:t>
      </w:r>
      <w:r>
        <w:rPr>
          <w:rFonts w:cs="Times New Roman"/>
          <w:color w:val="000000" w:themeColor="text1"/>
          <w:szCs w:val="24"/>
          <w:highlight w:val="none"/>
          <w14:textFill>
            <w14:solidFill>
              <w14:schemeClr w14:val="tx1"/>
            </w14:solidFill>
          </w14:textFill>
        </w:rPr>
        <w:t>的要求。</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噪声污染防治行动计划》的符合性分析</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本项目与噪声污染防治行动计划符合性分析见下表。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与《</w:t>
      </w:r>
      <w:r>
        <w:rPr>
          <w:rFonts w:hint="eastAsia" w:ascii="黑体" w:hAnsi="黑体" w:eastAsia="黑体" w:cs="黑体"/>
          <w:color w:val="000000" w:themeColor="text1"/>
          <w:highlight w:val="none"/>
          <w14:textFill>
            <w14:solidFill>
              <w14:schemeClr w14:val="tx1"/>
            </w14:solidFill>
          </w14:textFill>
        </w:rPr>
        <w:t>“十四五”</w:t>
      </w:r>
      <w:r>
        <w:rPr>
          <w:color w:val="000000" w:themeColor="text1"/>
          <w:highlight w:val="none"/>
          <w14:textFill>
            <w14:solidFill>
              <w14:schemeClr w14:val="tx1"/>
            </w14:solidFill>
          </w14:textFill>
        </w:rPr>
        <w:t>噪声污染防治行动计划》符合性分析表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95"/>
        <w:gridCol w:w="4411"/>
        <w:gridCol w:w="1759"/>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法规、规范</w:t>
            </w: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相关要求</w:t>
            </w:r>
          </w:p>
        </w:tc>
        <w:tc>
          <w:tcPr>
            <w:tcW w:w="18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对照分析</w:t>
            </w: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噪声污染防治行动计划</w:t>
            </w: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优化噪声敏感建筑物建设布局。在交通干线两侧、工业企业周边等地方建设噪声敏感建筑物，应间隔一定距离，提出相应规划设计要求。科学规划住宅、学校等噪声敏感建筑物位置，避免受到周边噪声的影响；中小学校合理布置操场等课外活动场地，加强校内广播管理，降低对周边环境的影响。噪声敏感建筑物隔声设计、检测、验收等应符合建筑环境通用规范、民用建筑隔声设计规范等相关标准要求。</w:t>
            </w:r>
          </w:p>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推广低噪声施工设备。制定房屋建筑和市政基础设施工程禁止和限制使用技术目录，限制或禁用易产生噪声污染的落后施工工艺和设备。2023年5月底前，发布低噪声施工设备指导目录。</w:t>
            </w:r>
          </w:p>
        </w:tc>
        <w:tc>
          <w:tcPr>
            <w:tcW w:w="1820"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本项目周边200m范围内无学校、</w:t>
            </w:r>
            <w:r>
              <w:rPr>
                <w:rFonts w:hint="eastAsia" w:cs="Times New Roman"/>
                <w:color w:val="000000" w:themeColor="text1"/>
                <w:sz w:val="21"/>
                <w:szCs w:val="21"/>
                <w:highlight w:val="none"/>
                <w:lang w:val="en-US" w:eastAsia="zh-CN"/>
                <w14:textFill>
                  <w14:solidFill>
                    <w14:schemeClr w14:val="tx1"/>
                  </w14:solidFill>
                </w14:textFill>
              </w:rPr>
              <w:t>医院</w:t>
            </w:r>
            <w:r>
              <w:rPr>
                <w:rFonts w:hint="default" w:cs="Times New Roman"/>
                <w:color w:val="000000" w:themeColor="text1"/>
                <w:sz w:val="21"/>
                <w:szCs w:val="21"/>
                <w:highlight w:val="none"/>
                <w14:textFill>
                  <w14:solidFill>
                    <w14:schemeClr w14:val="tx1"/>
                  </w14:solidFill>
                </w14:textFill>
              </w:rPr>
              <w:t>等噪声敏感建筑物，钻井优先使用网电，施工和</w:t>
            </w:r>
            <w:r>
              <w:rPr>
                <w:rFonts w:hint="eastAsia" w:cs="Times New Roman"/>
                <w:color w:val="000000" w:themeColor="text1"/>
                <w:sz w:val="21"/>
                <w:szCs w:val="21"/>
                <w:highlight w:val="none"/>
                <w:lang w:eastAsia="zh-CN"/>
                <w14:textFill>
                  <w14:solidFill>
                    <w14:schemeClr w14:val="tx1"/>
                  </w14:solidFill>
                </w14:textFill>
              </w:rPr>
              <w:t>试采期</w:t>
            </w:r>
            <w:r>
              <w:rPr>
                <w:rFonts w:hint="default" w:cs="Times New Roman"/>
                <w:color w:val="000000" w:themeColor="text1"/>
                <w:sz w:val="21"/>
                <w:szCs w:val="21"/>
                <w:highlight w:val="none"/>
                <w14:textFill>
                  <w14:solidFill>
                    <w14:schemeClr w14:val="tx1"/>
                  </w14:solidFill>
                </w14:textFill>
              </w:rPr>
              <w:t>均采用符合要求的低噪声设备和工艺。</w:t>
            </w: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四川省噪声污染防治行动计划实施方案</w:t>
            </w: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优化噪声敏感建筑物建设布局。优化社区周边配套设施建设布局，防止、减轻噪声污染对周边敏感建筑物的影响。新建噪声敏感建筑物时，建设单位应全面执行绿色建筑标准，合理确定建筑物与交通干线等的防噪声距离，落实隔声减噪措施。中小学合理布置操场等课外活动场地，加强校内广播管理，降低对周边环境的影响。噪声敏感建筑物室内噪声和隔声设计、检测、验收等应符合建筑环境通用规范、民用建筑隔声设计规范等相关标准要求。</w:t>
            </w:r>
          </w:p>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加强重点企业噪声监管。严格落实国家关于工业噪声排污许可管理要求，依法核发排污许可证或进行排污登记，并加强监管。市（州）生态环境主管部门编制本行政区域噪声重点排污单位名录，并按要求发布和更新。噪声重点排污单位应制定噪声削减计划，减少对周边噪声敏感建筑物集中区域的影响；依法开展噪声自动监测，及时与生态环境主管部门的监控设备联网。</w:t>
            </w:r>
          </w:p>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打造工业企业噪声污染治理标杆。鼓励工业企业采用先进治理技术，打造行业噪声污染治理典型示范。中央企业、国有企业、行业龙头企业要主动承担社会责任，切实发挥模范带头和引领示范作用，创建一批行业标杆。</w:t>
            </w:r>
          </w:p>
        </w:tc>
        <w:tc>
          <w:tcPr>
            <w:tcW w:w="182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《“十四五”噪声污染防治行动计划》</w:t>
            </w: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严格落实噪声污染防治要求。制定修改相关规划、建设对环境有影响的项目时，应依法开展环评，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p>
        </w:tc>
        <w:tc>
          <w:tcPr>
            <w:tcW w:w="182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依法开展环评，对可能产生的噪声进行了影响预测与评估，并提出了相应的防治措施。建设单位在建设时将落实噪声污染防治设施应当与主体工程同时设计、同时施工、同时投产使用的要求，同时在施工期与</w:t>
            </w:r>
            <w:r>
              <w:rPr>
                <w:rFonts w:hint="eastAsia" w:cs="Times New Roman"/>
                <w:color w:val="000000" w:themeColor="text1"/>
                <w:sz w:val="21"/>
                <w:szCs w:val="21"/>
                <w:highlight w:val="none"/>
                <w:lang w:eastAsia="zh-CN"/>
                <w14:textFill>
                  <w14:solidFill>
                    <w14:schemeClr w14:val="tx1"/>
                  </w14:solidFill>
                </w14:textFill>
              </w:rPr>
              <w:t>试采期</w:t>
            </w:r>
            <w:r>
              <w:rPr>
                <w:rFonts w:hint="default" w:cs="Times New Roman"/>
                <w:color w:val="000000" w:themeColor="text1"/>
                <w:sz w:val="21"/>
                <w:szCs w:val="21"/>
                <w:highlight w:val="none"/>
                <w14:textFill>
                  <w14:solidFill>
                    <w14:schemeClr w14:val="tx1"/>
                  </w14:solidFill>
                </w14:textFill>
              </w:rPr>
              <w:t>将开展定期监测，确保措施落地见效</w:t>
            </w:r>
            <w:r>
              <w:rPr>
                <w:rFonts w:hint="eastAsia" w:cs="Times New Roman"/>
                <w:color w:val="000000" w:themeColor="text1"/>
                <w:sz w:val="21"/>
                <w:szCs w:val="21"/>
                <w:highlight w:val="none"/>
                <w:lang w:eastAsia="zh-CN"/>
                <w14:textFill>
                  <w14:solidFill>
                    <w14:schemeClr w14:val="tx1"/>
                  </w14:solidFill>
                </w14:textFill>
              </w:rPr>
              <w:t>。</w:t>
            </w: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推广低噪声施工设备。制定房屋建筑和市政基础设施工程禁止和限制使用技术目录，限制或禁用易产生噪声污染的落后施工工艺和设备。</w:t>
            </w:r>
          </w:p>
        </w:tc>
        <w:tc>
          <w:tcPr>
            <w:tcW w:w="182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本项目所使用的设备及施工工艺均不属于限制或禁用易产生噪声污染的落后施工工艺和设备</w:t>
            </w:r>
            <w:r>
              <w:rPr>
                <w:rFonts w:hint="eastAsia" w:cs="Times New Roman"/>
                <w:color w:val="000000" w:themeColor="text1"/>
                <w:sz w:val="21"/>
                <w:szCs w:val="21"/>
                <w:highlight w:val="none"/>
                <w:lang w:eastAsia="zh-CN"/>
                <w14:textFill>
                  <w14:solidFill>
                    <w14:schemeClr w14:val="tx1"/>
                  </w14:solidFill>
                </w14:textFill>
              </w:rPr>
              <w:t>。</w:t>
            </w: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339"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456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落实管控责任。修订建设工程施工合同示范文本，明确建设单位、施工单位噪声污染防治责任和任务措施等要求。施工单位编制并落实噪声污染防治工作方案，采取有效隔声降噪设备、设施或施工工艺。鼓励噪声污染防治示范工地分类分级管理，探索从评优评先、资金补贴等方面，推动建筑施工企业加强噪声污染防治。</w:t>
            </w:r>
          </w:p>
        </w:tc>
        <w:tc>
          <w:tcPr>
            <w:tcW w:w="182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评价要求施工单位编制并落实噪声污染防治工作方案，采取有效隔声降噪设备、设施或施工工艺，确保项目施工不扰民</w:t>
            </w:r>
            <w:r>
              <w:rPr>
                <w:rFonts w:hint="eastAsia" w:cs="Times New Roman"/>
                <w:color w:val="000000" w:themeColor="text1"/>
                <w:sz w:val="21"/>
                <w:szCs w:val="21"/>
                <w:highlight w:val="none"/>
                <w:lang w:eastAsia="zh-CN"/>
                <w14:textFill>
                  <w14:solidFill>
                    <w14:schemeClr w14:val="tx1"/>
                  </w14:solidFill>
                </w14:textFill>
              </w:rPr>
              <w:t>。</w:t>
            </w:r>
          </w:p>
        </w:tc>
        <w:tc>
          <w:tcPr>
            <w:tcW w:w="77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符合</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3" w:beforeLines="5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综上所述，本项目的建设与《</w:t>
      </w:r>
      <w:r>
        <w:rPr>
          <w:rFonts w:hint="eastAsia" w:ascii="宋体" w:hAnsi="宋体" w:eastAsia="宋体" w:cs="宋体"/>
          <w:bCs/>
          <w:color w:val="000000" w:themeColor="text1"/>
          <w:szCs w:val="24"/>
          <w:highlight w:val="none"/>
          <w14:textFill>
            <w14:solidFill>
              <w14:schemeClr w14:val="tx1"/>
            </w14:solidFill>
          </w14:textFill>
        </w:rPr>
        <w:t>“十四五”</w:t>
      </w:r>
      <w:r>
        <w:rPr>
          <w:rFonts w:cs="Times New Roman"/>
          <w:bCs/>
          <w:color w:val="000000" w:themeColor="text1"/>
          <w:szCs w:val="24"/>
          <w:highlight w:val="none"/>
          <w14:textFill>
            <w14:solidFill>
              <w14:schemeClr w14:val="tx1"/>
            </w14:solidFill>
          </w14:textFill>
        </w:rPr>
        <w:t>噪声污染防治行动计划》相符。</w:t>
      </w:r>
    </w:p>
    <w:p>
      <w:pPr>
        <w:pStyle w:val="5"/>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与《长江经济带生态环境保护规划》的符合性分析</w:t>
      </w:r>
    </w:p>
    <w:p>
      <w:pPr>
        <w:autoSpaceDE w:val="0"/>
        <w:autoSpaceDN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长江经济带生态环境保护规划》专栏11城乡环境综合整治-大气污染治理：开展燃煤电厂超低排放和节能改造。……建设完善天然气输送管道、城市燃气管网、天然气储气库、城市调峰站储气罐等基础设施，实施民用部</w:t>
      </w:r>
      <w:r>
        <w:rPr>
          <w:rFonts w:ascii="宋体" w:hAnsi="宋体" w:cs="Times New Roman"/>
          <w:color w:val="000000" w:themeColor="text1"/>
          <w:highlight w:val="none"/>
          <w14:textFill>
            <w14:solidFill>
              <w14:schemeClr w14:val="tx1"/>
            </w14:solidFill>
          </w14:textFill>
        </w:rPr>
        <w:t>门“煤改电”“煤改气”工</w:t>
      </w:r>
      <w:r>
        <w:rPr>
          <w:rFonts w:cs="Times New Roman"/>
          <w:color w:val="000000" w:themeColor="text1"/>
          <w:highlight w:val="none"/>
          <w14:textFill>
            <w14:solidFill>
              <w14:schemeClr w14:val="tx1"/>
            </w14:solidFill>
          </w14:textFill>
        </w:rPr>
        <w:t>程。本工程属于天然气</w:t>
      </w:r>
      <w:r>
        <w:rPr>
          <w:rFonts w:hint="eastAsia" w:cs="Times New Roman"/>
          <w:color w:val="000000" w:themeColor="text1"/>
          <w:highlight w:val="none"/>
          <w:lang w:val="en-US" w:eastAsia="zh-CN"/>
          <w14:textFill>
            <w14:solidFill>
              <w14:schemeClr w14:val="tx1"/>
            </w14:solidFill>
          </w14:textFill>
        </w:rPr>
        <w:t>勘探及</w:t>
      </w:r>
      <w:r>
        <w:rPr>
          <w:rFonts w:cs="Times New Roman"/>
          <w:color w:val="000000" w:themeColor="text1"/>
          <w:highlight w:val="none"/>
          <w14:textFill>
            <w14:solidFill>
              <w14:schemeClr w14:val="tx1"/>
            </w14:solidFill>
          </w14:textFill>
        </w:rPr>
        <w:t>试采建设项目，属于天然气输送管道前置工程，符合建设完善天然气输送管道的要求。</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color w:val="000000" w:themeColor="text1"/>
          <w:highlight w:val="none"/>
          <w14:textFill>
            <w14:solidFill>
              <w14:schemeClr w14:val="tx1"/>
            </w14:solidFill>
          </w14:textFill>
        </w:rPr>
        <w:t>因此，本工程的建设符合《长江经济带生态环境保护规划》要求。</w:t>
      </w:r>
      <w:r>
        <w:rPr>
          <w:rFonts w:cs="Times New Roman"/>
          <w:bCs/>
          <w:color w:val="000000" w:themeColor="text1"/>
          <w:szCs w:val="24"/>
          <w:highlight w:val="none"/>
          <w14:textFill>
            <w14:solidFill>
              <w14:schemeClr w14:val="tx1"/>
            </w14:solidFill>
          </w14:textFill>
        </w:rPr>
        <w:t>（1）与《中华人民共和国长江保护法》（中华人民共和国主席令 第六十五号）的符合性分析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中华人民共和国长江保护法》，“禁止在长江干支流岸线一公里范围内新建、扩建化工园区和化工项目。禁止在长江干流岸线三公里范围内和重要支流岸线一公里范围内新建、改建、扩建尾矿库；但是以提升安全、生态环境保护水平为目的的改建除外。”本项目位于宣汉县，距离最近的河流后河不属于长江干流、重要支流，且项目为</w:t>
      </w:r>
      <w:r>
        <w:rPr>
          <w:rFonts w:hint="eastAsia" w:cs="Times New Roman"/>
          <w:bCs/>
          <w:color w:val="000000" w:themeColor="text1"/>
          <w:szCs w:val="24"/>
          <w:highlight w:val="none"/>
          <w:lang w:eastAsia="zh-CN"/>
          <w14:textFill>
            <w14:solidFill>
              <w14:schemeClr w14:val="tx1"/>
            </w14:solidFill>
          </w14:textFill>
        </w:rPr>
        <w:t>天然气勘探及试采项目</w:t>
      </w:r>
      <w:r>
        <w:rPr>
          <w:rFonts w:cs="Times New Roman"/>
          <w:bCs/>
          <w:color w:val="000000" w:themeColor="text1"/>
          <w:szCs w:val="24"/>
          <w:highlight w:val="none"/>
          <w14:textFill>
            <w14:solidFill>
              <w14:schemeClr w14:val="tx1"/>
            </w14:solidFill>
          </w14:textFill>
        </w:rPr>
        <w:t>，不设置尾矿库，不属于化工项目、尾矿库项目，故项目建设不违背《中华人民共和国长江保护法》的要求。</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（2）与《长江经济带生态环境保护规划》（环规财〔2017〕88号）符合性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长江经济带生态环境保护规划》中第六条指出：“全面推进环境污染治理，建设宜居城乡环境专栏”，该条要求中提出改善城市环境质量，推进成渝城市大气污染防治。增加天然气的开发程度，提供天然气供应量，有利于加速产业升级和能源结构的调整，本项目属于</w:t>
      </w:r>
      <w:r>
        <w:rPr>
          <w:rFonts w:hint="eastAsia" w:cs="Times New Roman"/>
          <w:bCs/>
          <w:color w:val="000000" w:themeColor="text1"/>
          <w:szCs w:val="24"/>
          <w:highlight w:val="none"/>
          <w:lang w:eastAsia="zh-CN"/>
          <w14:textFill>
            <w14:solidFill>
              <w14:schemeClr w14:val="tx1"/>
            </w14:solidFill>
          </w14:textFill>
        </w:rPr>
        <w:t>天然气勘探及试采项目</w:t>
      </w:r>
      <w:r>
        <w:rPr>
          <w:rFonts w:cs="Times New Roman"/>
          <w:bCs/>
          <w:color w:val="000000" w:themeColor="text1"/>
          <w:szCs w:val="24"/>
          <w:highlight w:val="none"/>
          <w14:textFill>
            <w14:solidFill>
              <w14:schemeClr w14:val="tx1"/>
            </w14:solidFill>
          </w14:textFill>
        </w:rPr>
        <w:t>，项目的建设能够改善川渝地区区域大气环境质量，符合《长江经济带生态环境保护规划》要求。</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（3）与《长江经济带发展负面清单指南（试行，2022年版）》及《四川省、重庆市长江经济带发展负面清单实施细则（试行，2022年版）》的符合性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长江经济带发展负面清单指南（试行，2022年版）》，“8.禁止在长江干流、重要湖泊岸线一公里范围内新建、扩建化工园区和化工项目。禁止在长江干流岸线一公里范围内新建、改建、扩建尾矿库、冶炼渣库和磷石膏库，以提升安全、生态环境保护水平为目的的改建除外。9.禁止在合规园区外新建、扩建钢铁、石化、化工、</w:t>
      </w:r>
      <w:r>
        <w:rPr>
          <w:rFonts w:hint="eastAsia" w:cs="Times New Roman"/>
          <w:bCs/>
          <w:color w:val="000000" w:themeColor="text1"/>
          <w:szCs w:val="24"/>
          <w:highlight w:val="none"/>
          <w:lang w:eastAsia="zh-CN"/>
          <w14:textFill>
            <w14:solidFill>
              <w14:schemeClr w14:val="tx1"/>
            </w14:solidFill>
          </w14:textFill>
        </w:rPr>
        <w:t>焦化</w:t>
      </w:r>
      <w:r>
        <w:rPr>
          <w:rFonts w:cs="Times New Roman"/>
          <w:bCs/>
          <w:color w:val="000000" w:themeColor="text1"/>
          <w:szCs w:val="24"/>
          <w:highlight w:val="none"/>
          <w14:textFill>
            <w14:solidFill>
              <w14:schemeClr w14:val="tx1"/>
            </w14:solidFill>
          </w14:textFill>
        </w:rPr>
        <w:t>、建材、有色、制浆造纸等高污染项目。11.禁止新建、扩建法律法规和相关政策明令禁止的落后产能项目。禁止新建、扩建不符合国家产能置换要求的严重过剩产能行业的项目。禁止新建、扩建不符合要求的高耗能高排放项目。”本项目位于宣汉县，距离最近河流后河不属于长江干流、重要支流，且项目为</w:t>
      </w:r>
      <w:r>
        <w:rPr>
          <w:rFonts w:hint="eastAsia" w:cs="Times New Roman"/>
          <w:bCs/>
          <w:color w:val="000000" w:themeColor="text1"/>
          <w:szCs w:val="24"/>
          <w:highlight w:val="none"/>
          <w:lang w:eastAsia="zh-CN"/>
          <w14:textFill>
            <w14:solidFill>
              <w14:schemeClr w14:val="tx1"/>
            </w14:solidFill>
          </w14:textFill>
        </w:rPr>
        <w:t>天然气勘探及试采项目</w:t>
      </w:r>
      <w:r>
        <w:rPr>
          <w:rFonts w:cs="Times New Roman"/>
          <w:bCs/>
          <w:color w:val="000000" w:themeColor="text1"/>
          <w:szCs w:val="24"/>
          <w:highlight w:val="none"/>
          <w14:textFill>
            <w14:solidFill>
              <w14:schemeClr w14:val="tx1"/>
            </w14:solidFill>
          </w14:textFill>
        </w:rPr>
        <w:t>，不设置尾矿库，不属于化工项目、尾矿库项目，项目不在长江干流、重要湖泊岸线一公里范围内，也不属于上述禁止建设的项目，符合《长江经济带发展负面清单指南（试行，2022年版）》管控要求。</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本项目与《四川省、重庆市长江经济带发展负面清单实施细则（试行，2022年版）》对比分析详见下表。</w:t>
      </w:r>
    </w:p>
    <w:p>
      <w:pPr>
        <w:pStyle w:val="201"/>
        <w:spacing w:before="1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bCs/>
          <w:color w:val="000000" w:themeColor="text1"/>
          <w:szCs w:val="24"/>
          <w:highlight w:val="none"/>
          <w14:textFill>
            <w14:solidFill>
              <w14:schemeClr w14:val="tx1"/>
            </w14:solidFill>
          </w14:textFill>
        </w:rPr>
        <w:t>本项目与《四川省、重庆市长江经济带发展负面清单实施细则（试行，2022年版）》</w:t>
      </w:r>
      <w:r>
        <w:rPr>
          <w:color w:val="000000" w:themeColor="text1"/>
          <w:highlight w:val="none"/>
          <w14:textFill>
            <w14:solidFill>
              <w14:schemeClr w14:val="tx1"/>
            </w14:solidFill>
          </w14:textFill>
        </w:rPr>
        <w:t>对比分析表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2"/>
        <w:gridCol w:w="4893"/>
        <w:gridCol w:w="1603"/>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97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污染防治技术政策要求</w:t>
            </w:r>
          </w:p>
        </w:tc>
        <w:tc>
          <w:tcPr>
            <w:tcW w:w="97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本工程内容</w:t>
            </w:r>
          </w:p>
        </w:tc>
        <w:tc>
          <w:tcPr>
            <w:tcW w:w="58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第五条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禁止新建、改建和扩建不符合全国港口布局规划，以及《四川省内河水运发展规划</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泸州—宜宾—乐山港口群布局规划</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重庆港总体规划（2035年）》等省级港口布局规划及市级港口总体规划的码头项目。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本工程不属于该类项目。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第六条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禁止新建、改建和扩建不符合《长江干线过江通道布局规划》的过长江通道项目（含桥梁、隧道），国家发展改革委同意过长江通道线位调整的除外。</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本工程不属于该类项目。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第七条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禁止在自然保护区核心区、缓冲区的岸线和河段范围内投资建设旅游和生产经营项目。自然保护区内部未分区的，依照核心区和缓冲区的规定管控。</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本工程不在当地自然保护区范围内。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第八条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禁止违反风景名胜区规划，在风景名胜区内设立各类开发区；禁止在风景名胜区核心景区的岸线和河段范围内建设宾馆、招待所、培训中心、疗养院以及与风景名胜资源保护无关的其他建筑物。</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本工程不在当地风景名胜区范围内。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第九条、第十条、第十一条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禁止在饮用水水源准保护区的岸线和河段范围内新建、扩建对水体污染严重的建设项目，禁止改建增加排污量的建设项目。</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饮用水水源二级保护区的岸线和河段范围内，除遵守准保护区规定外，禁止新建、改建、扩建排放污染物的投资建设项目；禁止从事对水体有污染的水产养殖活动。</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本工程不在当地集中式饮用水源保护区范围内。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第十二条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禁止在水产种质资源保护区的岸线和河段范围内新建围湖造田、围湖造地或挖沙采石等投资建设项目。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本工程不在当地水产种质资源保护区范围内。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第十三条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本工程不涉及当地湿地公园。</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第十四条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本工程不在《长江岸线保护和开发利用总体规划》划定的岸线保护区范围内。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第十五条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禁止在《全国重要江河湖泊水功能区划》划定的河段及湖泊保护区、保留区内投资建设不利于水资源及自然生态保护的项目。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本工程不在《全国重要江河湖泊水功能区划》划定的河段保护区、保留区范围内。</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第十六条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本工程不涉及排污口。</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第十七条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禁止在长江干流、大渡河、岷江、赤水河、沱江、嘉陵江、乌江、汉江和51个（四川省45个、重庆市6个）水生生物保护区开展生产性捕捞。</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本工程不涉及捕捞，不涉及水域施工。</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第十八条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禁止在长江干支流、重要湖泊岸线一公里范围内新建、扩建化工园区和化工项目。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本工程不属于化工园区和化工项目。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第十九条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本工程不属于尾矿库、冶炼渣库、磷石膏库项目。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禁止在生态保护红线区域、永久基本农田集中区域和其他需要特别保护的区域内选址建设尾矿库﹑冶炼渣库、磷石膏库。</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本工程不属于尾矿库、冶炼渣库、磷石膏库项目。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第二十一条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禁止在合规园区外新建、扩建钢铁、石化、化工、焦化、建材、有色、制浆造纸等高污染项目。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本工程不属于钢铁、石化、化工、焦化、建材、有色、制浆造纸等高污染项目。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第二十二条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禁止新建、扩建不符合国家石化、现代煤化工等产业布局规划的项目。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本工程符合国家产业规划。</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第二十三条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本工程为鼓励类项目。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第二十四条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本工程不属于不符合国家产能置换要求的严重过剩产能行业的项目。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第二十五条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禁止建设以下燃油汽车投资项目（不在中国境内销售产品的投资项目除外）。</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本工程不属于燃油汽车投资项目。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第二十六条</w:t>
            </w:r>
          </w:p>
        </w:tc>
        <w:tc>
          <w:tcPr>
            <w:tcW w:w="297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禁止新建、扩建不符合要求的高耗能、高排放、低水平项目。</w:t>
            </w:r>
          </w:p>
        </w:tc>
        <w:tc>
          <w:tcPr>
            <w:tcW w:w="97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本工程不属于不符合要求的高耗能、高排放、低水平项目。</w:t>
            </w:r>
          </w:p>
        </w:tc>
        <w:tc>
          <w:tcPr>
            <w:tcW w:w="58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64" w:beforeLines="50"/>
        <w:ind w:firstLine="480"/>
        <w:textAlignment w:val="auto"/>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通过本项目内容与</w:t>
      </w:r>
      <w:r>
        <w:rPr>
          <w:rFonts w:cs="Times New Roman"/>
          <w:bCs/>
          <w:color w:val="000000" w:themeColor="text1"/>
          <w:szCs w:val="24"/>
          <w:highlight w:val="none"/>
          <w14:textFill>
            <w14:solidFill>
              <w14:schemeClr w14:val="tx1"/>
            </w14:solidFill>
          </w14:textFill>
        </w:rPr>
        <w:t>《四川省、重庆市长江经济带发展负面清单实施细则（试行，2022年版）》</w:t>
      </w:r>
      <w:r>
        <w:rPr>
          <w:rFonts w:cs="Times New Roman"/>
          <w:color w:val="000000" w:themeColor="text1"/>
          <w:szCs w:val="24"/>
          <w:highlight w:val="none"/>
          <w14:textFill>
            <w14:solidFill>
              <w14:schemeClr w14:val="tx1"/>
            </w14:solidFill>
          </w14:textFill>
        </w:rPr>
        <w:t>中各项内容进行对比分析，本项目建设符合</w:t>
      </w:r>
      <w:r>
        <w:rPr>
          <w:rFonts w:cs="Times New Roman"/>
          <w:bCs/>
          <w:color w:val="000000" w:themeColor="text1"/>
          <w:szCs w:val="24"/>
          <w:highlight w:val="none"/>
          <w14:textFill>
            <w14:solidFill>
              <w14:schemeClr w14:val="tx1"/>
            </w14:solidFill>
          </w14:textFill>
        </w:rPr>
        <w:t>《四川省、重庆市长江经济带发展负面清单实施细则（试行，2022年版）》</w:t>
      </w:r>
      <w:r>
        <w:rPr>
          <w:rFonts w:cs="Times New Roman"/>
          <w:color w:val="000000" w:themeColor="text1"/>
          <w:szCs w:val="24"/>
          <w:highlight w:val="none"/>
          <w14:textFill>
            <w14:solidFill>
              <w14:schemeClr w14:val="tx1"/>
            </w14:solidFill>
          </w14:textFill>
        </w:rPr>
        <w:t>要求。</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bookmarkStart w:id="84" w:name="_Toc120173079"/>
      <w:r>
        <w:rPr>
          <w:color w:val="000000" w:themeColor="text1"/>
          <w:highlight w:val="none"/>
          <w14:textFill>
            <w14:solidFill>
              <w14:schemeClr w14:val="tx1"/>
            </w14:solidFill>
          </w14:textFill>
        </w:rPr>
        <w:t>与《四川省嘉陵江流域生态环境保护条例》的符合性分析</w:t>
      </w:r>
    </w:p>
    <w:p>
      <w:pPr>
        <w:autoSpaceDE w:val="0"/>
        <w:autoSpaceDN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本项目与《四川省嘉陵江流域生态环境保护条例》的符合性分析见下表：</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与《四川省嘉陵江流域生态环境保护条例》的符合性分析一览表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5"/>
        <w:gridCol w:w="4163"/>
        <w:gridCol w:w="2607"/>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53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条例要求</w:t>
            </w:r>
          </w:p>
        </w:tc>
        <w:tc>
          <w:tcPr>
            <w:tcW w:w="158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52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九十九条：违反本条例规定，未按照规定设置下泄生态流量在线监控、监测装置，未按照规定与水行政主管部门的监管平台联网的，由县级以上地方人民政府水行政主管部门责令限期改正，处二万元以上二十万元以下罚款；逾期不改正的，责令停产整治。</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本项目不属于需设置下泄生态流量在线监控、监测装置的项目。</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百条：违反本条例规定，在嘉陵江流域未依法取得许可从事采砂活动，或者在禁止采砂区和禁止采砂期从事采砂活动的，由县级以上地方人民政府水行政主管部门责令停止违法行为，没收违法所得以及用于违法活动的船舶、设备、工具，并处货值金额二倍以上二十倍以下罚款；货值金额不足十万元的，并处二十万元以上二百万元以下罚款；已经取得河道采砂许可证的，吊销河道采砂许可证。</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本项目不属于采砂项目，不涉及采砂。</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百零一条：违反本条例规定，未按照规定对医疗卫生机构、传染病疫情防控期间集中医学观察点产生的污水、传染病病人或者疑似传染病病人的排泄物，进行严格消毒，或者未达到国家规定的排放标准，排入污水处理系统的，由卫生健康主管部门或者生态环境主管部门按照各自的职责责令限期改正，给予警告，并处五千元以上一万元以下罚款；逾期不改正的，处一万元以上三万元以下罚款；造成传染病传播或者环境污染事故的，由原发证部门暂扣或者吊销执业许可证件或者经营许可证件；构成犯罪的，依法追究刑事责任。</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本项目不属于医疗企业。</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百零二条：违反本条例规定，向水体以投放化肥、粪便、动物尸体（肢体、内脏）、动物源性饲料等污染水体的方式从事水产养殖的，由县级以上地方人民政府生态环境主管部门责令停止违法行为，处一万元以上十万元以下罚款。</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本项目所产生的生产废水均回用或预处理后回注，生活污水经收集后均由密闭罐车定期拉运至当地污水处理厂处理，</w:t>
            </w:r>
            <w:r>
              <w:rPr>
                <w:rFonts w:hint="eastAsia"/>
                <w:color w:val="000000" w:themeColor="text1"/>
                <w:szCs w:val="20"/>
                <w:highlight w:val="none"/>
                <w:lang w:val="en-US" w:eastAsia="zh-CN"/>
                <w14:textFill>
                  <w14:solidFill>
                    <w14:schemeClr w14:val="tx1"/>
                  </w14:solidFill>
                </w14:textFill>
              </w:rPr>
              <w:t>不外排，</w:t>
            </w:r>
            <w:r>
              <w:rPr>
                <w:rFonts w:hint="default"/>
                <w:color w:val="000000" w:themeColor="text1"/>
                <w:szCs w:val="20"/>
                <w:highlight w:val="none"/>
                <w14:textFill>
                  <w14:solidFill>
                    <w14:schemeClr w14:val="tx1"/>
                  </w14:solidFill>
                </w14:textFill>
              </w:rPr>
              <w:t>不属于水产养殖业项目。</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第一百零三条：违反本条例规定，有下列行为之一的，由负责海事管理的机构按下列规定处罚：</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船舶装载运输油类或者有毒货物，未制定防止船舶溢漏应急预案的，或者未采取防溢流、防渗漏、防坠落等措施的；发生海损事故或者货物落水事故未立即采取措施控制和消除污染以及迟报、谎报、漏报、瞒报的，责令停止违法行为，处一万元以上十万元以下罚款；造成水污染的，责令限期采取治理措施，消除污染，处二万元以上二十万元以下罚款；逾期不采取治理措施的，可以指定有治理能力的单位代为治理，所需费用由船舶经营者承担；</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（二）船舶经营者未将餐厨垃圾贮存在专门的容器中，收集上岸集中处置的，或者未如实记录处置情况的，责令改正，处二千元以上二万元以下罚款。</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本项目不涉及船舶运输。</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一百零四条：因污染嘉陵江流域环境、破坏嘉陵江流域生态造成他人损害的，侵权人应当承担侵权责任。</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违反国家和本省规定造成嘉陵江流域生态环境损害的，国家规定的机关或者法律规定的组织有权请求侵权人承担修复责任、赔偿损失和有关费用。</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本项目不属于污染损害嘉陵江流域环境、破坏嘉陵江流域生态造成他人损害的建设项目。</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35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2532"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第一百零五条：对嘉陵江流域污染环境、破坏生态，损害公共利益的行为，法律规定的机关和符合条件的社会组织可以依法向人民法院提起诉讼。</w:t>
            </w:r>
          </w:p>
        </w:tc>
        <w:tc>
          <w:tcPr>
            <w:tcW w:w="1586"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本项目采取对应的环境保护措施，不会对嘉陵江流域污染环境、破坏生态。</w:t>
            </w:r>
          </w:p>
        </w:tc>
        <w:tc>
          <w:tcPr>
            <w:tcW w:w="5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autoSpaceDE w:val="0"/>
        <w:autoSpaceDN w:val="0"/>
        <w:spacing w:before="163"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综上所述，本项目与《四川省嘉陵江流域生态环境保护条例》相符。</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与《达州市“十四五”生态环境保护规划》的符合性分析</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本项目与《达州市</w:t>
      </w:r>
      <w:r>
        <w:rPr>
          <w:rFonts w:hint="eastAsia" w:ascii="宋体" w:hAnsi="宋体" w:eastAsia="宋体" w:cs="宋体"/>
          <w:color w:val="000000" w:themeColor="text1"/>
          <w:szCs w:val="24"/>
          <w:highlight w:val="none"/>
          <w14:textFill>
            <w14:solidFill>
              <w14:schemeClr w14:val="tx1"/>
            </w14:solidFill>
          </w14:textFill>
        </w:rPr>
        <w:t>“十四五”</w:t>
      </w:r>
      <w:r>
        <w:rPr>
          <w:rFonts w:cs="Times New Roman"/>
          <w:color w:val="000000" w:themeColor="text1"/>
          <w:szCs w:val="24"/>
          <w:highlight w:val="none"/>
          <w14:textFill>
            <w14:solidFill>
              <w14:schemeClr w14:val="tx1"/>
            </w14:solidFill>
          </w14:textFill>
        </w:rPr>
        <w:t>生态环境保护规划》的符合性分析见下表：</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与《达州市“十四五”生态环境保护规划》的符合性分析一览表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1"/>
        <w:gridCol w:w="4947"/>
        <w:gridCol w:w="2165"/>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规划要求</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落实国土空间开发保护格局。以达川区、通川区、大竹县为重点开发区域，加快推进中心城市发展，优化城市空间布局，重点发展清洁能源、天然气化工、农产品加工业，加强生态环境保护和流域综合整治···</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本项目属于</w:t>
            </w:r>
            <w:r>
              <w:rPr>
                <w:rFonts w:hint="eastAsia"/>
                <w:color w:val="000000" w:themeColor="text1"/>
                <w:szCs w:val="20"/>
                <w:highlight w:val="none"/>
                <w:lang w:eastAsia="zh-CN"/>
                <w14:textFill>
                  <w14:solidFill>
                    <w14:schemeClr w14:val="tx1"/>
                  </w14:solidFill>
                </w14:textFill>
              </w:rPr>
              <w:t>天然气勘探及试采项目</w:t>
            </w: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···加强清洁能源示范建设，实施中国“气大庆”建设行动，推进国家天然气综合开发利用示范区建设，提高天然气就地转化效率，进一步提高非化石能源供给及其在能源消费结构中的比例···</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本项目属于</w:t>
            </w:r>
            <w:r>
              <w:rPr>
                <w:rFonts w:hint="eastAsia"/>
                <w:color w:val="000000" w:themeColor="text1"/>
                <w:szCs w:val="20"/>
                <w:highlight w:val="none"/>
                <w:lang w:eastAsia="zh-CN"/>
                <w14:textFill>
                  <w14:solidFill>
                    <w14:schemeClr w14:val="tx1"/>
                  </w14:solidFill>
                </w14:textFill>
              </w:rPr>
              <w:t>天然气勘探及试采项目</w:t>
            </w: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···加强矿产资源综合利用，合理开发利用煤炭、天然气、页岩气、卤水等矿产资源···</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本项目属于</w:t>
            </w:r>
            <w:r>
              <w:rPr>
                <w:rFonts w:hint="eastAsia"/>
                <w:color w:val="000000" w:themeColor="text1"/>
                <w:szCs w:val="20"/>
                <w:highlight w:val="none"/>
                <w:lang w:eastAsia="zh-CN"/>
                <w14:textFill>
                  <w14:solidFill>
                    <w14:schemeClr w14:val="tx1"/>
                  </w14:solidFill>
                </w14:textFill>
              </w:rPr>
              <w:t>天然气勘探及试采项目</w:t>
            </w: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···加强矿山开采、天然气勘探开发全过程环境管理···</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本项目在施工及</w:t>
            </w:r>
            <w:r>
              <w:rPr>
                <w:rFonts w:hint="eastAsia"/>
                <w:color w:val="000000" w:themeColor="text1"/>
                <w:szCs w:val="20"/>
                <w:highlight w:val="none"/>
                <w:lang w:eastAsia="zh-CN"/>
                <w14:textFill>
                  <w14:solidFill>
                    <w14:schemeClr w14:val="tx1"/>
                  </w14:solidFill>
                </w14:textFill>
              </w:rPr>
              <w:t>试采期</w:t>
            </w:r>
            <w:r>
              <w:rPr>
                <w:rFonts w:hint="default"/>
                <w:color w:val="000000" w:themeColor="text1"/>
                <w:szCs w:val="20"/>
                <w:highlight w:val="none"/>
                <w14:textFill>
                  <w14:solidFill>
                    <w14:schemeClr w14:val="tx1"/>
                  </w14:solidFill>
                </w14:textFill>
              </w:rPr>
              <w:t>均严格落实各项环境保护措施，全过程加强对环境的管理。</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···重点支持普光经济开发区开展天然气钻井岩屑资源化利用···</w:t>
            </w:r>
          </w:p>
        </w:tc>
        <w:tc>
          <w:tcPr>
            <w:tcW w:w="0" w:type="auto"/>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本项目所产生的钻井岩屑均得到妥善的资源化利用</w:t>
            </w:r>
            <w:r>
              <w:rPr>
                <w:rFonts w:hint="eastAsia"/>
                <w:color w:val="000000" w:themeColor="text1"/>
                <w:szCs w:val="20"/>
                <w:highlight w:val="none"/>
                <w:lang w:eastAsia="zh-CN"/>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autoSpaceDE w:val="0"/>
        <w:autoSpaceDN w:val="0"/>
        <w:spacing w:before="163"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综上所述，本项目与《达州市</w:t>
      </w:r>
      <w:r>
        <w:rPr>
          <w:rFonts w:ascii="宋体" w:hAnsi="宋体" w:cs="Times New Roman"/>
          <w:color w:val="000000" w:themeColor="text1"/>
          <w:highlight w:val="none"/>
          <w14:textFill>
            <w14:solidFill>
              <w14:schemeClr w14:val="tx1"/>
            </w14:solidFill>
          </w14:textFill>
        </w:rPr>
        <w:t>“十四五”</w:t>
      </w:r>
      <w:r>
        <w:rPr>
          <w:rFonts w:cs="Times New Roman"/>
          <w:color w:val="000000" w:themeColor="text1"/>
          <w:highlight w:val="none"/>
          <w14:textFill>
            <w14:solidFill>
              <w14:schemeClr w14:val="tx1"/>
            </w14:solidFill>
          </w14:textFill>
        </w:rPr>
        <w:t>生态环境保护规划》相符。</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与《地下水管理条例》的符合性分析</w:t>
      </w:r>
    </w:p>
    <w:p>
      <w:pPr>
        <w:pStyle w:val="294"/>
        <w:rPr>
          <w:rFonts w:ascii="Times New Roman" w:cs="Times New Roman"/>
          <w:color w:val="000000" w:themeColor="text1"/>
          <w:highlight w:val="none"/>
          <w14:textFill>
            <w14:solidFill>
              <w14:schemeClr w14:val="tx1"/>
            </w14:solidFill>
          </w14:textFill>
        </w:rPr>
      </w:pPr>
      <w:r>
        <w:rPr>
          <w:rFonts w:ascii="Times New Roman" w:cs="Times New Roman"/>
          <w:color w:val="000000" w:themeColor="text1"/>
          <w:highlight w:val="none"/>
          <w14:textFill>
            <w14:solidFill>
              <w14:schemeClr w14:val="tx1"/>
            </w14:solidFill>
          </w14:textFill>
        </w:rPr>
        <w:t>2021年9月15日国务院第149次常务会议通过，2021年10月29日公布，自2021年12月1日起施行的《地下水管理条例》，本项目与其符合性分析见表2.7-6。通过对比分析，本项目符合该条例的相关要求。</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与《地下水管理条例》符合性分析</w:t>
      </w: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7"/>
        <w:gridCol w:w="4148"/>
        <w:gridCol w:w="2919"/>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607"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bookmarkStart w:id="85" w:name="_Hlk95470983"/>
            <w:r>
              <w:rPr>
                <w:rFonts w:hint="default"/>
                <w:b/>
                <w:bCs/>
                <w:color w:val="000000" w:themeColor="text1"/>
                <w:szCs w:val="20"/>
                <w:highlight w:val="none"/>
                <w14:textFill>
                  <w14:solidFill>
                    <w14:schemeClr w14:val="tx1"/>
                  </w14:solidFill>
                </w14:textFill>
              </w:rPr>
              <w:t>序号</w:t>
            </w:r>
          </w:p>
        </w:tc>
        <w:tc>
          <w:tcPr>
            <w:tcW w:w="4148"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相关要求（摘录）</w:t>
            </w:r>
          </w:p>
        </w:tc>
        <w:tc>
          <w:tcPr>
            <w:tcW w:w="2919"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本项目情况</w:t>
            </w:r>
          </w:p>
        </w:tc>
        <w:tc>
          <w:tcPr>
            <w:tcW w:w="546"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07"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4148"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单位和个人应当采取措施防止地下工程建设对地下水补给、径流、排泄等造成重大不利影响。对开挖达到一定深度或者达到一定排水规模的地下工程，建设单位和个人应当于工程开工前，将工程建设方案和防止对地下水产生不利影响的措施方案报有管理权限的水行政主管部门备案。开挖深度和排水规模由省、自治区、直辖市人民政府制定、公布。</w:t>
            </w:r>
          </w:p>
        </w:tc>
        <w:tc>
          <w:tcPr>
            <w:tcW w:w="2919"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本项目采取了严格措施（不涉及浅层钻、分区防渗等）防止地下工程建设对地下水补给、径流、排泄等造成重大不利影响</w:t>
            </w:r>
            <w:r>
              <w:rPr>
                <w:rFonts w:hint="eastAsia"/>
                <w:color w:val="000000" w:themeColor="text1"/>
                <w:szCs w:val="20"/>
                <w:highlight w:val="none"/>
                <w:lang w:eastAsia="zh-CN"/>
                <w14:textFill>
                  <w14:solidFill>
                    <w14:schemeClr w14:val="tx1"/>
                  </w14:solidFill>
                </w14:textFill>
              </w:rPr>
              <w:t>。</w:t>
            </w:r>
          </w:p>
        </w:tc>
        <w:tc>
          <w:tcPr>
            <w:tcW w:w="546"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07"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4148"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禁止下列污染或者可能污染地下水的行为：</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（一）利用渗井、渗坑、裂隙、溶洞以及私设暗管等逃避监管的方式排放水污染物；</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（二）利用岩层孔隙、裂隙、溶洞、废弃矿坑等贮存石化原料及产品、农药、危险废物、城镇污水处理设施产生的污泥和处理后的污泥或者其他有毒有害物质；</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（三）利用无防渗漏措施的沟渠、坑塘等输送或者贮存含有毒污染物的废水、含病原体的污水和其他废弃物；</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（四）法律、法规禁止的其他污染或者可能污染地下水的行为</w:t>
            </w:r>
          </w:p>
        </w:tc>
        <w:tc>
          <w:tcPr>
            <w:tcW w:w="2919"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本项目制定了严格措施防止项目建设运营对地下水造成污染</w:t>
            </w:r>
            <w:r>
              <w:rPr>
                <w:rFonts w:hint="eastAsia"/>
                <w:color w:val="000000" w:themeColor="text1"/>
                <w:szCs w:val="20"/>
                <w:highlight w:val="none"/>
                <w:lang w:eastAsia="zh-CN"/>
                <w14:textFill>
                  <w14:solidFill>
                    <w14:schemeClr w14:val="tx1"/>
                  </w14:solidFill>
                </w14:textFill>
              </w:rPr>
              <w:t>。</w:t>
            </w:r>
          </w:p>
        </w:tc>
        <w:tc>
          <w:tcPr>
            <w:tcW w:w="546"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07"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4148"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企业事业单位和其他生产经营者应当采取下列措施，防止地下水污染：</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（一）兴建地下工程设施或者进行地下勘探、采矿等活动，依法编制的环境影响评价文件中，应当包括地下水污染防治的内容，并采取防护性措施；</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（二）化学品生产企业以及工业集聚区、矿山开采区、尾矿库、危险废物处置场、垃圾填埋场等的运营、管理单位，应当采取防渗漏等措施，并建设地下水水质监测井进行监测；</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（三）加油站等的地下油罐应当使用双层罐或者采取建造防渗池等其他有效措施，并进行防渗漏监测；</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（四）存放可溶性剧毒废渣的场所，应当采取防水、防渗漏、防流失的措施；</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（五）法律、法规规定应当采取的其他防止地下水污染的措施</w:t>
            </w:r>
          </w:p>
        </w:tc>
        <w:tc>
          <w:tcPr>
            <w:tcW w:w="2919"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（一）本项目依法编制的环境影响评价文件中，包括了地下水污染防治的内容，并</w:t>
            </w:r>
            <w:r>
              <w:rPr>
                <w:rFonts w:hint="eastAsia"/>
                <w:color w:val="000000" w:themeColor="text1"/>
                <w:szCs w:val="20"/>
                <w:highlight w:val="none"/>
                <w:lang w:eastAsia="zh-CN"/>
                <w14:textFill>
                  <w14:solidFill>
                    <w14:schemeClr w14:val="tx1"/>
                  </w14:solidFill>
                </w14:textFill>
              </w:rPr>
              <w:t>采取了</w:t>
            </w:r>
            <w:r>
              <w:rPr>
                <w:rFonts w:hint="default"/>
                <w:color w:val="000000" w:themeColor="text1"/>
                <w:szCs w:val="20"/>
                <w:highlight w:val="none"/>
                <w14:textFill>
                  <w14:solidFill>
                    <w14:schemeClr w14:val="tx1"/>
                  </w14:solidFill>
                </w14:textFill>
              </w:rPr>
              <w:t>防护性措施；</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（二）本项目不属于化学品生产企业以及工业集聚区、矿山开采区、尾矿库、危险废物处置场、垃圾填埋场等的运营、管理单位；</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（三）本项目没有地下油罐，同时项目采取了分区防渗措施；</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（四）本项目设置的危险废物暂存区采取了重点防渗措施，满足防水、防渗漏、防流失的要求；</w:t>
            </w:r>
          </w:p>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（五）本项目落实了法律、法规规定的应当采取的其他防止地下水污染的措施</w:t>
            </w:r>
            <w:r>
              <w:rPr>
                <w:rFonts w:hint="eastAsia"/>
                <w:color w:val="000000" w:themeColor="text1"/>
                <w:szCs w:val="20"/>
                <w:highlight w:val="none"/>
                <w:lang w:eastAsia="zh-CN"/>
                <w14:textFill>
                  <w14:solidFill>
                    <w14:schemeClr w14:val="tx1"/>
                  </w14:solidFill>
                </w14:textFill>
              </w:rPr>
              <w:t>。</w:t>
            </w:r>
          </w:p>
        </w:tc>
        <w:tc>
          <w:tcPr>
            <w:tcW w:w="546"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07"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4148"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在泉域保护范围以及岩溶强发育、存在较多落水洞和岩溶漏斗的区域内，不得新建、改建、扩建可能造成地下水污染的建设项目</w:t>
            </w:r>
          </w:p>
        </w:tc>
        <w:tc>
          <w:tcPr>
            <w:tcW w:w="2919" w:type="dxa"/>
            <w:tcMar>
              <w:left w:w="57" w:type="dxa"/>
              <w:right w:w="57" w:type="dxa"/>
            </w:tcMar>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本项目不在泉域保护范围以及岩溶强发育、存在较多落水洞和岩溶漏斗的区域</w:t>
            </w:r>
            <w:r>
              <w:rPr>
                <w:rFonts w:hint="eastAsia"/>
                <w:color w:val="000000" w:themeColor="text1"/>
                <w:szCs w:val="20"/>
                <w:highlight w:val="none"/>
                <w:lang w:eastAsia="zh-CN"/>
                <w14:textFill>
                  <w14:solidFill>
                    <w14:schemeClr w14:val="tx1"/>
                  </w14:solidFill>
                </w14:textFill>
              </w:rPr>
              <w:t>。</w:t>
            </w:r>
          </w:p>
        </w:tc>
        <w:tc>
          <w:tcPr>
            <w:tcW w:w="546" w:type="dxa"/>
            <w:tcMar>
              <w:left w:w="57" w:type="dxa"/>
              <w:right w:w="57"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bookmarkEnd w:id="85"/>
    </w:tbl>
    <w:p>
      <w:pPr>
        <w:autoSpaceDE w:val="0"/>
        <w:autoSpaceDN w:val="0"/>
        <w:spacing w:before="163"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综上所述，本项目的建设与《地下水管理条例》相符。</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项目与《</w:t>
      </w:r>
      <w:r>
        <w:rPr>
          <w:rFonts w:hint="eastAsia" w:ascii="Times New Roman" w:hAnsi="Times New Roman"/>
          <w:bCs/>
          <w:color w:val="000000" w:themeColor="text1"/>
          <w:kern w:val="2"/>
          <w:highlight w:val="none"/>
          <w:lang w:val="en-US" w:eastAsia="zh-CN"/>
          <w14:textFill>
            <w14:solidFill>
              <w14:schemeClr w14:val="tx1"/>
            </w14:solidFill>
          </w14:textFill>
        </w:rPr>
        <w:t>甲烷排放控制行动方案</w:t>
      </w:r>
      <w:r>
        <w:rPr>
          <w:rFonts w:hint="eastAsia" w:ascii="Times New Roman" w:hAnsi="Times New Roman"/>
          <w:bCs/>
          <w:color w:val="000000" w:themeColor="text1"/>
          <w:kern w:val="2"/>
          <w:highlight w:val="none"/>
          <w:lang w:eastAsia="zh-CN"/>
          <w14:textFill>
            <w14:solidFill>
              <w14:schemeClr w14:val="tx1"/>
            </w14:solidFill>
          </w14:textFill>
        </w:rPr>
        <w:t>》符合性分析</w:t>
      </w:r>
    </w:p>
    <w:p>
      <w:pPr>
        <w:pStyle w:val="21"/>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firstLine="480" w:firstLineChars="200"/>
        <w:jc w:val="both"/>
        <w:textAlignment w:val="auto"/>
        <w:rPr>
          <w:rFonts w:hint="eastAsia" w:cs="Times New Roman"/>
          <w:bCs/>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根据</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生态环境部、外交部、国家发展改革委、科技部、工业和信息化部、 财政部、自然资源部、</w:t>
      </w:r>
      <w:r>
        <w:rPr>
          <w:rFonts w:hint="eastAsia"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住房和城乡建设</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部、农业农村部、应急管理部、国家能源局于2023年11月7日印发实施</w:t>
      </w:r>
      <w:r>
        <w:rPr>
          <w:rFonts w:hint="eastAsia"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的《甲烷排放控制行动方案》，</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本项目与其符合性分析如下：</w:t>
      </w:r>
    </w:p>
    <w:p>
      <w:pPr>
        <w:pStyle w:val="201"/>
        <w:spacing w:before="0" w:beforeLine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与</w:t>
      </w:r>
      <w:r>
        <w:rPr>
          <w:rFonts w:hint="eastAsia"/>
          <w:color w:val="000000" w:themeColor="text1"/>
          <w:highlight w:val="none"/>
          <w:lang w:val="en-US" w:eastAsia="zh-CN"/>
          <w14:textFill>
            <w14:solidFill>
              <w14:schemeClr w14:val="tx1"/>
            </w14:solidFill>
          </w14:textFill>
        </w:rPr>
        <w:t>《甲烷排放控制行动方案》</w:t>
      </w:r>
      <w:r>
        <w:rPr>
          <w:color w:val="000000" w:themeColor="text1"/>
          <w:highlight w:val="none"/>
          <w14:textFill>
            <w14:solidFill>
              <w14:schemeClr w14:val="tx1"/>
            </w14:solidFill>
          </w14:textFill>
        </w:rPr>
        <w:t>符合性分析</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2"/>
        <w:gridCol w:w="308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 w:hRule="atLeast"/>
          <w:tblHeader/>
          <w:jc w:val="center"/>
        </w:trPr>
        <w:tc>
          <w:tcPr>
            <w:tcW w:w="427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方案中与本项目有关的具体要求</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6" w:hRule="atLeast"/>
          <w:jc w:val="center"/>
        </w:trPr>
        <w:tc>
          <w:tcPr>
            <w:tcW w:w="42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4.强化甲烷综合利用。促进油气田放空甲烷排放管控，鼓励企业</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因地制宜开展伴生气与放空气回收利用，不能回收或难以回收的，应经燃烧后放空。鼓励引导煤炭企业加大煤矿瓦斯抽采利用。到2025 年，煤矿瓦斯年利用量达到 60 亿立方米；到 2030 年，油田伴生气集气率达到国际先进水平。</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eastAsia="宋体"/>
                <w:color w:val="000000" w:themeColor="text1"/>
                <w:szCs w:val="20"/>
                <w:highlight w:val="none"/>
                <w:lang w:val="en-US" w:eastAsia="zh-CN"/>
                <w14:textFill>
                  <w14:solidFill>
                    <w14:schemeClr w14:val="tx1"/>
                  </w14:solidFill>
                </w14:textFill>
              </w:rPr>
            </w:pP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本项目为天然气钻井及试采工程项目，在试采期间将</w:t>
            </w:r>
            <w:r>
              <w:rPr>
                <w:rFonts w:hint="eastAsia"/>
                <w:color w:val="000000" w:themeColor="text1"/>
                <w:szCs w:val="20"/>
                <w:shd w:val="clear" w:color="auto" w:fill="FFFFFF"/>
                <w14:textFill>
                  <w14:solidFill>
                    <w14:schemeClr w14:val="tx1"/>
                  </w14:solidFill>
                </w14:textFill>
              </w:rPr>
              <w:t>全密闭输气，</w:t>
            </w:r>
            <w:r>
              <w:rPr>
                <w:rFonts w:hint="default"/>
                <w:color w:val="000000" w:themeColor="text1"/>
                <w:szCs w:val="20"/>
                <w14:textFill>
                  <w14:solidFill>
                    <w14:schemeClr w14:val="tx1"/>
                  </w14:solidFill>
                </w14:textFill>
              </w:rPr>
              <w:t>本项目</w:t>
            </w:r>
            <w:r>
              <w:rPr>
                <w:rFonts w:hint="eastAsia"/>
                <w:color w:val="000000" w:themeColor="text1"/>
                <w:szCs w:val="20"/>
                <w14:textFill>
                  <w14:solidFill>
                    <w14:schemeClr w14:val="tx1"/>
                  </w14:solidFill>
                </w14:textFill>
              </w:rPr>
              <w:t>试采工程中将</w:t>
            </w:r>
            <w:r>
              <w:rPr>
                <w:rFonts w:hint="default"/>
                <w:color w:val="000000" w:themeColor="text1"/>
                <w:szCs w:val="20"/>
                <w14:textFill>
                  <w14:solidFill>
                    <w14:schemeClr w14:val="tx1"/>
                  </w14:solidFill>
                </w14:textFill>
              </w:rPr>
              <w:t>对异常超压和检修时不具备利用条件</w:t>
            </w:r>
            <w:r>
              <w:rPr>
                <w:rFonts w:hint="eastAsia"/>
                <w:color w:val="000000" w:themeColor="text1"/>
                <w:szCs w:val="20"/>
                <w14:textFill>
                  <w14:solidFill>
                    <w14:schemeClr w14:val="tx1"/>
                  </w14:solidFill>
                </w14:textFill>
              </w:rPr>
              <w:t>的</w:t>
            </w:r>
            <w:r>
              <w:rPr>
                <w:rFonts w:hint="default"/>
                <w:color w:val="000000" w:themeColor="text1"/>
                <w:szCs w:val="20"/>
                <w14:textFill>
                  <w14:solidFill>
                    <w14:schemeClr w14:val="tx1"/>
                  </w14:solidFill>
                </w14:textFill>
              </w:rPr>
              <w:t>天然气，通过放</w:t>
            </w:r>
            <w:r>
              <w:rPr>
                <w:rFonts w:hint="eastAsia"/>
                <w:color w:val="000000" w:themeColor="text1"/>
                <w:szCs w:val="20"/>
                <w14:textFill>
                  <w14:solidFill>
                    <w14:schemeClr w14:val="tx1"/>
                  </w14:solidFill>
                </w14:textFill>
              </w:rPr>
              <w:t>空立管</w:t>
            </w:r>
            <w:r>
              <w:rPr>
                <w:rFonts w:hint="default"/>
                <w:color w:val="000000" w:themeColor="text1"/>
                <w:szCs w:val="20"/>
                <w14:textFill>
                  <w14:solidFill>
                    <w14:schemeClr w14:val="tx1"/>
                  </w14:solidFill>
                </w14:textFill>
              </w:rPr>
              <w:t>进行充分燃烧</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42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6.推动逐步减少油气系统常规火炬。优化油气田地面工程建设与</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管理，减少火炬系统天然气燃烧量。科学规划设计新建油气作业</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，在确保生产安全的基础上，努力逐步减少常规火炬燃放。</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本项目将根据环境、气象及生产负荷波动情况建立火炬系统燃烧管控方案，合理控制燃气量。同时在试采期还将加强井口装置的定期维护保养，有效减少 CH</w:t>
            </w:r>
            <w:r>
              <w:rPr>
                <w:rFonts w:hint="eastAsia" w:ascii="Times New Roman" w:hAnsi="Times New Roman" w:eastAsia="宋体" w:cs="Times New Roman"/>
                <w:color w:val="000000" w:themeColor="text1"/>
                <w:kern w:val="2"/>
                <w:sz w:val="21"/>
                <w:szCs w:val="20"/>
                <w:highlight w:val="none"/>
                <w:shd w:val="clear" w:color="auto" w:fill="FFFFFF"/>
                <w:vertAlign w:val="subscript"/>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的逸散。</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符合</w:t>
            </w:r>
          </w:p>
        </w:tc>
      </w:tr>
    </w:tbl>
    <w:p>
      <w:pPr>
        <w:pStyle w:val="65"/>
        <w:pageBreakBefore w:val="0"/>
        <w:kinsoku/>
        <w:wordWrap/>
        <w:overflowPunct/>
        <w:topLinePunct w:val="0"/>
        <w:autoSpaceDE/>
        <w:autoSpaceDN/>
        <w:bidi w:val="0"/>
        <w:adjustRightInd w:val="0"/>
        <w:snapToGrid w:val="0"/>
        <w:spacing w:line="360" w:lineRule="auto"/>
        <w:jc w:val="both"/>
        <w:textAlignment w:val="auto"/>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综上所述，本项目</w:t>
      </w:r>
      <w:r>
        <w:rPr>
          <w:rFonts w:hint="eastAsia"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与《甲烷排放控制行动方案》</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相符合。</w:t>
      </w:r>
    </w:p>
    <w:p>
      <w:pPr>
        <w:pStyle w:val="5"/>
        <w:keepNext/>
        <w:keepLines/>
        <w:pageBreakBefore w:val="0"/>
        <w:widowControl w:val="0"/>
        <w:kinsoku/>
        <w:wordWrap/>
        <w:overflowPunct/>
        <w:topLinePunct w:val="0"/>
        <w:autoSpaceDE/>
        <w:autoSpaceDN/>
        <w:bidi w:val="0"/>
        <w:adjustRightInd w:val="0"/>
        <w:snapToGrid w:val="0"/>
        <w:spacing w:before="0" w:line="360" w:lineRule="auto"/>
        <w:ind w:firstLine="480"/>
        <w:textAlignment w:val="auto"/>
        <w:rPr>
          <w:color w:val="000000" w:themeColor="text1"/>
          <w:highlight w:val="none"/>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项目</w:t>
      </w: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与《四川省土壤污染防治条例》符合性分析</w:t>
      </w:r>
    </w:p>
    <w:p>
      <w:pPr>
        <w:pStyle w:val="21"/>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firstLine="480" w:firstLineChars="200"/>
        <w:jc w:val="both"/>
        <w:textAlignment w:val="auto"/>
        <w:rPr>
          <w:rFonts w:hint="eastAsia" w:cs="Times New Roman"/>
          <w:bCs/>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根据四川省第十四届人民代表大会常务委员会第二次会议于2023年3月30日通过，自2023年7月1日起施行的《四川省土壤污染防治条例》，本</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项目与其符合性分析如下：</w:t>
      </w:r>
    </w:p>
    <w:p>
      <w:pPr>
        <w:pStyle w:val="201"/>
        <w:spacing w:before="0" w:beforeLine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与</w:t>
      </w:r>
      <w:r>
        <w:rPr>
          <w:rFonts w:hint="eastAsia"/>
          <w:color w:val="000000" w:themeColor="text1"/>
          <w:highlight w:val="none"/>
          <w:lang w:val="en-US" w:eastAsia="zh-CN"/>
          <w14:textFill>
            <w14:solidFill>
              <w14:schemeClr w14:val="tx1"/>
            </w14:solidFill>
          </w14:textFill>
        </w:rPr>
        <w:t>《四川省土壤污染防治条例》</w:t>
      </w:r>
      <w:r>
        <w:rPr>
          <w:color w:val="000000" w:themeColor="text1"/>
          <w:highlight w:val="none"/>
          <w14:textFill>
            <w14:solidFill>
              <w14:schemeClr w14:val="tx1"/>
            </w14:solidFill>
          </w14:textFill>
        </w:rPr>
        <w:t>符合性</w:t>
      </w:r>
      <w:r>
        <w:rPr>
          <w:rFonts w:hint="eastAsia"/>
          <w:color w:val="000000" w:themeColor="text1"/>
          <w:highlight w:val="none"/>
          <w:lang w:val="en-US" w:eastAsia="zh-CN"/>
          <w14:textFill>
            <w14:solidFill>
              <w14:schemeClr w14:val="tx1"/>
            </w14:solidFill>
          </w14:textFill>
        </w:rPr>
        <w:t>分</w:t>
      </w:r>
      <w:r>
        <w:rPr>
          <w:color w:val="000000" w:themeColor="text1"/>
          <w:highlight w:val="none"/>
          <w14:textFill>
            <w14:solidFill>
              <w14:schemeClr w14:val="tx1"/>
            </w14:solidFill>
          </w14:textFill>
        </w:rPr>
        <w:t>析</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2"/>
        <w:gridCol w:w="308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 w:hRule="atLeast"/>
          <w:tblHeader/>
          <w:jc w:val="center"/>
        </w:trPr>
        <w:tc>
          <w:tcPr>
            <w:tcW w:w="427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条例中与本项目有关的具体要求</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6" w:hRule="atLeast"/>
          <w:jc w:val="center"/>
        </w:trPr>
        <w:tc>
          <w:tcPr>
            <w:tcW w:w="42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第二十三条</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 输油管、加油站、排污管、地下储罐、填埋场和存放或者处理有毒有害物质的地下水池、半地下水池等设施设备的设计、建设、使用应当符合防腐蚀、防渗漏、防挥发等要求，设施设备的所有者和运营者应当对设施设备定期开展腐蚀、泄漏检测，防止污染土壤和地下水</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本项目为天然气钻井及试采工程项目，</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对</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设置的危险废物暂存区</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、废水储存设施</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等</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均</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采取了重点防渗措施，满足防腐蚀、防渗漏、防挥发等</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要</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求</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42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第二十八条 页岩气勘探开发单位应当采用先进清洁生产技术，减少勘探、开采、封井、回注等环节中污染物的产生和排放；开展页岩气开发区域土壤及地表水、地下水污染状况监测，对产生的废弃钻井液、废水、岩屑、污油等污染物进行无害化处置和资源化利用，防止有毒有害物质污染土壤及地表水、地下水。</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本项目为</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致密</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天然气井的勘探开发项目，不属于页岩气井的探勘开发。</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4272"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420"/>
              <w:jc w:val="left"/>
              <w:textAlignment w:val="auto"/>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第四十七条 建设用地有下列情形之一的，土地使用权人应当按照国家、省有关规定开展土壤污染状况调查：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420"/>
              <w:jc w:val="left"/>
              <w:textAlignment w:val="auto"/>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一）有色和黑色金属矿采选、有色和黑色金属冶炼、石油和天然气开采、石油加工、化学原料和化学制品制造、汽车制造以及铅蓄电池、焦化、电镀、制革、电子废弃物拆解、垃圾焚烧等行业企业关停、搬迁的；</w:t>
            </w:r>
          </w:p>
        </w:tc>
        <w:tc>
          <w:tcPr>
            <w:tcW w:w="308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pP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天然气侧钻井及试采工程项目，</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在后期天然气井停产时的闭井期，将进行封井和土地复垦作业，同时还将按要求对项目所在地开展</w:t>
            </w:r>
            <w:r>
              <w:rPr>
                <w:rFonts w:hint="default" w:ascii="Times New Roman" w:hAnsi="Times New Roman" w:eastAsia="宋体" w:cs="Times New Roman"/>
                <w:color w:val="000000" w:themeColor="text1"/>
                <w:kern w:val="2"/>
                <w:sz w:val="21"/>
                <w:szCs w:val="20"/>
                <w:highlight w:val="none"/>
                <w:shd w:val="clear" w:color="auto" w:fill="FFFFFF"/>
                <w:lang w:val="en-US" w:eastAsia="zh-CN" w:bidi="ar-SA"/>
                <w14:textFill>
                  <w14:solidFill>
                    <w14:schemeClr w14:val="tx1"/>
                  </w14:solidFill>
                </w14:textFill>
              </w:rPr>
              <w:t>土壤污染状况调查</w:t>
            </w:r>
            <w:r>
              <w:rPr>
                <w:rFonts w:hint="eastAsia" w:cs="Times New Roman"/>
                <w:color w:val="000000" w:themeColor="text1"/>
                <w:kern w:val="2"/>
                <w:sz w:val="21"/>
                <w:szCs w:val="20"/>
                <w:highlight w:val="none"/>
                <w:shd w:val="clear" w:color="auto" w:fill="FFFFFF"/>
                <w:lang w:val="en-US" w:eastAsia="zh-CN" w:bidi="ar-SA"/>
                <w14:textFill>
                  <w14:solidFill>
                    <w14:schemeClr w14:val="tx1"/>
                  </w14:solidFill>
                </w14:textFill>
              </w:rPr>
              <w:t>。</w:t>
            </w:r>
          </w:p>
        </w:tc>
        <w:tc>
          <w:tcPr>
            <w:tcW w:w="10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符合</w:t>
            </w:r>
          </w:p>
        </w:tc>
      </w:tr>
    </w:tbl>
    <w:p>
      <w:pPr>
        <w:pStyle w:val="21"/>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firstLine="480" w:firstLineChars="200"/>
        <w:jc w:val="both"/>
        <w:textAlignment w:val="auto"/>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pPr>
    </w:p>
    <w:p>
      <w:pPr>
        <w:pStyle w:val="21"/>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firstLine="480" w:firstLineChars="200"/>
        <w:jc w:val="both"/>
        <w:textAlignment w:val="auto"/>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综上所述，本项目</w:t>
      </w:r>
      <w:r>
        <w:rPr>
          <w:rFonts w:hint="eastAsia"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与《四川省土壤污染防治条例》</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相符合。</w:t>
      </w:r>
    </w:p>
    <w:p>
      <w:pPr>
        <w:pStyle w:val="5"/>
        <w:keepNext/>
        <w:keepLines/>
        <w:pageBreakBefore w:val="0"/>
        <w:widowControl w:val="0"/>
        <w:kinsoku/>
        <w:wordWrap/>
        <w:overflowPunct/>
        <w:topLinePunct w:val="0"/>
        <w:autoSpaceDE/>
        <w:autoSpaceDN/>
        <w:bidi w:val="0"/>
        <w:adjustRightInd w:val="0"/>
        <w:snapToGrid w:val="0"/>
        <w:spacing w:before="0" w:line="360" w:lineRule="auto"/>
        <w:ind w:firstLine="480"/>
        <w:textAlignment w:val="auto"/>
        <w:rPr>
          <w:color w:val="000000" w:themeColor="text1"/>
          <w:highlight w:val="none"/>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项目</w:t>
      </w: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与《四川省工矿用地土壤环境管理办法》符合性分析</w:t>
      </w:r>
    </w:p>
    <w:p>
      <w:pPr>
        <w:pStyle w:val="21"/>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firstLine="480" w:firstLineChars="200"/>
        <w:jc w:val="both"/>
        <w:textAlignment w:val="auto"/>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2023年12月22日四川省生态环境厅、四川省经济和信息化厅、四川省自然资源、四川省住房和城乡建设厅联合发布了《四川省工矿用地土壤环境管理办法》（川环规〔2023〕7号），2024年2月1日起施行，根据“办法”，本办法适用于四川省行政区域内从事工业、矿业生产经营活动的土壤污染重点监管单位用地土壤和地下水的环境现状调查、环境影响评价、污染防治设施的建设和运行管理、土壤污染隐患排查、环境监测和风险评估、污染应急、风险管控和修复等活动，以及相关生态环境监督管理。本</w:t>
      </w:r>
      <w:r>
        <w:rPr>
          <w:rFonts w:ascii="Times New Roman" w:hAnsi="Times New Roman" w:eastAsia="宋体" w:cs="Times New Roman"/>
          <w:color w:val="000000" w:themeColor="text1"/>
          <w:kern w:val="21"/>
          <w:sz w:val="24"/>
          <w:szCs w:val="24"/>
          <w:highlight w:val="none"/>
          <w:lang w:val="en-US" w:eastAsia="zh-CN" w:bidi="ar-SA"/>
          <w14:textFill>
            <w14:solidFill>
              <w14:schemeClr w14:val="tx1"/>
            </w14:solidFill>
          </w14:textFill>
        </w:rPr>
        <w:t>项目</w:t>
      </w:r>
      <w:r>
        <w:rPr>
          <w:rFonts w:hint="eastAsia" w:ascii="Times New Roman" w:hAnsi="Times New Roman" w:cs="Times New Roman"/>
          <w:color w:val="000000" w:themeColor="text1"/>
          <w:kern w:val="21"/>
          <w:sz w:val="24"/>
          <w:szCs w:val="24"/>
          <w:highlight w:val="none"/>
          <w:lang w:val="en-US" w:eastAsia="zh-CN" w:bidi="ar-SA"/>
          <w14:textFill>
            <w14:solidFill>
              <w14:schemeClr w14:val="tx1"/>
            </w14:solidFill>
          </w14:textFill>
        </w:rPr>
        <w:t>为天然气勘探试采，不属于有色金属矿采选、有色金属冶炼、黑色金属矿采选、黑色金属冶炼、石油开采、石油加工、化工、焦化、电镀、制革、化学制药、铅蓄电池、汽车制造、废弃电器电子产品处理、报废机动车回收拆解等行业，不属于土壤污染重点监管单位，因此不违背《四川省工矿用地土壤环境管理办法》（川环规〔2023〕7号）管控要求。</w:t>
      </w:r>
    </w:p>
    <w:bookmarkEnd w:id="84"/>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86" w:name="_Toc120173080"/>
      <w:r>
        <w:rPr>
          <w:rFonts w:hint="eastAsia" w:ascii="黑体" w:hAnsi="黑体" w:eastAsia="黑体" w:cs="黑体"/>
          <w:color w:val="000000" w:themeColor="text1"/>
          <w:highlight w:val="none"/>
          <w:lang w:eastAsia="zh-CN"/>
          <w14:textFill>
            <w14:solidFill>
              <w14:schemeClr w14:val="tx1"/>
            </w14:solidFill>
          </w14:textFill>
        </w:rPr>
        <w:t>“三线一单”</w:t>
      </w:r>
      <w:r>
        <w:rPr>
          <w:color w:val="000000" w:themeColor="text1"/>
          <w:highlight w:val="none"/>
          <w:lang w:eastAsia="zh-CN"/>
          <w14:textFill>
            <w14:solidFill>
              <w14:schemeClr w14:val="tx1"/>
            </w14:solidFill>
          </w14:textFill>
        </w:rPr>
        <w:t>符合性分析</w:t>
      </w:r>
      <w:bookmarkEnd w:id="86"/>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spacing w:val="0"/>
          <w:kern w:val="21"/>
          <w:position w:val="0"/>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2021年12月27日，四川省生态环境厅办公室发布了</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关于印发《产业园区规划环评</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三线一单</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符合性分析技术要点（试行</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hint="eastAsia" w:cs="Times New Roman"/>
          <w:color w:val="000000" w:themeColor="text1"/>
          <w:spacing w:val="0"/>
          <w:kern w:val="21"/>
          <w:position w:val="0"/>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项目环评</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三线一单</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符合性分析技术要点</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试行</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》的通知</w:t>
      </w:r>
      <w:r>
        <w:rPr>
          <w:rFonts w:hint="eastAsia"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w:t>
      </w:r>
      <w:r>
        <w:rPr>
          <w:rFonts w:ascii="Times New Roman" w:hAnsi="Times New Roman" w:eastAsia="宋体" w:cs="Times New Roman"/>
          <w:color w:val="000000" w:themeColor="text1"/>
          <w:spacing w:val="0"/>
          <w:kern w:val="21"/>
          <w:position w:val="0"/>
          <w:sz w:val="24"/>
          <w:szCs w:val="24"/>
          <w:highlight w:val="none"/>
          <w14:textFill>
            <w14:solidFill>
              <w14:schemeClr w14:val="tx1"/>
            </w14:solidFill>
          </w14:textFill>
        </w:rPr>
        <w:t>（川环办函〔2021〕469号）</w:t>
      </w:r>
      <w:r>
        <w:rPr>
          <w:rFonts w:hint="eastAsia" w:cs="Times New Roman"/>
          <w:color w:val="000000" w:themeColor="text1"/>
          <w:spacing w:val="0"/>
          <w:kern w:val="21"/>
          <w:position w:val="0"/>
          <w:sz w:val="24"/>
          <w:szCs w:val="24"/>
          <w:highlight w:val="none"/>
          <w:lang w:eastAsia="zh-CN"/>
          <w14:textFill>
            <w14:solidFill>
              <w14:schemeClr w14:val="tx1"/>
            </w14:solidFill>
          </w14:textFill>
        </w:rPr>
        <w:t>，</w:t>
      </w:r>
      <w:r>
        <w:rPr>
          <w:rFonts w:hint="eastAsia" w:cs="Times New Roman"/>
          <w:color w:val="000000" w:themeColor="text1"/>
          <w:spacing w:val="0"/>
          <w:kern w:val="21"/>
          <w:position w:val="0"/>
          <w:sz w:val="24"/>
          <w:szCs w:val="24"/>
          <w:highlight w:val="none"/>
          <w:lang w:val="en-US" w:eastAsia="zh-CN"/>
          <w14:textFill>
            <w14:solidFill>
              <w14:schemeClr w14:val="tx1"/>
            </w14:solidFill>
          </w14:textFill>
        </w:rPr>
        <w:t>根据该文件，区外的污染影响类项目以及上位规划环评中未论述规划与“三线一单”的协调性的生态类项目均应</w:t>
      </w:r>
      <w:r>
        <w:rPr>
          <w:rFonts w:hint="eastAsia" w:cs="Times New Roman"/>
          <w:snapToGrid/>
          <w:color w:val="000000" w:themeColor="text1"/>
          <w:spacing w:val="0"/>
          <w:w w:val="100"/>
          <w:kern w:val="21"/>
          <w:position w:val="0"/>
          <w:sz w:val="24"/>
          <w:szCs w:val="24"/>
          <w:highlight w:val="none"/>
          <w:lang w:val="en-US" w:eastAsia="zh-CN" w:bidi="ar"/>
          <w14:textFill>
            <w14:solidFill>
              <w14:schemeClr w14:val="tx1"/>
            </w14:solidFill>
          </w14:textFill>
        </w:rPr>
        <w:t>从</w:t>
      </w:r>
      <w:r>
        <w:rPr>
          <w:rFonts w:hint="eastAsia" w:ascii="Times New Roman" w:hAnsi="Times New Roman" w:eastAsia="宋体" w:cs="Times New Roman"/>
          <w:snapToGrid/>
          <w:color w:val="000000" w:themeColor="text1"/>
          <w:spacing w:val="0"/>
          <w:w w:val="100"/>
          <w:kern w:val="21"/>
          <w:position w:val="0"/>
          <w:sz w:val="24"/>
          <w:szCs w:val="24"/>
          <w:highlight w:val="none"/>
          <w:lang w:val="en-US" w:eastAsia="zh-CN" w:bidi="ar"/>
          <w14:textFill>
            <w14:solidFill>
              <w14:schemeClr w14:val="tx1"/>
            </w14:solidFill>
          </w14:textFill>
        </w:rPr>
        <w:t>空间符合性以及管控要求</w:t>
      </w:r>
      <w:r>
        <w:rPr>
          <w:rFonts w:hint="eastAsia" w:cs="Times New Roman"/>
          <w:snapToGrid/>
          <w:color w:val="000000" w:themeColor="text1"/>
          <w:spacing w:val="0"/>
          <w:w w:val="100"/>
          <w:kern w:val="21"/>
          <w:position w:val="0"/>
          <w:sz w:val="24"/>
          <w:szCs w:val="24"/>
          <w:highlight w:val="none"/>
          <w:lang w:val="en-US" w:eastAsia="zh-CN" w:bidi="ar"/>
          <w14:textFill>
            <w14:solidFill>
              <w14:schemeClr w14:val="tx1"/>
            </w14:solidFill>
          </w14:textFill>
        </w:rPr>
        <w:t>两方面分析与“三线一单”的符合性</w:t>
      </w:r>
      <w:r>
        <w:rPr>
          <w:rFonts w:hint="eastAsia" w:ascii="Times New Roman" w:hAnsi="Times New Roman" w:eastAsia="宋体" w:cs="Times New Roman"/>
          <w:snapToGrid/>
          <w:color w:val="000000" w:themeColor="text1"/>
          <w:spacing w:val="0"/>
          <w:w w:val="100"/>
          <w:kern w:val="21"/>
          <w:position w:val="0"/>
          <w:sz w:val="24"/>
          <w:szCs w:val="24"/>
          <w:highlight w:val="none"/>
          <w:lang w:val="en-US" w:eastAsia="zh-CN" w:bidi="ar"/>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pacing w:val="0"/>
          <w:kern w:val="21"/>
          <w:position w:val="0"/>
          <w:sz w:val="24"/>
          <w:szCs w:val="24"/>
          <w:highlight w:val="none"/>
          <w:u w:val="single"/>
          <w:lang w:val="en-US" w:eastAsia="zh-CN"/>
          <w14:textFill>
            <w14:solidFill>
              <w14:schemeClr w14:val="tx1"/>
            </w14:solidFill>
          </w14:textFill>
        </w:rPr>
      </w:pPr>
      <w:r>
        <w:rPr>
          <w:rFonts w:hint="eastAsia" w:cs="Times New Roman"/>
          <w:color w:val="000000" w:themeColor="text1"/>
          <w:spacing w:val="0"/>
          <w:kern w:val="21"/>
          <w:position w:val="0"/>
          <w:sz w:val="24"/>
          <w:szCs w:val="24"/>
          <w:highlight w:val="none"/>
          <w:lang w:val="en-US" w:eastAsia="zh-CN"/>
          <w14:textFill>
            <w14:solidFill>
              <w14:schemeClr w14:val="tx1"/>
            </w14:solidFill>
          </w14:textFill>
        </w:rPr>
        <w:t>本项目兼具生态影响及污染影响的特点，且位于园区外，上位规划也未论述项目与“三线一单”的协调性，</w:t>
      </w:r>
      <w:r>
        <w:rPr>
          <w:rFonts w:hint="eastAsia" w:cs="Times New Roman"/>
          <w:color w:val="000000" w:themeColor="text1"/>
          <w:spacing w:val="0"/>
          <w:kern w:val="21"/>
          <w:position w:val="0"/>
          <w:sz w:val="24"/>
          <w:szCs w:val="24"/>
          <w:highlight w:val="none"/>
          <w:u w:val="single"/>
          <w:lang w:val="en-US" w:eastAsia="zh-CN"/>
          <w14:textFill>
            <w14:solidFill>
              <w14:schemeClr w14:val="tx1"/>
            </w14:solidFill>
          </w14:textFill>
        </w:rPr>
        <w:t>故</w:t>
      </w:r>
      <w:r>
        <w:rPr>
          <w:rFonts w:hint="eastAsia" w:cs="Times New Roman"/>
          <w:snapToGrid/>
          <w:color w:val="000000" w:themeColor="text1"/>
          <w:spacing w:val="0"/>
          <w:w w:val="100"/>
          <w:kern w:val="21"/>
          <w:position w:val="0"/>
          <w:sz w:val="24"/>
          <w:szCs w:val="24"/>
          <w:highlight w:val="none"/>
          <w:u w:val="single"/>
          <w:lang w:val="en-US" w:eastAsia="zh-CN" w:bidi="ar"/>
          <w14:textFill>
            <w14:solidFill>
              <w14:schemeClr w14:val="tx1"/>
            </w14:solidFill>
          </w14:textFill>
        </w:rPr>
        <w:t>本项目从</w:t>
      </w:r>
      <w:r>
        <w:rPr>
          <w:rFonts w:hint="eastAsia" w:ascii="Times New Roman" w:hAnsi="Times New Roman" w:eastAsia="宋体" w:cs="Times New Roman"/>
          <w:snapToGrid/>
          <w:color w:val="000000" w:themeColor="text1"/>
          <w:spacing w:val="0"/>
          <w:w w:val="100"/>
          <w:kern w:val="21"/>
          <w:position w:val="0"/>
          <w:sz w:val="24"/>
          <w:szCs w:val="24"/>
          <w:highlight w:val="none"/>
          <w:u w:val="single"/>
          <w:lang w:val="en-US" w:eastAsia="zh-CN" w:bidi="ar"/>
          <w14:textFill>
            <w14:solidFill>
              <w14:schemeClr w14:val="tx1"/>
            </w14:solidFill>
          </w14:textFill>
        </w:rPr>
        <w:t>空间符合性分析以及管控要求</w:t>
      </w:r>
      <w:r>
        <w:rPr>
          <w:rFonts w:hint="eastAsia" w:cs="Times New Roman"/>
          <w:snapToGrid/>
          <w:color w:val="000000" w:themeColor="text1"/>
          <w:spacing w:val="0"/>
          <w:w w:val="100"/>
          <w:kern w:val="21"/>
          <w:position w:val="0"/>
          <w:sz w:val="24"/>
          <w:szCs w:val="24"/>
          <w:highlight w:val="none"/>
          <w:u w:val="single"/>
          <w:lang w:val="en-US" w:eastAsia="zh-CN" w:bidi="ar"/>
          <w14:textFill>
            <w14:solidFill>
              <w14:schemeClr w14:val="tx1"/>
            </w14:solidFill>
          </w14:textFill>
        </w:rPr>
        <w:t>两个方面分析其与“三线一单”的协调性。</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黑体" w:cs="Times New Roman"/>
          <w:color w:val="000000" w:themeColor="text1"/>
          <w:spacing w:val="0"/>
          <w:kern w:val="21"/>
          <w:position w:val="0"/>
          <w:sz w:val="24"/>
          <w:szCs w:val="24"/>
          <w:highlight w:val="none"/>
          <w:lang w:val="en-US" w:eastAsia="zh-CN"/>
          <w14:textFill>
            <w14:solidFill>
              <w14:schemeClr w14:val="tx1"/>
            </w14:solidFill>
          </w14:textFill>
        </w:rPr>
      </w:pPr>
      <w:r>
        <w:rPr>
          <w:rFonts w:hint="eastAsia" w:eastAsia="黑体" w:cs="Times New Roman"/>
          <w:color w:val="000000" w:themeColor="text1"/>
          <w:spacing w:val="0"/>
          <w:kern w:val="21"/>
          <w:position w:val="0"/>
          <w:sz w:val="24"/>
          <w:szCs w:val="24"/>
          <w:highlight w:val="none"/>
          <w:lang w:val="en-US" w:eastAsia="zh-CN"/>
          <w14:textFill>
            <w14:solidFill>
              <w14:schemeClr w14:val="tx1"/>
            </w14:solidFill>
          </w14:textFill>
        </w:rPr>
        <w:t>1、</w:t>
      </w:r>
      <w:r>
        <w:rPr>
          <w:rFonts w:hint="eastAsia" w:ascii="Times New Roman" w:hAnsi="Times New Roman" w:eastAsia="黑体" w:cs="Times New Roman"/>
          <w:color w:val="000000" w:themeColor="text1"/>
          <w:spacing w:val="0"/>
          <w:kern w:val="21"/>
          <w:position w:val="0"/>
          <w:sz w:val="24"/>
          <w:szCs w:val="24"/>
          <w:highlight w:val="none"/>
          <w:lang w:val="en-US" w:eastAsia="zh-CN"/>
          <w14:textFill>
            <w14:solidFill>
              <w14:schemeClr w14:val="tx1"/>
            </w14:solidFill>
          </w14:textFill>
        </w:rPr>
        <w:t>空间符合性分析</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t>（1）项目所属环境管控单元情况</w:t>
      </w:r>
    </w:p>
    <w:p>
      <w:pPr>
        <w:keepNext w:val="0"/>
        <w:keepLines w:val="0"/>
        <w:pageBreakBefore w:val="0"/>
        <w:widowControl w:val="0"/>
        <w:kinsoku/>
        <w:wordWrap/>
        <w:topLinePunct w:val="0"/>
        <w:autoSpaceDE/>
        <w:autoSpaceDN/>
        <w:bidi w:val="0"/>
        <w:adjustRightInd w:val="0"/>
        <w:snapToGrid w:val="0"/>
        <w:ind w:firstLine="480"/>
        <w:jc w:val="both"/>
        <w:textAlignment w:val="auto"/>
        <w:rPr>
          <w:color w:val="000000" w:themeColor="text1"/>
          <w:highlight w:val="none"/>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项目位于达州市宣汉县***境内，通过查询</w:t>
      </w:r>
      <w:r>
        <w:rPr>
          <w:rFonts w:cs="Times New Roman"/>
          <w:color w:val="000000" w:themeColor="text1"/>
          <w:szCs w:val="24"/>
          <w:highlight w:val="none"/>
          <w14:textFill>
            <w14:solidFill>
              <w14:schemeClr w14:val="tx1"/>
            </w14:solidFill>
          </w14:textFill>
        </w:rPr>
        <w:t>四川省</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三线一单</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符合性分析平</w:t>
      </w:r>
      <w:r>
        <w:rPr>
          <w:rFonts w:hint="default" w:ascii="Times New Roman" w:hAnsi="Times New Roman" w:cs="Times New Roman"/>
          <w:color w:val="000000" w:themeColor="text1"/>
          <w:szCs w:val="24"/>
          <w:highlight w:val="none"/>
          <w14:textFill>
            <w14:solidFill>
              <w14:schemeClr w14:val="tx1"/>
            </w14:solidFill>
          </w14:textFill>
        </w:rPr>
        <w:t>台（</w:t>
      </w: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color w:val="000000" w:themeColor="text1"/>
          <w:szCs w:val="24"/>
          <w:highlight w:val="none"/>
          <w14:textFill>
            <w14:solidFill>
              <w14:schemeClr w14:val="tx1"/>
            </w14:solidFill>
          </w14:textFill>
        </w:rPr>
        <w:instrText xml:space="preserve"> HYPERLINK "https://www.sczwfw.gov.cn/tftb/jmopenpub/jmopen_files/webapp/html5/sxydctfx/index.html?areaCode=510000000000" </w:instrText>
      </w:r>
      <w:r>
        <w:rPr>
          <w:rFonts w:hint="default" w:ascii="Times New Roman" w:hAnsi="Times New Roman" w:cs="Times New Roman"/>
          <w:color w:val="000000" w:themeColor="text1"/>
          <w:szCs w:val="24"/>
          <w:highlight w:val="none"/>
          <w14:textFill>
            <w14:solidFill>
              <w14:schemeClr w14:val="tx1"/>
            </w14:solidFill>
          </w14:textFill>
        </w:rPr>
        <w:fldChar w:fldCharType="separate"/>
      </w:r>
      <w:r>
        <w:rPr>
          <w:rFonts w:hint="default" w:ascii="Times New Roman" w:hAnsi="Times New Roman" w:cs="Times New Roman"/>
          <w:color w:val="000000" w:themeColor="text1"/>
          <w:szCs w:val="24"/>
          <w:highlight w:val="none"/>
          <w14:textFill>
            <w14:solidFill>
              <w14:schemeClr w14:val="tx1"/>
            </w14:solidFill>
          </w14:textFill>
        </w:rPr>
        <w:t>三线一单冲突分析sczwfw.gov.cn)</w:t>
      </w:r>
      <w:r>
        <w:rPr>
          <w:rFonts w:hint="default" w:ascii="Times New Roman" w:hAnsi="Times New Roman" w:cs="Times New Roman"/>
          <w:color w:val="000000" w:themeColor="text1"/>
          <w:szCs w:val="24"/>
          <w:highlight w:val="none"/>
          <w14:textFill>
            <w14:solidFill>
              <w14:schemeClr w14:val="tx1"/>
            </w14:solidFill>
          </w14:textFill>
        </w:rPr>
        <w:fldChar w:fldCharType="end"/>
      </w:r>
      <w:r>
        <w:rPr>
          <w:rFonts w:hint="default" w:ascii="Times New Roman" w:hAnsi="Times New Roman" w:cs="Times New Roman"/>
          <w:color w:val="000000" w:themeColor="text1"/>
          <w:szCs w:val="24"/>
          <w:highlight w:val="none"/>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项目主要涉及的环境综合管控单元</w:t>
      </w:r>
      <w:r>
        <w:rPr>
          <w:rFonts w:hint="default" w:ascii="Times New Roman" w:hAnsi="Times New Roman" w:cs="Times New Roman"/>
          <w:color w:val="000000" w:themeColor="text1"/>
          <w:szCs w:val="24"/>
          <w:highlight w:val="none"/>
          <w:lang w:val="en-US" w:eastAsia="zh-CN"/>
          <w14:textFill>
            <w14:solidFill>
              <w14:schemeClr w14:val="tx1"/>
            </w14:solidFill>
          </w14:textFill>
        </w:rPr>
        <w:t>共1个，即</w:t>
      </w:r>
      <w:r>
        <w:rPr>
          <w:rFonts w:hint="default" w:ascii="Times New Roman" w:hAnsi="Times New Roman" w:cs="Times New Roman"/>
          <w:color w:val="000000" w:themeColor="text1"/>
          <w:szCs w:val="21"/>
          <w:highlight w:val="none"/>
          <w14:textFill>
            <w14:solidFill>
              <w14:schemeClr w14:val="tx1"/>
            </w14:solidFill>
          </w14:textFill>
        </w:rPr>
        <w:t>宣汉县一般管控单元</w:t>
      </w:r>
      <w:r>
        <w:rPr>
          <w:rFonts w:hint="default" w:ascii="Times New Roman" w:hAnsi="Times New Roman" w:cs="Times New Roman"/>
          <w:color w:val="000000" w:themeColor="text1"/>
          <w:szCs w:val="24"/>
          <w:highlight w:val="none"/>
          <w:lang w:eastAsia="zh-CN"/>
          <w14:textFill>
            <w14:solidFill>
              <w14:schemeClr w14:val="tx1"/>
            </w14:solidFill>
          </w14:textFill>
        </w:rPr>
        <w:t>（管控类别为</w:t>
      </w:r>
      <w:r>
        <w:rPr>
          <w:rFonts w:hint="default" w:ascii="Times New Roman" w:hAnsi="Times New Roman" w:cs="Times New Roman"/>
          <w:color w:val="000000" w:themeColor="text1"/>
          <w:szCs w:val="24"/>
          <w:highlight w:val="none"/>
          <w:lang w:val="en-US" w:eastAsia="zh-CN"/>
          <w14:textFill>
            <w14:solidFill>
              <w14:schemeClr w14:val="tx1"/>
            </w14:solidFill>
          </w14:textFill>
        </w:rPr>
        <w:t>一般</w:t>
      </w:r>
      <w:r>
        <w:rPr>
          <w:rFonts w:hint="default" w:ascii="Times New Roman" w:hAnsi="Times New Roman" w:cs="Times New Roman"/>
          <w:color w:val="000000" w:themeColor="text1"/>
          <w:szCs w:val="24"/>
          <w:highlight w:val="none"/>
          <w:lang w:eastAsia="zh-CN"/>
          <w14:textFill>
            <w14:solidFill>
              <w14:schemeClr w14:val="tx1"/>
            </w14:solidFill>
          </w14:textFill>
        </w:rPr>
        <w:t>管控单元，</w:t>
      </w:r>
      <w:r>
        <w:rPr>
          <w:rFonts w:hint="default" w:ascii="Times New Roman" w:hAnsi="Times New Roman" w:cs="Times New Roman"/>
          <w:color w:val="000000" w:themeColor="text1"/>
          <w:szCs w:val="24"/>
          <w:highlight w:val="none"/>
          <w14:textFill>
            <w14:solidFill>
              <w14:schemeClr w14:val="tx1"/>
            </w14:solidFill>
          </w14:textFill>
        </w:rPr>
        <w:t>管控单元编号</w:t>
      </w:r>
      <w:r>
        <w:rPr>
          <w:rFonts w:hint="default" w:ascii="Times New Roman" w:hAnsi="Times New Roman" w:cs="Times New Roman"/>
          <w:color w:val="000000" w:themeColor="text1"/>
          <w:szCs w:val="21"/>
          <w:highlight w:val="none"/>
          <w14:textFill>
            <w14:solidFill>
              <w14:schemeClr w14:val="tx1"/>
            </w14:solidFill>
          </w14:textFill>
        </w:rPr>
        <w:t>ZH51172230001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涉及的环境要素管控区共2个，即州河-宣汉县-张鼓坪-控制单元（管控类别为水环境一般管控区，管控单元编号YS5117223210001）和宣汉县大气环境布局敏感重点管控区（管控类别为大气环境布局敏感重点管控区，管控单元编号YS5117223310001）</w:t>
      </w:r>
      <w:r>
        <w:rPr>
          <w:rFonts w:hint="default" w:ascii="Times New Roman" w:hAnsi="Times New Roman" w:cs="Times New Roman"/>
          <w:color w:val="000000" w:themeColor="text1"/>
          <w:szCs w:val="21"/>
          <w:highlight w:val="none"/>
          <w:lang w:eastAsia="zh-CN"/>
          <w14:textFill>
            <w14:solidFill>
              <w14:schemeClr w14:val="tx1"/>
            </w14:solidFill>
          </w14:textFill>
        </w:rPr>
        <w:t>。</w:t>
      </w:r>
    </w:p>
    <w:p>
      <w:pPr>
        <w:pStyle w:val="93"/>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p>
    <w:p>
      <w:pPr>
        <w:pStyle w:val="163"/>
        <w:rPr>
          <w:rFonts w:hint="eastAsia" w:ascii="黑体" w:hAnsi="黑体" w:eastAsia="黑体" w:cs="黑体"/>
          <w:b w:val="0"/>
          <w:bCs w:val="0"/>
          <w:color w:val="000000" w:themeColor="text1"/>
          <w:spacing w:val="0"/>
          <w:kern w:val="21"/>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图</w:t>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STYLEREF 2 \s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2.7</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14:textFill>
            <w14:solidFill>
              <w14:schemeClr w14:val="tx1"/>
            </w14:solidFill>
          </w14:textFill>
        </w:rPr>
        <w:noBreakHyphen/>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SEQ 图 \* ARABIC \s 2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3</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14:textFill>
            <w14:solidFill>
              <w14:schemeClr w14:val="tx1"/>
            </w14:solidFill>
          </w14:textFill>
        </w:rPr>
        <w:t xml:space="preserve"> </w:t>
      </w:r>
      <w:r>
        <w:rPr>
          <w:rFonts w:hint="eastAsia" w:cs="Times New Roman"/>
          <w:color w:val="000000" w:themeColor="text1"/>
          <w:highlight w:val="none"/>
          <w:lang w:val="en-US" w:eastAsia="zh-CN"/>
          <w14:textFill>
            <w14:solidFill>
              <w14:schemeClr w14:val="tx1"/>
            </w14:solidFill>
          </w14:textFill>
        </w:rPr>
        <w:t xml:space="preserve"> </w:t>
      </w:r>
      <w:r>
        <w:rPr>
          <w:rFonts w:hint="eastAsia" w:ascii="黑体" w:hAnsi="黑体" w:eastAsia="黑体" w:cs="黑体"/>
          <w:b w:val="0"/>
          <w:bCs w:val="0"/>
          <w:color w:val="000000" w:themeColor="text1"/>
          <w:spacing w:val="0"/>
          <w:kern w:val="21"/>
          <w:position w:val="0"/>
          <w:sz w:val="21"/>
          <w:szCs w:val="21"/>
          <w:highlight w:val="none"/>
          <w:lang w:val="en-US" w:eastAsia="zh-CN"/>
          <w14:textFill>
            <w14:solidFill>
              <w14:schemeClr w14:val="tx1"/>
            </w14:solidFill>
          </w14:textFill>
        </w:rPr>
        <w:t>项目所在区域涉及的分区管控单元情况示意图</w:t>
      </w:r>
    </w:p>
    <w:p>
      <w:pPr>
        <w:pStyle w:val="93"/>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本项目在四川省“三线一单”查询系统的查询结果</w:t>
      </w:r>
      <w:r>
        <w:rPr>
          <w:rFonts w:hint="eastAsia"/>
          <w:color w:val="000000" w:themeColor="text1"/>
          <w:highlight w:val="none"/>
          <w14:textFill>
            <w14:solidFill>
              <w14:schemeClr w14:val="tx1"/>
            </w14:solidFill>
          </w14:textFill>
        </w:rPr>
        <w:t>截图</w:t>
      </w: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18</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项目涉及环境管控单元表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1684"/>
        <w:gridCol w:w="1026"/>
        <w:gridCol w:w="736"/>
        <w:gridCol w:w="1144"/>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环境管控单元编码</w:t>
            </w:r>
          </w:p>
        </w:tc>
        <w:tc>
          <w:tcPr>
            <w:tcW w:w="168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环境管控单元名称</w:t>
            </w:r>
          </w:p>
        </w:tc>
        <w:tc>
          <w:tcPr>
            <w:tcW w:w="102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所属市（州）</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所属区县</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准入清单类型</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YS5117222320001</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宣汉县大气环境布局敏感重点管控区</w:t>
            </w:r>
          </w:p>
        </w:tc>
        <w:tc>
          <w:tcPr>
            <w:tcW w:w="102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达州市</w:t>
            </w:r>
          </w:p>
        </w:tc>
        <w:tc>
          <w:tcPr>
            <w:tcW w:w="73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宣汉县</w:t>
            </w:r>
          </w:p>
        </w:tc>
        <w:tc>
          <w:tcPr>
            <w:tcW w:w="11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大气环境管控分区</w:t>
            </w:r>
          </w:p>
        </w:tc>
        <w:tc>
          <w:tcPr>
            <w:tcW w:w="17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YS5117223210002</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州河-宣汉县-张鼓坪-控制单元</w:t>
            </w:r>
          </w:p>
        </w:tc>
        <w:tc>
          <w:tcPr>
            <w:tcW w:w="102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达州市</w:t>
            </w:r>
          </w:p>
        </w:tc>
        <w:tc>
          <w:tcPr>
            <w:tcW w:w="73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宣汉县</w:t>
            </w:r>
          </w:p>
        </w:tc>
        <w:tc>
          <w:tcPr>
            <w:tcW w:w="11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水环境管控分区</w:t>
            </w:r>
          </w:p>
        </w:tc>
        <w:tc>
          <w:tcPr>
            <w:tcW w:w="17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ZH51172230001</w:t>
            </w:r>
          </w:p>
        </w:tc>
        <w:tc>
          <w:tcPr>
            <w:tcW w:w="16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宣汉县一般管控单元</w:t>
            </w:r>
          </w:p>
        </w:tc>
        <w:tc>
          <w:tcPr>
            <w:tcW w:w="102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达州市</w:t>
            </w:r>
          </w:p>
        </w:tc>
        <w:tc>
          <w:tcPr>
            <w:tcW w:w="73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宣汉县</w:t>
            </w:r>
          </w:p>
        </w:tc>
        <w:tc>
          <w:tcPr>
            <w:tcW w:w="11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环境综合管控单元</w:t>
            </w:r>
          </w:p>
        </w:tc>
        <w:tc>
          <w:tcPr>
            <w:tcW w:w="17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环境综合管控单元一般管控单元</w:t>
            </w:r>
          </w:p>
        </w:tc>
      </w:tr>
    </w:tbl>
    <w:p>
      <w:pPr>
        <w:pStyle w:val="93"/>
        <w:keepNex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p>
    <w:p>
      <w:pPr>
        <w:pStyle w:val="163"/>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项目与达州市环境管控单元位置关系图</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4"/>
          <w:szCs w:val="24"/>
          <w:highlight w:val="none"/>
          <w:lang w:val="en-US" w:eastAsia="zh-CN"/>
          <w14:textFill>
            <w14:solidFill>
              <w14:schemeClr w14:val="tx1"/>
            </w14:solidFill>
          </w14:textFill>
        </w:rPr>
        <w:t>（2）与生态保护红线、生态空间的位置关系</w:t>
      </w:r>
    </w:p>
    <w:p>
      <w:pPr>
        <w:keepNext w:val="0"/>
        <w:keepLines w:val="0"/>
        <w:pageBreakBefore w:val="0"/>
        <w:widowControl w:val="0"/>
        <w:kinsoku/>
        <w:wordWrap/>
        <w:topLinePunct w:val="0"/>
        <w:autoSpaceDE/>
        <w:autoSpaceDN/>
        <w:bidi w:val="0"/>
        <w:adjustRightInd w:val="0"/>
        <w:snapToGrid w:val="0"/>
        <w:ind w:firstLine="480"/>
        <w:jc w:val="both"/>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与生态保护红线位置关系</w:t>
      </w:r>
    </w:p>
    <w:p>
      <w:pPr>
        <w:keepNext w:val="0"/>
        <w:keepLines w:val="0"/>
        <w:pageBreakBefore w:val="0"/>
        <w:widowControl w:val="0"/>
        <w:kinsoku/>
        <w:wordWrap/>
        <w:topLinePunct w:val="0"/>
        <w:autoSpaceDE/>
        <w:autoSpaceDN/>
        <w:bidi w:val="0"/>
        <w:adjustRightInd w:val="0"/>
        <w:snapToGrid w:val="0"/>
        <w:ind w:firstLine="480"/>
        <w:jc w:val="both"/>
        <w:textAlignment w:val="auto"/>
        <w:rPr>
          <w:rFonts w:hint="eastAsia"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本项目位于四川省达州市</w:t>
      </w:r>
      <w:r>
        <w:rPr>
          <w:rFonts w:hint="eastAsia" w:cs="Times New Roman"/>
          <w:color w:val="000000" w:themeColor="text1"/>
          <w:szCs w:val="24"/>
          <w:highlight w:val="none"/>
          <w:lang w:val="en-US" w:eastAsia="zh-CN"/>
          <w14:textFill>
            <w14:solidFill>
              <w14:schemeClr w14:val="tx1"/>
            </w14:solidFill>
          </w14:textFill>
        </w:rPr>
        <w:t>宣汉县***</w:t>
      </w:r>
      <w:r>
        <w:rPr>
          <w:rFonts w:hint="eastAsia" w:ascii="Times New Roman" w:hAnsi="Times New Roman" w:cs="Times New Roman"/>
          <w:color w:val="000000" w:themeColor="text1"/>
          <w:szCs w:val="24"/>
          <w:highlight w:val="none"/>
          <w:lang w:eastAsia="zh-CN"/>
          <w14:textFill>
            <w14:solidFill>
              <w14:schemeClr w14:val="tx1"/>
            </w14:solidFill>
          </w14:textFill>
        </w:rPr>
        <w:t>境内，根据四川省生态环境厅三线一单系统查询结果可知，项目不涉及四川省生态保护红线区域范围。</w:t>
      </w:r>
    </w:p>
    <w:p>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000000" w:themeColor="text1"/>
          <w:spacing w:val="0"/>
          <w:kern w:val="21"/>
          <w:position w:val="0"/>
          <w:sz w:val="24"/>
          <w:szCs w:val="24"/>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p>
    <w:p>
      <w:pPr>
        <w:pStyle w:val="163"/>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图</w:t>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STYLEREF 2 \s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2.7</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14:textFill>
            <w14:solidFill>
              <w14:schemeClr w14:val="tx1"/>
            </w14:solidFill>
          </w14:textFill>
        </w:rPr>
        <w:noBreakHyphen/>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SEQ 图 \* ARABIC \s 2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6</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 xml:space="preserve">  本项目与四川省生态保护红线位置关系图</w:t>
      </w:r>
    </w:p>
    <w:p>
      <w:pPr>
        <w:pStyle w:val="93"/>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p>
      <w:pPr>
        <w:pStyle w:val="163"/>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项目与达州市生态保护红线位置关系图</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w:t>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项目与</w:t>
      </w:r>
      <w:r>
        <w:rPr>
          <w:rFonts w:hint="eastAsia"/>
          <w:color w:val="000000" w:themeColor="text1"/>
          <w:highlight w:val="none"/>
          <w:lang w:val="en-US" w:eastAsia="zh-CN"/>
          <w14:textFill>
            <w14:solidFill>
              <w14:schemeClr w14:val="tx1"/>
            </w14:solidFill>
          </w14:textFill>
        </w:rPr>
        <w:t>区域生态空间分区</w:t>
      </w:r>
      <w:r>
        <w:rPr>
          <w:rFonts w:hint="eastAsia"/>
          <w:color w:val="000000" w:themeColor="text1"/>
          <w:highlight w:val="none"/>
          <w14:textFill>
            <w14:solidFill>
              <w14:schemeClr w14:val="tx1"/>
            </w14:solidFill>
          </w14:textFill>
        </w:rPr>
        <w:t>位置关系图</w:t>
      </w:r>
    </w:p>
    <w:p>
      <w:pPr>
        <w:keepNext w:val="0"/>
        <w:keepLines w:val="0"/>
        <w:pageBreakBefore w:val="0"/>
        <w:widowControl w:val="0"/>
        <w:kinsoku/>
        <w:wordWrap/>
        <w:topLinePunct w:val="0"/>
        <w:autoSpaceDE/>
        <w:autoSpaceDN/>
        <w:bidi w:val="0"/>
        <w:adjustRightInd w:val="0"/>
        <w:snapToGrid w:val="0"/>
        <w:ind w:firstLine="480"/>
        <w:jc w:val="both"/>
        <w:textAlignment w:val="auto"/>
        <w:rPr>
          <w:rFonts w:hint="eastAsia"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2）与生态空间位置关系</w:t>
      </w:r>
    </w:p>
    <w:p>
      <w:pPr>
        <w:keepNext w:val="0"/>
        <w:keepLines w:val="0"/>
        <w:pageBreakBefore w:val="0"/>
        <w:widowControl w:val="0"/>
        <w:kinsoku/>
        <w:wordWrap/>
        <w:topLinePunct w:val="0"/>
        <w:autoSpaceDE/>
        <w:autoSpaceDN/>
        <w:bidi w:val="0"/>
        <w:adjustRightInd w:val="0"/>
        <w:snapToGrid w:val="0"/>
        <w:ind w:firstLine="480"/>
        <w:jc w:val="both"/>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本项目位于四川省达州市</w:t>
      </w:r>
      <w:r>
        <w:rPr>
          <w:rFonts w:hint="eastAsia" w:cs="Times New Roman"/>
          <w:color w:val="000000" w:themeColor="text1"/>
          <w:szCs w:val="24"/>
          <w:highlight w:val="none"/>
          <w:lang w:val="en-US" w:eastAsia="zh-CN"/>
          <w14:textFill>
            <w14:solidFill>
              <w14:schemeClr w14:val="tx1"/>
            </w14:solidFill>
          </w14:textFill>
        </w:rPr>
        <w:t>宣汉县***</w:t>
      </w:r>
      <w:r>
        <w:rPr>
          <w:rFonts w:hint="eastAsia" w:ascii="Times New Roman" w:hAnsi="Times New Roman" w:cs="Times New Roman"/>
          <w:color w:val="000000" w:themeColor="text1"/>
          <w:szCs w:val="24"/>
          <w:highlight w:val="none"/>
          <w:lang w:eastAsia="zh-CN"/>
          <w14:textFill>
            <w14:solidFill>
              <w14:schemeClr w14:val="tx1"/>
            </w14:solidFill>
          </w14:textFill>
        </w:rPr>
        <w:t>境内，根据四川省生态环境厅三线一单系统查询结果可知，</w:t>
      </w:r>
      <w:r>
        <w:rPr>
          <w:rFonts w:hint="eastAsia" w:ascii="Times New Roman" w:hAnsi="Times New Roman" w:cs="Times New Roman"/>
          <w:color w:val="000000" w:themeColor="text1"/>
          <w:szCs w:val="24"/>
          <w:highlight w:val="none"/>
          <w:lang w:val="en-US" w:eastAsia="zh-CN"/>
          <w14:textFill>
            <w14:solidFill>
              <w14:schemeClr w14:val="tx1"/>
            </w14:solidFill>
          </w14:textFill>
        </w:rPr>
        <w:t>项目不涉及</w:t>
      </w:r>
      <w:r>
        <w:rPr>
          <w:rFonts w:hint="default" w:ascii="Times New Roman" w:hAnsi="Times New Roman" w:cs="Times New Roman"/>
          <w:color w:val="000000" w:themeColor="text1"/>
          <w:szCs w:val="24"/>
          <w:highlight w:val="none"/>
          <w:lang w:val="en-US" w:eastAsia="zh-CN"/>
          <w14:textFill>
            <w14:solidFill>
              <w14:schemeClr w14:val="tx1"/>
            </w14:solidFill>
          </w14:textFill>
        </w:rPr>
        <w:t>一般生态空间。</w:t>
      </w:r>
    </w:p>
    <w:p>
      <w:pPr>
        <w:pStyle w:val="93"/>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项目与达州市</w:t>
      </w:r>
      <w:r>
        <w:rPr>
          <w:rFonts w:hint="eastAsia"/>
          <w:color w:val="000000" w:themeColor="text1"/>
          <w:highlight w:val="none"/>
          <w:lang w:val="en-US" w:eastAsia="zh-CN"/>
          <w14:textFill>
            <w14:solidFill>
              <w14:schemeClr w14:val="tx1"/>
            </w14:solidFill>
          </w14:textFill>
        </w:rPr>
        <w:t>一般生态空间</w:t>
      </w:r>
      <w:r>
        <w:rPr>
          <w:rFonts w:hint="eastAsia"/>
          <w:color w:val="000000" w:themeColor="text1"/>
          <w:highlight w:val="none"/>
          <w14:textFill>
            <w14:solidFill>
              <w14:schemeClr w14:val="tx1"/>
            </w14:solidFill>
          </w14:textFill>
        </w:rPr>
        <w:t>位置关系图</w:t>
      </w:r>
    </w:p>
    <w:p>
      <w:pPr>
        <w:keepNext w:val="0"/>
        <w:keepLines w:val="0"/>
        <w:pageBreakBefore w:val="0"/>
        <w:widowControl w:val="0"/>
        <w:tabs>
          <w:tab w:val="left" w:pos="0"/>
        </w:tabs>
        <w:kinsoku/>
        <w:wordWrap/>
        <w:overflowPunct/>
        <w:topLinePunct w:val="0"/>
        <w:autoSpaceDE/>
        <w:autoSpaceDN/>
        <w:bidi w:val="0"/>
        <w:adjustRightInd/>
        <w:snapToGrid w:val="0"/>
        <w:ind w:firstLine="480"/>
        <w:textAlignment w:val="auto"/>
        <w:rPr>
          <w:rFonts w:hint="default" w:ascii="Times New Roman" w:hAnsi="Times New Roman" w:eastAsia="黑体" w:cs="Times New Roman"/>
          <w:b w:val="0"/>
          <w:bCs w:val="0"/>
          <w:color w:val="000000" w:themeColor="text1"/>
          <w:spacing w:val="0"/>
          <w:kern w:val="21"/>
          <w:position w:val="0"/>
          <w:sz w:val="24"/>
          <w:szCs w:val="24"/>
          <w:highlight w:val="no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spacing w:val="0"/>
          <w:kern w:val="21"/>
          <w:position w:val="0"/>
          <w:sz w:val="24"/>
          <w:szCs w:val="24"/>
          <w:highlight w:val="none"/>
          <w:lang w:val="en-US" w:eastAsia="zh-CN"/>
          <w14:textFill>
            <w14:solidFill>
              <w14:schemeClr w14:val="tx1"/>
            </w14:solidFill>
          </w14:textFill>
        </w:rPr>
        <w:t>2、管控要求符合性分析</w:t>
      </w:r>
    </w:p>
    <w:p>
      <w:pPr>
        <w:keepNext w:val="0"/>
        <w:keepLines w:val="0"/>
        <w:pageBreakBefore w:val="0"/>
        <w:widowControl w:val="0"/>
        <w:kinsoku/>
        <w:wordWrap/>
        <w:overflowPunct w:val="0"/>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pacing w:val="0"/>
          <w:kern w:val="21"/>
          <w:positio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1"/>
          <w:position w:val="0"/>
          <w:sz w:val="24"/>
          <w:szCs w:val="24"/>
          <w:highlight w:val="none"/>
          <w:lang w:val="en-US" w:eastAsia="zh-CN" w:bidi="ar-SA"/>
          <w14:textFill>
            <w14:solidFill>
              <w14:schemeClr w14:val="tx1"/>
            </w14:solidFill>
          </w14:textFill>
        </w:rPr>
        <w:t>（1）与“三线一单”相关要求符合性分析</w:t>
      </w:r>
    </w:p>
    <w:p>
      <w:pPr>
        <w:keepNext w:val="0"/>
        <w:keepLines w:val="0"/>
        <w:pageBreakBefore w:val="0"/>
        <w:widowControl w:val="0"/>
        <w:kinsoku/>
        <w:wordWrap/>
        <w:topLinePunct w:val="0"/>
        <w:autoSpaceDE/>
        <w:autoSpaceDN/>
        <w:bidi w:val="0"/>
        <w:adjustRightInd/>
        <w:snapToGrid w:val="0"/>
        <w:ind w:firstLine="472"/>
        <w:textAlignment w:val="auto"/>
        <w:rPr>
          <w:rFonts w:cs="Times New Roman"/>
          <w:color w:val="000000" w:themeColor="text1"/>
          <w:szCs w:val="24"/>
          <w:highlight w:val="none"/>
          <w14:textFill>
            <w14:solidFill>
              <w14:schemeClr w14:val="tx1"/>
            </w14:solidFill>
          </w14:textFill>
        </w:rPr>
      </w:pPr>
      <w:r>
        <w:rPr>
          <w:rStyle w:val="221"/>
          <w:rFonts w:hint="eastAsia" w:ascii="Times New Roman" w:hAnsi="Times New Roman" w:eastAsia="宋体" w:cs="Times New Roman"/>
          <w:color w:val="000000" w:themeColor="text1"/>
          <w:spacing w:val="-4"/>
          <w:sz w:val="24"/>
          <w:szCs w:val="24"/>
          <w:highlight w:val="none"/>
          <w14:textFill>
            <w14:solidFill>
              <w14:schemeClr w14:val="tx1"/>
            </w14:solidFill>
          </w14:textFill>
        </w:rPr>
        <w:t>根据</w:t>
      </w:r>
      <w:r>
        <w:rPr>
          <w:rStyle w:val="221"/>
          <w:rFonts w:ascii="Times New Roman" w:hAnsi="Times New Roman" w:eastAsia="宋体" w:cs="Times New Roman"/>
          <w:color w:val="000000" w:themeColor="text1"/>
          <w:spacing w:val="-4"/>
          <w:sz w:val="24"/>
          <w:szCs w:val="24"/>
          <w:highlight w:val="none"/>
          <w14:textFill>
            <w14:solidFill>
              <w14:schemeClr w14:val="tx1"/>
            </w14:solidFill>
          </w14:textFill>
        </w:rPr>
        <w:t>四川省生态环境厅办公室关于印发《产业园区规划环评</w:t>
      </w:r>
      <w:r>
        <w:rPr>
          <w:rFonts w:cs="Times New Roman"/>
          <w:bCs/>
          <w:color w:val="000000" w:themeColor="text1"/>
          <w:szCs w:val="24"/>
          <w:highlight w:val="none"/>
          <w14:textFill>
            <w14:solidFill>
              <w14:schemeClr w14:val="tx1"/>
            </w14:solidFill>
          </w14:textFill>
        </w:rPr>
        <w:t>“三线一单”</w:t>
      </w:r>
      <w:r>
        <w:rPr>
          <w:rStyle w:val="221"/>
          <w:rFonts w:ascii="Times New Roman" w:hAnsi="Times New Roman" w:eastAsia="宋体" w:cs="Times New Roman"/>
          <w:color w:val="000000" w:themeColor="text1"/>
          <w:spacing w:val="-4"/>
          <w:sz w:val="24"/>
          <w:szCs w:val="24"/>
          <w:highlight w:val="none"/>
          <w14:textFill>
            <w14:solidFill>
              <w14:schemeClr w14:val="tx1"/>
            </w14:solidFill>
          </w14:textFill>
        </w:rPr>
        <w:t>符合性分析技术要点（试行）》《项目环评</w:t>
      </w:r>
      <w:r>
        <w:rPr>
          <w:rStyle w:val="221"/>
          <w:rFonts w:ascii="宋体" w:hAnsi="宋体" w:eastAsia="宋体" w:cs="Times New Roman"/>
          <w:color w:val="000000" w:themeColor="text1"/>
          <w:spacing w:val="-4"/>
          <w:sz w:val="24"/>
          <w:szCs w:val="24"/>
          <w:highlight w:val="none"/>
          <w14:textFill>
            <w14:solidFill>
              <w14:schemeClr w14:val="tx1"/>
            </w14:solidFill>
          </w14:textFill>
        </w:rPr>
        <w:t>“三线一单”</w:t>
      </w:r>
      <w:r>
        <w:rPr>
          <w:rStyle w:val="221"/>
          <w:rFonts w:ascii="Times New Roman" w:hAnsi="Times New Roman" w:eastAsia="宋体" w:cs="Times New Roman"/>
          <w:color w:val="000000" w:themeColor="text1"/>
          <w:spacing w:val="-4"/>
          <w:sz w:val="24"/>
          <w:szCs w:val="24"/>
          <w:highlight w:val="none"/>
          <w14:textFill>
            <w14:solidFill>
              <w14:schemeClr w14:val="tx1"/>
            </w14:solidFill>
          </w14:textFill>
        </w:rPr>
        <w:t>符合性分析技术要点（试行）》的通知（川环办函〔2021〕469号）及四川省</w:t>
      </w:r>
      <w:r>
        <w:rPr>
          <w:rStyle w:val="221"/>
          <w:rFonts w:ascii="宋体" w:hAnsi="宋体" w:eastAsia="宋体" w:cs="Times New Roman"/>
          <w:color w:val="000000" w:themeColor="text1"/>
          <w:spacing w:val="-4"/>
          <w:sz w:val="24"/>
          <w:szCs w:val="24"/>
          <w:highlight w:val="none"/>
          <w14:textFill>
            <w14:solidFill>
              <w14:schemeClr w14:val="tx1"/>
            </w14:solidFill>
          </w14:textFill>
        </w:rPr>
        <w:t>“三线一单”</w:t>
      </w:r>
      <w:r>
        <w:rPr>
          <w:rStyle w:val="221"/>
          <w:rFonts w:ascii="Times New Roman" w:hAnsi="Times New Roman" w:eastAsia="宋体" w:cs="Times New Roman"/>
          <w:color w:val="000000" w:themeColor="text1"/>
          <w:spacing w:val="-4"/>
          <w:sz w:val="24"/>
          <w:szCs w:val="24"/>
          <w:highlight w:val="none"/>
          <w14:textFill>
            <w14:solidFill>
              <w14:schemeClr w14:val="tx1"/>
            </w14:solidFill>
          </w14:textFill>
        </w:rPr>
        <w:t>符合性分析系统（三线一单冲突分析（sczwfw.gov.cn）），项目主要</w:t>
      </w:r>
      <w:r>
        <w:rPr>
          <w:rStyle w:val="221"/>
          <w:rFonts w:hint="eastAsia" w:cs="Times New Roman"/>
          <w:color w:val="000000" w:themeColor="text1"/>
          <w:spacing w:val="-4"/>
          <w:sz w:val="24"/>
          <w:szCs w:val="24"/>
          <w:highlight w:val="none"/>
          <w:lang w:eastAsia="zh-CN"/>
          <w14:textFill>
            <w14:solidFill>
              <w14:schemeClr w14:val="tx1"/>
            </w14:solidFill>
          </w14:textFill>
        </w:rPr>
        <w:t>涉及</w:t>
      </w:r>
      <w:r>
        <w:rPr>
          <w:rStyle w:val="221"/>
          <w:rFonts w:ascii="Times New Roman" w:hAnsi="Times New Roman" w:eastAsia="宋体" w:cs="Times New Roman"/>
          <w:color w:val="000000" w:themeColor="text1"/>
          <w:spacing w:val="-4"/>
          <w:sz w:val="24"/>
          <w:szCs w:val="24"/>
          <w:highlight w:val="none"/>
          <w14:textFill>
            <w14:solidFill>
              <w14:schemeClr w14:val="tx1"/>
            </w14:solidFill>
          </w14:textFill>
        </w:rPr>
        <w:t>环境管控单元3个，具体管控单元见下表</w:t>
      </w:r>
      <w:r>
        <w:rPr>
          <w:rFonts w:cs="Times New Roman"/>
          <w:color w:val="000000" w:themeColor="text1"/>
          <w:szCs w:val="24"/>
          <w:highlight w:val="none"/>
          <w14:textFill>
            <w14:solidFill>
              <w14:schemeClr w14:val="tx1"/>
            </w14:solidFill>
          </w14:textFill>
        </w:rPr>
        <w:t>。</w:t>
      </w:r>
    </w:p>
    <w:p>
      <w:pPr>
        <w:widowControl w:val="0"/>
        <w:spacing w:line="360" w:lineRule="auto"/>
        <w:ind w:firstLine="480" w:firstLineChars="200"/>
        <w:jc w:val="both"/>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项目位于</w:t>
      </w:r>
      <w:r>
        <w:rPr>
          <w:rFonts w:hint="eastAsia" w:cs="Times New Roman"/>
          <w:color w:val="000000" w:themeColor="text1"/>
          <w:szCs w:val="24"/>
          <w:highlight w:val="none"/>
          <w:lang w:val="en-US" w:eastAsia="zh-CN"/>
          <w14:textFill>
            <w14:solidFill>
              <w14:schemeClr w14:val="tx1"/>
            </w14:solidFill>
          </w14:textFill>
        </w:rPr>
        <w:t>一般管控单元</w:t>
      </w:r>
      <w:r>
        <w:rPr>
          <w:rFonts w:cs="Times New Roman"/>
          <w:color w:val="000000" w:themeColor="text1"/>
          <w:szCs w:val="24"/>
          <w:highlight w:val="none"/>
          <w14:textFill>
            <w14:solidFill>
              <w14:schemeClr w14:val="tx1"/>
            </w14:solidFill>
          </w14:textFill>
        </w:rPr>
        <w:t>区域，</w:t>
      </w:r>
      <w:r>
        <w:rPr>
          <w:rFonts w:ascii="Times New Roman" w:hAnsi="Times New Roman"/>
          <w:color w:val="000000" w:themeColor="text1"/>
          <w:sz w:val="24"/>
          <w:szCs w:val="24"/>
          <w:highlight w:val="none"/>
          <w:lang w:eastAsia="zh-CN"/>
          <w14:textFill>
            <w14:solidFill>
              <w14:schemeClr w14:val="tx1"/>
            </w14:solidFill>
          </w14:textFill>
        </w:rPr>
        <w:t>本项目不在达州市生态保护红线范围内，也不在四川省其他生态空间范围内</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pacing w:val="0"/>
          <w:kern w:val="21"/>
          <w:position w:val="0"/>
          <w:sz w:val="24"/>
          <w:szCs w:val="24"/>
          <w:highlight w:val="none"/>
          <w14:textFill>
            <w14:solidFill>
              <w14:schemeClr w14:val="tx1"/>
            </w14:solidFill>
          </w14:textFill>
        </w:rPr>
        <w:t>本项目与“三线一单”相关要求的符合性分析如下</w:t>
      </w:r>
      <w:r>
        <w:rPr>
          <w:rFonts w:ascii="Times New Roman" w:hAnsi="Times New Roman"/>
          <w:color w:val="000000" w:themeColor="text1"/>
          <w:sz w:val="24"/>
          <w:szCs w:val="24"/>
          <w:highlight w:val="none"/>
          <w:lang w:eastAsia="zh-CN"/>
          <w14:textFill>
            <w14:solidFill>
              <w14:schemeClr w14:val="tx1"/>
            </w14:solidFill>
          </w14:textFill>
        </w:rPr>
        <w:t>。</w:t>
      </w:r>
    </w:p>
    <w:p>
      <w:pPr>
        <w:pStyle w:val="250"/>
        <w:ind w:firstLine="480"/>
        <w:rPr>
          <w:color w:val="000000" w:themeColor="text1"/>
          <w:highlight w:val="none"/>
          <w14:textFill>
            <w14:solidFill>
              <w14:schemeClr w14:val="tx1"/>
            </w14:solidFill>
          </w14:textFill>
        </w:rPr>
        <w:sectPr>
          <w:pgSz w:w="11906" w:h="16838"/>
          <w:pgMar w:top="1440" w:right="1800" w:bottom="1440" w:left="1800" w:header="964" w:footer="964" w:gutter="0"/>
          <w:pgBorders>
            <w:top w:val="none" w:sz="0" w:space="0"/>
            <w:left w:val="none" w:sz="0" w:space="0"/>
            <w:bottom w:val="none" w:sz="0" w:space="0"/>
            <w:right w:val="none" w:sz="0" w:space="0"/>
          </w:pgBorders>
          <w:cols w:space="425" w:num="1"/>
          <w:docGrid w:type="lines" w:linePitch="326" w:charSpace="0"/>
        </w:sectPr>
      </w:pPr>
    </w:p>
    <w:p>
      <w:pPr>
        <w:pStyle w:val="201"/>
        <w:spacing w:before="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项目与“三线一单”相关要求的符合性分析表</w:t>
      </w:r>
    </w:p>
    <w:tbl>
      <w:tblPr>
        <w:tblStyle w:val="53"/>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99"/>
        <w:gridCol w:w="734"/>
        <w:gridCol w:w="770"/>
        <w:gridCol w:w="5428"/>
        <w:gridCol w:w="4621"/>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8131" w:type="dxa"/>
            <w:gridSpan w:val="4"/>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14:textFill>
                  <w14:solidFill>
                    <w14:schemeClr w14:val="tx1"/>
                  </w14:solidFill>
                </w14:textFill>
              </w:rPr>
            </w:pPr>
            <w:r>
              <w:rPr>
                <w:rFonts w:hint="eastAsia" w:ascii="宋体" w:hAnsi="宋体" w:eastAsia="宋体" w:cs="宋体"/>
                <w:b/>
                <w:bCs/>
                <w:snapToGrid w:val="0"/>
                <w:color w:val="000000" w:themeColor="text1"/>
                <w:kern w:val="0"/>
                <w:sz w:val="21"/>
                <w:szCs w:val="21"/>
                <w:highlight w:val="none"/>
                <w14:textFill>
                  <w14:solidFill>
                    <w14:schemeClr w14:val="tx1"/>
                  </w14:solidFill>
                </w14:textFill>
              </w:rPr>
              <w:t>“三线一单”</w:t>
            </w:r>
            <w:r>
              <w:rPr>
                <w:rFonts w:hint="default" w:cs="Times New Roman"/>
                <w:b/>
                <w:bCs/>
                <w:snapToGrid w:val="0"/>
                <w:color w:val="000000" w:themeColor="text1"/>
                <w:kern w:val="0"/>
                <w:sz w:val="21"/>
                <w:szCs w:val="21"/>
                <w:highlight w:val="none"/>
                <w14:textFill>
                  <w14:solidFill>
                    <w14:schemeClr w14:val="tx1"/>
                  </w14:solidFill>
                </w14:textFill>
              </w:rPr>
              <w:t>的具体要求</w:t>
            </w:r>
          </w:p>
        </w:tc>
        <w:tc>
          <w:tcPr>
            <w:tcW w:w="4621"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r>
              <w:rPr>
                <w:rFonts w:hint="default" w:cs="Times New Roman"/>
                <w:b/>
                <w:bCs/>
                <w:snapToGrid w:val="0"/>
                <w:color w:val="000000" w:themeColor="text1"/>
                <w:kern w:val="0"/>
                <w:sz w:val="21"/>
                <w:szCs w:val="21"/>
                <w:highlight w:val="none"/>
                <w:lang w:eastAsia="en-US"/>
                <w14:textFill>
                  <w14:solidFill>
                    <w14:schemeClr w14:val="tx1"/>
                  </w14:solidFill>
                </w14:textFill>
              </w:rPr>
              <w:t>项目对应情况介绍</w:t>
            </w:r>
          </w:p>
        </w:tc>
        <w:tc>
          <w:tcPr>
            <w:tcW w:w="85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r>
              <w:rPr>
                <w:rFonts w:hint="default" w:cs="Times New Roman"/>
                <w:b/>
                <w:bCs/>
                <w:snapToGrid w:val="0"/>
                <w:color w:val="000000" w:themeColor="text1"/>
                <w:kern w:val="0"/>
                <w:sz w:val="21"/>
                <w:szCs w:val="21"/>
                <w:highlight w:val="none"/>
                <w:lang w:eastAsia="en-US"/>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703" w:type="dxa"/>
            <w:gridSpan w:val="3"/>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r>
              <w:rPr>
                <w:rFonts w:hint="default" w:cs="Times New Roman"/>
                <w:b/>
                <w:bCs/>
                <w:snapToGrid w:val="0"/>
                <w:color w:val="000000" w:themeColor="text1"/>
                <w:kern w:val="0"/>
                <w:sz w:val="21"/>
                <w:szCs w:val="21"/>
                <w:highlight w:val="none"/>
                <w:lang w:eastAsia="en-US"/>
                <w14:textFill>
                  <w14:solidFill>
                    <w14:schemeClr w14:val="tx1"/>
                  </w14:solidFill>
                </w14:textFill>
              </w:rPr>
              <w:t>类别</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r>
              <w:rPr>
                <w:rFonts w:hint="default" w:cs="Times New Roman"/>
                <w:b/>
                <w:bCs/>
                <w:snapToGrid w:val="0"/>
                <w:color w:val="000000" w:themeColor="text1"/>
                <w:kern w:val="0"/>
                <w:sz w:val="21"/>
                <w:szCs w:val="21"/>
                <w:highlight w:val="none"/>
                <w:lang w:eastAsia="en-US"/>
                <w14:textFill>
                  <w14:solidFill>
                    <w14:schemeClr w14:val="tx1"/>
                  </w14:solidFill>
                </w14:textFill>
              </w:rPr>
              <w:t>对应管控要求</w:t>
            </w:r>
          </w:p>
        </w:tc>
        <w:tc>
          <w:tcPr>
            <w:tcW w:w="4621"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p>
        </w:tc>
        <w:tc>
          <w:tcPr>
            <w:tcW w:w="85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snapToGrid w:val="0"/>
                <w:color w:val="000000" w:themeColor="text1"/>
                <w:kern w:val="0"/>
                <w:sz w:val="21"/>
                <w:szCs w:val="21"/>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snapToGrid w:val="0"/>
                <w:color w:val="000000" w:themeColor="text1"/>
                <w:kern w:val="0"/>
                <w:sz w:val="21"/>
                <w:szCs w:val="21"/>
                <w:highlight w:val="none"/>
                <w:lang w:eastAsia="en-US"/>
                <w14:textFill>
                  <w14:solidFill>
                    <w14:schemeClr w14:val="tx1"/>
                  </w14:solidFill>
                </w14:textFill>
              </w:rPr>
              <w:t>ZH51172230001</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cs="Times New Roman"/>
                <w:color w:val="000000" w:themeColor="text1"/>
                <w:sz w:val="21"/>
                <w:szCs w:val="21"/>
                <w:highlight w:val="none"/>
                <w:lang w:eastAsia="en-US"/>
                <w14:textFill>
                  <w14:solidFill>
                    <w14:schemeClr w14:val="tx1"/>
                  </w14:solidFill>
                </w14:textFill>
              </w:rPr>
              <w:t>宣汉县一般管控单元</w:t>
            </w:r>
          </w:p>
        </w:tc>
        <w:tc>
          <w:tcPr>
            <w:tcW w:w="73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普适性清单</w:t>
            </w:r>
            <w:r>
              <w:rPr>
                <w:rFonts w:hint="default" w:cs="Times New Roman"/>
                <w:color w:val="000000" w:themeColor="text1"/>
                <w:sz w:val="21"/>
                <w:szCs w:val="21"/>
                <w:highlight w:val="none"/>
                <w:lang w:eastAsia="en-US"/>
                <w14:textFill>
                  <w14:solidFill>
                    <w14:schemeClr w14:val="tx1"/>
                  </w14:solidFill>
                </w14:textFill>
              </w:rPr>
              <w:t>管控要求</w:t>
            </w: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snapToGrid w:val="0"/>
                <w:color w:val="000000" w:themeColor="text1"/>
                <w:kern w:val="0"/>
                <w:sz w:val="21"/>
                <w:szCs w:val="21"/>
                <w:highlight w:val="none"/>
                <w:lang w:eastAsia="en-US"/>
                <w14:textFill>
                  <w14:solidFill>
                    <w14:schemeClr w14:val="tx1"/>
                  </w14:solidFill>
                </w14:textFill>
              </w:rPr>
              <w:t>空间布局约束</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禁止开发建设活动的要求：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w:t>
            </w:r>
            <w:r>
              <w:rPr>
                <w:rFonts w:hint="default" w:cs="Times New Roman"/>
                <w:b w:val="0"/>
                <w:bCs w:val="0"/>
                <w:color w:val="000000" w:themeColor="text1"/>
                <w:sz w:val="21"/>
                <w:szCs w:val="21"/>
                <w:highlight w:val="none"/>
                <w:lang w:val="en-US" w:eastAsia="zh-CN"/>
                <w14:textFill>
                  <w14:solidFill>
                    <w14:schemeClr w14:val="tx1"/>
                  </w14:solidFill>
                </w14:textFill>
              </w:rPr>
              <w:t>禁止在长江干支流1公里范围内新建、扩建化工园区和化工项目。</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-禁止在法律法规规定的禁采区内新建矿山；禁止土法采、选、冶严重污染环境的矿产资源。</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-涉及永久基本农田的区域，除法律规定的重点建设项目选址确实无法避让外，其他任何建设不得占用。</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-禁止在长江流域河湖管理范围内倾倒、填埋、堆放、弃置、处理固体废物。</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-禁止在永久基本农田集中区域和其他需要特别保护的区域选址建设尾矿库、冶炼渣库、磷石膏库。</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限制开发建设活动的要求：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-按照相关要求严控水泥新增产能。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-涉及法定保护地，严格按照国家及地方法律法规、管理办法等相关要求进行控制。配套旅游、基础设施等建设项目，在符合规划和相关保护要求的前提下，应实施生态避让、减缓影响及生态恢复措施。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-按照相关要求严控水泥新增产能。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-水环境农业污染重点管控区：（1）稳步推进建制镇污水处理设施建设，适当预留发展空间，宜集中则集中，宜分散则分散。农村生活污水处理设施排水执行《农村生活污水处理设施水污染物排放标准》（DB 5</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cs="Times New Roman"/>
                <w:color w:val="000000" w:themeColor="text1"/>
                <w:sz w:val="21"/>
                <w:szCs w:val="21"/>
                <w:highlight w:val="none"/>
                <w:lang w:val="en-US" w:eastAsia="zh-CN"/>
                <w14:textFill>
                  <w14:solidFill>
                    <w14:schemeClr w14:val="tx1"/>
                  </w14:solidFill>
                </w14:textFill>
              </w:rPr>
              <w:t>2626-2019）要求。（2）深入推进化肥减量增效。鼓励以循环利用与生态净化相结合的方式控制种植业污染，农企合作推进测土配方施肥。</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不符合空间布局要求活动的退出要求：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-针对现有水泥企业，强化污染治理和污染物减排，依法依规整治或搬迁。</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全面取缔禁养区内规模化畜禽养殖场。</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2025年基本完成全域内“散乱污”企业整治工作。</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在全市范围深入开展集中整治“散乱污”工业企业，对不符合产业政策和规划布局的，一律责令停产、限期搬迁或关停；</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其他空间布局约束要求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新建矿山全部达到绿色矿山建设要求，生产矿山加快改造升级，逐步达到要求。</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禁止开发建设活动的要求：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项目未位于</w:t>
            </w:r>
            <w:r>
              <w:rPr>
                <w:rFonts w:hint="default" w:cs="Times New Roman"/>
                <w:color w:val="000000" w:themeColor="text1"/>
                <w:sz w:val="21"/>
                <w:szCs w:val="21"/>
                <w:highlight w:val="none"/>
                <w14:textFill>
                  <w14:solidFill>
                    <w14:schemeClr w14:val="tx1"/>
                  </w14:solidFill>
                </w14:textFill>
              </w:rPr>
              <w:t>长江干支流1公里范围内</w:t>
            </w:r>
            <w:r>
              <w:rPr>
                <w:rFonts w:hint="eastAsia" w:cs="Times New Roman"/>
                <w:color w:val="000000" w:themeColor="text1"/>
                <w:sz w:val="21"/>
                <w:szCs w:val="21"/>
                <w:highlight w:val="none"/>
                <w14:textFill>
                  <w14:solidFill>
                    <w14:schemeClr w14:val="tx1"/>
                  </w14:solidFill>
                </w14:textFill>
              </w:rPr>
              <w:t>，且不属于</w:t>
            </w:r>
            <w:r>
              <w:rPr>
                <w:rFonts w:hint="default" w:cs="Times New Roman"/>
                <w:color w:val="000000" w:themeColor="text1"/>
                <w:sz w:val="21"/>
                <w:szCs w:val="21"/>
                <w:highlight w:val="none"/>
                <w14:textFill>
                  <w14:solidFill>
                    <w14:schemeClr w14:val="tx1"/>
                  </w14:solidFill>
                </w14:textFill>
              </w:rPr>
              <w:t>新建、扩建化工园区和化工项目。</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项目不属于矿山项目，且未位于</w:t>
            </w:r>
            <w:r>
              <w:rPr>
                <w:rFonts w:hint="default" w:cs="Times New Roman"/>
                <w:color w:val="000000" w:themeColor="text1"/>
                <w:sz w:val="21"/>
                <w:szCs w:val="21"/>
                <w:highlight w:val="none"/>
                <w14:textFill>
                  <w14:solidFill>
                    <w14:schemeClr w14:val="tx1"/>
                  </w14:solidFill>
                </w14:textFill>
              </w:rPr>
              <w:t>法律法规规定的禁采区；</w:t>
            </w:r>
            <w:r>
              <w:rPr>
                <w:rFonts w:hint="eastAsia" w:cs="Times New Roman"/>
                <w:color w:val="000000" w:themeColor="text1"/>
                <w:sz w:val="21"/>
                <w:szCs w:val="21"/>
                <w:highlight w:val="none"/>
                <w14:textFill>
                  <w14:solidFill>
                    <w14:schemeClr w14:val="tx1"/>
                  </w14:solidFill>
                </w14:textFill>
              </w:rPr>
              <w:t>不属于</w:t>
            </w:r>
            <w:r>
              <w:rPr>
                <w:rFonts w:hint="default" w:cs="Times New Roman"/>
                <w:color w:val="000000" w:themeColor="text1"/>
                <w:sz w:val="21"/>
                <w:szCs w:val="21"/>
                <w:highlight w:val="none"/>
                <w14:textFill>
                  <w14:solidFill>
                    <w14:schemeClr w14:val="tx1"/>
                  </w14:solidFill>
                </w14:textFill>
              </w:rPr>
              <w:t>土法采、选、冶严重污染环境的矿产资源</w:t>
            </w:r>
            <w:r>
              <w:rPr>
                <w:rFonts w:hint="eastAsia" w:cs="Times New Roman"/>
                <w:color w:val="000000" w:themeColor="text1"/>
                <w:sz w:val="21"/>
                <w:szCs w:val="21"/>
                <w:highlight w:val="none"/>
                <w14:textFill>
                  <w14:solidFill>
                    <w14:schemeClr w14:val="tx1"/>
                  </w14:solidFill>
                </w14:textFill>
              </w:rPr>
              <w:t>项目</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w:t>
            </w:r>
            <w:r>
              <w:rPr>
                <w:rFonts w:hint="default" w:cs="Times New Roman"/>
                <w:color w:val="000000" w:themeColor="text1"/>
                <w:sz w:val="21"/>
                <w:szCs w:val="21"/>
                <w:highlight w:val="none"/>
                <w14:textFill>
                  <w14:solidFill>
                    <w14:schemeClr w14:val="tx1"/>
                  </w14:solidFill>
                </w14:textFill>
              </w:rPr>
              <w:t>涉及永久基本农田</w:t>
            </w:r>
            <w:r>
              <w:rPr>
                <w:rFonts w:hint="eastAsia" w:cs="Times New Roman"/>
                <w:color w:val="000000" w:themeColor="text1"/>
                <w:sz w:val="21"/>
                <w:szCs w:val="21"/>
                <w:highlight w:val="none"/>
                <w14:textFill>
                  <w14:solidFill>
                    <w14:schemeClr w14:val="tx1"/>
                  </w14:solidFill>
                </w14:textFill>
              </w:rPr>
              <w:t>，天然气钻井属于地下资源决定地面井口布置项目</w:t>
            </w: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属于</w:t>
            </w:r>
            <w:r>
              <w:rPr>
                <w:rFonts w:hint="default" w:cs="Times New Roman"/>
                <w:color w:val="000000" w:themeColor="text1"/>
                <w:sz w:val="21"/>
                <w:szCs w:val="21"/>
                <w:highlight w:val="none"/>
                <w14:textFill>
                  <w14:solidFill>
                    <w14:schemeClr w14:val="tx1"/>
                  </w14:solidFill>
                </w14:textFill>
              </w:rPr>
              <w:t>法律规定的重点建设项目</w:t>
            </w:r>
            <w:r>
              <w:rPr>
                <w:rFonts w:hint="eastAsia" w:cs="Times New Roman"/>
                <w:color w:val="000000" w:themeColor="text1"/>
                <w:sz w:val="21"/>
                <w:szCs w:val="21"/>
                <w:highlight w:val="none"/>
                <w14:textFill>
                  <w14:solidFill>
                    <w14:schemeClr w14:val="tx1"/>
                  </w14:solidFill>
                </w14:textFill>
              </w:rPr>
              <w:t>，且</w:t>
            </w:r>
            <w:r>
              <w:rPr>
                <w:rFonts w:hint="default" w:cs="Times New Roman"/>
                <w:color w:val="000000" w:themeColor="text1"/>
                <w:sz w:val="21"/>
                <w:szCs w:val="21"/>
                <w:highlight w:val="none"/>
                <w14:textFill>
                  <w14:solidFill>
                    <w14:schemeClr w14:val="tx1"/>
                  </w14:solidFill>
                </w14:textFill>
              </w:rPr>
              <w:t>选址确实无法避让。</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项目严禁</w:t>
            </w:r>
            <w:r>
              <w:rPr>
                <w:rFonts w:hint="default" w:cs="Times New Roman"/>
                <w:color w:val="000000" w:themeColor="text1"/>
                <w:sz w:val="21"/>
                <w:szCs w:val="21"/>
                <w:highlight w:val="none"/>
                <w14:textFill>
                  <w14:solidFill>
                    <w14:schemeClr w14:val="tx1"/>
                  </w14:solidFill>
                </w14:textFill>
              </w:rPr>
              <w:t>在长江流域河湖管理范围内倾倒、填埋、堆放、弃置、处理固体废物。</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项目不设</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尾矿库、冶炼渣库、磷石膏库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长江干流岸线三公里范围内和重要支流岸线一公里范围内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，也不</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新建、改建、扩建尾矿库、冶炼渣库、磷石膏库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限制开发建设活动的要求：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水泥产能</w:t>
            </w:r>
            <w:r>
              <w:rPr>
                <w:rFonts w:hint="eastAsia" w:cs="Times New Roman"/>
                <w:color w:val="000000" w:themeColor="text1"/>
                <w:sz w:val="21"/>
                <w:szCs w:val="21"/>
                <w:highlight w:val="none"/>
                <w14:textFill>
                  <w14:solidFill>
                    <w14:schemeClr w14:val="tx1"/>
                  </w14:solidFill>
                </w14:textFill>
              </w:rPr>
              <w:t>项目</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拟新增：</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项目不涉及</w:t>
            </w:r>
            <w:r>
              <w:rPr>
                <w:rFonts w:hint="default" w:cs="Times New Roman"/>
                <w:color w:val="000000" w:themeColor="text1"/>
                <w:sz w:val="21"/>
                <w:szCs w:val="21"/>
                <w:highlight w:val="none"/>
                <w14:textFill>
                  <w14:solidFill>
                    <w14:schemeClr w14:val="tx1"/>
                  </w14:solidFill>
                </w14:textFill>
              </w:rPr>
              <w:t>法定保护地。</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水泥产能</w:t>
            </w:r>
            <w:r>
              <w:rPr>
                <w:rFonts w:hint="eastAsia" w:cs="Times New Roman"/>
                <w:color w:val="000000" w:themeColor="text1"/>
                <w:sz w:val="21"/>
                <w:szCs w:val="21"/>
                <w:highlight w:val="none"/>
                <w14:textFill>
                  <w14:solidFill>
                    <w14:schemeClr w14:val="tx1"/>
                  </w14:solidFill>
                </w14:textFill>
              </w:rPr>
              <w:t>项目</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w:t>
            </w:r>
            <w:r>
              <w:rPr>
                <w:rFonts w:hint="eastAsia" w:cs="Times New Roman"/>
                <w:color w:val="000000" w:themeColor="text1"/>
                <w:sz w:val="21"/>
                <w:szCs w:val="21"/>
                <w:highlight w:val="none"/>
                <w:lang w:val="en-US" w:eastAsia="zh-CN"/>
                <w14:textFill>
                  <w14:solidFill>
                    <w14:schemeClr w14:val="tx1"/>
                  </w14:solidFill>
                </w14:textFill>
              </w:rPr>
              <w:t>位于</w:t>
            </w:r>
            <w:r>
              <w:rPr>
                <w:rFonts w:hint="default" w:cs="Times New Roman"/>
                <w:color w:val="000000" w:themeColor="text1"/>
                <w:sz w:val="21"/>
                <w:szCs w:val="21"/>
                <w:highlight w:val="none"/>
                <w:lang w:val="en-US" w:eastAsia="zh-CN"/>
                <w14:textFill>
                  <w14:solidFill>
                    <w14:schemeClr w14:val="tx1"/>
                  </w14:solidFill>
                </w14:textFill>
              </w:rPr>
              <w:t>大气环境布局敏感重点管控区</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-项目不</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位于</w:t>
            </w:r>
            <w:r>
              <w:rPr>
                <w:rFonts w:hint="default" w:cs="Times New Roman"/>
                <w:color w:val="000000" w:themeColor="text1"/>
                <w:sz w:val="21"/>
                <w:szCs w:val="21"/>
                <w:highlight w:val="none"/>
                <w:lang w:val="en-US" w:eastAsia="zh-CN"/>
                <w14:textFill>
                  <w14:solidFill>
                    <w14:schemeClr w14:val="tx1"/>
                  </w14:solidFill>
                </w14:textFill>
              </w:rPr>
              <w:t>大气弱扩散重点管控区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-项目不</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位于</w:t>
            </w:r>
            <w:r>
              <w:rPr>
                <w:rFonts w:hint="default" w:cs="Times New Roman"/>
                <w:color w:val="000000" w:themeColor="text1"/>
                <w:sz w:val="21"/>
                <w:szCs w:val="21"/>
                <w:highlight w:val="none"/>
                <w:lang w:val="en-US" w:eastAsia="zh-CN"/>
                <w14:textFill>
                  <w14:solidFill>
                    <w14:schemeClr w14:val="tx1"/>
                  </w14:solidFill>
                </w14:textFill>
              </w:rPr>
              <w:t>水环境农业污染重点管控区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不符合空间布局要求活动的退出要求：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水泥企业。</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畜禽养殖场。</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eastAsia" w:ascii="宋体" w:hAnsi="宋体" w:eastAsia="宋体" w:cs="宋体"/>
                <w:color w:val="000000" w:themeColor="text1"/>
                <w:sz w:val="21"/>
                <w:szCs w:val="21"/>
                <w:highlight w:val="none"/>
                <w14:textFill>
                  <w14:solidFill>
                    <w14:schemeClr w14:val="tx1"/>
                  </w14:solidFill>
                </w14:textFill>
              </w:rPr>
              <w:t>“散乱污”</w:t>
            </w:r>
            <w:r>
              <w:rPr>
                <w:rFonts w:hint="default" w:cs="Times New Roman"/>
                <w:color w:val="000000" w:themeColor="text1"/>
                <w:sz w:val="21"/>
                <w:szCs w:val="21"/>
                <w:highlight w:val="none"/>
                <w14:textFill>
                  <w14:solidFill>
                    <w14:schemeClr w14:val="tx1"/>
                  </w14:solidFill>
                </w14:textFill>
              </w:rPr>
              <w:t>企业。</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其他空间布局约束要求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suppressLineNumbers w:val="0"/>
              <w:adjustRightInd/>
              <w:snapToGrid/>
              <w:spacing w:before="0" w:beforeAutospacing="0" w:after="0" w:afterAutospacing="0" w:line="240" w:lineRule="auto"/>
              <w:ind w:left="0" w:right="0" w:firstLine="0" w:firstLineChars="0"/>
              <w:jc w:val="left"/>
              <w:rPr>
                <w:rFonts w:hint="default" w:cs="Times New Roman"/>
                <w:snapToGrid w:val="0"/>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本项目按照《陆上石油天然气开采业绿色矿山建设规范》（DZ/T0317-2018）</w:t>
            </w:r>
            <w:r>
              <w:rPr>
                <w:rFonts w:hint="default" w:cs="Times New Roman"/>
                <w:color w:val="000000" w:themeColor="text1"/>
                <w:sz w:val="21"/>
                <w:szCs w:val="21"/>
                <w:highlight w:val="none"/>
                <w:lang w:val="en-US" w:eastAsia="zh-CN"/>
                <w14:textFill>
                  <w14:solidFill>
                    <w14:schemeClr w14:val="tx1"/>
                  </w14:solidFill>
                </w14:textFill>
              </w:rPr>
              <w:t>建设要求</w:t>
            </w:r>
            <w:r>
              <w:rPr>
                <w:rFonts w:hint="eastAsia" w:cs="Times New Roman"/>
                <w:color w:val="000000" w:themeColor="text1"/>
                <w:sz w:val="21"/>
                <w:szCs w:val="21"/>
                <w:highlight w:val="none"/>
                <w:lang w:val="en-US" w:eastAsia="zh-CN"/>
                <w14:textFill>
                  <w14:solidFill>
                    <w14:schemeClr w14:val="tx1"/>
                  </w14:solidFill>
                </w14:textFill>
              </w:rPr>
              <w:t>建设</w:t>
            </w:r>
            <w:r>
              <w:rPr>
                <w:rFonts w:hint="default" w:cs="Times New Roman"/>
                <w:color w:val="000000" w:themeColor="text1"/>
                <w:sz w:val="21"/>
                <w:szCs w:val="21"/>
                <w:highlight w:val="none"/>
                <w:lang w:val="en-US" w:eastAsia="zh-CN"/>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snapToGrid w:val="0"/>
                <w:color w:val="000000" w:themeColor="text1"/>
                <w:kern w:val="0"/>
                <w:sz w:val="21"/>
                <w:szCs w:val="21"/>
                <w:highlight w:val="none"/>
                <w:lang w:eastAsia="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污染物排放管控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允许排放量要求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现有源提标升级改造：</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加快现有乡镇污水处理设施升级改造，按要求达《城镇污水处理厂污染物排放标准》一级A标后排放。</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在矿产资源开发活动集中区域，废水执行重金属污染物排放特别限值。</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火电、水泥等行业按相关要求推进大气污染物超低排放和深度治理。</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砖瓦行业实施脱硫、除尘升级改造，污染物排放达到《砖瓦工业大气污染物排放标准》相关要求。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其他污染物排放管控要求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b w:val="0"/>
                <w:bCs w:val="0"/>
                <w:color w:val="000000" w:themeColor="text1"/>
                <w:sz w:val="21"/>
                <w:szCs w:val="21"/>
                <w:highlight w:val="none"/>
                <w14:textFill>
                  <w14:solidFill>
                    <w14:schemeClr w14:val="tx1"/>
                  </w14:solidFill>
                </w14:textFill>
              </w:rPr>
              <w:t>新增源等量或倍量替代：</w:t>
            </w:r>
            <w:r>
              <w:rPr>
                <w:rStyle w:val="57"/>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污染物排放绩效水平准入要求:屠宰项目必须配套污水处理设施或进入城市污水管网。</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大气环境重点管控区内加强</w:t>
            </w:r>
            <w:r>
              <w:rPr>
                <w:rFonts w:hint="eastAsia" w:ascii="宋体" w:hAnsi="宋体" w:eastAsia="宋体" w:cs="宋体"/>
                <w:color w:val="000000" w:themeColor="text1"/>
                <w:sz w:val="21"/>
                <w:szCs w:val="21"/>
                <w:highlight w:val="none"/>
                <w:lang w:val="en-US" w:eastAsia="zh-CN"/>
                <w14:textFill>
                  <w14:solidFill>
                    <w14:schemeClr w14:val="tx1"/>
                  </w14:solidFill>
                </w14:textFill>
              </w:rPr>
              <w:t>“高架源”</w:t>
            </w:r>
            <w:r>
              <w:rPr>
                <w:rFonts w:hint="default" w:cs="Times New Roman"/>
                <w:color w:val="000000" w:themeColor="text1"/>
                <w:sz w:val="21"/>
                <w:szCs w:val="21"/>
                <w:highlight w:val="none"/>
                <w:lang w:val="en-US" w:eastAsia="zh-CN"/>
                <w14:textFill>
                  <w14:solidFill>
                    <w14:schemeClr w14:val="tx1"/>
                  </w14:solidFill>
                </w14:textFill>
              </w:rPr>
              <w:t>污染治理，深化施工扬尘监管，严格落实</w:t>
            </w:r>
            <w:r>
              <w:rPr>
                <w:rFonts w:hint="eastAsia" w:ascii="宋体" w:hAnsi="宋体" w:eastAsia="宋体" w:cs="宋体"/>
                <w:color w:val="000000" w:themeColor="text1"/>
                <w:sz w:val="21"/>
                <w:szCs w:val="21"/>
                <w:highlight w:val="none"/>
                <w:lang w:val="en-US" w:eastAsia="zh-CN"/>
                <w14:textFill>
                  <w14:solidFill>
                    <w14:schemeClr w14:val="tx1"/>
                  </w14:solidFill>
                </w14:textFill>
              </w:rPr>
              <w:t>“六必须、六不准”管</w:t>
            </w:r>
            <w:r>
              <w:rPr>
                <w:rFonts w:hint="default" w:cs="Times New Roman"/>
                <w:color w:val="000000" w:themeColor="text1"/>
                <w:sz w:val="21"/>
                <w:szCs w:val="21"/>
                <w:highlight w:val="none"/>
                <w:lang w:val="en-US" w:eastAsia="zh-CN"/>
                <w14:textFill>
                  <w14:solidFill>
                    <w14:schemeClr w14:val="tx1"/>
                  </w14:solidFill>
                </w14:textFill>
              </w:rPr>
              <w:t>控要求，强化道路施工管控，提高道路清扫机械化和精细化作业水平。-至2022年底，基本实现乡镇污水处理设施全覆盖，配套建设污水收集管网，乡镇污水处理率达到65%。</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-到2023年底，力争全市生活垃圾焚烧处理能力占比达60%以上，各县（市）生活垃圾无害化处理率保持95%以上，乡镇及行政村生活垃圾收转运处置体系基本实现全覆盖。</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-到2025年，农药包装废弃物回收率达80%；粮油绿色高质高效示范区、茶叶主产区和现代农业园区农药包装废弃物回收率100%。</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-到2025年，全国主要农作物化肥、农药利用率达43%，测土配方施肥技术推广覆盖率保持在90%以上，控制农村面源污染，采取灌排分离等措施控制农田氮磷流失。</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-到2025年，废旧农膜回收利用率达到85%以上。</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允许排放量要求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现有源提标升级改造：</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项目不涉及</w:t>
            </w:r>
            <w:r>
              <w:rPr>
                <w:rFonts w:hint="default" w:cs="Times New Roman"/>
                <w:b w:val="0"/>
                <w:bCs w:val="0"/>
                <w:color w:val="000000" w:themeColor="text1"/>
                <w:sz w:val="21"/>
                <w:szCs w:val="21"/>
                <w:highlight w:val="none"/>
                <w:lang w:val="en-US" w:eastAsia="zh-CN"/>
                <w14:textFill>
                  <w14:solidFill>
                    <w14:schemeClr w14:val="tx1"/>
                  </w14:solidFill>
                </w14:textFill>
              </w:rPr>
              <w:t>乡镇污水处理设施升级改造</w:t>
            </w:r>
            <w:r>
              <w:rPr>
                <w:rFonts w:hint="eastAsia" w:cs="Times New Roman"/>
                <w:b w:val="0"/>
                <w:bCs w:val="0"/>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项目不涉及</w:t>
            </w:r>
            <w:r>
              <w:rPr>
                <w:rFonts w:hint="default" w:cs="Times New Roman"/>
                <w:color w:val="000000" w:themeColor="text1"/>
                <w:sz w:val="21"/>
                <w:szCs w:val="21"/>
                <w:highlight w:val="none"/>
                <w14:textFill>
                  <w14:solidFill>
                    <w14:schemeClr w14:val="tx1"/>
                  </w14:solidFill>
                </w14:textFill>
              </w:rPr>
              <w:t>重金属</w:t>
            </w:r>
            <w:r>
              <w:rPr>
                <w:rFonts w:hint="eastAsia" w:cs="Times New Roman"/>
                <w:color w:val="000000" w:themeColor="text1"/>
                <w:sz w:val="21"/>
                <w:szCs w:val="21"/>
                <w:highlight w:val="none"/>
                <w14:textFill>
                  <w14:solidFill>
                    <w14:schemeClr w14:val="tx1"/>
                  </w14:solidFill>
                </w14:textFill>
              </w:rPr>
              <w:t>废水排放</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火电、水泥等行业。</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砖瓦行业。</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其他污染物排放管控要求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项目所有废水均不外排</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项目不涉及大气总量控制指标</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屠宰项目。</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宋体" w:hAnsi="宋体" w:eastAsia="宋体" w:cs="宋体"/>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项目严格落实</w:t>
            </w:r>
            <w:r>
              <w:rPr>
                <w:rFonts w:hint="default" w:cs="Times New Roman"/>
                <w:color w:val="000000" w:themeColor="text1"/>
                <w:sz w:val="21"/>
                <w:szCs w:val="21"/>
                <w:highlight w:val="none"/>
                <w14:textFill>
                  <w14:solidFill>
                    <w14:schemeClr w14:val="tx1"/>
                  </w14:solidFill>
                </w14:textFill>
              </w:rPr>
              <w:t>深化施工扬尘监管，严格落实</w:t>
            </w:r>
            <w:r>
              <w:rPr>
                <w:rFonts w:hint="eastAsia" w:ascii="宋体" w:hAnsi="宋体" w:eastAsia="宋体" w:cs="宋体"/>
                <w:color w:val="000000" w:themeColor="text1"/>
                <w:sz w:val="21"/>
                <w:szCs w:val="21"/>
                <w:highlight w:val="none"/>
                <w14:textFill>
                  <w14:solidFill>
                    <w14:schemeClr w14:val="tx1"/>
                  </w14:solidFill>
                </w14:textFill>
              </w:rPr>
              <w:t>“六必须、六不准”管控要求，强化道路施工管控，提高道路清扫机械化和精细化作业水平。</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项目所有废水均妥善处置</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w:t>
            </w:r>
            <w:r>
              <w:rPr>
                <w:rFonts w:hint="eastAsia" w:cs="Times New Roman"/>
                <w:color w:val="000000" w:themeColor="text1"/>
                <w:sz w:val="21"/>
                <w:szCs w:val="21"/>
                <w:highlight w:val="none"/>
                <w:lang w:val="en-US" w:eastAsia="zh-CN"/>
                <w14:textFill>
                  <w14:solidFill>
                    <w14:schemeClr w14:val="tx1"/>
                  </w14:solidFill>
                </w14:textFill>
              </w:rPr>
              <w:t>施工期</w:t>
            </w:r>
            <w:r>
              <w:rPr>
                <w:rFonts w:hint="eastAsia" w:cs="Times New Roman"/>
                <w:color w:val="000000" w:themeColor="text1"/>
                <w:sz w:val="21"/>
                <w:szCs w:val="21"/>
                <w:highlight w:val="none"/>
                <w14:textFill>
                  <w14:solidFill>
                    <w14:schemeClr w14:val="tx1"/>
                  </w14:solidFill>
                </w14:textFill>
              </w:rPr>
              <w:t>生活垃圾交由环卫部门妥善处置，</w:t>
            </w:r>
            <w:r>
              <w:rPr>
                <w:rFonts w:hint="eastAsia" w:cs="Times New Roman"/>
                <w:color w:val="000000" w:themeColor="text1"/>
                <w:sz w:val="21"/>
                <w:szCs w:val="21"/>
                <w:highlight w:val="none"/>
                <w:lang w:eastAsia="zh-CN"/>
                <w14:textFill>
                  <w14:solidFill>
                    <w14:schemeClr w14:val="tx1"/>
                  </w14:solidFill>
                </w14:textFill>
              </w:rPr>
              <w:t>试采期</w:t>
            </w:r>
            <w:r>
              <w:rPr>
                <w:rFonts w:hint="eastAsia" w:cs="Times New Roman"/>
                <w:color w:val="000000" w:themeColor="text1"/>
                <w:sz w:val="21"/>
                <w:szCs w:val="21"/>
                <w:highlight w:val="none"/>
                <w14:textFill>
                  <w14:solidFill>
                    <w14:schemeClr w14:val="tx1"/>
                  </w14:solidFill>
                </w14:textFill>
              </w:rPr>
              <w:t>无生活垃圾产生</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项目不属于农业类项目</w:t>
            </w:r>
            <w:r>
              <w:rPr>
                <w:rFonts w:hint="default" w:cs="Times New Roman"/>
                <w:color w:val="000000" w:themeColor="text1"/>
                <w:sz w:val="21"/>
                <w:szCs w:val="21"/>
                <w:highlight w:val="none"/>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项目不属于</w:t>
            </w:r>
            <w:r>
              <w:rPr>
                <w:rFonts w:hint="default" w:cs="Times New Roman"/>
                <w:color w:val="000000" w:themeColor="text1"/>
                <w:sz w:val="21"/>
                <w:szCs w:val="21"/>
                <w:highlight w:val="none"/>
                <w14:textFill>
                  <w14:solidFill>
                    <w14:schemeClr w14:val="tx1"/>
                  </w14:solidFill>
                </w14:textFill>
              </w:rPr>
              <w:t>化畜禽养殖场（小区）。</w:t>
            </w:r>
          </w:p>
          <w:p>
            <w:pPr>
              <w:keepNext w:val="0"/>
              <w:keepLines w:val="0"/>
              <w:suppressLineNumbers w:val="0"/>
              <w:adjustRightInd/>
              <w:snapToGrid/>
              <w:spacing w:before="0" w:beforeAutospacing="0" w:after="0" w:afterAutospacing="0" w:line="240" w:lineRule="auto"/>
              <w:ind w:left="0" w:right="0" w:firstLine="0" w:firstLineChars="0"/>
              <w:jc w:val="left"/>
              <w:rPr>
                <w:rFonts w:hint="default" w:cs="Times New Roman"/>
                <w:snapToGrid w:val="0"/>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项目不涉及</w:t>
            </w:r>
            <w:r>
              <w:rPr>
                <w:rFonts w:hint="default" w:cs="Times New Roman"/>
                <w:color w:val="000000" w:themeColor="text1"/>
                <w:sz w:val="21"/>
                <w:szCs w:val="21"/>
                <w:highlight w:val="none"/>
                <w14:textFill>
                  <w14:solidFill>
                    <w14:schemeClr w14:val="tx1"/>
                  </w14:solidFill>
                </w14:textFill>
              </w:rPr>
              <w:t>废旧农膜。</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snapToGrid w:val="0"/>
                <w:color w:val="000000" w:themeColor="text1"/>
                <w:kern w:val="0"/>
                <w:sz w:val="21"/>
                <w:szCs w:val="21"/>
                <w:highlight w:val="none"/>
                <w:lang w:eastAsia="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环境风险防控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联防联控要求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w:t>
            </w:r>
            <w:r>
              <w:rPr>
                <w:rFonts w:hint="eastAsia" w:ascii="宋体" w:hAnsi="宋体" w:eastAsia="宋体" w:cs="宋体"/>
                <w:color w:val="000000" w:themeColor="text1"/>
                <w:sz w:val="21"/>
                <w:szCs w:val="21"/>
                <w:highlight w:val="none"/>
                <w:lang w:val="en-US" w:eastAsia="zh-CN"/>
                <w14:textFill>
                  <w14:solidFill>
                    <w14:schemeClr w14:val="tx1"/>
                  </w14:solidFill>
                </w14:textFill>
              </w:rPr>
              <w:t>“六统一”</w:t>
            </w:r>
            <w:r>
              <w:rPr>
                <w:rFonts w:hint="default" w:cs="Times New Roman"/>
                <w:color w:val="000000" w:themeColor="text1"/>
                <w:sz w:val="21"/>
                <w:szCs w:val="21"/>
                <w:highlight w:val="none"/>
                <w:lang w:val="en-US" w:eastAsia="zh-CN"/>
                <w14:textFill>
                  <w14:solidFill>
                    <w14:schemeClr w14:val="tx1"/>
                  </w14:solidFill>
                </w14:textFill>
              </w:rPr>
              <w:t>，协力推进大气污染源头防控，加强川东北区域大气污染防治合作。</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其他环境风险防控要求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企业环境风险防控要求:工业企业退出用地，须经评估、修复满足相应用地功能后，方可改变用途。</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定期对单元内尾矿库进行风险巡查，建立监测系统和环境风险应急预案；完善各尾矿库渗滤液收集、处理、回用系统，杜绝事故排放；尾矿库闭矿后因地制宜进行植被恢复和综合利用。</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规范排土场、渣场等整治。禁止处理不达标的污泥进入耕地。</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严格控制林地、草地、园地的农药使用量，禁止使用高毒、高残留农药。</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到2030年，全市受污染耕地安全利用率达到95%以上，污染地块安全利用率达到95%以上。</w:t>
            </w:r>
          </w:p>
        </w:tc>
        <w:tc>
          <w:tcPr>
            <w:tcW w:w="4621" w:type="dxa"/>
            <w:vAlign w:val="center"/>
          </w:tcPr>
          <w:p>
            <w:pPr>
              <w:keepNext w:val="0"/>
              <w:keepLines w:val="0"/>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snapToGrid w:val="0"/>
                <w:color w:val="000000" w:themeColor="text1"/>
                <w:sz w:val="21"/>
                <w:szCs w:val="21"/>
                <w:highlight w:val="none"/>
                <w14:textFill>
                  <w14:solidFill>
                    <w14:schemeClr w14:val="tx1"/>
                  </w14:solidFill>
                </w14:textFill>
              </w:rPr>
              <w:t>本项目严格落实风险防控措施，普光分公司建立了环境突发事故应急预案体。</w:t>
            </w:r>
          </w:p>
          <w:p>
            <w:pPr>
              <w:keepNext w:val="0"/>
              <w:keepLines w:val="0"/>
              <w:suppressLineNumbers w:val="0"/>
              <w:adjustRightInd/>
              <w:snapToGrid/>
              <w:spacing w:before="0" w:beforeAutospacing="0" w:after="0" w:afterAutospacing="0" w:line="240" w:lineRule="auto"/>
              <w:ind w:left="0" w:right="0" w:firstLine="0" w:firstLineChars="0"/>
              <w:jc w:val="left"/>
              <w:rPr>
                <w:rFonts w:hint="eastAsia" w:eastAsia="宋体" w:cs="Times New Roman"/>
                <w:snapToGrid w:val="0"/>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此外，本项目</w:t>
            </w:r>
            <w:r>
              <w:rPr>
                <w:rFonts w:hint="eastAsia" w:cs="Times New Roman"/>
                <w:color w:val="000000" w:themeColor="text1"/>
                <w:sz w:val="21"/>
                <w:szCs w:val="21"/>
                <w:highlight w:val="none"/>
                <w:lang w:val="en-US" w:eastAsia="zh-CN"/>
                <w14:textFill>
                  <w14:solidFill>
                    <w14:schemeClr w14:val="tx1"/>
                  </w14:solidFill>
                </w14:textFill>
              </w:rPr>
              <w:t>施工期</w:t>
            </w:r>
            <w:r>
              <w:rPr>
                <w:rFonts w:hint="default" w:cs="Times New Roman"/>
                <w:color w:val="000000" w:themeColor="text1"/>
                <w:sz w:val="21"/>
                <w:szCs w:val="21"/>
                <w:highlight w:val="none"/>
                <w14:textFill>
                  <w14:solidFill>
                    <w14:schemeClr w14:val="tx1"/>
                  </w14:solidFill>
                </w14:textFill>
              </w:rPr>
              <w:t>产生的生活垃圾交由环卫</w:t>
            </w:r>
            <w:r>
              <w:rPr>
                <w:rFonts w:hint="eastAsia" w:cs="Times New Roman"/>
                <w:color w:val="000000" w:themeColor="text1"/>
                <w:sz w:val="21"/>
                <w:szCs w:val="21"/>
                <w:highlight w:val="none"/>
                <w:lang w:val="en-US" w:eastAsia="zh-CN"/>
                <w14:textFill>
                  <w14:solidFill>
                    <w14:schemeClr w14:val="tx1"/>
                  </w14:solidFill>
                </w14:textFill>
              </w:rPr>
              <w:t>部门</w:t>
            </w:r>
            <w:r>
              <w:rPr>
                <w:rFonts w:hint="default" w:cs="Times New Roman"/>
                <w:color w:val="000000" w:themeColor="text1"/>
                <w:sz w:val="21"/>
                <w:szCs w:val="21"/>
                <w:highlight w:val="none"/>
                <w14:textFill>
                  <w14:solidFill>
                    <w14:schemeClr w14:val="tx1"/>
                  </w14:solidFill>
                </w14:textFill>
              </w:rPr>
              <w:t>处置，本项目水基钻井固废经泥浆不落地工艺固液分离后在泥浆不落地装置附近设置钻井固废暂存区由废渣收集罐收集后临时暂存，及时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000000" w:themeColor="text1"/>
                <w:sz w:val="21"/>
                <w:szCs w:val="21"/>
                <w:highlight w:val="none"/>
                <w:lang w:val="en-US" w:eastAsia="zh-CN"/>
                <w14:textFill>
                  <w14:solidFill>
                    <w14:schemeClr w14:val="tx1"/>
                  </w14:solidFill>
                </w14:textFill>
              </w:rPr>
              <w:t>仅</w:t>
            </w:r>
            <w:r>
              <w:rPr>
                <w:rFonts w:hint="default" w:cs="Times New Roman"/>
                <w:color w:val="000000" w:themeColor="text1"/>
                <w:sz w:val="21"/>
                <w:szCs w:val="21"/>
                <w:highlight w:val="none"/>
                <w14:textFill>
                  <w14:solidFill>
                    <w14:schemeClr w14:val="tx1"/>
                  </w14:solidFill>
                </w14:textFill>
              </w:rPr>
              <w:t>三开段涉及油基钻井，产生的油基钻井废泥浆及岩屑由危废暂存场所（采取必要的防风、防晒、防雨、防漏、防渗、防腐以及其他环境污染防治措施，不得露天堆放危险废物）暂存，定期交由资质单位处置。</w:t>
            </w:r>
            <w:r>
              <w:rPr>
                <w:rFonts w:hint="eastAsia" w:cs="Times New Roman"/>
                <w:color w:val="000000" w:themeColor="text1"/>
                <w:sz w:val="21"/>
                <w:szCs w:val="21"/>
                <w:highlight w:val="none"/>
                <w:lang w:val="en-US" w:eastAsia="zh-CN"/>
                <w14:textFill>
                  <w14:solidFill>
                    <w14:schemeClr w14:val="tx1"/>
                  </w14:solidFill>
                </w14:textFill>
              </w:rPr>
              <w:t>本项目不涉及尾矿库、排土场和渣场等，也不使用农药，污染物</w:t>
            </w:r>
            <w:r>
              <w:rPr>
                <w:rFonts w:hint="default" w:cs="Times New Roman"/>
                <w:color w:val="000000" w:themeColor="text1"/>
                <w:sz w:val="21"/>
                <w:szCs w:val="21"/>
                <w:highlight w:val="none"/>
                <w14:textFill>
                  <w14:solidFill>
                    <w14:schemeClr w14:val="tx1"/>
                  </w14:solidFill>
                </w14:textFill>
              </w:rPr>
              <w:t>均不会进入农田</w:t>
            </w:r>
            <w:r>
              <w:rPr>
                <w:rFonts w:hint="eastAsia" w:cs="Times New Roman"/>
                <w:color w:val="000000" w:themeColor="text1"/>
                <w:sz w:val="21"/>
                <w:szCs w:val="21"/>
                <w:highlight w:val="none"/>
                <w:lang w:eastAsia="zh-CN"/>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r>
              <w:rPr>
                <w:rFonts w:hint="default" w:cs="Times New Roman"/>
                <w:snapToGrid w:val="0"/>
                <w:color w:val="000000" w:themeColor="text1"/>
                <w:kern w:val="0"/>
                <w:sz w:val="21"/>
                <w:szCs w:val="21"/>
                <w:highlight w:val="none"/>
                <w:lang w:eastAsia="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sz w:val="21"/>
                <w:szCs w:val="21"/>
                <w:highlight w:val="none"/>
                <w:lang w:eastAsia="en-US"/>
                <w14:textFill>
                  <w14:solidFill>
                    <w14:schemeClr w14:val="tx1"/>
                  </w14:solidFill>
                </w14:textFill>
              </w:rPr>
              <w:t>资源开发效率</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水资源利用总量要求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-到2025年，农田灌溉水有效利用系数达到0.57以上。</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地下水开采要求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以省市下发指标为准</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能源利用总量及效率要求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推进清洁能源的推广使用，全面推进散煤清洁化整治；禁止新建每小时10蒸吨以下的燃煤锅炉及其他燃煤设施。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禁止焚烧秸秆和垃圾，到2025年底，秸秆综合利用率达到86%以上</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禁燃区要求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-禁燃区内禁止销售、燃用高污染燃料；禁止新建、改建、扩建燃用高污染燃料的设施和设备。</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-禁燃区内已建成的高污染燃料燃用设施由辖区人民政府制定限期改造计划，改用天然气、页岩气、液化石油气、电或其他清洁能源。</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其他资源利用效率要求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项目为</w:t>
            </w:r>
            <w:r>
              <w:rPr>
                <w:rFonts w:hint="eastAsia" w:cs="Times New Roman"/>
                <w:color w:val="000000" w:themeColor="text1"/>
                <w:sz w:val="21"/>
                <w:szCs w:val="21"/>
                <w:highlight w:val="none"/>
                <w:lang w:eastAsia="zh-CN"/>
                <w14:textFill>
                  <w14:solidFill>
                    <w14:schemeClr w14:val="tx1"/>
                  </w14:solidFill>
                </w14:textFill>
              </w:rPr>
              <w:t>天然气勘探及试采工程</w:t>
            </w: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不涉及农田灌溉，不开采地下水，</w:t>
            </w:r>
            <w:r>
              <w:rPr>
                <w:rFonts w:hint="default" w:cs="Times New Roman"/>
                <w:color w:val="000000" w:themeColor="text1"/>
                <w:sz w:val="21"/>
                <w:szCs w:val="21"/>
                <w:highlight w:val="none"/>
                <w14:textFill>
                  <w14:solidFill>
                    <w14:schemeClr w14:val="tx1"/>
                  </w14:solidFill>
                </w14:textFill>
              </w:rPr>
              <w:t>天然气属于清洁能源，符合推进清洁能源的推广使用。</w:t>
            </w:r>
          </w:p>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本项目不涉及燃煤设施</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不涉及</w:t>
            </w:r>
            <w:r>
              <w:rPr>
                <w:rFonts w:hint="default" w:cs="Times New Roman"/>
                <w:color w:val="000000" w:themeColor="text1"/>
                <w:sz w:val="21"/>
                <w:szCs w:val="21"/>
                <w:highlight w:val="none"/>
                <w14:textFill>
                  <w14:solidFill>
                    <w14:schemeClr w14:val="tx1"/>
                  </w14:solidFill>
                </w14:textFill>
              </w:rPr>
              <w:t>焚烧秸秆和垃圾</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不位于禁燃区内</w:t>
            </w:r>
            <w:r>
              <w:rPr>
                <w:rFonts w:hint="eastAsia" w:cs="Times New Roman"/>
                <w:color w:val="000000" w:themeColor="text1"/>
                <w:sz w:val="21"/>
                <w:szCs w:val="21"/>
                <w:highlight w:val="none"/>
                <w:lang w:eastAsia="zh-CN"/>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单元级</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清单管控要求</w:t>
            </w: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空间布局约束</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禁止开发建设活动的要求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val="0"/>
                <w:bCs w:val="0"/>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14:textFill>
                  <w14:solidFill>
                    <w14:schemeClr w14:val="tx1"/>
                  </w14:solidFill>
                </w14:textFill>
              </w:rPr>
            </w:pPr>
            <w:r>
              <w:rPr>
                <w:rFonts w:hint="default" w:cs="Times New Roman"/>
                <w:b/>
                <w:bCs/>
                <w:color w:val="000000" w:themeColor="text1"/>
                <w:sz w:val="21"/>
                <w:szCs w:val="21"/>
                <w:highlight w:val="none"/>
                <w14:textFill>
                  <w14:solidFill>
                    <w14:schemeClr w14:val="tx1"/>
                  </w14:solidFill>
                </w14:textFill>
              </w:rPr>
              <w:t>限制开发建设活动的要求：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-对四川省主体功能区划中的农产品主产区，应限制进行大规模高强度工业化城镇化开发，严格控制有色金属冶炼、石油加工、化工、焦化、电镀、制革等产能，原则上不增加产能。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其他同达州市一般管控单元总体准入要求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允许开发建设活动的要求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不符合空间布局要求活动的退出要求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Style w:val="57"/>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区外企业：</w:t>
            </w:r>
            <w:r>
              <w:rPr>
                <w:rFonts w:hint="default" w:cs="Times New Roman"/>
                <w:b w:val="0"/>
                <w:bCs w:val="0"/>
                <w:color w:val="000000" w:themeColor="text1"/>
                <w:sz w:val="21"/>
                <w:szCs w:val="21"/>
                <w:highlight w:val="none"/>
                <w14:textFill>
                  <w14:solidFill>
                    <w14:schemeClr w14:val="tx1"/>
                  </w14:solidFill>
                </w14:textFill>
              </w:rPr>
              <w:t>位于城镇空间外的工业园区外工业企业：</w:t>
            </w:r>
            <w:r>
              <w:rPr>
                <w:rFonts w:hint="default" w:cs="Times New Roman"/>
                <w:color w:val="000000" w:themeColor="text1"/>
                <w:sz w:val="21"/>
                <w:szCs w:val="21"/>
                <w:highlight w:val="none"/>
                <w14:textFill>
                  <w14:solidFill>
                    <w14:schemeClr w14:val="tx1"/>
                  </w14:solidFill>
                </w14:textFill>
              </w:rPr>
              <w:t>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-其他-其他参照达州市一般管控单元总体准入要求。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其他空间布局约束要求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本项目为</w:t>
            </w:r>
            <w:r>
              <w:rPr>
                <w:rFonts w:hint="eastAsia" w:cs="Times New Roman"/>
                <w:color w:val="000000" w:themeColor="text1"/>
                <w:sz w:val="21"/>
                <w:szCs w:val="21"/>
                <w:highlight w:val="none"/>
                <w:lang w:eastAsia="zh-CN"/>
                <w14:textFill>
                  <w14:solidFill>
                    <w14:schemeClr w14:val="tx1"/>
                  </w14:solidFill>
                </w14:textFill>
              </w:rPr>
              <w:t>天然气勘探及试采工程</w:t>
            </w: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位于</w:t>
            </w:r>
            <w:r>
              <w:rPr>
                <w:rFonts w:hint="default" w:cs="Times New Roman"/>
                <w:color w:val="000000" w:themeColor="text1"/>
                <w:sz w:val="21"/>
                <w:szCs w:val="21"/>
                <w:highlight w:val="none"/>
                <w14:textFill>
                  <w14:solidFill>
                    <w14:schemeClr w14:val="tx1"/>
                  </w14:solidFill>
                </w14:textFill>
              </w:rPr>
              <w:t>四川省主体功能区划中的农产品主产区，</w:t>
            </w:r>
            <w:r>
              <w:rPr>
                <w:rFonts w:hint="eastAsia" w:cs="Times New Roman"/>
                <w:color w:val="000000" w:themeColor="text1"/>
                <w:sz w:val="21"/>
                <w:szCs w:val="21"/>
                <w:highlight w:val="none"/>
                <w:lang w:val="en-US" w:eastAsia="zh-CN"/>
                <w14:textFill>
                  <w14:solidFill>
                    <w14:schemeClr w14:val="tx1"/>
                  </w14:solidFill>
                </w14:textFill>
              </w:rPr>
              <w:t>不属于</w:t>
            </w:r>
            <w:r>
              <w:rPr>
                <w:rFonts w:hint="default" w:cs="Times New Roman"/>
                <w:color w:val="000000" w:themeColor="text1"/>
                <w:sz w:val="21"/>
                <w:szCs w:val="21"/>
                <w:highlight w:val="none"/>
                <w14:textFill>
                  <w14:solidFill>
                    <w14:schemeClr w14:val="tx1"/>
                  </w14:solidFill>
                </w14:textFill>
              </w:rPr>
              <w:t>大规模高强度工业化城镇化开发，</w:t>
            </w:r>
            <w:r>
              <w:rPr>
                <w:rFonts w:hint="eastAsia" w:cs="Times New Roman"/>
                <w:color w:val="000000" w:themeColor="text1"/>
                <w:sz w:val="21"/>
                <w:szCs w:val="21"/>
                <w:highlight w:val="none"/>
                <w:lang w:val="en-US" w:eastAsia="zh-CN"/>
                <w14:textFill>
                  <w14:solidFill>
                    <w14:schemeClr w14:val="tx1"/>
                  </w14:solidFill>
                </w14:textFill>
              </w:rPr>
              <w:t>不涉及有</w:t>
            </w:r>
            <w:r>
              <w:rPr>
                <w:rFonts w:hint="default" w:cs="Times New Roman"/>
                <w:color w:val="000000" w:themeColor="text1"/>
                <w:sz w:val="21"/>
                <w:szCs w:val="21"/>
                <w:highlight w:val="none"/>
                <w14:textFill>
                  <w14:solidFill>
                    <w14:schemeClr w14:val="tx1"/>
                  </w14:solidFill>
                </w14:textFill>
              </w:rPr>
              <w:t>色金属冶炼、石油加工、化工、焦化、电镀、制革</w:t>
            </w:r>
            <w:r>
              <w:rPr>
                <w:rFonts w:hint="eastAsia" w:cs="Times New Roman"/>
                <w:color w:val="000000" w:themeColor="text1"/>
                <w:sz w:val="21"/>
                <w:szCs w:val="21"/>
                <w:highlight w:val="none"/>
                <w:lang w:val="en-US" w:eastAsia="zh-CN"/>
                <w14:textFill>
                  <w14:solidFill>
                    <w14:schemeClr w14:val="tx1"/>
                  </w14:solidFill>
                </w14:textFill>
              </w:rPr>
              <w:t>等，</w:t>
            </w:r>
            <w:r>
              <w:rPr>
                <w:rFonts w:hint="eastAsia" w:cs="Times New Roman"/>
                <w:snapToGrid w:val="0"/>
                <w:color w:val="000000" w:themeColor="text1"/>
                <w:sz w:val="21"/>
                <w:szCs w:val="21"/>
                <w:highlight w:val="none"/>
                <w:lang w:val="en-US" w:eastAsia="zh-CN"/>
                <w14:textFill>
                  <w14:solidFill>
                    <w14:schemeClr w14:val="tx1"/>
                  </w14:solidFill>
                </w14:textFill>
              </w:rPr>
              <w:t>根据普适性分析，</w:t>
            </w:r>
            <w:r>
              <w:rPr>
                <w:rFonts w:hint="default" w:cs="Times New Roman"/>
                <w:snapToGrid w:val="0"/>
                <w:color w:val="000000" w:themeColor="text1"/>
                <w:sz w:val="21"/>
                <w:szCs w:val="21"/>
                <w:highlight w:val="none"/>
                <w14:textFill>
                  <w14:solidFill>
                    <w14:schemeClr w14:val="tx1"/>
                  </w14:solidFill>
                </w14:textFill>
              </w:rPr>
              <w:t>符合空间布局要求</w:t>
            </w:r>
            <w:r>
              <w:rPr>
                <w:rFonts w:hint="eastAsia" w:cs="Times New Roman"/>
                <w:snapToGrid w:val="0"/>
                <w:color w:val="000000" w:themeColor="text1"/>
                <w:sz w:val="21"/>
                <w:szCs w:val="21"/>
                <w:highlight w:val="none"/>
                <w:lang w:eastAsia="zh-CN"/>
                <w14:textFill>
                  <w14:solidFill>
                    <w14:schemeClr w14:val="tx1"/>
                  </w14:solidFill>
                </w14:textFill>
              </w:rPr>
              <w:t>。</w:t>
            </w:r>
          </w:p>
        </w:tc>
        <w:tc>
          <w:tcPr>
            <w:tcW w:w="85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污染物排放管控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现有源提标升级改造</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新增源等量或倍量替代</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新增源排放标准限值</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污染物排放绩效水平准入要求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-大气环境布局敏感和弱扩散重点管控区内，现有大气污染重点企业，限期进行深度治理或关停并转。</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-其它同达州市一般管控单元总体准入要求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其他污染物排放管控要求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不位于</w:t>
            </w:r>
            <w:r>
              <w:rPr>
                <w:rFonts w:hint="default" w:cs="Times New Roman"/>
                <w:color w:val="000000" w:themeColor="text1"/>
                <w:sz w:val="21"/>
                <w:szCs w:val="21"/>
                <w:highlight w:val="none"/>
                <w:lang w:val="en-US" w:eastAsia="zh-CN"/>
                <w14:textFill>
                  <w14:solidFill>
                    <w14:schemeClr w14:val="tx1"/>
                  </w14:solidFill>
                </w14:textFill>
              </w:rPr>
              <w:t>大气环境布局敏感和弱扩散重点管控区内</w:t>
            </w:r>
            <w:r>
              <w:rPr>
                <w:rFonts w:hint="default" w:cs="Times New Roman"/>
                <w:color w:val="000000" w:themeColor="text1"/>
                <w:sz w:val="21"/>
                <w:szCs w:val="21"/>
                <w:highlight w:val="none"/>
                <w14:textFill>
                  <w14:solidFill>
                    <w14:schemeClr w14:val="tx1"/>
                  </w14:solidFill>
                </w14:textFill>
              </w:rPr>
              <w:t>，</w:t>
            </w:r>
            <w:r>
              <w:rPr>
                <w:rFonts w:hint="eastAsia" w:cs="Times New Roman"/>
                <w:snapToGrid w:val="0"/>
                <w:color w:val="000000" w:themeColor="text1"/>
                <w:sz w:val="21"/>
                <w:szCs w:val="21"/>
                <w:highlight w:val="none"/>
                <w:lang w:val="en-US" w:eastAsia="zh-CN"/>
                <w14:textFill>
                  <w14:solidFill>
                    <w14:schemeClr w14:val="tx1"/>
                  </w14:solidFill>
                </w14:textFill>
              </w:rPr>
              <w:t>根据普适性分析，符合管控要求。</w:t>
            </w:r>
          </w:p>
        </w:tc>
        <w:tc>
          <w:tcPr>
            <w:tcW w:w="854" w:type="dxa"/>
            <w:vMerge w:val="continue"/>
            <w:vAlign w:val="center"/>
          </w:tcPr>
          <w:p>
            <w:pPr>
              <w:keepNext w:val="0"/>
              <w:keepLines w:val="0"/>
              <w:suppressLineNumbers w:val="0"/>
              <w:adjustRightInd/>
              <w:snapToGrid/>
              <w:spacing w:before="0" w:beforeAutospacing="0" w:after="0" w:afterAutospacing="0" w:line="240" w:lineRule="auto"/>
              <w:ind w:left="0" w:right="0" w:firstLine="420"/>
              <w:jc w:val="center"/>
              <w:rPr>
                <w:rFonts w:hint="default"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环境风险防控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Style w:val="57"/>
                <w:rFonts w:hint="eastAsia" w:ascii="宋体" w:hAnsi="宋体" w:eastAsia="宋体" w:cs="Times New Roman"/>
                <w:b/>
                <w:bCs/>
                <w:color w:val="000000" w:themeColor="text1"/>
                <w:kern w:val="2"/>
                <w:sz w:val="21"/>
                <w:szCs w:val="21"/>
                <w:highlight w:val="none"/>
                <w:lang w:val="en-US" w:eastAsia="zh-CN" w:bidi="ar-SA"/>
                <w14:textFill>
                  <w14:solidFill>
                    <w14:schemeClr w14:val="tx1"/>
                  </w14:solidFill>
                </w14:textFill>
              </w:rPr>
              <w:t>严</w:t>
            </w: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格管控类农用地管控要求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安全利用类农用地管控要求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污染地块管控要求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园区环境风险防控要求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企业环境风险防控要求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其他环境风险防控要求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eastAsia" w:cs="Times New Roman"/>
                <w:snapToGrid w:val="0"/>
                <w:color w:val="000000" w:themeColor="text1"/>
                <w:sz w:val="21"/>
                <w:szCs w:val="21"/>
                <w:highlight w:val="none"/>
                <w:lang w:val="en-US" w:eastAsia="zh-CN"/>
                <w14:textFill>
                  <w14:solidFill>
                    <w14:schemeClr w14:val="tx1"/>
                  </w14:solidFill>
                </w14:textFill>
              </w:rPr>
              <w:t>根据普适性分析，符合管控要求。</w:t>
            </w:r>
          </w:p>
        </w:tc>
        <w:tc>
          <w:tcPr>
            <w:tcW w:w="854" w:type="dxa"/>
            <w:vMerge w:val="continue"/>
            <w:vAlign w:val="center"/>
          </w:tcPr>
          <w:p>
            <w:pPr>
              <w:keepNext w:val="0"/>
              <w:keepLines w:val="0"/>
              <w:suppressLineNumbers w:val="0"/>
              <w:adjustRightInd/>
              <w:snapToGrid/>
              <w:spacing w:before="0" w:beforeAutospacing="0" w:after="0" w:afterAutospacing="0" w:line="240" w:lineRule="auto"/>
              <w:ind w:left="0" w:right="0" w:firstLine="420"/>
              <w:jc w:val="center"/>
              <w:rPr>
                <w:rFonts w:hint="default"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lang w:eastAsia="en-US"/>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资源开发效率</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水资源利用效率要求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地下水开采要求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同达州市一般管控单元总体准入要求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能源利用效率要求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b w:val="0"/>
                <w:bCs w:val="0"/>
                <w:color w:val="000000" w:themeColor="text1"/>
                <w:sz w:val="21"/>
                <w:szCs w:val="21"/>
                <w:highlight w:val="none"/>
                <w:lang w:val="en-US" w:eastAsia="zh-CN"/>
                <w14:textFill>
                  <w14:solidFill>
                    <w14:schemeClr w14:val="tx1"/>
                  </w14:solidFill>
                </w14:textFill>
              </w:rPr>
              <w:t>同</w:t>
            </w:r>
            <w:r>
              <w:rPr>
                <w:rFonts w:hint="default" w:cs="Times New Roman"/>
                <w:color w:val="000000" w:themeColor="text1"/>
                <w:sz w:val="21"/>
                <w:szCs w:val="21"/>
                <w:highlight w:val="none"/>
                <w:lang w:val="en-US" w:eastAsia="zh-CN"/>
                <w14:textFill>
                  <w14:solidFill>
                    <w14:schemeClr w14:val="tx1"/>
                  </w14:solidFill>
                </w14:textFill>
              </w:rPr>
              <w:t>达州市一般管控单元总体准入要求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其他资源利用效率要求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eastAsia" w:cs="Times New Roman"/>
                <w:snapToGrid w:val="0"/>
                <w:color w:val="000000" w:themeColor="text1"/>
                <w:sz w:val="21"/>
                <w:szCs w:val="21"/>
                <w:highlight w:val="none"/>
                <w:lang w:val="en-US" w:eastAsia="zh-CN"/>
                <w14:textFill>
                  <w14:solidFill>
                    <w14:schemeClr w14:val="tx1"/>
                  </w14:solidFill>
                </w14:textFill>
              </w:rPr>
              <w:t>根据普适性分析，符合管控要求。</w:t>
            </w:r>
          </w:p>
        </w:tc>
        <w:tc>
          <w:tcPr>
            <w:tcW w:w="85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snapToGrid w:val="0"/>
                <w:color w:val="000000" w:themeColor="text1"/>
                <w:kern w:val="0"/>
                <w:sz w:val="21"/>
                <w:szCs w:val="21"/>
                <w:highlight w:val="none"/>
                <w:lang w:eastAsia="zh-CN"/>
                <w14:textFill>
                  <w14:solidFill>
                    <w14:schemeClr w14:val="tx1"/>
                  </w14:solidFill>
                </w14:textFill>
              </w:rPr>
            </w:pPr>
            <w:r>
              <w:rPr>
                <w:rStyle w:val="57"/>
                <w:rFonts w:hint="eastAsia" w:ascii="宋体" w:hAnsi="宋体" w:eastAsia="宋体" w:cs="Times New Roman"/>
                <w:color w:val="000000" w:themeColor="text1"/>
                <w:kern w:val="2"/>
                <w:sz w:val="21"/>
                <w:szCs w:val="21"/>
                <w:lang w:val="en-US" w:eastAsia="zh-CN" w:bidi="ar-SA"/>
                <w14:textFill>
                  <w14:solidFill>
                    <w14:schemeClr w14:val="tx1"/>
                  </w14:solidFill>
                </w14:textFill>
              </w:rPr>
              <w:t>YS5117223210002</w:t>
            </w:r>
            <w:r>
              <w:rPr>
                <w:rFonts w:hint="eastAsia" w:cs="Times New Roman"/>
                <w:color w:val="000000" w:themeColor="text1"/>
                <w:sz w:val="21"/>
                <w:szCs w:val="21"/>
                <w:highlight w:val="none"/>
                <w:lang w:eastAsia="zh-CN"/>
                <w14:textFill>
                  <w14:solidFill>
                    <w14:schemeClr w14:val="tx1"/>
                  </w14:solidFill>
                </w14:textFill>
              </w:rPr>
              <w:t>，</w:t>
            </w:r>
            <w:r>
              <w:rPr>
                <w:rStyle w:val="57"/>
                <w:rFonts w:hint="eastAsia" w:ascii="宋体" w:hAnsi="宋体" w:eastAsia="宋体" w:cs="Times New Roman"/>
                <w:color w:val="000000" w:themeColor="text1"/>
                <w:kern w:val="2"/>
                <w:sz w:val="21"/>
                <w:szCs w:val="21"/>
                <w:lang w:val="en-US" w:eastAsia="zh-CN" w:bidi="ar-SA"/>
                <w14:textFill>
                  <w14:solidFill>
                    <w14:schemeClr w14:val="tx1"/>
                  </w14:solidFill>
                </w14:textFill>
              </w:rPr>
              <w:t>州河-宣汉县-张鼓坪-控制单元</w:t>
            </w:r>
          </w:p>
        </w:tc>
        <w:tc>
          <w:tcPr>
            <w:tcW w:w="73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单元级清单管控要求</w:t>
            </w: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空间布局约束</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禁止开发建设活动的要求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不再新建、改扩建开采规模在50万吨/年以下的磷矿，不再新建露天磷矿</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限制开发建设活动的要求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允许开发建设活动的要求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不符合空间布局要求活动的退出要求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其他空间布局约束要求</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本项目为</w:t>
            </w:r>
            <w:r>
              <w:rPr>
                <w:rFonts w:hint="eastAsia" w:cs="Times New Roman"/>
                <w:color w:val="000000" w:themeColor="text1"/>
                <w:sz w:val="21"/>
                <w:szCs w:val="21"/>
                <w:highlight w:val="none"/>
                <w:lang w:eastAsia="zh-CN"/>
                <w14:textFill>
                  <w14:solidFill>
                    <w14:schemeClr w14:val="tx1"/>
                  </w14:solidFill>
                </w14:textFill>
              </w:rPr>
              <w:t>天然气勘探及试采工程</w:t>
            </w:r>
            <w:r>
              <w:rPr>
                <w:rFonts w:hint="default" w:cs="Times New Roman"/>
                <w:color w:val="000000" w:themeColor="text1"/>
                <w:sz w:val="21"/>
                <w:szCs w:val="21"/>
                <w:highlight w:val="none"/>
                <w14:textFill>
                  <w14:solidFill>
                    <w14:schemeClr w14:val="tx1"/>
                  </w14:solidFill>
                </w14:textFill>
              </w:rPr>
              <w:t>，</w:t>
            </w:r>
            <w:r>
              <w:rPr>
                <w:rFonts w:hint="default" w:cs="Times New Roman"/>
                <w:snapToGrid w:val="0"/>
                <w:color w:val="000000" w:themeColor="text1"/>
                <w:sz w:val="21"/>
                <w:szCs w:val="21"/>
                <w:highlight w:val="none"/>
                <w14:textFill>
                  <w14:solidFill>
                    <w14:schemeClr w14:val="tx1"/>
                  </w14:solidFill>
                </w14:textFill>
              </w:rPr>
              <w:t>不属于</w:t>
            </w:r>
            <w:r>
              <w:rPr>
                <w:rFonts w:hint="eastAsia" w:cs="Times New Roman"/>
                <w:snapToGrid w:val="0"/>
                <w:color w:val="000000" w:themeColor="text1"/>
                <w:sz w:val="21"/>
                <w:szCs w:val="21"/>
                <w:highlight w:val="none"/>
                <w:lang w:val="en-US" w:eastAsia="zh-CN"/>
                <w14:textFill>
                  <w14:solidFill>
                    <w14:schemeClr w14:val="tx1"/>
                  </w14:solidFill>
                </w14:textFill>
              </w:rPr>
              <w:t>磷矿。</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污染物排放管控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城镇污水污染控制措施要求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1、持续推进环保基础设施补短板，完善污水收集处理系统。2、保障乡镇污水收集处理设施顺畅运行。3、推进污水直排口排查与整治，落实</w:t>
            </w:r>
            <w:r>
              <w:rPr>
                <w:rFonts w:hint="eastAsia" w:ascii="宋体" w:hAnsi="宋体" w:eastAsia="宋体" w:cs="宋体"/>
                <w:color w:val="000000" w:themeColor="text1"/>
                <w:sz w:val="21"/>
                <w:szCs w:val="21"/>
                <w:highlight w:val="none"/>
                <w:lang w:val="en-US" w:eastAsia="zh-CN"/>
                <w14:textFill>
                  <w14:solidFill>
                    <w14:schemeClr w14:val="tx1"/>
                  </w14:solidFill>
                </w14:textFill>
              </w:rPr>
              <w:t>“一口一策”</w:t>
            </w:r>
            <w:r>
              <w:rPr>
                <w:rFonts w:hint="default" w:cs="Times New Roman"/>
                <w:color w:val="000000" w:themeColor="text1"/>
                <w:sz w:val="21"/>
                <w:szCs w:val="21"/>
                <w:highlight w:val="none"/>
                <w:lang w:val="en-US" w:eastAsia="zh-CN"/>
                <w14:textFill>
                  <w14:solidFill>
                    <w14:schemeClr w14:val="tx1"/>
                  </w14:solidFill>
                </w14:textFill>
              </w:rPr>
              <w:t>整改措施。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工业废水污染控制措施要求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1、落实主要污染物排放总量指标控制要求，加强入河排污口登记、审批和监督管理。2、强化流域内工业点源、规模化畜禽养殖场运行监管，避免偷排、漏排。</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b/>
                <w:bCs/>
                <w:color w:val="000000" w:themeColor="text1"/>
                <w:sz w:val="21"/>
                <w:szCs w:val="21"/>
                <w:highlight w:val="none"/>
                <w:lang w:val="en-US" w:eastAsia="zh-CN"/>
                <w14:textFill>
                  <w14:solidFill>
                    <w14:schemeClr w14:val="tx1"/>
                  </w14:solidFill>
                </w14:textFill>
              </w:rPr>
            </w:pPr>
            <w:r>
              <w:rPr>
                <w:rFonts w:hint="default" w:cs="Times New Roman"/>
                <w:b/>
                <w:bCs/>
                <w:color w:val="000000" w:themeColor="text1"/>
                <w:sz w:val="21"/>
                <w:szCs w:val="21"/>
                <w:highlight w:val="none"/>
                <w:lang w:val="en-US" w:eastAsia="zh-CN"/>
                <w14:textFill>
                  <w14:solidFill>
                    <w14:schemeClr w14:val="tx1"/>
                  </w14:solidFill>
                </w14:textFill>
              </w:rPr>
              <w:t>农业面源水污染控制措施要求</w:t>
            </w:r>
            <w:r>
              <w:rPr>
                <w:rFonts w:hint="eastAsia" w:cs="Times New Roman"/>
                <w:b/>
                <w:bCs/>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both"/>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本项目不涉及城镇污水和农业面源，产生的废水均不外排。</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环境风险防控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进一步完善工业企业和矿山环境风险防范和管理体系建设，开展企业风险隐患排查与风险评估，增强企业的环境风险意识，守住环境安全底线。落实</w:t>
            </w:r>
            <w:r>
              <w:rPr>
                <w:rFonts w:hint="eastAsia" w:ascii="宋体" w:hAnsi="宋体" w:eastAsia="宋体" w:cs="宋体"/>
                <w:color w:val="000000" w:themeColor="text1"/>
                <w:sz w:val="21"/>
                <w:szCs w:val="21"/>
                <w:highlight w:val="none"/>
                <w:lang w:val="en-US" w:eastAsia="zh-CN"/>
                <w14:textFill>
                  <w14:solidFill>
                    <w14:schemeClr w14:val="tx1"/>
                  </w14:solidFill>
                </w14:textFill>
              </w:rPr>
              <w:t>“一河一策一图”风</w:t>
            </w:r>
            <w:r>
              <w:rPr>
                <w:rFonts w:hint="default" w:cs="Times New Roman"/>
                <w:color w:val="000000" w:themeColor="text1"/>
                <w:sz w:val="21"/>
                <w:szCs w:val="21"/>
                <w:highlight w:val="none"/>
                <w:lang w:val="en-US" w:eastAsia="zh-CN"/>
                <w14:textFill>
                  <w14:solidFill>
                    <w14:schemeClr w14:val="tx1"/>
                  </w14:solidFill>
                </w14:textFill>
              </w:rPr>
              <w:t>险管理和应急响应方案，提升风险应急管理水平。</w:t>
            </w:r>
          </w:p>
        </w:tc>
        <w:tc>
          <w:tcPr>
            <w:tcW w:w="4621" w:type="dxa"/>
            <w:vAlign w:val="center"/>
          </w:tcPr>
          <w:p>
            <w:pPr>
              <w:keepNext w:val="0"/>
              <w:keepLines w:val="0"/>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snapToGrid w:val="0"/>
                <w:color w:val="000000" w:themeColor="text1"/>
                <w:sz w:val="21"/>
                <w:szCs w:val="21"/>
                <w:highlight w:val="none"/>
                <w14:textFill>
                  <w14:solidFill>
                    <w14:schemeClr w14:val="tx1"/>
                  </w14:solidFill>
                </w14:textFill>
              </w:rPr>
              <w:t>本项目严格落实风险防控措施，普光分公司建立了环境突发事故应急预案体。</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资源开发效率</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Style w:val="57"/>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强化种植业节水；推进农村污水分质资源化利用。</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both"/>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本项目为天然气试采，不涉及左述管控要求。</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r>
              <w:rPr>
                <w:rFonts w:hint="default"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snapToGrid w:val="0"/>
                <w:color w:val="000000" w:themeColor="text1"/>
                <w:kern w:val="0"/>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YS5117223310001</w:t>
            </w:r>
            <w:r>
              <w:rPr>
                <w:rFonts w:hint="eastAsia" w:cs="Times New Roman"/>
                <w:color w:val="000000" w:themeColor="text1"/>
                <w:sz w:val="21"/>
                <w:szCs w:val="21"/>
                <w:highlight w:val="none"/>
                <w:lang w:eastAsia="zh-CN"/>
                <w14:textFill>
                  <w14:solidFill>
                    <w14:schemeClr w14:val="tx1"/>
                  </w14:solidFill>
                </w14:textFill>
              </w:rPr>
              <w:t>，</w:t>
            </w:r>
            <w:r>
              <w:rPr>
                <w:rStyle w:val="57"/>
                <w:rFonts w:hint="eastAsia" w:ascii="宋体" w:hAnsi="宋体" w:eastAsia="宋体" w:cs="Times New Roman"/>
                <w:color w:val="000000" w:themeColor="text1"/>
                <w:kern w:val="2"/>
                <w:sz w:val="21"/>
                <w:szCs w:val="21"/>
                <w:lang w:val="en-US" w:eastAsia="zh-CN" w:bidi="ar-SA"/>
                <w14:textFill>
                  <w14:solidFill>
                    <w14:schemeClr w14:val="tx1"/>
                  </w14:solidFill>
                </w14:textFill>
              </w:rPr>
              <w:t>宣汉县大气环境布局敏感重点管控区</w:t>
            </w:r>
          </w:p>
        </w:tc>
        <w:tc>
          <w:tcPr>
            <w:tcW w:w="734" w:type="dxa"/>
            <w:vMerge w:val="restar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单元级清单管控要求</w:t>
            </w: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空间布局约束</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禁止开发建设活动的要求</w:t>
            </w:r>
          </w:p>
          <w:p>
            <w:pPr>
              <w:pStyle w:val="260"/>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57"/>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Style w:val="57"/>
                <w:rFonts w:hint="eastAsia" w:ascii="宋体" w:hAnsi="宋体" w:eastAsia="宋体" w:cs="Times New Roman"/>
                <w:color w:val="000000" w:themeColor="text1"/>
                <w:kern w:val="2"/>
                <w:sz w:val="21"/>
                <w:szCs w:val="21"/>
                <w:lang w:val="en-US" w:eastAsia="zh-CN" w:bidi="ar-SA"/>
                <w14:textFill>
                  <w14:solidFill>
                    <w14:schemeClr w14:val="tx1"/>
                  </w14:solidFill>
                </w14:textFill>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限制开发建设活动的要求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允许开发建设活动的要求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不符合空间布局要求活动的退出要求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其他空间布局约束要求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本项目为</w:t>
            </w:r>
            <w:r>
              <w:rPr>
                <w:rFonts w:hint="eastAsia" w:cs="Times New Roman"/>
                <w:color w:val="000000" w:themeColor="text1"/>
                <w:sz w:val="21"/>
                <w:szCs w:val="21"/>
                <w:highlight w:val="none"/>
                <w:lang w:eastAsia="zh-CN"/>
                <w14:textFill>
                  <w14:solidFill>
                    <w14:schemeClr w14:val="tx1"/>
                  </w14:solidFill>
                </w14:textFill>
              </w:rPr>
              <w:t>天然气勘探及试采工程</w:t>
            </w:r>
            <w:r>
              <w:rPr>
                <w:rFonts w:hint="default" w:cs="Times New Roman"/>
                <w:color w:val="000000" w:themeColor="text1"/>
                <w:sz w:val="21"/>
                <w:szCs w:val="21"/>
                <w:highlight w:val="none"/>
                <w14:textFill>
                  <w14:solidFill>
                    <w14:schemeClr w14:val="tx1"/>
                  </w14:solidFill>
                </w14:textFill>
              </w:rPr>
              <w:t>，</w:t>
            </w:r>
            <w:r>
              <w:rPr>
                <w:rFonts w:hint="default" w:cs="Times New Roman"/>
                <w:snapToGrid w:val="0"/>
                <w:color w:val="000000" w:themeColor="text1"/>
                <w:sz w:val="21"/>
                <w:szCs w:val="21"/>
                <w:highlight w:val="none"/>
                <w14:textFill>
                  <w14:solidFill>
                    <w14:schemeClr w14:val="tx1"/>
                  </w14:solidFill>
                </w14:textFill>
              </w:rPr>
              <w:t>不属于</w:t>
            </w:r>
            <w:r>
              <w:rPr>
                <w:rStyle w:val="57"/>
                <w:rFonts w:hint="eastAsia" w:ascii="宋体" w:hAnsi="宋体" w:eastAsia="宋体" w:cs="Times New Roman"/>
                <w:color w:val="000000" w:themeColor="text1"/>
                <w:kern w:val="2"/>
                <w:sz w:val="21"/>
                <w:szCs w:val="21"/>
                <w:lang w:val="en-US" w:eastAsia="zh-CN" w:bidi="ar-SA"/>
                <w14:textFill>
                  <w14:solidFill>
                    <w14:schemeClr w14:val="tx1"/>
                  </w14:solidFill>
                </w14:textFill>
              </w:rPr>
              <w:t>高耗能、高排放、低水平项目</w:t>
            </w:r>
            <w:r>
              <w:rPr>
                <w:rFonts w:hint="eastAsia" w:cs="Times New Roman"/>
                <w:snapToGrid w:val="0"/>
                <w:color w:val="000000" w:themeColor="text1"/>
                <w:sz w:val="21"/>
                <w:szCs w:val="21"/>
                <w:highlight w:val="none"/>
                <w:lang w:val="en-US" w:eastAsia="zh-CN"/>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污染物排放管控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大气环境质量执行标准</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《环境空气质量标准》（GB3095-2012）：二级</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区域大气污染物削减/替代要求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燃煤和其他能源大气污染控制要求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工业废气污染控制要求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机动车船大气污染控制要求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扬尘污染控制要求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农业生产经营活动大气污染控制要求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重点行业企业专项治理要求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其他大气污染物排放管控要求</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减少工业化、城镇化对大气环境的影响，严格执行国家、省、市下达的相关大气污染防治要求。</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本项目环境空气执行</w:t>
            </w:r>
            <w:r>
              <w:rPr>
                <w:rFonts w:hint="default" w:cs="Times New Roman"/>
                <w:color w:val="000000" w:themeColor="text1"/>
                <w:sz w:val="21"/>
                <w:szCs w:val="21"/>
                <w:highlight w:val="none"/>
                <w:lang w:val="en-US" w:eastAsia="zh-CN"/>
                <w14:textFill>
                  <w14:solidFill>
                    <w14:schemeClr w14:val="tx1"/>
                  </w14:solidFill>
                </w14:textFill>
              </w:rPr>
              <w:t>《环境空气质量标准》（GB3095-2012）：二级</w:t>
            </w:r>
            <w:r>
              <w:rPr>
                <w:rFonts w:hint="eastAsia" w:cs="Times New Roman"/>
                <w:color w:val="000000" w:themeColor="text1"/>
                <w:sz w:val="21"/>
                <w:szCs w:val="21"/>
                <w:highlight w:val="none"/>
                <w:lang w:val="en-US" w:eastAsia="zh-CN"/>
                <w14:textFill>
                  <w14:solidFill>
                    <w14:schemeClr w14:val="tx1"/>
                  </w14:solidFill>
                </w14:textFill>
              </w:rPr>
              <w:t>，严格</w:t>
            </w:r>
            <w:r>
              <w:rPr>
                <w:rFonts w:hint="default" w:cs="Times New Roman"/>
                <w:color w:val="000000" w:themeColor="text1"/>
                <w:sz w:val="21"/>
                <w:szCs w:val="21"/>
                <w:highlight w:val="none"/>
                <w:lang w:val="en-US" w:eastAsia="zh-CN"/>
                <w14:textFill>
                  <w14:solidFill>
                    <w14:schemeClr w14:val="tx1"/>
                  </w14:solidFill>
                </w14:textFill>
              </w:rPr>
              <w:t>执行国家、省、市下达的相关大气污染防治要求</w:t>
            </w:r>
            <w:r>
              <w:rPr>
                <w:rFonts w:hint="eastAsia" w:cs="Times New Roman"/>
                <w:color w:val="000000" w:themeColor="text1"/>
                <w:sz w:val="21"/>
                <w:szCs w:val="21"/>
                <w:highlight w:val="none"/>
                <w:lang w:val="en-US" w:eastAsia="zh-CN"/>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环境风险防控</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199"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snapToGrid w:val="0"/>
                <w:color w:val="000000" w:themeColor="text1"/>
                <w:kern w:val="0"/>
                <w:sz w:val="21"/>
                <w:szCs w:val="21"/>
                <w:highlight w:val="none"/>
                <w14:textFill>
                  <w14:solidFill>
                    <w14:schemeClr w14:val="tx1"/>
                  </w14:solidFill>
                </w14:textFill>
              </w:rPr>
            </w:pPr>
          </w:p>
        </w:tc>
        <w:tc>
          <w:tcPr>
            <w:tcW w:w="734" w:type="dxa"/>
            <w:vMerge w:val="continue"/>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p>
        </w:tc>
        <w:tc>
          <w:tcPr>
            <w:tcW w:w="770"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资源开发效率</w:t>
            </w:r>
          </w:p>
        </w:tc>
        <w:tc>
          <w:tcPr>
            <w:tcW w:w="542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62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p>
        </w:tc>
        <w:tc>
          <w:tcPr>
            <w:tcW w:w="85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p>
        </w:tc>
      </w:tr>
    </w:tbl>
    <w:p>
      <w:pPr>
        <w:pStyle w:val="202"/>
        <w:keepNext w:val="0"/>
        <w:keepLines w:val="0"/>
        <w:pageBreakBefore w:val="0"/>
        <w:widowControl w:val="0"/>
        <w:kinsoku/>
        <w:wordWrap/>
        <w:overflowPunct/>
        <w:topLinePunct w:val="0"/>
        <w:autoSpaceDE w:val="0"/>
        <w:autoSpaceDN w:val="0"/>
        <w:bidi w:val="0"/>
        <w:adjustRightInd w:val="0"/>
        <w:snapToGrid w:val="0"/>
        <w:spacing w:before="164" w:beforeLines="50" w:after="0"/>
        <w:ind w:firstLine="480"/>
        <w:jc w:val="both"/>
        <w:textAlignment w:val="bottom"/>
        <w:rPr>
          <w:color w:val="000000" w:themeColor="text1"/>
          <w:highlight w:val="none"/>
          <w:u w:val="none"/>
          <w14:textFill>
            <w14:solidFill>
              <w14:schemeClr w14:val="tx1"/>
            </w14:solidFill>
          </w14:textFill>
        </w:rPr>
      </w:pPr>
      <w:r>
        <w:rPr>
          <w:rFonts w:hint="eastAsia" w:cs="Times New Roman"/>
          <w:b w:val="0"/>
          <w:bCs w:val="0"/>
          <w:snapToGrid/>
          <w:color w:val="000000" w:themeColor="text1"/>
          <w:spacing w:val="0"/>
          <w:w w:val="100"/>
          <w:kern w:val="21"/>
          <w:position w:val="0"/>
          <w:sz w:val="24"/>
          <w:szCs w:val="24"/>
          <w:highlight w:val="none"/>
          <w:u w:val="none"/>
          <w:lang w:val="en-US" w:eastAsia="zh-CN"/>
          <w14:textFill>
            <w14:solidFill>
              <w14:schemeClr w14:val="tx1"/>
            </w14:solidFill>
          </w14:textFill>
        </w:rPr>
        <w:t>根据以上分析，项目的建设符合区域“三线一单”的管控要求。</w:t>
      </w:r>
    </w:p>
    <w:p>
      <w:pPr>
        <w:pStyle w:val="250"/>
        <w:ind w:firstLine="480"/>
        <w:rPr>
          <w:color w:val="000000" w:themeColor="text1"/>
          <w:highlight w:val="none"/>
          <w14:textFill>
            <w14:solidFill>
              <w14:schemeClr w14:val="tx1"/>
            </w14:solidFill>
          </w14:textFill>
        </w:rPr>
        <w:sectPr>
          <w:pgSz w:w="16838" w:h="11906" w:orient="landscape"/>
          <w:pgMar w:top="1800" w:right="1440" w:bottom="1800" w:left="1440" w:header="964" w:footer="964" w:gutter="0"/>
          <w:pgBorders>
            <w:top w:val="none" w:sz="0" w:space="0"/>
            <w:left w:val="none" w:sz="0" w:space="0"/>
            <w:bottom w:val="none" w:sz="0" w:space="0"/>
            <w:right w:val="none" w:sz="0" w:space="0"/>
          </w:pgBorders>
          <w:cols w:space="425" w:num="1"/>
          <w:docGrid w:type="lines" w:linePitch="326" w:charSpace="0"/>
        </w:sectPr>
      </w:pPr>
    </w:p>
    <w:p>
      <w:pPr>
        <w:pStyle w:val="13"/>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eastAsia="黑体" w:cs="Times New Roman"/>
          <w:color w:val="000000" w:themeColor="text1"/>
          <w:kern w:val="2"/>
          <w:sz w:val="24"/>
          <w:szCs w:val="22"/>
          <w:highlight w:val="none"/>
          <w:lang w:val="en-US" w:eastAsia="zh-CN" w:bidi="ar-SA"/>
          <w14:textFill>
            <w14:solidFill>
              <w14:schemeClr w14:val="tx1"/>
            </w14:solidFill>
          </w14:textFill>
        </w:rPr>
      </w:pPr>
      <w:r>
        <w:rPr>
          <w:rFonts w:hint="eastAsia" w:eastAsia="黑体" w:cs="Times New Roman"/>
          <w:color w:val="000000" w:themeColor="text1"/>
          <w:kern w:val="2"/>
          <w:sz w:val="24"/>
          <w:szCs w:val="22"/>
          <w:highlight w:val="none"/>
          <w:lang w:val="en-US" w:eastAsia="zh-CN" w:bidi="ar-SA"/>
          <w14:textFill>
            <w14:solidFill>
              <w14:schemeClr w14:val="tx1"/>
            </w14:solidFill>
          </w14:textFill>
        </w:rPr>
        <w:t>3</w:t>
      </w:r>
      <w:r>
        <w:rPr>
          <w:rFonts w:hint="eastAsia" w:ascii="Times New Roman" w:hAnsi="Times New Roman" w:eastAsia="黑体" w:cs="Times New Roman"/>
          <w:color w:val="000000" w:themeColor="text1"/>
          <w:kern w:val="2"/>
          <w:sz w:val="24"/>
          <w:szCs w:val="22"/>
          <w:highlight w:val="none"/>
          <w:lang w:val="en-US" w:eastAsia="zh-CN" w:bidi="ar-SA"/>
          <w14:textFill>
            <w14:solidFill>
              <w14:schemeClr w14:val="tx1"/>
            </w14:solidFill>
          </w14:textFill>
        </w:rPr>
        <w:t>、</w:t>
      </w:r>
      <w:r>
        <w:rPr>
          <w:rFonts w:ascii="Times New Roman" w:hAnsi="Times New Roman" w:eastAsia="黑体" w:cs="Times New Roman"/>
          <w:color w:val="000000" w:themeColor="text1"/>
          <w:kern w:val="2"/>
          <w:sz w:val="24"/>
          <w:szCs w:val="22"/>
          <w:highlight w:val="none"/>
          <w:lang w:val="en-US" w:eastAsia="zh-CN" w:bidi="ar-SA"/>
          <w14:textFill>
            <w14:solidFill>
              <w14:schemeClr w14:val="tx1"/>
            </w14:solidFill>
          </w14:textFill>
        </w:rPr>
        <w:t>与《关于落实生态保护红线、环境质量底线、资源利用上线制定生态环境准入清单实施生态环境分区管控的通知》（川府发〔2020〕9号）符合性分析</w:t>
      </w:r>
    </w:p>
    <w:p>
      <w:pPr>
        <w:pStyle w:val="201"/>
        <w:spacing w:before="120"/>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表</w:t>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STYLEREF 2 \s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2.7</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14:textFill>
            <w14:solidFill>
              <w14:schemeClr w14:val="tx1"/>
            </w14:solidFill>
          </w14:textFill>
        </w:rPr>
        <w:noBreakHyphen/>
      </w:r>
      <w:r>
        <w:rPr>
          <w:rFonts w:hint="eastAsia" w:cs="Times New Roman"/>
          <w:color w:val="000000" w:themeColor="text1"/>
          <w:highlight w:val="none"/>
          <w:lang w:val="en-US" w:eastAsia="zh-CN"/>
          <w14:textFill>
            <w14:solidFill>
              <w14:schemeClr w14:val="tx1"/>
            </w14:solidFill>
          </w14:textFill>
        </w:rPr>
        <w:t>20</w:t>
      </w:r>
      <w:r>
        <w:rPr>
          <w:rFonts w:hint="eastAsia" w:ascii="Times New Roman" w:hAnsi="Times New Roman" w:cs="Times New Roman"/>
          <w:color w:val="000000" w:themeColor="text1"/>
          <w:highlight w:val="none"/>
          <w14:textFill>
            <w14:solidFill>
              <w14:schemeClr w14:val="tx1"/>
            </w14:solidFill>
          </w14:textFill>
        </w:rPr>
        <w:t xml:space="preserve"> 与（川府发〔2020〕9号）符合性分析</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3" w:type="dxa"/>
          <w:bottom w:w="0" w:type="dxa"/>
          <w:right w:w="23" w:type="dxa"/>
        </w:tblCellMar>
      </w:tblPr>
      <w:tblGrid>
        <w:gridCol w:w="540"/>
        <w:gridCol w:w="2331"/>
        <w:gridCol w:w="4459"/>
        <w:gridCol w:w="8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0" w:hRule="atLeast"/>
          <w:jc w:val="center"/>
        </w:trPr>
        <w:tc>
          <w:tcPr>
            <w:tcW w:w="546"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t>分区</w:t>
            </w:r>
          </w:p>
        </w:tc>
        <w:tc>
          <w:tcPr>
            <w:tcW w:w="236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t>通知要求</w:t>
            </w:r>
          </w:p>
        </w:tc>
        <w:tc>
          <w:tcPr>
            <w:tcW w:w="453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t>本项目情况</w:t>
            </w:r>
          </w:p>
        </w:tc>
        <w:tc>
          <w:tcPr>
            <w:tcW w:w="90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0" w:hRule="atLeast"/>
          <w:jc w:val="center"/>
        </w:trPr>
        <w:tc>
          <w:tcPr>
            <w:tcW w:w="546" w:type="dxa"/>
            <w:vMerge w:val="restart"/>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川</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东北经</w:t>
            </w: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济区</w:t>
            </w:r>
          </w:p>
        </w:tc>
        <w:tc>
          <w:tcPr>
            <w:tcW w:w="236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w w:val="100"/>
                <w:kern w:val="21"/>
                <w:position w:val="0"/>
                <w:sz w:val="21"/>
                <w:szCs w:val="2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控制农村面源污染，提高污水收集处理率，加快乡镇污水处理基础设施建设</w:t>
            </w:r>
            <w:r>
              <w:rPr>
                <w:rFonts w:hint="eastAsia" w:cs="Times New Roman"/>
                <w:snapToGrid/>
                <w:color w:val="000000" w:themeColor="text1"/>
                <w:spacing w:val="0"/>
                <w:w w:val="100"/>
                <w:kern w:val="21"/>
                <w:position w:val="0"/>
                <w:sz w:val="21"/>
                <w:szCs w:val="21"/>
                <w:highlight w:val="none"/>
                <w:lang w:eastAsia="zh-CN"/>
                <w14:textFill>
                  <w14:solidFill>
                    <w14:schemeClr w14:val="tx1"/>
                  </w14:solidFill>
                </w14:textFill>
              </w:rPr>
              <w:t>。</w:t>
            </w:r>
          </w:p>
        </w:tc>
        <w:tc>
          <w:tcPr>
            <w:tcW w:w="453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本项目为</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天然气勘探及试采</w:t>
            </w: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项目，</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废水均不外排，不涉及</w:t>
            </w: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农村面源污染</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和</w:t>
            </w: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乡镇污水处理基础设施建设</w:t>
            </w: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w:t>
            </w:r>
          </w:p>
        </w:tc>
        <w:tc>
          <w:tcPr>
            <w:tcW w:w="90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0" w:hRule="atLeast"/>
          <w:jc w:val="center"/>
        </w:trPr>
        <w:tc>
          <w:tcPr>
            <w:tcW w:w="546"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p>
        </w:tc>
        <w:tc>
          <w:tcPr>
            <w:tcW w:w="236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建设流域水环境风险联防联控体系。</w:t>
            </w:r>
          </w:p>
        </w:tc>
        <w:tc>
          <w:tcPr>
            <w:tcW w:w="453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pP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本项目已落实</w:t>
            </w: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水环境风险联防联控体系</w:t>
            </w:r>
            <w:r>
              <w:rPr>
                <w:rFonts w:hint="eastAsia" w:ascii="Times New Roman" w:hAnsi="Times New Roman" w:cs="Times New Roman"/>
                <w:snapToGrid/>
                <w:color w:val="000000" w:themeColor="text1"/>
                <w:spacing w:val="0"/>
                <w:w w:val="100"/>
                <w:kern w:val="21"/>
                <w:position w:val="0"/>
                <w:sz w:val="21"/>
                <w:szCs w:val="21"/>
                <w:highlight w:val="none"/>
                <w:lang w:eastAsia="zh-CN"/>
                <w14:textFill>
                  <w14:solidFill>
                    <w14:schemeClr w14:val="tx1"/>
                  </w14:solidFill>
                </w14:textFill>
              </w:rPr>
              <w:t>。</w:t>
            </w:r>
          </w:p>
        </w:tc>
        <w:tc>
          <w:tcPr>
            <w:tcW w:w="90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0" w:hRule="atLeast"/>
          <w:jc w:val="center"/>
        </w:trPr>
        <w:tc>
          <w:tcPr>
            <w:tcW w:w="546" w:type="dxa"/>
            <w:vMerge w:val="continue"/>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p>
        </w:tc>
        <w:tc>
          <w:tcPr>
            <w:tcW w:w="2368"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提高大气污染治理水平。</w:t>
            </w:r>
          </w:p>
        </w:tc>
        <w:tc>
          <w:tcPr>
            <w:tcW w:w="4534"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本项目为</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天然气勘探及试采</w:t>
            </w: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项目，</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施工期</w:t>
            </w:r>
            <w:r>
              <w:rPr>
                <w:rFonts w:hint="default" w:ascii="Times New Roman" w:hAnsi="Times New Roman" w:eastAsia="宋体" w:cs="Times New Roman"/>
                <w:snapToGrid/>
                <w:color w:val="000000" w:themeColor="text1"/>
                <w:spacing w:val="0"/>
                <w:w w:val="100"/>
                <w:kern w:val="21"/>
                <w:position w:val="0"/>
                <w:sz w:val="21"/>
                <w:szCs w:val="21"/>
                <w:highlight w:val="none"/>
                <w:lang w:val="en-US" w:eastAsia="zh-CN"/>
                <w14:textFill>
                  <w14:solidFill>
                    <w14:schemeClr w14:val="tx1"/>
                  </w14:solidFill>
                </w14:textFill>
              </w:rPr>
              <w:t>备用柴油机采用节能环保型柴油动力系统设备（自带消烟除尘装置），并适当提高排气筒高度（6m以上）</w:t>
            </w:r>
            <w:r>
              <w:rPr>
                <w:rFonts w:hint="eastAsia" w:cs="Times New Roman"/>
                <w:snapToGrid/>
                <w:color w:val="000000" w:themeColor="text1"/>
                <w:spacing w:val="0"/>
                <w:w w:val="100"/>
                <w:kern w:val="21"/>
                <w:position w:val="0"/>
                <w:sz w:val="21"/>
                <w:szCs w:val="21"/>
                <w:highlight w:val="none"/>
                <w:lang w:val="en-US" w:eastAsia="zh-CN"/>
                <w14:textFill>
                  <w14:solidFill>
                    <w14:schemeClr w14:val="tx1"/>
                  </w14:solidFill>
                </w14:textFill>
              </w:rPr>
              <w:t>；试采期依托的水套加热炉所用的燃料气为自产的不含硫天然气通过自带的8m高排气筒排放；系统非正常情况放空的天然气通过15m高的放空火炬燃烧后排放。采取相关措施后，本项目大气污染治理水平较高。</w:t>
            </w:r>
          </w:p>
        </w:tc>
        <w:tc>
          <w:tcPr>
            <w:tcW w:w="902" w:type="dxa"/>
            <w:vAlign w:val="center"/>
          </w:tcPr>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pPr>
            <w:r>
              <w:rPr>
                <w:rFonts w:hint="default" w:ascii="Times New Roman" w:hAnsi="Times New Roman" w:eastAsia="宋体" w:cs="Times New Roman"/>
                <w:snapToGrid/>
                <w:color w:val="000000" w:themeColor="text1"/>
                <w:spacing w:val="0"/>
                <w:w w:val="100"/>
                <w:kern w:val="21"/>
                <w:position w:val="0"/>
                <w:sz w:val="21"/>
                <w:szCs w:val="21"/>
                <w:highlight w:val="none"/>
                <w14:textFill>
                  <w14:solidFill>
                    <w14:schemeClr w14:val="tx1"/>
                  </w14:solidFill>
                </w14:textFill>
              </w:rPr>
              <w:t>符合</w:t>
            </w:r>
          </w:p>
        </w:tc>
      </w:tr>
    </w:tbl>
    <w:p>
      <w:pPr>
        <w:pStyle w:val="13"/>
        <w:keepNext w:val="0"/>
        <w:keepLines w:val="0"/>
        <w:pageBreakBefore w:val="0"/>
        <w:widowControl w:val="0"/>
        <w:kinsoku/>
        <w:wordWrap/>
        <w:overflowPunct w:val="0"/>
        <w:topLinePunct w:val="0"/>
        <w:autoSpaceDE/>
        <w:autoSpaceDN/>
        <w:bidi w:val="0"/>
        <w:adjustRightInd w:val="0"/>
        <w:snapToGrid w:val="0"/>
        <w:spacing w:before="164" w:beforeLines="50" w:line="360" w:lineRule="auto"/>
        <w:ind w:left="0" w:leftChars="0" w:right="0" w:rightChars="0" w:firstLine="480" w:firstLineChars="200"/>
        <w:jc w:val="left"/>
        <w:textAlignment w:val="auto"/>
        <w:rPr>
          <w:rFonts w:hint="eastAsia" w:ascii="Times New Roman" w:hAnsi="Times New Roman" w:eastAsia="宋体" w:cs="Times New Roman"/>
          <w:bCs/>
          <w:snapToGrid/>
          <w:color w:val="000000" w:themeColor="text1"/>
          <w:spacing w:val="0"/>
          <w:w w:val="100"/>
          <w:kern w:val="21"/>
          <w:position w:val="0"/>
          <w:sz w:val="24"/>
          <w:szCs w:val="24"/>
          <w:highlight w:val="none"/>
          <w:u w:val="none"/>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21"/>
          <w:position w:val="0"/>
          <w:sz w:val="24"/>
          <w:szCs w:val="24"/>
          <w:highlight w:val="none"/>
          <w:u w:val="none"/>
          <w14:textFill>
            <w14:solidFill>
              <w14:schemeClr w14:val="tx1"/>
            </w14:solidFill>
          </w14:textFill>
        </w:rPr>
        <w:t>由上表可知，本项目符合（川府发〔2020〕9号）针对</w:t>
      </w:r>
      <w:r>
        <w:rPr>
          <w:rFonts w:hint="eastAsia" w:cs="Times New Roman"/>
          <w:bCs/>
          <w:snapToGrid/>
          <w:color w:val="000000" w:themeColor="text1"/>
          <w:spacing w:val="0"/>
          <w:w w:val="100"/>
          <w:kern w:val="21"/>
          <w:position w:val="0"/>
          <w:sz w:val="24"/>
          <w:szCs w:val="24"/>
          <w:highlight w:val="none"/>
          <w:u w:val="none"/>
          <w:lang w:eastAsia="zh-CN"/>
          <w14:textFill>
            <w14:solidFill>
              <w14:schemeClr w14:val="tx1"/>
            </w14:solidFill>
          </w14:textFill>
        </w:rPr>
        <w:t>川东北经济区</w:t>
      </w:r>
      <w:r>
        <w:rPr>
          <w:rFonts w:hint="eastAsia" w:ascii="Times New Roman" w:hAnsi="Times New Roman" w:eastAsia="宋体" w:cs="Times New Roman"/>
          <w:bCs/>
          <w:snapToGrid/>
          <w:color w:val="000000" w:themeColor="text1"/>
          <w:spacing w:val="0"/>
          <w:w w:val="100"/>
          <w:kern w:val="21"/>
          <w:position w:val="0"/>
          <w:sz w:val="24"/>
          <w:szCs w:val="24"/>
          <w:highlight w:val="none"/>
          <w:u w:val="none"/>
          <w14:textFill>
            <w14:solidFill>
              <w14:schemeClr w14:val="tx1"/>
            </w14:solidFill>
          </w14:textFill>
        </w:rPr>
        <w:t>的相关管控要求。</w:t>
      </w:r>
    </w:p>
    <w:p>
      <w:pPr>
        <w:tabs>
          <w:tab w:val="left" w:pos="0"/>
        </w:tabs>
        <w:ind w:firstLine="480"/>
        <w:rPr>
          <w:rFonts w:eastAsia="黑体" w:cs="Times New Roman"/>
          <w:color w:val="000000" w:themeColor="text1"/>
          <w:highlight w:val="none"/>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4</w:t>
      </w:r>
      <w:r>
        <w:rPr>
          <w:rFonts w:eastAsia="黑体" w:cs="Times New Roman"/>
          <w:color w:val="000000" w:themeColor="text1"/>
          <w:highlight w:val="none"/>
          <w14:textFill>
            <w14:solidFill>
              <w14:schemeClr w14:val="tx1"/>
            </w14:solidFill>
          </w14:textFill>
        </w:rPr>
        <w:t>、与达州市人民政府《关于落实生态保护红线、环境质量底线、资源利用上线制定生态环境准入清单实施生态环境分区管控的通知》达市府发〔2021〕17号符合性分析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达州市人民政府《关于落实生态保护红线、环境质量底线、资源利用上线制定生态环境准入清单实施生态环境分区管控的通知》（达市府发〔2021〕17号），结合达州市和宣汉县总体生态环境管控要求，项目与达市府发〔2021〕17号符合性如</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_Ref143337177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fldChar w:fldCharType="end"/>
      </w:r>
      <w:r>
        <w:rPr>
          <w:rFonts w:hint="eastAsia" w:cs="Times New Roman"/>
          <w:color w:val="000000" w:themeColor="text1"/>
          <w:szCs w:val="24"/>
          <w:highlight w:val="none"/>
          <w:lang w:val="en-US" w:eastAsia="zh-CN"/>
          <w14:textFill>
            <w14:solidFill>
              <w14:schemeClr w14:val="tx1"/>
            </w14:solidFill>
          </w14:textFill>
        </w:rPr>
        <w:t>1</w:t>
      </w:r>
      <w:r>
        <w:rPr>
          <w:rFonts w:cs="Times New Roman"/>
          <w:color w:val="000000" w:themeColor="text1"/>
          <w:szCs w:val="24"/>
          <w:highlight w:val="none"/>
          <w14:textFill>
            <w14:solidFill>
              <w14:schemeClr w14:val="tx1"/>
            </w14:solidFill>
          </w14:textFill>
        </w:rPr>
        <w:t>所示。</w:t>
      </w:r>
    </w:p>
    <w:p>
      <w:pPr>
        <w:pStyle w:val="201"/>
        <w:spacing w:before="120"/>
        <w:rPr>
          <w:color w:val="000000" w:themeColor="text1"/>
          <w:highlight w:val="none"/>
          <w14:textFill>
            <w14:solidFill>
              <w14:schemeClr w14:val="tx1"/>
            </w14:solidFill>
          </w14:textFill>
        </w:rPr>
      </w:pPr>
      <w:bookmarkStart w:id="87" w:name="_Ref14333717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bookmarkEnd w:id="87"/>
      <w:r>
        <w:rPr>
          <w:rFonts w:hint="eastAsia"/>
          <w:color w:val="000000" w:themeColor="text1"/>
          <w:highlight w:val="none"/>
          <w:lang w:val="en-US" w:eastAsia="zh-CN"/>
          <w14:textFill>
            <w14:solidFill>
              <w14:schemeClr w14:val="tx1"/>
            </w14:solidFill>
          </w14:textFill>
        </w:rPr>
        <w:t>21</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与达市府发〔</w:t>
      </w:r>
      <w:r>
        <w:rPr>
          <w:color w:val="000000" w:themeColor="text1"/>
          <w:highlight w:val="none"/>
          <w14:textFill>
            <w14:solidFill>
              <w14:schemeClr w14:val="tx1"/>
            </w14:solidFill>
          </w14:textFill>
        </w:rPr>
        <w:t>2021〕17号符合性</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8"/>
        <w:gridCol w:w="4133"/>
        <w:gridCol w:w="2900"/>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行政区划</w:t>
            </w:r>
          </w:p>
        </w:tc>
        <w:tc>
          <w:tcPr>
            <w:tcW w:w="413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全市及各县（市、区）总体生态环境管控要求</w:t>
            </w:r>
          </w:p>
        </w:tc>
        <w:tc>
          <w:tcPr>
            <w:tcW w:w="29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w:t>
            </w:r>
          </w:p>
        </w:tc>
        <w:tc>
          <w:tcPr>
            <w:tcW w:w="5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达州市</w:t>
            </w:r>
          </w:p>
        </w:tc>
        <w:tc>
          <w:tcPr>
            <w:tcW w:w="413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1．对钢铁行业提出严格资源环境绩效水平要求；</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2．高污染企业限期退城入园；</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3．普光气田开发污染防治和环境管理等方面要达到国内先进水平；</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4．引进项目应符合园区规划环评和区域产业准入清单要求；</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5．长江干支流岸线1km范围内，不得新建、扩建化工园区和化工项目；</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6．严控产业转移环境准入；</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7．造纸等产业污染治理和环境管理应达到国内先进水平。优化制浆造纸产业布局，提升行业清洁生产水平，推动制浆造纸工业向节能、环保、绿色方向发展。</w:t>
            </w:r>
          </w:p>
        </w:tc>
        <w:tc>
          <w:tcPr>
            <w:tcW w:w="2900"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本项目为天然气</w:t>
            </w:r>
            <w:r>
              <w:rPr>
                <w:rFonts w:hint="eastAsia"/>
                <w:color w:val="000000" w:themeColor="text1"/>
                <w:szCs w:val="20"/>
                <w:highlight w:val="none"/>
                <w:lang w:val="en-US" w:eastAsia="zh-CN"/>
                <w14:textFill>
                  <w14:solidFill>
                    <w14:schemeClr w14:val="tx1"/>
                  </w14:solidFill>
                </w14:textFill>
              </w:rPr>
              <w:t>勘探</w:t>
            </w:r>
            <w:r>
              <w:rPr>
                <w:rFonts w:hint="default"/>
                <w:color w:val="000000" w:themeColor="text1"/>
                <w:szCs w:val="20"/>
                <w:highlight w:val="none"/>
                <w14:textFill>
                  <w14:solidFill>
                    <w14:schemeClr w14:val="tx1"/>
                  </w14:solidFill>
                </w14:textFill>
              </w:rPr>
              <w:t>和试采工程，污染防治和环境管理严格按照本环评报告书提出要求进行落实，同时落实中原油田普光分公司日常管理要求，确保本项目各种污染物得到妥善处置，不对项目所在地环境造成影响。</w:t>
            </w:r>
          </w:p>
        </w:tc>
        <w:tc>
          <w:tcPr>
            <w:tcW w:w="5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宣汉县</w:t>
            </w:r>
          </w:p>
        </w:tc>
        <w:tc>
          <w:tcPr>
            <w:tcW w:w="413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1．加强小流域水环境保护，推动农村环保基础设施建设，全面推进农村环境综合整治、生活污水处理项目。大力开展沿河畜禽养殖污染整治，大力推广生态种植，减少农药化肥使用量；</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2．打好升级版污染防治攻坚战。持续优化调整产业布局，以PM</w:t>
            </w:r>
            <w:r>
              <w:rPr>
                <w:rFonts w:hint="default"/>
                <w:color w:val="000000" w:themeColor="text1"/>
                <w:szCs w:val="20"/>
                <w:highlight w:val="none"/>
                <w:vertAlign w:val="subscript"/>
                <w14:textFill>
                  <w14:solidFill>
                    <w14:schemeClr w14:val="tx1"/>
                  </w14:solidFill>
                </w14:textFill>
              </w:rPr>
              <w:t>2.5</w:t>
            </w:r>
            <w:r>
              <w:rPr>
                <w:rFonts w:hint="default"/>
                <w:color w:val="000000" w:themeColor="text1"/>
                <w:szCs w:val="20"/>
                <w:highlight w:val="none"/>
                <w14:textFill>
                  <w14:solidFill>
                    <w14:schemeClr w14:val="tx1"/>
                  </w14:solidFill>
                </w14:textFill>
              </w:rPr>
              <w:t>和臭氧污染协同控制为重点，全面开展VOCs治理，实施移动源整治，持续推进空气质量精细化管理；</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3．优化天然气化工、硫化工、锂钾综合开发、冶金建材、新材料等产业布局，切实做好危险化学品生产、使用、贮运、废弃全过程的安全防范措施，妥善处理好锂钾综合开发产业副产物</w:t>
            </w:r>
            <w:r>
              <w:rPr>
                <w:rFonts w:hint="eastAsia" w:ascii="宋体" w:hAnsi="宋体" w:eastAsia="宋体" w:cs="宋体"/>
                <w:color w:val="000000" w:themeColor="text1"/>
                <w:szCs w:val="20"/>
                <w:highlight w:val="none"/>
                <w14:textFill>
                  <w14:solidFill>
                    <w14:schemeClr w14:val="tx1"/>
                  </w14:solidFill>
                </w14:textFill>
              </w:rPr>
              <w:t>及“三废”</w:t>
            </w:r>
            <w:r>
              <w:rPr>
                <w:rFonts w:hint="default"/>
                <w:color w:val="000000" w:themeColor="text1"/>
                <w:szCs w:val="20"/>
                <w:highlight w:val="none"/>
                <w14:textFill>
                  <w14:solidFill>
                    <w14:schemeClr w14:val="tx1"/>
                  </w14:solidFill>
                </w14:textFill>
              </w:rPr>
              <w:t>的综合利用途径或处置去向。</w:t>
            </w:r>
          </w:p>
        </w:tc>
        <w:tc>
          <w:tcPr>
            <w:tcW w:w="2900"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本项目为天然气</w:t>
            </w:r>
            <w:r>
              <w:rPr>
                <w:rFonts w:hint="eastAsia"/>
                <w:color w:val="000000" w:themeColor="text1"/>
                <w:szCs w:val="20"/>
                <w:highlight w:val="none"/>
                <w:lang w:val="en-US" w:eastAsia="zh-CN"/>
                <w14:textFill>
                  <w14:solidFill>
                    <w14:schemeClr w14:val="tx1"/>
                  </w14:solidFill>
                </w14:textFill>
              </w:rPr>
              <w:t>勘探</w:t>
            </w:r>
            <w:r>
              <w:rPr>
                <w:rFonts w:hint="default"/>
                <w:color w:val="000000" w:themeColor="text1"/>
                <w:szCs w:val="20"/>
                <w:highlight w:val="none"/>
                <w14:textFill>
                  <w14:solidFill>
                    <w14:schemeClr w14:val="tx1"/>
                  </w14:solidFill>
                </w14:textFill>
              </w:rPr>
              <w:t>和试采工程，不涉及以上总体生态环境管控要求。</w:t>
            </w:r>
          </w:p>
        </w:tc>
        <w:tc>
          <w:tcPr>
            <w:tcW w:w="5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0"/>
        <w:textAlignment w:val="auto"/>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eastAsia="zh-CN"/>
          <w14:textFill>
            <w14:solidFill>
              <w14:schemeClr w14:val="tx1"/>
            </w14:solidFill>
          </w14:textFill>
        </w:rPr>
        <w:t>由</w:t>
      </w:r>
      <w:r>
        <w:rPr>
          <w:rFonts w:hint="eastAsia"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上</w:t>
      </w:r>
      <w:r>
        <w:rPr>
          <w:rFonts w:hint="eastAsia" w:cs="Times New Roman"/>
          <w:bCs/>
          <w:snapToGrid/>
          <w:color w:val="000000" w:themeColor="text1"/>
          <w:spacing w:val="0"/>
          <w:w w:val="100"/>
          <w:kern w:val="21"/>
          <w:position w:val="0"/>
          <w:sz w:val="24"/>
          <w:szCs w:val="24"/>
          <w:highlight w:val="none"/>
          <w:u w:val="none"/>
          <w:lang w:eastAsia="zh-CN"/>
          <w14:textFill>
            <w14:solidFill>
              <w14:schemeClr w14:val="tx1"/>
            </w14:solidFill>
          </w14:textFill>
        </w:rPr>
        <w:t>表</w:t>
      </w: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可知，本项目符合达州市生态环境准入总体要求以及</w:t>
      </w:r>
      <w:r>
        <w:rPr>
          <w:rFonts w:hint="eastAsia"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宣汉县</w:t>
      </w: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生态环境准入总体要求。</w:t>
      </w:r>
    </w:p>
    <w:p>
      <w:pPr>
        <w:tabs>
          <w:tab w:val="left" w:pos="0"/>
        </w:tabs>
        <w:ind w:firstLine="480"/>
        <w:rPr>
          <w:rFonts w:eastAsia="黑体" w:cs="Times New Roman"/>
          <w:color w:val="000000" w:themeColor="text1"/>
          <w:highlight w:val="none"/>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5</w:t>
      </w:r>
      <w:r>
        <w:rPr>
          <w:rFonts w:eastAsia="黑体" w:cs="Times New Roman"/>
          <w:color w:val="000000" w:themeColor="text1"/>
          <w:highlight w:val="none"/>
          <w14:textFill>
            <w14:solidFill>
              <w14:schemeClr w14:val="tx1"/>
            </w14:solidFill>
          </w14:textFill>
        </w:rPr>
        <w:t>、与达州市人民政府</w:t>
      </w:r>
      <w:r>
        <w:rPr>
          <w:rFonts w:hint="eastAsia" w:eastAsia="黑体" w:cs="Times New Roman"/>
          <w:color w:val="000000" w:themeColor="text1"/>
          <w:highlight w:val="none"/>
          <w:lang w:val="en-US" w:eastAsia="zh-CN"/>
          <w14:textFill>
            <w14:solidFill>
              <w14:schemeClr w14:val="tx1"/>
            </w14:solidFill>
          </w14:textFill>
        </w:rPr>
        <w:t>办公室</w:t>
      </w:r>
      <w:r>
        <w:rPr>
          <w:rFonts w:eastAsia="黑体" w:cs="Times New Roman"/>
          <w:color w:val="000000" w:themeColor="text1"/>
          <w:highlight w:val="none"/>
          <w14:textFill>
            <w14:solidFill>
              <w14:schemeClr w14:val="tx1"/>
            </w14:solidFill>
          </w14:textFill>
        </w:rPr>
        <w:t>《</w:t>
      </w:r>
      <w:r>
        <w:rPr>
          <w:rFonts w:hint="eastAsia" w:eastAsia="黑体" w:cs="Times New Roman"/>
          <w:color w:val="000000" w:themeColor="text1"/>
          <w:highlight w:val="none"/>
          <w14:textFill>
            <w14:solidFill>
              <w14:schemeClr w14:val="tx1"/>
            </w14:solidFill>
          </w14:textFill>
        </w:rPr>
        <w:t>关于加强生态环境分区管控的通知</w:t>
      </w:r>
      <w:r>
        <w:rPr>
          <w:rFonts w:eastAsia="黑体" w:cs="Times New Roman"/>
          <w:color w:val="000000" w:themeColor="text1"/>
          <w:highlight w:val="none"/>
          <w14:textFill>
            <w14:solidFill>
              <w14:schemeClr w14:val="tx1"/>
            </w14:solidFill>
          </w14:textFill>
        </w:rPr>
        <w:t>》</w:t>
      </w:r>
      <w:r>
        <w:rPr>
          <w:rFonts w:hint="eastAsia" w:eastAsia="黑体" w:cs="Times New Roman"/>
          <w:color w:val="000000" w:themeColor="text1"/>
          <w:highlight w:val="none"/>
          <w14:textFill>
            <w14:solidFill>
              <w14:schemeClr w14:val="tx1"/>
            </w14:solidFill>
          </w14:textFill>
        </w:rPr>
        <w:t>达市府办函</w:t>
      </w:r>
      <w:r>
        <w:rPr>
          <w:rFonts w:eastAsia="黑体" w:cs="Times New Roman"/>
          <w:color w:val="000000" w:themeColor="text1"/>
          <w:highlight w:val="none"/>
          <w14:textFill>
            <w14:solidFill>
              <w14:schemeClr w14:val="tx1"/>
            </w14:solidFill>
          </w14:textFill>
        </w:rPr>
        <w:t>〔202</w:t>
      </w:r>
      <w:r>
        <w:rPr>
          <w:rFonts w:hint="eastAsia" w:eastAsia="黑体" w:cs="Times New Roman"/>
          <w:color w:val="000000" w:themeColor="text1"/>
          <w:highlight w:val="none"/>
          <w:lang w:val="en-US" w:eastAsia="zh-CN"/>
          <w14:textFill>
            <w14:solidFill>
              <w14:schemeClr w14:val="tx1"/>
            </w14:solidFill>
          </w14:textFill>
        </w:rPr>
        <w:t>4</w:t>
      </w:r>
      <w:r>
        <w:rPr>
          <w:rFonts w:eastAsia="黑体" w:cs="Times New Roman"/>
          <w:color w:val="000000" w:themeColor="text1"/>
          <w:highlight w:val="none"/>
          <w14:textFill>
            <w14:solidFill>
              <w14:schemeClr w14:val="tx1"/>
            </w14:solidFill>
          </w14:textFill>
        </w:rPr>
        <w:t>〕</w:t>
      </w:r>
      <w:r>
        <w:rPr>
          <w:rFonts w:hint="eastAsia" w:eastAsia="黑体" w:cs="Times New Roman"/>
          <w:color w:val="000000" w:themeColor="text1"/>
          <w:highlight w:val="none"/>
          <w14:textFill>
            <w14:solidFill>
              <w14:schemeClr w14:val="tx1"/>
            </w14:solidFill>
          </w14:textFill>
        </w:rPr>
        <w:t>31号</w:t>
      </w:r>
      <w:r>
        <w:rPr>
          <w:rFonts w:eastAsia="黑体" w:cs="Times New Roman"/>
          <w:color w:val="000000" w:themeColor="text1"/>
          <w:highlight w:val="none"/>
          <w14:textFill>
            <w14:solidFill>
              <w14:schemeClr w14:val="tx1"/>
            </w14:solidFill>
          </w14:textFill>
        </w:rPr>
        <w:t>符合性分析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根据达州市人民政府</w:t>
      </w:r>
      <w:r>
        <w:rPr>
          <w:rFonts w:hint="eastAsia" w:cs="Times New Roman"/>
          <w:color w:val="000000" w:themeColor="text1"/>
          <w:szCs w:val="24"/>
          <w:highlight w:val="none"/>
          <w:lang w:val="en-US" w:eastAsia="zh-CN"/>
          <w14:textFill>
            <w14:solidFill>
              <w14:schemeClr w14:val="tx1"/>
            </w14:solidFill>
          </w14:textFill>
        </w:rPr>
        <w:t>办公室</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关于加强生态环境分区管控的通知</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达市府办函</w:t>
      </w: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4</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31号</w:t>
      </w:r>
      <w:r>
        <w:rPr>
          <w:rFonts w:cs="Times New Roman"/>
          <w:color w:val="000000" w:themeColor="text1"/>
          <w:szCs w:val="24"/>
          <w:highlight w:val="none"/>
          <w14:textFill>
            <w14:solidFill>
              <w14:schemeClr w14:val="tx1"/>
            </w14:solidFill>
          </w14:textFill>
        </w:rPr>
        <w:t>），结合达州市和宣汉县总体生态环境管控要求，项目与达市府发〔2021〕17号符合性如</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_Ref143337177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fldChar w:fldCharType="end"/>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所示。</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22</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与达市府发〔</w:t>
      </w:r>
      <w:r>
        <w:rPr>
          <w:color w:val="000000" w:themeColor="text1"/>
          <w:highlight w:val="none"/>
          <w14:textFill>
            <w14:solidFill>
              <w14:schemeClr w14:val="tx1"/>
            </w14:solidFill>
          </w14:textFill>
        </w:rPr>
        <w:t>2021〕17号符合性</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8"/>
        <w:gridCol w:w="4133"/>
        <w:gridCol w:w="2900"/>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行政区划</w:t>
            </w:r>
          </w:p>
        </w:tc>
        <w:tc>
          <w:tcPr>
            <w:tcW w:w="413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全市及各县（市、区）总体生态环境管控要求</w:t>
            </w:r>
          </w:p>
        </w:tc>
        <w:tc>
          <w:tcPr>
            <w:tcW w:w="29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本项目</w:t>
            </w:r>
          </w:p>
        </w:tc>
        <w:tc>
          <w:tcPr>
            <w:tcW w:w="5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达州市</w:t>
            </w:r>
          </w:p>
        </w:tc>
        <w:tc>
          <w:tcPr>
            <w:tcW w:w="413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1.长江干支流岸线1千米范围内，不得新建、扩建化工园区和化工项目。</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2.严控产业转移环境准入。</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3．引进项目应符合园区规划环评和区域产业准入清单要求。</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4.造纸等产业污染治理和环境管理应达到国内先进水平。优化制浆造纸产业布局，提升行业清洁生产水平，推动制浆造纸工业向节能、环保、绿色方向发展。</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5．深化成都平原、川南、川东北地区大气污染联防联控工作机制</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加强川渝地区联防联控。强化重污染天气区域应急联动机制，深化区域重污染天气联合应对。</w:t>
            </w:r>
          </w:p>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6.钢铁行业项目新建应参考达州市</w:t>
            </w:r>
            <w:r>
              <w:rPr>
                <w:rFonts w:hint="eastAsia" w:ascii="宋体" w:hAnsi="宋体" w:eastAsia="宋体" w:cs="宋体"/>
                <w:color w:val="000000" w:themeColor="text1"/>
                <w:szCs w:val="20"/>
                <w:highlight w:val="none"/>
                <w14:textFill>
                  <w14:solidFill>
                    <w14:schemeClr w14:val="tx1"/>
                  </w14:solidFill>
                </w14:textFill>
              </w:rPr>
              <w:t>“三线一单”</w:t>
            </w:r>
            <w:r>
              <w:rPr>
                <w:rFonts w:hint="default"/>
                <w:color w:val="000000" w:themeColor="text1"/>
                <w:szCs w:val="20"/>
                <w:highlight w:val="none"/>
                <w14:textFill>
                  <w14:solidFill>
                    <w14:schemeClr w14:val="tx1"/>
                  </w14:solidFill>
                </w14:textFill>
              </w:rPr>
              <w:t>生态环境分区管控中钢铁行业资源环境绩效准入门槛</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达钢等高污染企业限期退城入园</w:t>
            </w: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普光气田开发污染防治和环境管理等方面要达国内先进水平</w:t>
            </w:r>
            <w:r>
              <w:rPr>
                <w:rFonts w:hint="eastAsia"/>
                <w:color w:val="000000" w:themeColor="text1"/>
                <w:szCs w:val="20"/>
                <w:highlight w:val="none"/>
                <w:lang w:eastAsia="zh-CN"/>
                <w14:textFill>
                  <w14:solidFill>
                    <w14:schemeClr w14:val="tx1"/>
                  </w14:solidFill>
                </w14:textFill>
              </w:rPr>
              <w:t>。</w:t>
            </w:r>
          </w:p>
        </w:tc>
        <w:tc>
          <w:tcPr>
            <w:tcW w:w="2900"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本项目为天然气</w:t>
            </w:r>
            <w:r>
              <w:rPr>
                <w:rFonts w:hint="eastAsia"/>
                <w:color w:val="000000" w:themeColor="text1"/>
                <w:szCs w:val="20"/>
                <w:highlight w:val="none"/>
                <w:lang w:val="en-US" w:eastAsia="zh-CN"/>
                <w14:textFill>
                  <w14:solidFill>
                    <w14:schemeClr w14:val="tx1"/>
                  </w14:solidFill>
                </w14:textFill>
              </w:rPr>
              <w:t>勘探</w:t>
            </w:r>
            <w:r>
              <w:rPr>
                <w:rFonts w:hint="default"/>
                <w:color w:val="000000" w:themeColor="text1"/>
                <w:szCs w:val="20"/>
                <w:highlight w:val="none"/>
                <w14:textFill>
                  <w14:solidFill>
                    <w14:schemeClr w14:val="tx1"/>
                  </w14:solidFill>
                </w14:textFill>
              </w:rPr>
              <w:t>和试采工程，</w:t>
            </w:r>
            <w:r>
              <w:rPr>
                <w:rFonts w:hint="eastAsia"/>
                <w:color w:val="000000" w:themeColor="text1"/>
                <w:szCs w:val="20"/>
                <w:highlight w:val="none"/>
                <w:lang w:val="en-US" w:eastAsia="zh-CN"/>
                <w14:textFill>
                  <w14:solidFill>
                    <w14:schemeClr w14:val="tx1"/>
                  </w14:solidFill>
                </w14:textFill>
              </w:rPr>
              <w:t>不属于化工项目、造纸和钢铁行业</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符合产业准入，</w:t>
            </w:r>
            <w:r>
              <w:rPr>
                <w:rFonts w:hint="default"/>
                <w:color w:val="000000" w:themeColor="text1"/>
                <w:szCs w:val="20"/>
                <w:highlight w:val="none"/>
                <w14:textFill>
                  <w14:solidFill>
                    <w14:schemeClr w14:val="tx1"/>
                  </w14:solidFill>
                </w14:textFill>
              </w:rPr>
              <w:t>同时落实中原油田普光分公司日常管理要求，确保本项目各种污染物得到妥善处置，开发污染防治和环境管理等方面要达国内先进水平。</w:t>
            </w:r>
          </w:p>
        </w:tc>
        <w:tc>
          <w:tcPr>
            <w:tcW w:w="5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7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宣汉县</w:t>
            </w:r>
          </w:p>
        </w:tc>
        <w:tc>
          <w:tcPr>
            <w:tcW w:w="4133"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1．优化天然气化工、硫化工、锂钾综合开发、冶金建材、新材料等产业布局，切实做好危险化学品生产、使用、贮运、废弃全过程的安全防范措施，妥善处理好锂钾综合开发产业副产物</w:t>
            </w:r>
            <w:r>
              <w:rPr>
                <w:rFonts w:hint="eastAsia" w:ascii="宋体" w:hAnsi="宋体" w:eastAsia="宋体" w:cs="宋体"/>
                <w:color w:val="000000" w:themeColor="text1"/>
                <w:szCs w:val="20"/>
                <w:highlight w:val="none"/>
                <w14:textFill>
                  <w14:solidFill>
                    <w14:schemeClr w14:val="tx1"/>
                  </w14:solidFill>
                </w14:textFill>
              </w:rPr>
              <w:t>及“三废”</w:t>
            </w:r>
            <w:r>
              <w:rPr>
                <w:rFonts w:hint="default"/>
                <w:color w:val="000000" w:themeColor="text1"/>
                <w:szCs w:val="20"/>
                <w:highlight w:val="none"/>
                <w14:textFill>
                  <w14:solidFill>
                    <w14:schemeClr w14:val="tx1"/>
                  </w14:solidFill>
                </w14:textFill>
              </w:rPr>
              <w:t>的综合利用途径或处置去向。</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2．打好升级版污染防治攻坚战。持续优化调整产业布局，以</w:t>
            </w:r>
            <w:r>
              <w:rPr>
                <w:rFonts w:hint="eastAsia"/>
                <w:color w:val="000000" w:themeColor="text1"/>
                <w:szCs w:val="20"/>
                <w:highlight w:val="none"/>
                <w:lang w:val="en-US" w:eastAsia="zh-CN"/>
                <w14:textFill>
                  <w14:solidFill>
                    <w14:schemeClr w14:val="tx1"/>
                  </w14:solidFill>
                </w14:textFill>
              </w:rPr>
              <w:t>细颗粒物（</w:t>
            </w:r>
            <w:r>
              <w:rPr>
                <w:rFonts w:hint="default"/>
                <w:color w:val="000000" w:themeColor="text1"/>
                <w:szCs w:val="20"/>
                <w:highlight w:val="none"/>
                <w14:textFill>
                  <w14:solidFill>
                    <w14:schemeClr w14:val="tx1"/>
                  </w14:solidFill>
                </w14:textFill>
              </w:rPr>
              <w:t>PM</w:t>
            </w:r>
            <w:r>
              <w:rPr>
                <w:rFonts w:hint="default"/>
                <w:color w:val="000000" w:themeColor="text1"/>
                <w:szCs w:val="20"/>
                <w:highlight w:val="none"/>
                <w:vertAlign w:val="subscript"/>
                <w14:textFill>
                  <w14:solidFill>
                    <w14:schemeClr w14:val="tx1"/>
                  </w14:solidFill>
                </w14:textFill>
              </w:rPr>
              <w:t>2.5</w:t>
            </w:r>
            <w:r>
              <w:rPr>
                <w:rFonts w:hint="eastAsia"/>
                <w:color w:val="000000" w:themeColor="text1"/>
                <w:szCs w:val="20"/>
                <w:highlight w:val="none"/>
                <w:lang w:val="en-US" w:eastAsia="zh-CN"/>
                <w14:textFill>
                  <w14:solidFill>
                    <w14:schemeClr w14:val="tx1"/>
                  </w14:solidFill>
                </w14:textFill>
              </w:rPr>
              <w:t>）</w:t>
            </w:r>
            <w:r>
              <w:rPr>
                <w:rFonts w:hint="default"/>
                <w:color w:val="000000" w:themeColor="text1"/>
                <w:szCs w:val="20"/>
                <w:highlight w:val="none"/>
                <w14:textFill>
                  <w14:solidFill>
                    <w14:schemeClr w14:val="tx1"/>
                  </w14:solidFill>
                </w14:textFill>
              </w:rPr>
              <w:t>和臭氧</w:t>
            </w:r>
            <w:r>
              <w:rPr>
                <w:rFonts w:hint="eastAsia"/>
                <w:color w:val="000000" w:themeColor="text1"/>
                <w:szCs w:val="20"/>
                <w:highlight w:val="none"/>
                <w:lang w:val="en-US" w:eastAsia="zh-CN"/>
                <w14:textFill>
                  <w14:solidFill>
                    <w14:schemeClr w14:val="tx1"/>
                  </w14:solidFill>
                </w14:textFill>
              </w:rPr>
              <w:t>（O</w:t>
            </w:r>
            <w:r>
              <w:rPr>
                <w:rFonts w:hint="eastAsia"/>
                <w:color w:val="000000" w:themeColor="text1"/>
                <w:szCs w:val="20"/>
                <w:highlight w:val="none"/>
                <w:vertAlign w:val="subscript"/>
                <w:lang w:val="en-US" w:eastAsia="zh-CN"/>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w:t>
            </w:r>
            <w:r>
              <w:rPr>
                <w:rFonts w:hint="default"/>
                <w:color w:val="000000" w:themeColor="text1"/>
                <w:szCs w:val="20"/>
                <w:highlight w:val="none"/>
                <w14:textFill>
                  <w14:solidFill>
                    <w14:schemeClr w14:val="tx1"/>
                  </w14:solidFill>
                </w14:textFill>
              </w:rPr>
              <w:t>污染协同控制为重点，全面开展</w:t>
            </w:r>
            <w:r>
              <w:rPr>
                <w:rFonts w:hint="eastAsia"/>
                <w:color w:val="000000" w:themeColor="text1"/>
                <w:szCs w:val="20"/>
                <w:highlight w:val="none"/>
                <w:lang w:val="en-US" w:eastAsia="zh-CN"/>
                <w14:textFill>
                  <w14:solidFill>
                    <w14:schemeClr w14:val="tx1"/>
                  </w14:solidFill>
                </w14:textFill>
              </w:rPr>
              <w:t>挥发性有机物（</w:t>
            </w:r>
            <w:r>
              <w:rPr>
                <w:rFonts w:hint="default"/>
                <w:color w:val="000000" w:themeColor="text1"/>
                <w:szCs w:val="20"/>
                <w:highlight w:val="none"/>
                <w14:textFill>
                  <w14:solidFill>
                    <w14:schemeClr w14:val="tx1"/>
                  </w14:solidFill>
                </w14:textFill>
              </w:rPr>
              <w:t>VOCs</w:t>
            </w:r>
            <w:r>
              <w:rPr>
                <w:rFonts w:hint="eastAsia"/>
                <w:color w:val="000000" w:themeColor="text1"/>
                <w:szCs w:val="20"/>
                <w:highlight w:val="none"/>
                <w:lang w:val="en-US" w:eastAsia="zh-CN"/>
                <w14:textFill>
                  <w14:solidFill>
                    <w14:schemeClr w14:val="tx1"/>
                  </w14:solidFill>
                </w14:textFill>
              </w:rPr>
              <w:t>）</w:t>
            </w:r>
            <w:r>
              <w:rPr>
                <w:rFonts w:hint="default"/>
                <w:color w:val="000000" w:themeColor="text1"/>
                <w:szCs w:val="20"/>
                <w:highlight w:val="none"/>
                <w14:textFill>
                  <w14:solidFill>
                    <w14:schemeClr w14:val="tx1"/>
                  </w14:solidFill>
                </w14:textFill>
              </w:rPr>
              <w:t>治理，实施移动源整治，持续推进空气质量精细化管理；引进项目应符合园区规划环评和区域产业准入清单要求。</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3．加强小流域水环境保护，推动农村环保基础设施建设，全面推进农村环境综合整治、生活污水处理项目。</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w:t>
            </w:r>
            <w:r>
              <w:rPr>
                <w:rFonts w:hint="default"/>
                <w:color w:val="000000" w:themeColor="text1"/>
                <w:szCs w:val="20"/>
                <w:highlight w:val="none"/>
                <w14:textFill>
                  <w14:solidFill>
                    <w14:schemeClr w14:val="tx1"/>
                  </w14:solidFill>
                </w14:textFill>
              </w:rPr>
              <w:t>大力开展沿河畜禽养殖污染整治，大力推广生态种植，减少农药化肥使用量；普光气田开发污染防治和环境管理等方面要达国内先进水平</w:t>
            </w:r>
            <w:r>
              <w:rPr>
                <w:rFonts w:hint="eastAsia"/>
                <w:color w:val="000000" w:themeColor="text1"/>
                <w:szCs w:val="20"/>
                <w:highlight w:val="none"/>
                <w:lang w:eastAsia="zh-CN"/>
                <w14:textFill>
                  <w14:solidFill>
                    <w14:schemeClr w14:val="tx1"/>
                  </w14:solidFill>
                </w14:textFill>
              </w:rPr>
              <w:t>。</w:t>
            </w:r>
          </w:p>
        </w:tc>
        <w:tc>
          <w:tcPr>
            <w:tcW w:w="2900"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本项目为天然气</w:t>
            </w:r>
            <w:r>
              <w:rPr>
                <w:rFonts w:hint="eastAsia"/>
                <w:color w:val="000000" w:themeColor="text1"/>
                <w:szCs w:val="20"/>
                <w:highlight w:val="none"/>
                <w:lang w:val="en-US" w:eastAsia="zh-CN"/>
                <w14:textFill>
                  <w14:solidFill>
                    <w14:schemeClr w14:val="tx1"/>
                  </w14:solidFill>
                </w14:textFill>
              </w:rPr>
              <w:t>勘探</w:t>
            </w:r>
            <w:r>
              <w:rPr>
                <w:rFonts w:hint="default"/>
                <w:color w:val="000000" w:themeColor="text1"/>
                <w:szCs w:val="20"/>
                <w:highlight w:val="none"/>
                <w14:textFill>
                  <w14:solidFill>
                    <w14:schemeClr w14:val="tx1"/>
                  </w14:solidFill>
                </w14:textFill>
              </w:rPr>
              <w:t>和试采工程，</w:t>
            </w:r>
            <w:r>
              <w:rPr>
                <w:rFonts w:hint="eastAsia"/>
                <w:color w:val="000000" w:themeColor="text1"/>
                <w:szCs w:val="20"/>
                <w:highlight w:val="none"/>
                <w:lang w:val="en-US" w:eastAsia="zh-CN"/>
                <w14:textFill>
                  <w14:solidFill>
                    <w14:schemeClr w14:val="tx1"/>
                  </w14:solidFill>
                </w14:textFill>
              </w:rPr>
              <w:t>不属于</w:t>
            </w:r>
            <w:r>
              <w:rPr>
                <w:rFonts w:hint="default"/>
                <w:color w:val="000000" w:themeColor="text1"/>
                <w:szCs w:val="20"/>
                <w:highlight w:val="none"/>
                <w14:textFill>
                  <w14:solidFill>
                    <w14:schemeClr w14:val="tx1"/>
                  </w14:solidFill>
                </w14:textFill>
              </w:rPr>
              <w:t>天然气化工、硫化工、锂钾综合开发、冶金建材、新材料等产业</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不涉及畜禽养殖等，项目产生的少量</w:t>
            </w:r>
            <w:r>
              <w:rPr>
                <w:rFonts w:hint="default"/>
                <w:color w:val="000000" w:themeColor="text1"/>
                <w:szCs w:val="20"/>
                <w:highlight w:val="none"/>
                <w14:textFill>
                  <w14:solidFill>
                    <w14:schemeClr w14:val="tx1"/>
                  </w14:solidFill>
                </w14:textFill>
              </w:rPr>
              <w:t>VOCs</w:t>
            </w:r>
            <w:r>
              <w:rPr>
                <w:rFonts w:hint="eastAsia"/>
                <w:color w:val="000000" w:themeColor="text1"/>
                <w:szCs w:val="20"/>
                <w:highlight w:val="none"/>
                <w:lang w:val="en-US" w:eastAsia="zh-CN"/>
                <w14:textFill>
                  <w14:solidFill>
                    <w14:schemeClr w14:val="tx1"/>
                  </w14:solidFill>
                </w14:textFill>
              </w:rPr>
              <w:t>进行了收集处理，</w:t>
            </w:r>
            <w:r>
              <w:rPr>
                <w:rFonts w:hint="default"/>
                <w:color w:val="000000" w:themeColor="text1"/>
                <w:szCs w:val="20"/>
                <w:highlight w:val="none"/>
                <w14:textFill>
                  <w14:solidFill>
                    <w14:schemeClr w14:val="tx1"/>
                  </w14:solidFill>
                </w14:textFill>
              </w:rPr>
              <w:t>不</w:t>
            </w:r>
            <w:r>
              <w:rPr>
                <w:rFonts w:hint="eastAsia"/>
                <w:color w:val="000000" w:themeColor="text1"/>
                <w:szCs w:val="20"/>
                <w:highlight w:val="none"/>
                <w:lang w:val="en-US" w:eastAsia="zh-CN"/>
                <w14:textFill>
                  <w14:solidFill>
                    <w14:schemeClr w14:val="tx1"/>
                  </w14:solidFill>
                </w14:textFill>
              </w:rPr>
              <w:t>符合产业准入，</w:t>
            </w:r>
            <w:r>
              <w:rPr>
                <w:rFonts w:hint="default"/>
                <w:color w:val="000000" w:themeColor="text1"/>
                <w:szCs w:val="20"/>
                <w:highlight w:val="none"/>
                <w14:textFill>
                  <w14:solidFill>
                    <w14:schemeClr w14:val="tx1"/>
                  </w14:solidFill>
                </w14:textFill>
              </w:rPr>
              <w:t>同时落实中原油田普光分公司日常管理要求，确保本项目各种污染物得到妥善处置，开发污染防治和环境管理等方面要达国内先进水平。</w:t>
            </w:r>
          </w:p>
        </w:tc>
        <w:tc>
          <w:tcPr>
            <w:tcW w:w="5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0"/>
        <w:textAlignment w:val="auto"/>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eastAsia="zh-CN"/>
          <w14:textFill>
            <w14:solidFill>
              <w14:schemeClr w14:val="tx1"/>
            </w14:solidFill>
          </w14:textFill>
        </w:rPr>
        <w:t>由</w:t>
      </w:r>
      <w:r>
        <w:rPr>
          <w:rFonts w:hint="eastAsia"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上</w:t>
      </w:r>
      <w:r>
        <w:rPr>
          <w:rFonts w:hint="eastAsia" w:cs="Times New Roman"/>
          <w:bCs/>
          <w:snapToGrid/>
          <w:color w:val="000000" w:themeColor="text1"/>
          <w:spacing w:val="0"/>
          <w:w w:val="100"/>
          <w:kern w:val="21"/>
          <w:position w:val="0"/>
          <w:sz w:val="24"/>
          <w:szCs w:val="24"/>
          <w:highlight w:val="none"/>
          <w:u w:val="none"/>
          <w:lang w:eastAsia="zh-CN"/>
          <w14:textFill>
            <w14:solidFill>
              <w14:schemeClr w14:val="tx1"/>
            </w14:solidFill>
          </w14:textFill>
        </w:rPr>
        <w:t>表</w:t>
      </w: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可知，本项目符合</w:t>
      </w:r>
      <w:r>
        <w:rPr>
          <w:rFonts w:cs="Times New Roman"/>
          <w:color w:val="000000" w:themeColor="text1"/>
          <w:szCs w:val="24"/>
          <w:highlight w:val="none"/>
          <w14:textFill>
            <w14:solidFill>
              <w14:schemeClr w14:val="tx1"/>
            </w14:solidFill>
          </w14:textFill>
        </w:rPr>
        <w:t>达州市人民政府</w:t>
      </w:r>
      <w:r>
        <w:rPr>
          <w:rFonts w:hint="eastAsia" w:cs="Times New Roman"/>
          <w:color w:val="000000" w:themeColor="text1"/>
          <w:szCs w:val="24"/>
          <w:highlight w:val="none"/>
          <w:lang w:val="en-US" w:eastAsia="zh-CN"/>
          <w14:textFill>
            <w14:solidFill>
              <w14:schemeClr w14:val="tx1"/>
            </w14:solidFill>
          </w14:textFill>
        </w:rPr>
        <w:t>办公室</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关于加强生态环境分区管控的通知</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达市府办函</w:t>
      </w: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4</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31号</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提出的达州市和宣汉县</w:t>
      </w: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生态环境</w:t>
      </w:r>
      <w:r>
        <w:rPr>
          <w:rFonts w:hint="eastAsia"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管控</w:t>
      </w:r>
      <w:r>
        <w:rPr>
          <w:rFonts w:hint="eastAsia" w:ascii="Times New Roman" w:hAnsi="Times New Roman" w:eastAsia="宋体" w:cs="Times New Roman"/>
          <w:bCs/>
          <w:snapToGrid/>
          <w:color w:val="000000" w:themeColor="text1"/>
          <w:spacing w:val="0"/>
          <w:w w:val="100"/>
          <w:kern w:val="21"/>
          <w:position w:val="0"/>
          <w:sz w:val="24"/>
          <w:szCs w:val="24"/>
          <w:highlight w:val="none"/>
          <w:u w:val="none"/>
          <w:lang w:val="en-US" w:eastAsia="zh-CN"/>
          <w14:textFill>
            <w14:solidFill>
              <w14:schemeClr w14:val="tx1"/>
            </w14:solidFill>
          </w14:textFill>
        </w:rPr>
        <w:t>总体要求。</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eastAsia="黑体" w:cs="Times New Roman"/>
          <w:color w:val="000000" w:themeColor="text1"/>
          <w:highlight w:val="none"/>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6</w:t>
      </w:r>
      <w:r>
        <w:rPr>
          <w:rFonts w:eastAsia="黑体" w:cs="Times New Roman"/>
          <w:color w:val="000000" w:themeColor="text1"/>
          <w:highlight w:val="none"/>
          <w14:textFill>
            <w14:solidFill>
              <w14:schemeClr w14:val="tx1"/>
            </w14:solidFill>
          </w14:textFill>
        </w:rPr>
        <w:t>、与环境准入负面清单的符合性分析</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工程选址位于达州市宣汉县，根据《四川省人民政府关于落实生态保护红线、环境质量底线、资源利用上线，制定生态环境准入清单，实施生态环境分区管控的通知》（川府发〔2020〕9号），项目所在地属于川东北经济区，该区域总体生态环境管控要求为：</w:t>
      </w: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控制农村面源污染，提高污水收集处理率，加快乡镇污水处理基础设施建设。</w:t>
      </w: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建设流域水环境风险联防联控体系。</w:t>
      </w: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提高大气污染治理水平。</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本项目为天然气</w:t>
      </w:r>
      <w:r>
        <w:rPr>
          <w:rFonts w:hint="eastAsia" w:cs="Times New Roman"/>
          <w:color w:val="000000" w:themeColor="text1"/>
          <w:szCs w:val="24"/>
          <w:highlight w:val="none"/>
          <w:lang w:eastAsia="zh-CN"/>
          <w14:textFill>
            <w14:solidFill>
              <w14:schemeClr w14:val="tx1"/>
            </w14:solidFill>
          </w14:textFill>
        </w:rPr>
        <w:t>勘探和试采工程</w:t>
      </w:r>
      <w:r>
        <w:rPr>
          <w:rFonts w:cs="Times New Roman"/>
          <w:color w:val="000000" w:themeColor="text1"/>
          <w:szCs w:val="24"/>
          <w:highlight w:val="none"/>
          <w14:textFill>
            <w14:solidFill>
              <w14:schemeClr w14:val="tx1"/>
            </w14:solidFill>
          </w14:textFill>
        </w:rPr>
        <w:t>，不属于《四川省人民政府关于落实生态保护红线、环境质量底线、资源利用上线，制定生态环境准入清单，实施生态环境分区管控的通知》（川府发〔2020〕9号）中所列的建材、家具、电子信息、装备制造、先进材料、食品饮料、生物医药等行业，项目施工期和试采期废水不外排，试采期水套加热炉燃烧废气经排气筒排放，放空火炬长明灯烟气通过放空火炬高空排放，污染物排放量较小。项目所在地生态环境良好，无突出环境问题，因此，项目的建设满足《四川省人民政府关于落实生态保护红线、环境质量底线、资源利用上线，制定生态环境准入清单，实施生态环境分区管控的通知》（川府发〔2020〕9号）中川东北经济区的生态环境管控要求。</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工程不涉及《四川省国家重点生态功能区产业准入负面清单（第一批）（试行）》42个市县、《四川省重点生态功能区产业准入负面清单（第二批）（试行）》15个县。因此，不属于区域环境准入负面清单行业内容。</w:t>
      </w:r>
    </w:p>
    <w:p>
      <w:pPr>
        <w:autoSpaceDE w:val="0"/>
        <w:autoSpaceDN w:val="0"/>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本项目不涉及</w:t>
      </w:r>
      <w:r>
        <w:rPr>
          <w:rFonts w:cs="Times New Roman"/>
          <w:bCs/>
          <w:color w:val="000000" w:themeColor="text1"/>
          <w:szCs w:val="24"/>
          <w:highlight w:val="none"/>
          <w14:textFill>
            <w14:solidFill>
              <w14:schemeClr w14:val="tx1"/>
            </w14:solidFill>
          </w14:textFill>
        </w:rPr>
        <w:t>《四川省、重庆市长江经济带发展负面清单实施细则（试行，2022年版）》（川长江办〔2022〕17号）中限制与禁止建设的项目</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本项目与</w:t>
      </w:r>
      <w:r>
        <w:rPr>
          <w:rFonts w:cs="Times New Roman"/>
          <w:bCs/>
          <w:color w:val="000000" w:themeColor="text1"/>
          <w:szCs w:val="24"/>
          <w:highlight w:val="none"/>
          <w14:textFill>
            <w14:solidFill>
              <w14:schemeClr w14:val="tx1"/>
            </w14:solidFill>
          </w14:textFill>
        </w:rPr>
        <w:t>《四川省、重庆市长江经济带发展负面清单实施细则（试行，2022年版）》（川长江办〔2022〕17号）</w:t>
      </w:r>
      <w:r>
        <w:rPr>
          <w:rFonts w:hint="eastAsia" w:cs="Times New Roman"/>
          <w:bCs/>
          <w:color w:val="000000" w:themeColor="text1"/>
          <w:szCs w:val="24"/>
          <w:highlight w:val="none"/>
          <w:lang w:val="en-US" w:eastAsia="zh-CN"/>
          <w14:textFill>
            <w14:solidFill>
              <w14:schemeClr w14:val="tx1"/>
            </w14:solidFill>
          </w14:textFill>
        </w:rPr>
        <w:t>符合性分析如下</w:t>
      </w:r>
      <w:r>
        <w:rPr>
          <w:rFonts w:cs="Times New Roman"/>
          <w:bCs/>
          <w:color w:val="000000" w:themeColor="text1"/>
          <w:szCs w:val="24"/>
          <w:highlight w:val="none"/>
          <w14:textFill>
            <w14:solidFill>
              <w14:schemeClr w14:val="tx1"/>
            </w14:solidFill>
          </w14:textFill>
        </w:rPr>
        <w:t>。</w:t>
      </w:r>
    </w:p>
    <w:p>
      <w:pPr>
        <w:pStyle w:val="201"/>
        <w:spacing w:before="12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表</w:t>
      </w:r>
      <w:r>
        <w:rPr>
          <w:rFonts w:hint="eastAsia" w:ascii="Times New Roman" w:hAnsi="Times New Roman" w:cs="Times New Roman"/>
          <w:color w:val="000000" w:themeColor="text1"/>
          <w:highlight w:val="none"/>
          <w14:textFill>
            <w14:solidFill>
              <w14:schemeClr w14:val="tx1"/>
            </w14:solidFill>
          </w14:textFill>
        </w:rPr>
        <w:fldChar w:fldCharType="begin"/>
      </w:r>
      <w:r>
        <w:rPr>
          <w:rFonts w:hint="eastAsia" w:ascii="Times New Roman" w:hAnsi="Times New Roman" w:cs="Times New Roman"/>
          <w:color w:val="000000" w:themeColor="text1"/>
          <w:highlight w:val="none"/>
          <w14:textFill>
            <w14:solidFill>
              <w14:schemeClr w14:val="tx1"/>
            </w14:solidFill>
          </w14:textFill>
        </w:rPr>
        <w:instrText xml:space="preserve"> STYLEREF 2 \s </w:instrText>
      </w:r>
      <w:r>
        <w:rPr>
          <w:rFonts w:hint="eastAsia" w:ascii="Times New Roman" w:hAnsi="Times New Roman" w:cs="Times New Roman"/>
          <w:color w:val="000000" w:themeColor="text1"/>
          <w:highlight w:val="none"/>
          <w14:textFill>
            <w14:solidFill>
              <w14:schemeClr w14:val="tx1"/>
            </w14:solidFill>
          </w14:textFill>
        </w:rPr>
        <w:fldChar w:fldCharType="separate"/>
      </w:r>
      <w:r>
        <w:rPr>
          <w:rFonts w:hint="eastAsia" w:ascii="Times New Roman" w:hAnsi="Times New Roman" w:cs="Times New Roman"/>
          <w:color w:val="000000" w:themeColor="text1"/>
          <w:highlight w:val="none"/>
          <w14:textFill>
            <w14:solidFill>
              <w14:schemeClr w14:val="tx1"/>
            </w14:solidFill>
          </w14:textFill>
        </w:rPr>
        <w:t>2.7</w:t>
      </w:r>
      <w:r>
        <w:rPr>
          <w:rFonts w:hint="eastAsia" w:ascii="Times New Roman" w:hAnsi="Times New Roman" w:cs="Times New Roman"/>
          <w:color w:val="000000" w:themeColor="text1"/>
          <w:highlight w:val="none"/>
          <w14:textFill>
            <w14:solidFill>
              <w14:schemeClr w14:val="tx1"/>
            </w14:solidFill>
          </w14:textFill>
        </w:rPr>
        <w:fldChar w:fldCharType="end"/>
      </w:r>
      <w:r>
        <w:rPr>
          <w:rFonts w:hint="eastAsia" w:ascii="Times New Roman" w:hAnsi="Times New Roman" w:cs="Times New Roman"/>
          <w:color w:val="000000" w:themeColor="text1"/>
          <w:highlight w:val="none"/>
          <w14:textFill>
            <w14:solidFill>
              <w14:schemeClr w14:val="tx1"/>
            </w14:solidFill>
          </w14:textFill>
        </w:rPr>
        <w:noBreakHyphen/>
      </w:r>
      <w:r>
        <w:rPr>
          <w:rFonts w:hint="eastAsia" w:cs="Times New Roman"/>
          <w:color w:val="000000" w:themeColor="text1"/>
          <w:highlight w:val="none"/>
          <w:lang w:val="en-US" w:eastAsia="zh-CN"/>
          <w14:textFill>
            <w14:solidFill>
              <w14:schemeClr w14:val="tx1"/>
            </w14:solidFill>
          </w14:textFill>
        </w:rPr>
        <w:t>23</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与川长江办发〔</w:t>
      </w:r>
      <w:r>
        <w:rPr>
          <w:rFonts w:hint="default" w:ascii="Times New Roman" w:hAnsi="Times New Roman" w:cs="Times New Roman"/>
          <w:color w:val="000000" w:themeColor="text1"/>
          <w:highlight w:val="none"/>
          <w:lang w:val="en-US" w:eastAsia="zh-CN"/>
          <w14:textFill>
            <w14:solidFill>
              <w14:schemeClr w14:val="tx1"/>
            </w14:solidFill>
          </w14:textFill>
        </w:rPr>
        <w:t>2022</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17</w:t>
      </w:r>
      <w:r>
        <w:rPr>
          <w:rFonts w:hint="eastAsia" w:ascii="Times New Roman" w:hAnsi="Times New Roman" w:cs="Times New Roman"/>
          <w:color w:val="000000" w:themeColor="text1"/>
          <w:highlight w:val="none"/>
          <w:lang w:val="en-US" w:eastAsia="zh-CN"/>
          <w14:textFill>
            <w14:solidFill>
              <w14:schemeClr w14:val="tx1"/>
            </w14:solidFill>
          </w14:textFill>
        </w:rPr>
        <w:t>号符合性分析表</w:t>
      </w:r>
    </w:p>
    <w:tbl>
      <w:tblPr>
        <w:tblStyle w:val="5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05"/>
        <w:gridCol w:w="4082"/>
        <w:gridCol w:w="2521"/>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top w:val="single" w:color="auto" w:sz="4" w:space="0"/>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序号</w:t>
            </w:r>
          </w:p>
        </w:tc>
        <w:tc>
          <w:tcPr>
            <w:tcW w:w="4082" w:type="dxa"/>
            <w:tcBorders>
              <w:top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相关要求</w:t>
            </w:r>
          </w:p>
        </w:tc>
        <w:tc>
          <w:tcPr>
            <w:tcW w:w="2521" w:type="dxa"/>
            <w:tcBorders>
              <w:top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本项目情况</w:t>
            </w:r>
          </w:p>
        </w:tc>
        <w:tc>
          <w:tcPr>
            <w:tcW w:w="1012" w:type="dxa"/>
            <w:tcBorders>
              <w:top w:val="single" w:color="auto" w:sz="4" w:space="0"/>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禁止新建、改建和扩建不符合全国港口布局规划，以及《四川省内河水运发展规划》《泸州一宜宾一乐山港口群布局以及《重庆港总体规划（2035年）》等省级港口布局规划及市级规划港口总体规划的码头项目。</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为天然气勘探及试采项目，</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不属于码头</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项目</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2</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禁止新建、改建和扩建不符合《长江干线过江通道布局规划（2020-2035）》的过长江通道项目（含桥梁、隧道），布局规划（</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2020</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2035</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的过长江通道项目（含桥梁、隧道），国家发展改革委同意过长江通道线位调整的除外。禁止在自然保护区核心区、缓冲区的岸线和河段范围内投资建设旅游和生产经营项目。自然保护区的内部未分区的，依照核心区和缓冲区的规定管控。</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本项目不属于过长江通道项目。</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3</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本项目不涉及自然保护区。</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4</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禁止违反风景名胜区规划，在风景名胜区内设立各类开发区。禁止在风景名胜区核心景区的岸线和河段范围内建设宾馆、招待所、培训中心、疗养院以及与风景名</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胜区</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资源保护无关的项目。</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本项目不涉及风景名胜区。</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5</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禁止在饮用水水源准保护区的岸线和河段范围内新建、扩建对水体污染严重的建设项目，禁止改建增加排污量的建设项目。</w:t>
            </w:r>
          </w:p>
        </w:tc>
        <w:tc>
          <w:tcPr>
            <w:tcW w:w="2521" w:type="dxa"/>
            <w:vMerge w:val="restart"/>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本项目不涉及饮用水水源</w:t>
            </w:r>
            <w:r>
              <w:rPr>
                <w:rFonts w:hint="eastAsia" w:ascii="Times New Roman" w:hAnsi="Times New Roman"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保护区和</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准保护区</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6</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2521" w:type="dxa"/>
            <w:vMerge w:val="continue"/>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7</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521" w:type="dxa"/>
            <w:vMerge w:val="continue"/>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8</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禁止在水产种质资源保护区岸线和河段范围内新建围湖造田、围湖造地或挖沙采石等投资建设项目。</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水产种质资源保护区</w:t>
            </w:r>
            <w:r>
              <w:rPr>
                <w:rFonts w:hint="eastAsia"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9</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本项目不涉及国家湿地公园。</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10</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本项目不涉及长江流域河湖岸线</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11</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禁止在《全国重要江河湖泊水功能区划》划定的河段及湖泊保护区、保留区内投资建设不利于水资源及自然生态保护的项目。</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《全国重要江河湖泊水功能区划》划定的河段及湖泊保护区、保留区</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12</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w:t>
            </w:r>
            <w:r>
              <w:rPr>
                <w:rFonts w:hint="eastAsia" w:ascii="Times New Roman" w:hAnsi="Times New Roman"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各类废水均不外排，不新增或扩大排污口</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13</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禁止在长江干流、大渡河、岷江、赤水河、沱江、嘉陵江、乌江、汉江和51个（四川省45个、重庆市6个）水生生物保护区开展生产性捕捞。</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本项目不涉及生产性捕捞。</w:t>
            </w:r>
          </w:p>
        </w:tc>
        <w:tc>
          <w:tcPr>
            <w:tcW w:w="1012" w:type="dxa"/>
            <w:tcBorders>
              <w:righ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14</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禁止在长江干支流、重要湖泊岸线一公里范围内新建、扩建化工园区和化工项目。</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本项目不属于化工项目。</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15</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本项目不涉及尾矿库、冶炼渣库、磷石膏库等的建设。</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16</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禁止在生态保护红线区域、永久基本农田集中区域和其他需要特别保护的区域内选址建设尾矿库、冶炼渣库、磷石膏库。</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本项目不涉及尾矿库、冶炼渣库、磷石膏库等的建设。</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17</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禁止在合规园区外新建、扩建钢铁、石化、化工、焦化、建材、有色、制浆造纸等高污染项目。</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不涉及</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钢铁、石化、化工、焦化、建材、有色、制浆造纸等高污染项目</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18</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标准</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不涉及左述项目。</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19</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本项目属于《产业结构调整指导目录（20</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24</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年）》中鼓励类项目。</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20</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2521"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本项目不属于严重过剩产能行业。</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21</w:t>
            </w:r>
          </w:p>
        </w:tc>
        <w:tc>
          <w:tcPr>
            <w:tcW w:w="4082" w:type="dxa"/>
            <w:tcBorders>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禁止建设以下燃油汽车投资项目</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不在中国境内销售产品的投资项目除外</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）：（一）</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新建独立燃油汽车企业；</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二</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现有汽车企业跨乘用车、商用车类别建设燃油汽车生产能力；</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三</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外省现有燃油汽车企业整体搬迁至本省</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列入国家级区域发展规划或不改变企业股权结构的项目除外</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四</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对行业管理部门特别公示的燃油汽车企业进行投资</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企业原有股东投资或将该企业转为非独立法人的投资项目除外</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w:t>
            </w:r>
          </w:p>
        </w:tc>
        <w:tc>
          <w:tcPr>
            <w:tcW w:w="2521" w:type="dxa"/>
            <w:tcBorders>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本项目不涉及</w:t>
            </w:r>
            <w:r>
              <w:rPr>
                <w:rFonts w:hint="eastAsia"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左述所列行业</w:t>
            </w: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w:t>
            </w:r>
          </w:p>
        </w:tc>
        <w:tc>
          <w:tcPr>
            <w:tcW w:w="1012" w:type="dxa"/>
            <w:tcBorders>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05" w:type="dxa"/>
            <w:tcBorders>
              <w:left w:val="single" w:color="auto" w:sz="4" w:space="0"/>
              <w:bottom w:val="single" w:color="auto" w:sz="4" w:space="0"/>
              <w:tl2br w:val="nil"/>
              <w:tr2bl w:val="nil"/>
            </w:tcBorders>
            <w:vAlign w:val="center"/>
          </w:tcPr>
          <w:p>
            <w:pPr>
              <w:pStyle w:val="13"/>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22</w:t>
            </w:r>
          </w:p>
        </w:tc>
        <w:tc>
          <w:tcPr>
            <w:tcW w:w="4082" w:type="dxa"/>
            <w:tcBorders>
              <w:bottom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禁止新建、扩建不符合要求的高耗能、高排放、低水平项目。</w:t>
            </w:r>
          </w:p>
        </w:tc>
        <w:tc>
          <w:tcPr>
            <w:tcW w:w="2521" w:type="dxa"/>
            <w:tcBorders>
              <w:bottom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spacing w:val="0"/>
                <w:w w:val="100"/>
                <w:kern w:val="21"/>
                <w:position w:val="0"/>
                <w:sz w:val="21"/>
                <w:szCs w:val="21"/>
                <w:highlight w:val="none"/>
                <w:lang w:val="en-US" w:eastAsia="zh-CN" w:bidi="ar"/>
                <w14:textFill>
                  <w14:solidFill>
                    <w14:schemeClr w14:val="tx1"/>
                  </w14:solidFill>
                </w14:textFill>
              </w:rPr>
              <w:t>本项目不属于高耗能、高排放、低水平项目。</w:t>
            </w:r>
          </w:p>
        </w:tc>
        <w:tc>
          <w:tcPr>
            <w:tcW w:w="1012" w:type="dxa"/>
            <w:tcBorders>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spacing w:val="0"/>
                <w:w w:val="100"/>
                <w:kern w:val="21"/>
                <w:position w:val="0"/>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64" w:beforeLines="50"/>
        <w:ind w:firstLine="480"/>
        <w:textAlignment w:val="auto"/>
        <w:rPr>
          <w:rFonts w:ascii="Times New Roman" w:hAnsi="Times New Roman" w:cs="Times New Roman"/>
          <w:color w:val="000000" w:themeColor="text1"/>
          <w:szCs w:val="24"/>
          <w:highlight w:val="none"/>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由上表可知，本项目符合《四川省、重庆市长江经济带发展负面清单实施细则》（试行、</w:t>
      </w:r>
      <w:r>
        <w:rPr>
          <w:rFonts w:hint="default" w:ascii="Times New Roman" w:hAnsi="Times New Roman" w:cs="Times New Roman"/>
          <w:color w:val="000000" w:themeColor="text1"/>
          <w:szCs w:val="24"/>
          <w:highlight w:val="none"/>
          <w:lang w:val="en-US" w:eastAsia="zh-CN"/>
          <w14:textFill>
            <w14:solidFill>
              <w14:schemeClr w14:val="tx1"/>
            </w14:solidFill>
          </w14:textFill>
        </w:rPr>
        <w:t>2022</w:t>
      </w:r>
      <w:r>
        <w:rPr>
          <w:rFonts w:hint="eastAsia" w:ascii="Times New Roman" w:hAnsi="Times New Roman" w:cs="Times New Roman"/>
          <w:color w:val="000000" w:themeColor="text1"/>
          <w:szCs w:val="24"/>
          <w:highlight w:val="none"/>
          <w:lang w:val="en-US" w:eastAsia="zh-CN"/>
          <w14:textFill>
            <w14:solidFill>
              <w14:schemeClr w14:val="tx1"/>
            </w14:solidFill>
          </w14:textFill>
        </w:rPr>
        <w:t>年版）（川长江办发〔</w:t>
      </w:r>
      <w:r>
        <w:rPr>
          <w:rFonts w:hint="default" w:ascii="Times New Roman" w:hAnsi="Times New Roman" w:cs="Times New Roman"/>
          <w:color w:val="000000" w:themeColor="text1"/>
          <w:szCs w:val="24"/>
          <w:highlight w:val="none"/>
          <w:lang w:val="en-US" w:eastAsia="zh-CN"/>
          <w14:textFill>
            <w14:solidFill>
              <w14:schemeClr w14:val="tx1"/>
            </w14:solidFill>
          </w14:textFill>
        </w:rPr>
        <w:t>2022</w:t>
      </w:r>
      <w:r>
        <w:rPr>
          <w:rFonts w:hint="eastAsia" w:ascii="Times New Roman" w:hAnsi="Times New Roman" w:cs="Times New Roman"/>
          <w:color w:val="000000" w:themeColor="text1"/>
          <w:szCs w:val="24"/>
          <w:highlight w:val="none"/>
          <w:lang w:val="en-US"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17</w:t>
      </w:r>
      <w:r>
        <w:rPr>
          <w:rFonts w:hint="eastAsia" w:ascii="Times New Roman" w:hAnsi="Times New Roman" w:cs="Times New Roman"/>
          <w:color w:val="000000" w:themeColor="text1"/>
          <w:szCs w:val="24"/>
          <w:highlight w:val="none"/>
          <w:lang w:val="en-US" w:eastAsia="zh-CN"/>
          <w14:textFill>
            <w14:solidFill>
              <w14:schemeClr w14:val="tx1"/>
            </w14:solidFill>
          </w14:textFill>
        </w:rPr>
        <w:t>号）的相关要求。</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综上，本项目位于达州市四川省达州市</w:t>
      </w:r>
      <w:r>
        <w:rPr>
          <w:rFonts w:hint="eastAsia" w:cs="Times New Roman"/>
          <w:color w:val="000000" w:themeColor="text1"/>
          <w:highlight w:val="none"/>
          <w:lang w:eastAsia="zh-CN"/>
          <w14:textFill>
            <w14:solidFill>
              <w14:schemeClr w14:val="tx1"/>
            </w14:solidFill>
          </w14:textFill>
        </w:rPr>
        <w:t>宣汉县***</w:t>
      </w:r>
      <w:r>
        <w:rPr>
          <w:rFonts w:cs="Times New Roman"/>
          <w:color w:val="000000" w:themeColor="text1"/>
          <w:szCs w:val="24"/>
          <w:highlight w:val="none"/>
          <w14:textFill>
            <w14:solidFill>
              <w14:schemeClr w14:val="tx1"/>
            </w14:solidFill>
          </w14:textFill>
        </w:rPr>
        <w:t>，查阅相关资料，项目建设区域不属于自然保护区、风景名胜区、饮用水源保护区以及生态保护红线范围等。项目为天然气钻探与试采项目，属于鼓励类项目</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项目的建设满足区域</w:t>
      </w:r>
      <w:r>
        <w:rPr>
          <w:rFonts w:ascii="宋体" w:hAnsi="宋体" w:cs="Times New Roman"/>
          <w:color w:val="000000" w:themeColor="text1"/>
          <w:szCs w:val="24"/>
          <w:highlight w:val="none"/>
          <w14:textFill>
            <w14:solidFill>
              <w14:schemeClr w14:val="tx1"/>
            </w14:solidFill>
          </w14:textFill>
        </w:rPr>
        <w:t>“三线一单”</w:t>
      </w:r>
      <w:r>
        <w:rPr>
          <w:rFonts w:cs="Times New Roman"/>
          <w:color w:val="000000" w:themeColor="text1"/>
          <w:szCs w:val="24"/>
          <w:highlight w:val="none"/>
          <w14:textFill>
            <w14:solidFill>
              <w14:schemeClr w14:val="tx1"/>
            </w14:solidFill>
          </w14:textFill>
        </w:rPr>
        <w:t>的环境管理要求。</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eastAsia="黑体" w:cs="Times New Roman"/>
          <w:color w:val="000000" w:themeColor="text1"/>
          <w:highlight w:val="none"/>
          <w:lang w:eastAsia="zh-CN"/>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项目周边饮用水水源地保护区符合性分析</w:t>
      </w:r>
    </w:p>
    <w:p>
      <w:pPr>
        <w:ind w:firstLine="482"/>
        <w:rPr>
          <w:rFonts w:cs="Times New Roman"/>
          <w:b/>
          <w:bCs/>
          <w:color w:val="000000" w:themeColor="text1"/>
          <w:kern w:val="0"/>
          <w:szCs w:val="24"/>
          <w:highlight w:val="none"/>
          <w14:textFill>
            <w14:solidFill>
              <w14:schemeClr w14:val="tx1"/>
            </w14:solidFill>
          </w14:textFill>
        </w:rPr>
      </w:pPr>
      <w:r>
        <w:rPr>
          <w:rFonts w:hint="eastAsia" w:cs="Times New Roman"/>
          <w:b/>
          <w:bCs/>
          <w:color w:val="000000" w:themeColor="text1"/>
          <w:kern w:val="0"/>
          <w:szCs w:val="24"/>
          <w:highlight w:val="none"/>
          <w14:textFill>
            <w14:solidFill>
              <w14:schemeClr w14:val="tx1"/>
            </w14:solidFill>
          </w14:textFill>
        </w:rPr>
        <w:t>（1）项目与周边饮用水水源地保护区位置关系</w:t>
      </w:r>
    </w:p>
    <w:p>
      <w:pPr>
        <w:ind w:firstLine="480"/>
        <w:rPr>
          <w:color w:val="000000" w:themeColor="text1"/>
          <w:highlight w:val="none"/>
          <w14:textFill>
            <w14:solidFill>
              <w14:schemeClr w14:val="tx1"/>
            </w14:solidFill>
          </w14:textFill>
        </w:rPr>
      </w:pPr>
      <w:r>
        <w:rPr>
          <w:rFonts w:hint="eastAsia" w:cs="Times New Roman"/>
          <w:bCs/>
          <w:color w:val="000000" w:themeColor="text1"/>
          <w:kern w:val="0"/>
          <w:szCs w:val="24"/>
          <w14:textFill>
            <w14:solidFill>
              <w14:schemeClr w14:val="tx1"/>
            </w14:solidFill>
          </w14:textFill>
        </w:rPr>
        <w:t>通过与宣汉县饮用水源地保护区叠图，本项目距宣汉县最近的饮用水水源保护区为明月羊儿沟饮用水水源保护区，项目距明月羊儿沟饮用水水源保护区一级陆域最近距离约为8</w:t>
      </w:r>
      <w:r>
        <w:rPr>
          <w:rFonts w:cs="Times New Roman"/>
          <w:bCs/>
          <w:color w:val="000000" w:themeColor="text1"/>
          <w:kern w:val="0"/>
          <w:szCs w:val="24"/>
          <w14:textFill>
            <w14:solidFill>
              <w14:schemeClr w14:val="tx1"/>
            </w14:solidFill>
          </w14:textFill>
        </w:rPr>
        <w:t>730</w:t>
      </w:r>
      <w:r>
        <w:rPr>
          <w:rFonts w:hint="eastAsia" w:cs="Times New Roman"/>
          <w:bCs/>
          <w:color w:val="000000" w:themeColor="text1"/>
          <w:kern w:val="0"/>
          <w:szCs w:val="24"/>
          <w14:textFill>
            <w14:solidFill>
              <w14:schemeClr w14:val="tx1"/>
            </w14:solidFill>
          </w14:textFill>
        </w:rPr>
        <w:t>m</w:t>
      </w:r>
      <w:r>
        <w:rPr>
          <w:rFonts w:hint="eastAsia" w:cs="Times New Roman"/>
          <w:color w:val="000000" w:themeColor="text1"/>
          <w:kern w:val="0"/>
          <w:szCs w:val="24"/>
          <w:highlight w:val="none"/>
          <w14:textFill>
            <w14:solidFill>
              <w14:schemeClr w14:val="tx1"/>
            </w14:solidFill>
          </w14:textFill>
        </w:rPr>
        <w:t>。</w:t>
      </w:r>
    </w:p>
    <w:p>
      <w:pPr>
        <w:spacing w:before="120" w:beforeLines="50"/>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通过与通川区饮用水源地保护区叠图，本项目距通川区最近的饮用水水源保护区为罗江库区水源地保护区，根据四川省人民政府下发了《关于同意调整达州市、德阳市饮用水水源保护区的批复》（川府函〔2012〕73号），结合现场调查，罗江库区取水口位于通川区罗江镇红梁村3组州河盐点河段（罗江口水库大坝上游400m附近），一级保护区水域范围为取水点上游1000m，下游至罗江电站大坝内的水库区域，以及水库正常水位线淹没的区域。二级保护区为一级保护区上游边界向上游延伸2500米的水库正常水位线内的水域，以及沿二级保护区水域正常水位线纵深水平距离1000米的陆域（不超过二级水域保护区所在河段的流域分水线）和沿陆域一级保护区边界纵深1000米的陆域（不超过一级水域保护区所在河段的流域分水线）。准保护区为二级保护区上游边界向上游延伸5000米的水库正常水位线内的水域，以及沿水库准保护区水域正常水位线纵深水平距离1000米的陆域（不超过准保护区所在河段的流域分水线）。</w:t>
      </w:r>
    </w:p>
    <w:p>
      <w:pPr>
        <w:pStyle w:val="14"/>
        <w:spacing w:before="0" w:beforeLines="0" w:after="120" w:afterLines="50"/>
        <w:jc w:val="left"/>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距离罗江库区饮用水源保护区准保护区陆域最近距离630m，距离取水口4.3km，本项目位于保护区取水口上游，但施工废水不外排，生活污水全部拉运处理；试采期间气田水进入污水罐，然后通过密闭罐车拉运至赵家坝污水处理站（1号气田水处理站）处理达到《气田水注入技术要求》（SY/T6596-2016）中注入水基本要求后管输至普光3井回注站回注处理，不外排。试采期</w:t>
      </w:r>
      <w:r>
        <w:rPr>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4196080</wp:posOffset>
                </wp:positionH>
                <wp:positionV relativeFrom="paragraph">
                  <wp:posOffset>2656205</wp:posOffset>
                </wp:positionV>
                <wp:extent cx="1169035" cy="23622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169035" cy="236220"/>
                        </a:xfrm>
                        <a:prstGeom prst="rect">
                          <a:avLst/>
                        </a:prstGeom>
                        <a:no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宋体"/>
                                <w:b/>
                                <w:bCs/>
                                <w:color w:val="808080" w:themeColor="text1" w:themeTint="80"/>
                                <w:sz w:val="16"/>
                                <w:szCs w:val="15"/>
                                <w:lang w:val="en-US" w:eastAsia="zh-CN"/>
                                <w14:textFill>
                                  <w14:solidFill>
                                    <w14:schemeClr w14:val="tx1">
                                      <w14:lumMod w14:val="50000"/>
                                      <w14:lumOff w14:val="50000"/>
                                    </w14:schemeClr>
                                  </w14:solidFill>
                                </w14:textFill>
                              </w:rPr>
                            </w:pPr>
                            <w:r>
                              <w:rPr>
                                <w:rFonts w:hint="eastAsia"/>
                                <w:b/>
                                <w:bCs/>
                                <w:color w:val="808080" w:themeColor="text1" w:themeTint="80"/>
                                <w:sz w:val="16"/>
                                <w:szCs w:val="15"/>
                                <w:lang w:val="en-US" w:eastAsia="zh-CN"/>
                                <w14:textFill>
                                  <w14:solidFill>
                                    <w14:schemeClr w14:val="tx1">
                                      <w14:lumMod w14:val="50000"/>
                                      <w14:lumOff w14:val="50000"/>
                                    </w14:schemeClr>
                                  </w14:solidFill>
                                </w14:textFill>
                              </w:rPr>
                              <w:t>普光气田雷页1井组试验项目</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30.4pt;margin-top:209.15pt;height:18.6pt;width:92.05pt;z-index:251713536;mso-width-relative:page;mso-height-relative:page;" filled="f" stroked="f" coordsize="21600,21600" o:gfxdata="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PHdDdgAAAALAQAA&#10;DwAAAAAAAAABACAAAAAiAAAAZHJzL2Rvd25yZXYueG1sUEsBAhQAFAAAAAgAh07iQDETOAFSAgAA&#10;jQQAAA4AAAAAAAAAAQAgAAAAJwEAAGRycy9lMm9Eb2MueG1sUEsFBgAAAAAGAAYAWQEAAOsFAAAA&#10;AA==&#10;">
                <v:fill on="f" focussize="0,0"/>
                <v:stroke on="f"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宋体"/>
                          <w:b/>
                          <w:bCs/>
                          <w:color w:val="808080" w:themeColor="text1" w:themeTint="80"/>
                          <w:sz w:val="16"/>
                          <w:szCs w:val="15"/>
                          <w:lang w:val="en-US" w:eastAsia="zh-CN"/>
                          <w14:textFill>
                            <w14:solidFill>
                              <w14:schemeClr w14:val="tx1">
                                <w14:lumMod w14:val="50000"/>
                                <w14:lumOff w14:val="50000"/>
                              </w14:schemeClr>
                            </w14:solidFill>
                          </w14:textFill>
                        </w:rPr>
                      </w:pPr>
                      <w:r>
                        <w:rPr>
                          <w:rFonts w:hint="eastAsia"/>
                          <w:b/>
                          <w:bCs/>
                          <w:color w:val="808080" w:themeColor="text1" w:themeTint="80"/>
                          <w:sz w:val="16"/>
                          <w:szCs w:val="15"/>
                          <w:lang w:val="en-US" w:eastAsia="zh-CN"/>
                          <w14:textFill>
                            <w14:solidFill>
                              <w14:schemeClr w14:val="tx1">
                                <w14:lumMod w14:val="50000"/>
                                <w14:lumOff w14:val="50000"/>
                              </w14:schemeClr>
                            </w14:solidFill>
                          </w14:textFill>
                        </w:rPr>
                        <w:t>普光气田雷页1井组试验项目</w:t>
                      </w:r>
                    </w:p>
                  </w:txbxContent>
                </v:textbox>
              </v:shape>
            </w:pict>
          </mc:Fallback>
        </mc:AlternateContent>
      </w:r>
      <w:r>
        <w:rPr>
          <w:rFonts w:hint="eastAsia" w:cs="Times New Roman"/>
          <w:bCs/>
          <w:color w:val="000000" w:themeColor="text1"/>
          <w:kern w:val="0"/>
          <w:szCs w:val="24"/>
          <w14:textFill>
            <w14:solidFill>
              <w14:schemeClr w14:val="tx1"/>
            </w14:solidFill>
          </w14:textFill>
        </w:rPr>
        <w:t>雷页1井试采站设置10人值守，生活污水经生态厕所收集后定期由密闭罐车拉运至周边生活污水处理厂处理。项目施工期及运营期所产废水均不会影响该保护区水质</w:t>
      </w:r>
      <w:r>
        <w:rPr>
          <w:rFonts w:hint="eastAsia" w:cs="Times New Roman"/>
          <w:color w:val="000000" w:themeColor="text1"/>
          <w:kern w:val="0"/>
          <w:szCs w:val="24"/>
          <w14:textFill>
            <w14:solidFill>
              <w14:schemeClr w14:val="tx1"/>
            </w14:solidFill>
          </w14:textFill>
        </w:rPr>
        <w:t>。</w:t>
      </w:r>
    </w:p>
    <w:p>
      <w:pPr>
        <w:ind w:firstLine="482"/>
        <w:rPr>
          <w:rFonts w:cs="Times New Roman"/>
          <w:b/>
          <w:bCs/>
          <w:color w:val="000000" w:themeColor="text1"/>
          <w:kern w:val="0"/>
          <w:szCs w:val="24"/>
          <w:highlight w:val="none"/>
          <w14:textFill>
            <w14:solidFill>
              <w14:schemeClr w14:val="tx1"/>
            </w14:solidFill>
          </w14:textFill>
        </w:rPr>
      </w:pPr>
      <w:r>
        <w:rPr>
          <w:rFonts w:hint="eastAsia" w:cs="Times New Roman"/>
          <w:b/>
          <w:bCs/>
          <w:color w:val="000000" w:themeColor="text1"/>
          <w:kern w:val="0"/>
          <w:szCs w:val="24"/>
          <w:highlight w:val="none"/>
          <w14:textFill>
            <w14:solidFill>
              <w14:schemeClr w14:val="tx1"/>
            </w14:solidFill>
          </w14:textFill>
        </w:rPr>
        <w:t>（2）项目与《达州市饮用水水源地保护区管理条例》符合性分析</w:t>
      </w:r>
    </w:p>
    <w:p>
      <w:pPr>
        <w:autoSpaceDE w:val="0"/>
        <w:autoSpaceDN w:val="0"/>
        <w:ind w:firstLine="480"/>
        <w:jc w:val="left"/>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w:t>
      </w:r>
      <w:r>
        <w:rPr>
          <w:rFonts w:hint="eastAsia" w:cs="Times New Roman"/>
          <w:bCs/>
          <w:color w:val="000000" w:themeColor="text1"/>
          <w:szCs w:val="24"/>
          <w:highlight w:val="none"/>
          <w14:textFill>
            <w14:solidFill>
              <w14:schemeClr w14:val="tx1"/>
            </w14:solidFill>
          </w14:textFill>
        </w:rPr>
        <w:t>2020年3月31日四川省第十三届人民代表大会常务委员会第十七次会议批准的《关于修改</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达州市集中式饮用水水源保护管理条例</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的决定》修正）（2020年4月2日施行），</w:t>
      </w:r>
      <w:r>
        <w:rPr>
          <w:rFonts w:cs="Times New Roman"/>
          <w:bCs/>
          <w:color w:val="000000" w:themeColor="text1"/>
          <w:szCs w:val="24"/>
          <w:highlight w:val="none"/>
          <w14:textFill>
            <w14:solidFill>
              <w14:schemeClr w14:val="tx1"/>
            </w14:solidFill>
          </w14:textFill>
        </w:rPr>
        <w:t>本项目与其符合性分析如下：</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与《达州市饮用水水源地保护区管理条例》符合性分析</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5"/>
        <w:gridCol w:w="3757"/>
        <w:gridCol w:w="303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 w:hRule="atLeast"/>
          <w:tblHeader/>
          <w:jc w:val="center"/>
        </w:trPr>
        <w:tc>
          <w:tcPr>
            <w:tcW w:w="32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228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条例管理要求</w:t>
            </w:r>
          </w:p>
        </w:tc>
        <w:tc>
          <w:tcPr>
            <w:tcW w:w="184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项目内容</w:t>
            </w:r>
          </w:p>
        </w:tc>
        <w:tc>
          <w:tcPr>
            <w:tcW w:w="54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第十八条</w:t>
            </w: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集中式饮用水水源保护区内，禁止设置排污口。</w:t>
            </w:r>
          </w:p>
        </w:tc>
        <w:tc>
          <w:tcPr>
            <w:tcW w:w="1843" w:type="pc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本项目各类废水均依托处置，不设置排污口</w:t>
            </w:r>
            <w:r>
              <w:rPr>
                <w:rFonts w:hint="eastAsia"/>
                <w:color w:val="000000" w:themeColor="text1"/>
                <w:szCs w:val="20"/>
                <w:highlight w:val="none"/>
                <w:lang w:eastAsia="zh-CN"/>
                <w14:textFill>
                  <w14:solidFill>
                    <w14:schemeClr w14:val="tx1"/>
                  </w14:solidFill>
                </w14:textFill>
              </w:rPr>
              <w:t>。</w:t>
            </w: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第十九条</w:t>
            </w:r>
          </w:p>
        </w:tc>
        <w:tc>
          <w:tcPr>
            <w:tcW w:w="4674" w:type="pct"/>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集中式地表水饮用水水源准保护区内，应当遵守下列规定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（一）禁止新建、扩建造纸、制革、印染、染料、炼焦、炼砷、炼油、电镀、农药、化工、冶炼等对水体污染严重的建设项目；改建建设项目，不得增加排污量；</w:t>
            </w:r>
          </w:p>
        </w:tc>
        <w:tc>
          <w:tcPr>
            <w:tcW w:w="1843" w:type="pct"/>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本项目选址选线位于地表水</w:t>
            </w:r>
            <w:r>
              <w:rPr>
                <w:rFonts w:hint="default"/>
                <w:color w:val="000000" w:themeColor="text1"/>
                <w:szCs w:val="20"/>
                <w:highlight w:val="none"/>
                <w:shd w:val="clear" w:color="auto" w:fill="FFFFFF"/>
                <w14:textFill>
                  <w14:solidFill>
                    <w14:schemeClr w14:val="tx1"/>
                  </w14:solidFill>
                </w14:textFill>
              </w:rPr>
              <w:t>饮用水水源准保护区外，不涉及违反上述规定</w:t>
            </w:r>
            <w:r>
              <w:rPr>
                <w:rFonts w:hint="eastAsia"/>
                <w:color w:val="000000" w:themeColor="text1"/>
                <w:szCs w:val="20"/>
                <w:highlight w:val="none"/>
                <w:shd w:val="clear" w:color="auto" w:fill="FFFFFF"/>
                <w:lang w:eastAsia="zh-CN"/>
                <w14:textFill>
                  <w14:solidFill>
                    <w14:schemeClr w14:val="tx1"/>
                  </w14:solidFill>
                </w14:textFill>
              </w:rPr>
              <w:t>。</w:t>
            </w: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（二）禁止设置易溶性、有毒有害废弃物和危险废物的暂存和转运场所；禁止设置生活垃圾和工业固体废物的处置场所，生活垃圾转运站和工业固体废物暂存场所应当设置防护设施；</w:t>
            </w:r>
          </w:p>
        </w:tc>
        <w:tc>
          <w:tcPr>
            <w:tcW w:w="184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（三）禁止进行可能影响饮用水水源水质的天然气、石灰石、盐卤等矿产勘查、开采等活动；</w:t>
            </w:r>
          </w:p>
        </w:tc>
        <w:tc>
          <w:tcPr>
            <w:tcW w:w="184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（四）法律、法规禁止的其他行为。</w:t>
            </w:r>
          </w:p>
        </w:tc>
        <w:tc>
          <w:tcPr>
            <w:tcW w:w="184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第二十条</w:t>
            </w:r>
          </w:p>
        </w:tc>
        <w:tc>
          <w:tcPr>
            <w:tcW w:w="4674" w:type="pct"/>
            <w:gridSpan w:val="3"/>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集中式地表水饮用水水源二级保护区内，应当遵守下列规定</w:t>
            </w:r>
            <w:r>
              <w:rPr>
                <w:rFonts w:hint="eastAsia"/>
                <w:color w:val="000000" w:themeColor="text1"/>
                <w:szCs w:val="20"/>
                <w:highlight w:val="none"/>
                <w:shd w:val="clear" w:color="auto" w:fill="FFFFFF"/>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tc>
        <w:tc>
          <w:tcPr>
            <w:tcW w:w="1843" w:type="pct"/>
            <w:vMerge w:val="restar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本项目选址选线位于地表水</w:t>
            </w:r>
            <w:r>
              <w:rPr>
                <w:rFonts w:hint="default"/>
                <w:color w:val="000000" w:themeColor="text1"/>
                <w:szCs w:val="20"/>
                <w:highlight w:val="none"/>
                <w:shd w:val="clear" w:color="auto" w:fill="FFFFFF"/>
                <w14:textFill>
                  <w14:solidFill>
                    <w14:schemeClr w14:val="tx1"/>
                  </w14:solidFill>
                </w14:textFill>
              </w:rPr>
              <w:t>饮用水水源二级保护区外，不涉及违反上述规定</w:t>
            </w:r>
            <w:r>
              <w:rPr>
                <w:rFonts w:hint="eastAsia"/>
                <w:color w:val="000000" w:themeColor="text1"/>
                <w:szCs w:val="20"/>
                <w:highlight w:val="none"/>
                <w:shd w:val="clear" w:color="auto" w:fill="FFFFFF"/>
                <w:lang w:eastAsia="zh-CN"/>
                <w14:textFill>
                  <w14:solidFill>
                    <w14:schemeClr w14:val="tx1"/>
                  </w14:solidFill>
                </w14:textFill>
              </w:rPr>
              <w:t>。</w:t>
            </w: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（二）禁止从事经营性取土和采石（砂）等活动；</w:t>
            </w:r>
          </w:p>
        </w:tc>
        <w:tc>
          <w:tcPr>
            <w:tcW w:w="1843" w:type="pct"/>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（三）禁止设置畜禽养殖场、养殖小区；</w:t>
            </w:r>
          </w:p>
        </w:tc>
        <w:tc>
          <w:tcPr>
            <w:tcW w:w="1843" w:type="pct"/>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（四）禁止从事网箱养殖、施肥养鱼、超标准养殖、投放暂存鱼、电鱼、炸鱼、毒鱼等污染饮用水水体的活动；</w:t>
            </w:r>
          </w:p>
        </w:tc>
        <w:tc>
          <w:tcPr>
            <w:tcW w:w="1843" w:type="pct"/>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（五）禁止使用农药；禁止丢弃农药、农药包装物或者清洗施药器械；限制使用化肥；</w:t>
            </w:r>
          </w:p>
        </w:tc>
        <w:tc>
          <w:tcPr>
            <w:tcW w:w="1843" w:type="pct"/>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（六）法律、法规和本条例第十九条禁止的其他行为。</w:t>
            </w:r>
          </w:p>
        </w:tc>
        <w:tc>
          <w:tcPr>
            <w:tcW w:w="1843" w:type="pct"/>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第二十一条</w:t>
            </w:r>
          </w:p>
        </w:tc>
        <w:tc>
          <w:tcPr>
            <w:tcW w:w="4674" w:type="pct"/>
            <w:gridSpan w:val="3"/>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中式地表水饮用水水源一级保护区内，应当遵守下列规定：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（一）禁止从事餐饮、旅游、游泳、垂钓或者其他可能污染水体的活动；</w:t>
            </w:r>
          </w:p>
        </w:tc>
        <w:tc>
          <w:tcPr>
            <w:tcW w:w="1843" w:type="pct"/>
            <w:vMerge w:val="restar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本项目选址选线位于地表水</w:t>
            </w:r>
            <w:r>
              <w:rPr>
                <w:rFonts w:hint="default"/>
                <w:color w:val="000000" w:themeColor="text1"/>
                <w:szCs w:val="20"/>
                <w:highlight w:val="none"/>
                <w:shd w:val="clear" w:color="auto" w:fill="FFFFFF"/>
                <w14:textFill>
                  <w14:solidFill>
                    <w14:schemeClr w14:val="tx1"/>
                  </w14:solidFill>
                </w14:textFill>
              </w:rPr>
              <w:t>饮用水水源一级保护区外，不涉及违反上述规定</w:t>
            </w:r>
            <w:r>
              <w:rPr>
                <w:rFonts w:hint="eastAsia"/>
                <w:color w:val="000000" w:themeColor="text1"/>
                <w:szCs w:val="20"/>
                <w:highlight w:val="none"/>
                <w:shd w:val="clear" w:color="auto" w:fill="FFFFFF"/>
                <w:lang w:eastAsia="zh-CN"/>
                <w14:textFill>
                  <w14:solidFill>
                    <w14:schemeClr w14:val="tx1"/>
                  </w14:solidFill>
                </w14:textFill>
              </w:rPr>
              <w:t>。</w:t>
            </w: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 w:hRule="atLeast"/>
          <w:jc w:val="center"/>
        </w:trPr>
        <w:tc>
          <w:tcPr>
            <w:tcW w:w="326"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8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（二）法律、法规和本条例第十九条、第二十条禁止的行为。</w:t>
            </w:r>
          </w:p>
        </w:tc>
        <w:tc>
          <w:tcPr>
            <w:tcW w:w="1843"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w:t>
            </w:r>
          </w:p>
        </w:tc>
      </w:tr>
    </w:tbl>
    <w:p>
      <w:pPr>
        <w:pStyle w:val="21"/>
        <w:tabs>
          <w:tab w:val="left" w:pos="3864"/>
        </w:tabs>
        <w:spacing w:before="120" w:beforeLines="50"/>
        <w:ind w:left="0" w:firstLine="480"/>
        <w:rPr>
          <w:rFonts w:ascii="Times New Roman" w:hAnsi="Times New Roman"/>
          <w:bCs/>
          <w:color w:val="000000" w:themeColor="text1"/>
          <w:kern w:val="2"/>
          <w:highlight w:val="none"/>
          <w:lang w:eastAsia="zh-CN"/>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综上所述，本项目选址均不涉及达州市集中式饮用水水源各级保护区，本项目的建设与《达州市饮用水水源地保护区管理条例》相符合。</w:t>
      </w:r>
    </w:p>
    <w:p>
      <w:pPr>
        <w:pStyle w:val="3"/>
        <w:spacing w:before="120"/>
        <w:rPr>
          <w:color w:val="000000" w:themeColor="text1"/>
          <w:sz w:val="26"/>
          <w:szCs w:val="26"/>
          <w:highlight w:val="none"/>
          <w:lang w:eastAsia="zh-CN"/>
          <w14:textFill>
            <w14:solidFill>
              <w14:schemeClr w14:val="tx1"/>
            </w14:solidFill>
          </w14:textFill>
        </w:rPr>
      </w:pPr>
      <w:bookmarkStart w:id="88" w:name="_Toc2403"/>
      <w:r>
        <w:rPr>
          <w:color w:val="000000" w:themeColor="text1"/>
          <w:highlight w:val="none"/>
          <w:lang w:eastAsia="zh-CN"/>
          <w14:textFill>
            <w14:solidFill>
              <w14:schemeClr w14:val="tx1"/>
            </w14:solidFill>
          </w14:textFill>
        </w:rPr>
        <w:t>评价内容及时段</w:t>
      </w:r>
      <w:bookmarkEnd w:id="88"/>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1、评价内容</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（1）分析本项目建设方案与相关法律法规、环境经济技术政策、产业政策以及相关规划的协调性；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2</w:t>
      </w:r>
      <w:r>
        <w:rPr>
          <w:rFonts w:cs="Times New Roman"/>
          <w:bCs/>
          <w:color w:val="000000" w:themeColor="text1"/>
          <w:szCs w:val="24"/>
          <w:highlight w:val="none"/>
          <w14:textFill>
            <w14:solidFill>
              <w14:schemeClr w14:val="tx1"/>
            </w14:solidFill>
          </w14:textFill>
        </w:rPr>
        <w:t>）运用现状监测与资料收集等手段，对项目所在区域进行环境质量回顾性评价，分析环境空气、地表水、地下水、土壤、声环境等环境质量变化趋势；</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3</w:t>
      </w:r>
      <w:r>
        <w:rPr>
          <w:rFonts w:cs="Times New Roman"/>
          <w:bCs/>
          <w:color w:val="000000" w:themeColor="text1"/>
          <w:szCs w:val="24"/>
          <w:highlight w:val="none"/>
          <w14:textFill>
            <w14:solidFill>
              <w14:schemeClr w14:val="tx1"/>
            </w14:solidFill>
          </w14:textFill>
        </w:rPr>
        <w:t>）对可能会对区域内的环境空气、地表水环境、地下水环境、声环境、土壤环境、生态环境等带来的环境污染影响和环境风险影响进行全面深入的分析、预测和评价，同时结合项目选址的合理性，论证产能建设项目的环境可行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4</w:t>
      </w:r>
      <w:r>
        <w:rPr>
          <w:rFonts w:cs="Times New Roman"/>
          <w:bCs/>
          <w:color w:val="000000" w:themeColor="text1"/>
          <w:szCs w:val="24"/>
          <w:highlight w:val="none"/>
          <w14:textFill>
            <w14:solidFill>
              <w14:schemeClr w14:val="tx1"/>
            </w14:solidFill>
          </w14:textFill>
        </w:rPr>
        <w:t>）调查项目依托环保基础设施现状，说明污水处理设施、回注井等设施的建设地点、规模、服务范围以及运行现状，分析评价依托处置规模合理性，工艺可行性，环保设施可依托性等，论证项目的可依托性；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5</w:t>
      </w:r>
      <w:r>
        <w:rPr>
          <w:rFonts w:cs="Times New Roman"/>
          <w:bCs/>
          <w:color w:val="000000" w:themeColor="text1"/>
          <w:szCs w:val="24"/>
          <w:highlight w:val="none"/>
          <w14:textFill>
            <w14:solidFill>
              <w14:schemeClr w14:val="tx1"/>
            </w14:solidFill>
          </w14:textFill>
        </w:rPr>
        <w:t>）从天然气开发活动是否突破当地生态保护红线、环境质量底线、资源利用上线和生态环境准入清单，从环境保护角度分析建设项目区域环境的可承载性。</w:t>
      </w:r>
    </w:p>
    <w:p>
      <w:pPr>
        <w:tabs>
          <w:tab w:val="left" w:pos="0"/>
        </w:tabs>
        <w:ind w:firstLine="480"/>
        <w:rPr>
          <w:rFonts w:eastAsia="黑体" w:cs="Times New Roman"/>
          <w:bCs/>
          <w:color w:val="000000" w:themeColor="text1"/>
          <w:szCs w:val="24"/>
          <w:highlight w:val="none"/>
          <w14:textFill>
            <w14:solidFill>
              <w14:schemeClr w14:val="tx1"/>
            </w14:solidFill>
          </w14:textFill>
        </w:rPr>
      </w:pPr>
      <w:r>
        <w:rPr>
          <w:rFonts w:eastAsia="黑体" w:cs="Times New Roman"/>
          <w:bCs/>
          <w:color w:val="000000" w:themeColor="text1"/>
          <w:szCs w:val="24"/>
          <w:highlight w:val="none"/>
          <w14:textFill>
            <w14:solidFill>
              <w14:schemeClr w14:val="tx1"/>
            </w14:solidFill>
          </w14:textFill>
        </w:rPr>
        <w:t>2、评价重点</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（1）分析本项目建设方案与相关政策、法规、规划在资源利用、环境保护要求等方面的符合性。</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调查识别区域环境敏感区和重点生态功能区等环境保护目标的分布情况及保护要求，分析资源利用和保护中存在的问题，评价区域环境质量状况，评价生态系统的组成、结构与功能状况、变化趋势和存在的主要环境问题，提出本项目建设的资源与环境制约因素。</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（3）本项目天然气</w:t>
      </w:r>
      <w:r>
        <w:rPr>
          <w:rFonts w:hint="eastAsia" w:cs="Times New Roman"/>
          <w:bCs/>
          <w:color w:val="000000" w:themeColor="text1"/>
          <w:szCs w:val="24"/>
          <w:highlight w:val="none"/>
          <w:lang w:val="en-US" w:eastAsia="zh-CN"/>
          <w14:textFill>
            <w14:solidFill>
              <w14:schemeClr w14:val="tx1"/>
            </w14:solidFill>
          </w14:textFill>
        </w:rPr>
        <w:t>勘探及</w:t>
      </w:r>
      <w:r>
        <w:rPr>
          <w:rFonts w:cs="Times New Roman"/>
          <w:bCs/>
          <w:color w:val="000000" w:themeColor="text1"/>
          <w:szCs w:val="24"/>
          <w:highlight w:val="none"/>
          <w14:textFill>
            <w14:solidFill>
              <w14:schemeClr w14:val="tx1"/>
            </w14:solidFill>
          </w14:textFill>
        </w:rPr>
        <w:t>试采对区域环境质量的影响，对区域生态系统完整性所造成的影响，对主要环境敏感区和重点生态功能区等环境保护目标的影响性质与程度。</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（4）分析评价区域资源与环境承载能力对本项目天然气开发的支撑状况，综合论证建设方案的环境合理性，提出项目建设方案优化调整建议。</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（5）以</w:t>
      </w:r>
      <w:r>
        <w:rPr>
          <w:rFonts w:ascii="宋体" w:hAnsi="宋体" w:cs="Times New Roman"/>
          <w:bCs/>
          <w:color w:val="000000" w:themeColor="text1"/>
          <w:szCs w:val="24"/>
          <w:highlight w:val="none"/>
          <w14:textFill>
            <w14:solidFill>
              <w14:schemeClr w14:val="tx1"/>
            </w14:solidFill>
          </w14:textFill>
        </w:rPr>
        <w:t>“三线一单”</w:t>
      </w:r>
      <w:r>
        <w:rPr>
          <w:rFonts w:cs="Times New Roman"/>
          <w:bCs/>
          <w:color w:val="000000" w:themeColor="text1"/>
          <w:szCs w:val="24"/>
          <w:highlight w:val="none"/>
          <w14:textFill>
            <w14:solidFill>
              <w14:schemeClr w14:val="tx1"/>
            </w14:solidFill>
          </w14:textFill>
        </w:rPr>
        <w:t>（生态保护红线、环境质量底线、资源利用上线和环境准入负面清单）为手段，强化空间、准入环境管理和总量控制。</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（6）提出预防或者减轻不良环境影响的对策和措施。</w:t>
      </w:r>
    </w:p>
    <w:p>
      <w:pPr>
        <w:tabs>
          <w:tab w:val="left" w:pos="0"/>
        </w:tabs>
        <w:ind w:firstLine="480"/>
        <w:rPr>
          <w:rFonts w:cs="Times New Roman"/>
          <w:bCs/>
          <w:color w:val="000000" w:themeColor="text1"/>
          <w:szCs w:val="24"/>
          <w:highlight w:val="none"/>
          <w14:textFill>
            <w14:solidFill>
              <w14:schemeClr w14:val="tx1"/>
            </w14:solidFill>
          </w14:textFill>
        </w:rPr>
      </w:pPr>
      <w:r>
        <w:rPr>
          <w:rFonts w:eastAsia="黑体" w:cs="Times New Roman"/>
          <w:bCs/>
          <w:color w:val="000000" w:themeColor="text1"/>
          <w:szCs w:val="24"/>
          <w:highlight w:val="none"/>
          <w14:textFill>
            <w14:solidFill>
              <w14:schemeClr w14:val="tx1"/>
            </w14:solidFill>
          </w14:textFill>
        </w:rPr>
        <w:t>3、评价时段</w:t>
      </w:r>
    </w:p>
    <w:p>
      <w:pPr>
        <w:tabs>
          <w:tab w:val="left" w:pos="0"/>
        </w:tabs>
        <w:ind w:firstLine="480"/>
        <w:rPr>
          <w:rFonts w:cs="Times New Roman"/>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根据《环境影响评价技术导则 陆地石油天然气开发建设项目》（HJ/T349-2023）中的有关规定，本次评价时段分施工期、运行期（试采期）和退役期三个时段来开展环境影响评价。</w:t>
      </w:r>
    </w:p>
    <w:p>
      <w:pPr>
        <w:pStyle w:val="3"/>
        <w:spacing w:before="120"/>
        <w:rPr>
          <w:color w:val="000000" w:themeColor="text1"/>
          <w:highlight w:val="none"/>
          <w:lang w:eastAsia="zh-CN"/>
          <w14:textFill>
            <w14:solidFill>
              <w14:schemeClr w14:val="tx1"/>
            </w14:solidFill>
          </w14:textFill>
        </w:rPr>
      </w:pPr>
      <w:bookmarkStart w:id="89" w:name="_Toc26892"/>
      <w:r>
        <w:rPr>
          <w:color w:val="000000" w:themeColor="text1"/>
          <w:highlight w:val="none"/>
          <w:lang w:eastAsia="zh-CN"/>
          <w14:textFill>
            <w14:solidFill>
              <w14:schemeClr w14:val="tx1"/>
            </w14:solidFill>
          </w14:textFill>
        </w:rPr>
        <w:t>环境保护目标</w:t>
      </w:r>
      <w:bookmarkEnd w:id="89"/>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90" w:name="_Toc120173085"/>
      <w:r>
        <w:rPr>
          <w:color w:val="000000" w:themeColor="text1"/>
          <w:highlight w:val="none"/>
          <w:lang w:eastAsia="zh-CN"/>
          <w14:textFill>
            <w14:solidFill>
              <w14:schemeClr w14:val="tx1"/>
            </w14:solidFill>
          </w14:textFill>
        </w:rPr>
        <w:t>外环境关系</w:t>
      </w:r>
      <w:bookmarkEnd w:id="90"/>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1、</w:t>
      </w:r>
      <w:r>
        <w:rPr>
          <w:rFonts w:hint="eastAsia" w:ascii="Times New Roman" w:hAnsi="Times New Roman" w:eastAsia="黑体" w:cs="Times New Roman"/>
          <w:bCs/>
          <w:color w:val="000000" w:themeColor="text1"/>
          <w:szCs w:val="24"/>
          <w:highlight w:val="none"/>
          <w14:textFill>
            <w14:solidFill>
              <w14:schemeClr w14:val="tx1"/>
            </w14:solidFill>
          </w14:textFill>
        </w:rPr>
        <w:t>拟建</w:t>
      </w:r>
      <w:r>
        <w:rPr>
          <w:rFonts w:ascii="Times New Roman" w:hAnsi="Times New Roman" w:eastAsia="黑体" w:cs="Times New Roman"/>
          <w:bCs/>
          <w:color w:val="000000" w:themeColor="text1"/>
          <w:szCs w:val="24"/>
          <w:highlight w:val="none"/>
          <w14:textFill>
            <w14:solidFill>
              <w14:schemeClr w14:val="tx1"/>
            </w14:solidFill>
          </w14:textFill>
        </w:rPr>
        <w:t>井场外环境简况</w:t>
      </w:r>
    </w:p>
    <w:p>
      <w:pPr>
        <w:tabs>
          <w:tab w:val="left" w:pos="5812"/>
        </w:tabs>
        <w:adjustRightInd/>
        <w:snapToGrid/>
        <w:ind w:firstLine="480"/>
        <w:textAlignment w:val="baseline"/>
        <w:rPr>
          <w:rFonts w:cs="Times New Roman"/>
          <w:color w:val="000000" w:themeColor="text1"/>
          <w:kern w:val="0"/>
          <w:szCs w:val="20"/>
          <w14:textFill>
            <w14:solidFill>
              <w14:schemeClr w14:val="tx1"/>
            </w14:solidFill>
          </w14:textFill>
        </w:rPr>
      </w:pPr>
      <w:r>
        <w:rPr>
          <w:rFonts w:cs="Times New Roman"/>
          <w:color w:val="000000" w:themeColor="text1"/>
          <w:kern w:val="0"/>
          <w14:textFill>
            <w14:solidFill>
              <w14:schemeClr w14:val="tx1"/>
            </w14:solidFill>
          </w14:textFill>
        </w:rPr>
        <w:t>本项目</w:t>
      </w:r>
      <w:r>
        <w:rPr>
          <w:rFonts w:hint="eastAsia" w:cs="Times New Roman"/>
          <w:color w:val="000000" w:themeColor="text1"/>
          <w:kern w:val="0"/>
          <w14:textFill>
            <w14:solidFill>
              <w14:schemeClr w14:val="tx1"/>
            </w14:solidFill>
          </w14:textFill>
        </w:rPr>
        <w:t>试采站位于四川省宣汉县</w:t>
      </w:r>
      <w:r>
        <w:rPr>
          <w:rFonts w:hint="eastAsia" w:cs="Times New Roman"/>
          <w:color w:val="000000" w:themeColor="text1"/>
          <w:kern w:val="0"/>
          <w:lang w:eastAsia="zh-CN"/>
          <w14:textFill>
            <w14:solidFill>
              <w14:schemeClr w14:val="tx1"/>
            </w14:solidFill>
          </w14:textFill>
        </w:rPr>
        <w:t>***</w:t>
      </w:r>
      <w:r>
        <w:rPr>
          <w:rFonts w:hint="eastAsia" w:cs="Times New Roman"/>
          <w:color w:val="000000" w:themeColor="text1"/>
          <w:kern w:val="0"/>
          <w14:textFill>
            <w14:solidFill>
              <w14:schemeClr w14:val="tx1"/>
            </w14:solidFill>
          </w14:textFill>
        </w:rPr>
        <w:t>石虎村8组</w:t>
      </w:r>
      <w:r>
        <w:rPr>
          <w:rFonts w:cs="Times New Roman"/>
          <w:color w:val="000000" w:themeColor="text1"/>
          <w:kern w:val="0"/>
          <w14:textFill>
            <w14:solidFill>
              <w14:schemeClr w14:val="tx1"/>
            </w14:solidFill>
          </w14:textFill>
        </w:rPr>
        <w:t>，</w:t>
      </w:r>
      <w:r>
        <w:rPr>
          <w:rFonts w:cs="Times New Roman"/>
          <w:color w:val="000000" w:themeColor="text1"/>
          <w:kern w:val="0"/>
          <w:szCs w:val="20"/>
          <w14:textFill>
            <w14:solidFill>
              <w14:schemeClr w14:val="tx1"/>
            </w14:solidFill>
          </w14:textFill>
        </w:rPr>
        <w:t>项目所在地属于农村环境，</w:t>
      </w:r>
      <w:r>
        <w:rPr>
          <w:rFonts w:hint="eastAsia" w:cs="Times New Roman"/>
          <w:color w:val="000000" w:themeColor="text1"/>
          <w:kern w:val="0"/>
          <w:szCs w:val="20"/>
          <w14:textFill>
            <w14:solidFill>
              <w14:schemeClr w14:val="tx1"/>
            </w14:solidFill>
          </w14:textFill>
        </w:rPr>
        <w:t>外环境关系简单，</w:t>
      </w:r>
      <w:r>
        <w:rPr>
          <w:rFonts w:hint="eastAsia" w:cs="Times New Roman"/>
          <w:color w:val="000000" w:themeColor="text1"/>
          <w:kern w:val="0"/>
          <w:szCs w:val="20"/>
          <w:lang w:val="en-US" w:eastAsia="zh-CN"/>
          <w14:textFill>
            <w14:solidFill>
              <w14:schemeClr w14:val="tx1"/>
            </w14:solidFill>
          </w14:textFill>
        </w:rPr>
        <w:t>本项目</w:t>
      </w:r>
      <w:r>
        <w:rPr>
          <w:rFonts w:hint="eastAsia" w:cs="Times New Roman"/>
          <w:color w:val="000000" w:themeColor="text1"/>
          <w:kern w:val="0"/>
          <w:szCs w:val="20"/>
          <w14:textFill>
            <w14:solidFill>
              <w14:schemeClr w14:val="tx1"/>
            </w14:solidFill>
          </w14:textFill>
        </w:rPr>
        <w:t>四周</w:t>
      </w:r>
      <w:r>
        <w:rPr>
          <w:rFonts w:cs="Times New Roman"/>
          <w:color w:val="000000" w:themeColor="text1"/>
          <w:kern w:val="0"/>
          <w:szCs w:val="20"/>
          <w14:textFill>
            <w14:solidFill>
              <w14:schemeClr w14:val="tx1"/>
            </w14:solidFill>
          </w14:textFill>
        </w:rPr>
        <w:t>500m范围内不同距离处主要</w:t>
      </w:r>
      <w:r>
        <w:rPr>
          <w:rFonts w:hint="eastAsia" w:cs="Times New Roman"/>
          <w:color w:val="000000" w:themeColor="text1"/>
          <w:kern w:val="0"/>
          <w:szCs w:val="20"/>
          <w14:textFill>
            <w14:solidFill>
              <w14:schemeClr w14:val="tx1"/>
            </w14:solidFill>
          </w14:textFill>
        </w:rPr>
        <w:t>零散</w:t>
      </w:r>
      <w:r>
        <w:rPr>
          <w:rFonts w:cs="Times New Roman"/>
          <w:color w:val="000000" w:themeColor="text1"/>
          <w:kern w:val="0"/>
          <w:szCs w:val="20"/>
          <w14:textFill>
            <w14:solidFill>
              <w14:schemeClr w14:val="tx1"/>
            </w14:solidFill>
          </w14:textFill>
        </w:rPr>
        <w:t>分布有农村居民等环境敏感目标</w:t>
      </w:r>
      <w:r>
        <w:rPr>
          <w:rFonts w:hint="eastAsia" w:cs="Times New Roman"/>
          <w:color w:val="000000" w:themeColor="text1"/>
          <w:kern w:val="0"/>
          <w:szCs w:val="20"/>
          <w14:textFill>
            <w14:solidFill>
              <w14:schemeClr w14:val="tx1"/>
            </w14:solidFill>
          </w14:textFill>
        </w:rPr>
        <w:t>，集输管线两侧200m范围内分布有散居居民</w:t>
      </w:r>
      <w:r>
        <w:rPr>
          <w:rFonts w:cs="Times New Roman"/>
          <w:color w:val="000000" w:themeColor="text1"/>
          <w:kern w:val="0"/>
          <w:szCs w:val="20"/>
          <w14:textFill>
            <w14:solidFill>
              <w14:schemeClr w14:val="tx1"/>
            </w14:solidFill>
          </w14:textFill>
        </w:rPr>
        <w:t>；项目</w:t>
      </w:r>
      <w:r>
        <w:rPr>
          <w:rFonts w:hint="eastAsia" w:cs="Times New Roman"/>
          <w:color w:val="000000" w:themeColor="text1"/>
          <w:kern w:val="0"/>
          <w:szCs w:val="20"/>
          <w14:textFill>
            <w14:solidFill>
              <w14:schemeClr w14:val="tx1"/>
            </w14:solidFill>
          </w14:textFill>
        </w:rPr>
        <w:t>周围主要为耕地、林地，林地类型主要为乔木林地。</w:t>
      </w:r>
    </w:p>
    <w:p>
      <w:pPr>
        <w:ind w:firstLine="480"/>
        <w:rPr>
          <w:rFonts w:cs="Times New Roman"/>
          <w:bCs/>
          <w:color w:val="000000" w:themeColor="text1"/>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试采站</w:t>
      </w:r>
      <w:r>
        <w:rPr>
          <w:rFonts w:cs="Times New Roman"/>
          <w:color w:val="000000" w:themeColor="text1"/>
          <w:kern w:val="0"/>
          <w:szCs w:val="20"/>
          <w14:textFill>
            <w14:solidFill>
              <w14:schemeClr w14:val="tx1"/>
            </w14:solidFill>
          </w14:textFill>
        </w:rPr>
        <w:t>500m范围内</w:t>
      </w:r>
      <w:r>
        <w:rPr>
          <w:rFonts w:hint="eastAsia" w:cs="Times New Roman"/>
          <w:color w:val="000000" w:themeColor="text1"/>
          <w:kern w:val="0"/>
          <w:szCs w:val="20"/>
          <w14:textFill>
            <w14:solidFill>
              <w14:schemeClr w14:val="tx1"/>
            </w14:solidFill>
          </w14:textFill>
        </w:rPr>
        <w:t>及线路两侧200m范围内</w:t>
      </w:r>
      <w:r>
        <w:rPr>
          <w:rFonts w:cs="Times New Roman"/>
          <w:color w:val="000000" w:themeColor="text1"/>
          <w:kern w:val="0"/>
          <w:szCs w:val="20"/>
          <w14:textFill>
            <w14:solidFill>
              <w14:schemeClr w14:val="tx1"/>
            </w14:solidFill>
          </w14:textFill>
        </w:rPr>
        <w:t>不涉及自然保护</w:t>
      </w:r>
      <w:r>
        <w:rPr>
          <w:rFonts w:cs="Times New Roman"/>
          <w:color w:val="000000" w:themeColor="text1"/>
          <w:spacing w:val="-1"/>
          <w:kern w:val="0"/>
          <w:szCs w:val="20"/>
          <w14:textFill>
            <w14:solidFill>
              <w14:schemeClr w14:val="tx1"/>
            </w14:solidFill>
          </w14:textFill>
        </w:rPr>
        <w:t>区</w:t>
      </w:r>
      <w:r>
        <w:rPr>
          <w:rFonts w:cs="Times New Roman"/>
          <w:color w:val="000000" w:themeColor="text1"/>
          <w:kern w:val="0"/>
          <w:szCs w:val="20"/>
          <w14:textFill>
            <w14:solidFill>
              <w14:schemeClr w14:val="tx1"/>
            </w14:solidFill>
          </w14:textFill>
        </w:rPr>
        <w:t>、风景名胜区、森林公园、</w:t>
      </w:r>
      <w:r>
        <w:rPr>
          <w:rFonts w:hint="eastAsia" w:cs="Times New Roman"/>
          <w:color w:val="000000" w:themeColor="text1"/>
          <w:kern w:val="0"/>
          <w:szCs w:val="20"/>
          <w14:textFill>
            <w14:solidFill>
              <w14:schemeClr w14:val="tx1"/>
            </w14:solidFill>
          </w14:textFill>
        </w:rPr>
        <w:t>集中式</w:t>
      </w:r>
      <w:r>
        <w:rPr>
          <w:rFonts w:cs="Times New Roman"/>
          <w:color w:val="000000" w:themeColor="text1"/>
          <w:kern w:val="0"/>
          <w:szCs w:val="20"/>
          <w14:textFill>
            <w14:solidFill>
              <w14:schemeClr w14:val="tx1"/>
            </w14:solidFill>
          </w14:textFill>
        </w:rPr>
        <w:t>饮用水</w:t>
      </w:r>
      <w:r>
        <w:rPr>
          <w:rFonts w:hint="eastAsia" w:cs="Times New Roman"/>
          <w:color w:val="000000" w:themeColor="text1"/>
          <w:kern w:val="0"/>
          <w:szCs w:val="20"/>
          <w14:textFill>
            <w14:solidFill>
              <w14:schemeClr w14:val="tx1"/>
            </w14:solidFill>
          </w14:textFill>
        </w:rPr>
        <w:t>水</w:t>
      </w:r>
      <w:r>
        <w:rPr>
          <w:rFonts w:cs="Times New Roman"/>
          <w:color w:val="000000" w:themeColor="text1"/>
          <w:kern w:val="0"/>
          <w:szCs w:val="20"/>
          <w14:textFill>
            <w14:solidFill>
              <w14:schemeClr w14:val="tx1"/>
            </w14:solidFill>
          </w14:textFill>
        </w:rPr>
        <w:t>源保护区等特殊和重要的敏感区</w:t>
      </w:r>
      <w:r>
        <w:rPr>
          <w:rFonts w:cs="Times New Roman"/>
          <w:bCs/>
          <w:color w:val="000000" w:themeColor="text1"/>
          <w:szCs w:val="24"/>
          <w14:textFill>
            <w14:solidFill>
              <w14:schemeClr w14:val="tx1"/>
            </w14:solidFill>
          </w14:textFill>
        </w:rPr>
        <w:t>。</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14:textFill>
            <w14:solidFill>
              <w14:schemeClr w14:val="tx1"/>
            </w14:solidFill>
          </w14:textFill>
        </w:rPr>
        <w:t>项目所在地道路较发达，大多为水泥路，周边铺设了电网。项目位于</w:t>
      </w:r>
      <w:r>
        <w:rPr>
          <w:rFonts w:hint="eastAsia" w:cs="Times New Roman"/>
          <w:bCs/>
          <w:color w:val="000000" w:themeColor="text1"/>
          <w:szCs w:val="24"/>
          <w:lang w:eastAsia="zh-CN"/>
          <w14:textFill>
            <w14:solidFill>
              <w14:schemeClr w14:val="tx1"/>
            </w14:solidFill>
          </w14:textFill>
        </w:rPr>
        <w:t>***</w:t>
      </w:r>
      <w:r>
        <w:rPr>
          <w:rFonts w:hint="eastAsia" w:cs="Times New Roman"/>
          <w:bCs/>
          <w:color w:val="000000" w:themeColor="text1"/>
          <w:szCs w:val="24"/>
          <w14:textFill>
            <w14:solidFill>
              <w14:schemeClr w14:val="tx1"/>
            </w14:solidFill>
          </w14:textFill>
        </w:rPr>
        <w:t>西南侧，距离</w:t>
      </w:r>
      <w:r>
        <w:rPr>
          <w:rFonts w:hint="eastAsia" w:cs="Times New Roman"/>
          <w:bCs/>
          <w:color w:val="000000" w:themeColor="text1"/>
          <w:szCs w:val="24"/>
          <w:lang w:eastAsia="zh-CN"/>
          <w14:textFill>
            <w14:solidFill>
              <w14:schemeClr w14:val="tx1"/>
            </w14:solidFill>
          </w14:textFill>
        </w:rPr>
        <w:t>***</w:t>
      </w:r>
      <w:r>
        <w:rPr>
          <w:rFonts w:hint="eastAsia" w:cs="Times New Roman"/>
          <w:bCs/>
          <w:color w:val="000000" w:themeColor="text1"/>
          <w:szCs w:val="24"/>
          <w14:textFill>
            <w14:solidFill>
              <w14:schemeClr w14:val="tx1"/>
            </w14:solidFill>
          </w14:textFill>
        </w:rPr>
        <w:t>场镇约1.6km。该项目外环境关系情况见附图2</w:t>
      </w:r>
      <w:r>
        <w:rPr>
          <w:rFonts w:cs="Times New Roman"/>
          <w:bCs/>
          <w:color w:val="000000" w:themeColor="text1"/>
          <w:szCs w:val="24"/>
          <w:highlight w:val="none"/>
          <w14:textFill>
            <w14:solidFill>
              <w14:schemeClr w14:val="tx1"/>
            </w14:solidFill>
          </w14:textFill>
        </w:rPr>
        <w:t>。</w:t>
      </w:r>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2、</w:t>
      </w:r>
      <w:r>
        <w:rPr>
          <w:rFonts w:hint="eastAsia" w:ascii="Times New Roman" w:hAnsi="Times New Roman" w:eastAsia="黑体" w:cs="Times New Roman"/>
          <w:bCs/>
          <w:color w:val="000000" w:themeColor="text1"/>
          <w:szCs w:val="24"/>
          <w:highlight w:val="none"/>
          <w14:textFill>
            <w14:solidFill>
              <w14:schemeClr w14:val="tx1"/>
            </w14:solidFill>
          </w14:textFill>
        </w:rPr>
        <w:t>拟建</w:t>
      </w:r>
      <w:r>
        <w:rPr>
          <w:rFonts w:ascii="Times New Roman" w:hAnsi="Times New Roman" w:eastAsia="黑体" w:cs="Times New Roman"/>
          <w:bCs/>
          <w:color w:val="000000" w:themeColor="text1"/>
          <w:szCs w:val="24"/>
          <w:highlight w:val="none"/>
          <w14:textFill>
            <w14:solidFill>
              <w14:schemeClr w14:val="tx1"/>
            </w14:solidFill>
          </w14:textFill>
        </w:rPr>
        <w:t>井场周边</w:t>
      </w:r>
      <w:r>
        <w:rPr>
          <w:rFonts w:hint="eastAsia" w:ascii="Times New Roman" w:hAnsi="Times New Roman" w:eastAsia="黑体" w:cs="Times New Roman"/>
          <w:bCs/>
          <w:color w:val="000000" w:themeColor="text1"/>
          <w:szCs w:val="24"/>
          <w:highlight w:val="none"/>
          <w:lang w:val="en-US" w:eastAsia="zh-CN"/>
          <w14:textFill>
            <w14:solidFill>
              <w14:schemeClr w14:val="tx1"/>
            </w14:solidFill>
          </w14:textFill>
        </w:rPr>
        <w:t>人居及</w:t>
      </w:r>
      <w:r>
        <w:rPr>
          <w:rFonts w:ascii="Times New Roman" w:hAnsi="Times New Roman" w:eastAsia="黑体" w:cs="Times New Roman"/>
          <w:bCs/>
          <w:color w:val="000000" w:themeColor="text1"/>
          <w:szCs w:val="24"/>
          <w:highlight w:val="none"/>
          <w14:textFill>
            <w14:solidFill>
              <w14:schemeClr w14:val="tx1"/>
            </w14:solidFill>
          </w14:textFill>
        </w:rPr>
        <w:t>地下水现状</w:t>
      </w:r>
    </w:p>
    <w:p>
      <w:pPr>
        <w:tabs>
          <w:tab w:val="left" w:pos="0"/>
        </w:tabs>
        <w:ind w:firstLine="480"/>
        <w:rPr>
          <w:bCs/>
          <w:color w:val="000000" w:themeColor="text1"/>
          <w:szCs w:val="24"/>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根据现场调查，本项目位于</w:t>
      </w:r>
      <w:r>
        <w:rPr>
          <w:rFonts w:hint="eastAsia"/>
          <w:color w:val="000000" w:themeColor="text1"/>
          <w:sz w:val="24"/>
          <w:highlight w:val="none"/>
          <w:lang w:eastAsia="zh-CN"/>
          <w14:textFill>
            <w14:solidFill>
              <w14:schemeClr w14:val="tx1"/>
            </w14:solidFill>
          </w14:textFill>
        </w:rPr>
        <w:t>宣汉县***</w:t>
      </w:r>
      <w:r>
        <w:rPr>
          <w:rFonts w:hint="eastAsia" w:ascii="Times New Roman" w:hAnsi="Times New Roman"/>
          <w:color w:val="000000" w:themeColor="text1"/>
          <w:sz w:val="24"/>
          <w:highlight w:val="none"/>
          <w:lang w:val="en-US" w:eastAsia="zh-CN"/>
          <w14:textFill>
            <w14:solidFill>
              <w14:schemeClr w14:val="tx1"/>
            </w14:solidFill>
          </w14:textFill>
        </w:rPr>
        <w:t>境内</w:t>
      </w:r>
      <w:r>
        <w:rPr>
          <w:rFonts w:ascii="Times New Roman" w:hAnsi="Times New Roman"/>
          <w:bCs/>
          <w:color w:val="000000" w:themeColor="text1"/>
          <w:kern w:val="2"/>
          <w:sz w:val="24"/>
          <w:szCs w:val="24"/>
          <w:highlight w:val="none"/>
          <w:lang w:eastAsia="zh-CN"/>
          <w14:textFill>
            <w14:solidFill>
              <w14:schemeClr w14:val="tx1"/>
            </w14:solidFill>
          </w14:textFill>
        </w:rPr>
        <w:t>，</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钻井</w:t>
      </w:r>
      <w:r>
        <w:rPr>
          <w:rFonts w:ascii="Times New Roman" w:hAnsi="Times New Roman"/>
          <w:bCs/>
          <w:color w:val="000000" w:themeColor="text1"/>
          <w:kern w:val="2"/>
          <w:sz w:val="24"/>
          <w:szCs w:val="24"/>
          <w:highlight w:val="none"/>
          <w:lang w:eastAsia="zh-CN"/>
          <w14:textFill>
            <w14:solidFill>
              <w14:schemeClr w14:val="tx1"/>
            </w14:solidFill>
          </w14:textFill>
        </w:rPr>
        <w:t>井口方圆500m区域</w:t>
      </w:r>
      <w:bookmarkStart w:id="91" w:name="_Hlk33089211"/>
      <w:r>
        <w:rPr>
          <w:bCs/>
          <w:color w:val="000000" w:themeColor="text1"/>
          <w:szCs w:val="24"/>
          <w14:textFill>
            <w14:solidFill>
              <w14:schemeClr w14:val="tx1"/>
            </w14:solidFill>
          </w14:textFill>
        </w:rPr>
        <w:t>属中低山斜坡地形，周边生态环境属农村环境，项目周边农户以井水作为饮用水源。地下水评价范围内具备饮用功能的井泉约10处，井深约3～12m，水位埋深一般为0.2-8m以内，最近一处水井位于</w:t>
      </w:r>
      <w:r>
        <w:rPr>
          <w:rFonts w:hint="eastAsia"/>
          <w:bCs/>
          <w:color w:val="000000" w:themeColor="text1"/>
          <w:szCs w:val="24"/>
          <w14:textFill>
            <w14:solidFill>
              <w14:schemeClr w14:val="tx1"/>
            </w14:solidFill>
          </w14:textFill>
        </w:rPr>
        <w:t>污水罐西侧55</w:t>
      </w:r>
      <w:r>
        <w:rPr>
          <w:bCs/>
          <w:color w:val="000000" w:themeColor="text1"/>
          <w:szCs w:val="24"/>
          <w14:textFill>
            <w14:solidFill>
              <w14:schemeClr w14:val="tx1"/>
            </w14:solidFill>
          </w14:textFill>
        </w:rPr>
        <w:t>m处。这些水井均为各农户自家使用的分散式水井，不涉及集中式饮用水取水口。</w:t>
      </w:r>
    </w:p>
    <w:p>
      <w:pPr>
        <w:tabs>
          <w:tab w:val="left" w:pos="0"/>
        </w:tabs>
        <w:ind w:firstLine="480"/>
        <w:rPr>
          <w:rFonts w:cs="Times New Roman"/>
          <w:bCs/>
          <w:color w:val="000000" w:themeColor="text1"/>
          <w:szCs w:val="24"/>
          <w:highlight w:val="none"/>
          <w14:textFill>
            <w14:solidFill>
              <w14:schemeClr w14:val="tx1"/>
            </w14:solidFill>
          </w14:textFill>
        </w:rPr>
      </w:pPr>
      <w:r>
        <w:rPr>
          <w:bCs/>
          <w:color w:val="000000" w:themeColor="text1"/>
          <w:szCs w:val="24"/>
          <w14:textFill>
            <w14:solidFill>
              <w14:schemeClr w14:val="tx1"/>
            </w14:solidFill>
          </w14:textFill>
        </w:rPr>
        <w:t>项目区地下水取水层位为侏罗系中统上沙溪庙组</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J</w:t>
      </w:r>
      <w:r>
        <w:rPr>
          <w:bCs/>
          <w:color w:val="000000" w:themeColor="text1"/>
          <w:szCs w:val="24"/>
          <w:vertAlign w:val="subscript"/>
          <w14:textFill>
            <w14:solidFill>
              <w14:schemeClr w14:val="tx1"/>
            </w14:solidFill>
          </w14:textFill>
        </w:rPr>
        <w:t>2</w:t>
      </w:r>
      <w:r>
        <w:rPr>
          <w:bCs/>
          <w:color w:val="000000" w:themeColor="text1"/>
          <w:szCs w:val="24"/>
          <w14:textFill>
            <w14:solidFill>
              <w14:schemeClr w14:val="tx1"/>
            </w14:solidFill>
          </w14:textFill>
        </w:rPr>
        <w:t>s</w:t>
      </w:r>
      <w:r>
        <w:rPr>
          <w:bCs/>
          <w:color w:val="000000" w:themeColor="text1"/>
          <w:szCs w:val="24"/>
          <w:vertAlign w:val="superscript"/>
          <w14:textFill>
            <w14:solidFill>
              <w14:schemeClr w14:val="tx1"/>
            </w14:solidFill>
          </w14:textFill>
        </w:rPr>
        <w:t>2</w:t>
      </w:r>
      <w:r>
        <w:rPr>
          <w:bCs/>
          <w:color w:val="000000" w:themeColor="text1"/>
          <w:szCs w:val="24"/>
          <w14:textFill>
            <w14:solidFill>
              <w14:schemeClr w14:val="tx1"/>
            </w14:solidFill>
          </w14:textFill>
        </w:rPr>
        <w:t xml:space="preserve"> </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含水层，地下水类型为浅层风化带裂隙潜水。根据外环境调查，井场附近居民家中均使用山泉水或地下水作为饮用水源，基本为3~15户1泉井</w:t>
      </w:r>
      <w:r>
        <w:rPr>
          <w:rFonts w:cs="Times New Roman"/>
          <w:bCs/>
          <w:color w:val="000000" w:themeColor="text1"/>
          <w:szCs w:val="24"/>
          <w:highlight w:val="none"/>
          <w14:textFill>
            <w14:solidFill>
              <w14:schemeClr w14:val="tx1"/>
            </w14:solidFill>
          </w14:textFill>
        </w:rPr>
        <w:t>。</w:t>
      </w:r>
      <w:bookmarkEnd w:id="91"/>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3、</w:t>
      </w:r>
      <w:r>
        <w:rPr>
          <w:rFonts w:hint="eastAsia" w:ascii="Times New Roman" w:hAnsi="Times New Roman" w:eastAsia="黑体" w:cs="Times New Roman"/>
          <w:bCs/>
          <w:color w:val="000000" w:themeColor="text1"/>
          <w:szCs w:val="24"/>
          <w:highlight w:val="none"/>
          <w14:textFill>
            <w14:solidFill>
              <w14:schemeClr w14:val="tx1"/>
            </w14:solidFill>
          </w14:textFill>
        </w:rPr>
        <w:t>拟建</w:t>
      </w:r>
      <w:r>
        <w:rPr>
          <w:rFonts w:ascii="Times New Roman" w:hAnsi="Times New Roman" w:eastAsia="黑体" w:cs="Times New Roman"/>
          <w:bCs/>
          <w:color w:val="000000" w:themeColor="text1"/>
          <w:szCs w:val="24"/>
          <w:highlight w:val="none"/>
          <w14:textFill>
            <w14:solidFill>
              <w14:schemeClr w14:val="tx1"/>
            </w14:solidFill>
          </w14:textFill>
        </w:rPr>
        <w:t>井场周边植被及地表水现状</w:t>
      </w:r>
    </w:p>
    <w:p>
      <w:pPr>
        <w:tabs>
          <w:tab w:val="left" w:pos="0"/>
        </w:tabs>
        <w:ind w:firstLine="480"/>
        <w:rPr>
          <w:bCs/>
          <w:color w:val="000000" w:themeColor="text1"/>
          <w:szCs w:val="24"/>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本项目井场所在地及周边地貌主要为林地、耕地，</w:t>
      </w:r>
      <w:r>
        <w:rPr>
          <w:bCs/>
          <w:color w:val="000000" w:themeColor="text1"/>
          <w:szCs w:val="24"/>
          <w14:textFill>
            <w14:solidFill>
              <w14:schemeClr w14:val="tx1"/>
            </w14:solidFill>
          </w14:textFill>
        </w:rPr>
        <w:t>中低山等较陡地段地表一般为植被覆盖，包括乔木、灌木，主要有麻栎、青冈、栓皮栎、枫香、响叶杨、马尾松、杉木、柏木为主的针叶林植被等林地等，耕地主要种植</w:t>
      </w:r>
      <w:r>
        <w:rPr>
          <w:color w:val="000000" w:themeColor="text1"/>
          <w14:textFill>
            <w14:solidFill>
              <w14:schemeClr w14:val="tx1"/>
            </w14:solidFill>
          </w14:textFill>
        </w:rPr>
        <w:t>玉米、红苕、棉花、花生、小麦、马铃薯、豌豆</w:t>
      </w:r>
      <w:r>
        <w:rPr>
          <w:bCs/>
          <w:color w:val="000000" w:themeColor="text1"/>
          <w:szCs w:val="24"/>
          <w14:textFill>
            <w14:solidFill>
              <w14:schemeClr w14:val="tx1"/>
            </w14:solidFill>
          </w14:textFill>
        </w:rPr>
        <w:t>等。项目周边外环境无珍稀动植物。</w:t>
      </w:r>
    </w:p>
    <w:p>
      <w:pPr>
        <w:tabs>
          <w:tab w:val="left" w:pos="0"/>
        </w:tabs>
        <w:ind w:firstLine="480"/>
        <w:rPr>
          <w:rFonts w:cs="Times New Roman"/>
          <w:bCs/>
          <w:color w:val="000000" w:themeColor="text1"/>
          <w:szCs w:val="24"/>
          <w:highlight w:val="none"/>
          <w14:textFill>
            <w14:solidFill>
              <w14:schemeClr w14:val="tx1"/>
            </w14:solidFill>
          </w14:textFill>
        </w:rPr>
      </w:pPr>
      <w:r>
        <w:rPr>
          <w:bCs/>
          <w:color w:val="000000" w:themeColor="text1"/>
          <w:szCs w:val="24"/>
          <w14:textFill>
            <w14:solidFill>
              <w14:schemeClr w14:val="tx1"/>
            </w14:solidFill>
          </w14:textFill>
        </w:rPr>
        <w:t>根据</w:t>
      </w:r>
      <w:r>
        <w:rPr>
          <w:rFonts w:hint="eastAsia"/>
          <w:bCs/>
          <w:color w:val="000000" w:themeColor="text1"/>
          <w:szCs w:val="24"/>
          <w14:textFill>
            <w14:solidFill>
              <w14:schemeClr w14:val="tx1"/>
            </w14:solidFill>
          </w14:textFill>
        </w:rPr>
        <w:t>现场勘查</w:t>
      </w:r>
      <w:r>
        <w:rPr>
          <w:bCs/>
          <w:color w:val="000000" w:themeColor="text1"/>
          <w:szCs w:val="24"/>
          <w14:textFill>
            <w14:solidFill>
              <w14:schemeClr w14:val="tx1"/>
            </w14:solidFill>
          </w14:textFill>
        </w:rPr>
        <w:t>，本项目最近的河流为场区</w:t>
      </w:r>
      <w:r>
        <w:rPr>
          <w:rFonts w:hint="eastAsia"/>
          <w:bCs/>
          <w:color w:val="000000" w:themeColor="text1"/>
          <w:szCs w:val="24"/>
          <w:lang w:eastAsia="zh-CN"/>
          <w14:textFill>
            <w14:solidFill>
              <w14:schemeClr w14:val="tx1"/>
            </w14:solidFill>
          </w14:textFill>
        </w:rPr>
        <w:t>东南侧740m处</w:t>
      </w:r>
      <w:r>
        <w:rPr>
          <w:bCs/>
          <w:color w:val="000000" w:themeColor="text1"/>
          <w:szCs w:val="24"/>
          <w14:textFill>
            <w14:solidFill>
              <w14:schemeClr w14:val="tx1"/>
            </w14:solidFill>
          </w14:textFill>
        </w:rPr>
        <w:t>州河，州河的主要水体功能为灌溉</w:t>
      </w:r>
      <w:r>
        <w:rPr>
          <w:rFonts w:hint="eastAsia"/>
          <w:bCs/>
          <w:color w:val="000000" w:themeColor="text1"/>
          <w:szCs w:val="24"/>
          <w14:textFill>
            <w14:solidFill>
              <w14:schemeClr w14:val="tx1"/>
            </w14:solidFill>
          </w14:textFill>
        </w:rPr>
        <w:t>、</w:t>
      </w:r>
      <w:r>
        <w:rPr>
          <w:bCs/>
          <w:color w:val="000000" w:themeColor="text1"/>
          <w:szCs w:val="24"/>
          <w14:textFill>
            <w14:solidFill>
              <w14:schemeClr w14:val="tx1"/>
            </w14:solidFill>
          </w14:textFill>
        </w:rPr>
        <w:t>行洪</w:t>
      </w:r>
      <w:r>
        <w:rPr>
          <w:rFonts w:hint="eastAsia"/>
          <w:bCs/>
          <w:color w:val="000000" w:themeColor="text1"/>
          <w:szCs w:val="24"/>
          <w14:textFill>
            <w14:solidFill>
              <w14:schemeClr w14:val="tx1"/>
            </w14:solidFill>
          </w14:textFill>
        </w:rPr>
        <w:t>及</w:t>
      </w:r>
      <w:r>
        <w:rPr>
          <w:bCs/>
          <w:color w:val="000000" w:themeColor="text1"/>
          <w:szCs w:val="24"/>
          <w14:textFill>
            <w14:solidFill>
              <w14:schemeClr w14:val="tx1"/>
            </w14:solidFill>
          </w14:textFill>
        </w:rPr>
        <w:t>饮用水</w:t>
      </w:r>
      <w:r>
        <w:rPr>
          <w:rFonts w:hint="eastAsia"/>
          <w:bCs/>
          <w:color w:val="000000" w:themeColor="text1"/>
          <w:szCs w:val="24"/>
          <w14:textFill>
            <w14:solidFill>
              <w14:schemeClr w14:val="tx1"/>
            </w14:solidFill>
          </w14:textFill>
        </w:rPr>
        <w:t>功能</w:t>
      </w:r>
      <w:r>
        <w:rPr>
          <w:rFonts w:cs="Times New Roman"/>
          <w:bCs/>
          <w:color w:val="000000" w:themeColor="text1"/>
          <w:szCs w:val="24"/>
          <w:highlight w:val="none"/>
          <w14:textFill>
            <w14:solidFill>
              <w14:schemeClr w14:val="tx1"/>
            </w14:solidFill>
          </w14:textFill>
        </w:rPr>
        <w:t>。</w:t>
      </w:r>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4、</w:t>
      </w:r>
      <w:r>
        <w:rPr>
          <w:rFonts w:hint="eastAsia" w:ascii="Times New Roman" w:hAnsi="Times New Roman" w:eastAsia="黑体" w:cs="Times New Roman"/>
          <w:bCs/>
          <w:color w:val="000000" w:themeColor="text1"/>
          <w:szCs w:val="24"/>
          <w:highlight w:val="none"/>
          <w14:textFill>
            <w14:solidFill>
              <w14:schemeClr w14:val="tx1"/>
            </w14:solidFill>
          </w14:textFill>
        </w:rPr>
        <w:t>拟建</w:t>
      </w:r>
      <w:r>
        <w:rPr>
          <w:rFonts w:ascii="Times New Roman" w:hAnsi="Times New Roman" w:eastAsia="黑体" w:cs="Times New Roman"/>
          <w:bCs/>
          <w:color w:val="000000" w:themeColor="text1"/>
          <w:szCs w:val="24"/>
          <w:highlight w:val="none"/>
          <w14:textFill>
            <w14:solidFill>
              <w14:schemeClr w14:val="tx1"/>
            </w14:solidFill>
          </w14:textFill>
        </w:rPr>
        <w:t>放喷池及火炬区外环境简况</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本项目需</w:t>
      </w:r>
      <w:r>
        <w:rPr>
          <w:rFonts w:hint="eastAsia" w:cs="Times New Roman"/>
          <w:bCs/>
          <w:color w:val="000000" w:themeColor="text1"/>
          <w:szCs w:val="24"/>
          <w:highlight w:val="none"/>
          <w:lang w:eastAsia="zh-CN"/>
          <w14:textFill>
            <w14:solidFill>
              <w14:schemeClr w14:val="tx1"/>
            </w14:solidFill>
          </w14:textFill>
        </w:rPr>
        <w:t>依托放喷池1座</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根据调查，放喷池布置在井场外井口</w:t>
      </w:r>
      <w:r>
        <w:rPr>
          <w:rFonts w:hint="eastAsia" w:cs="Times New Roman"/>
          <w:bCs/>
          <w:color w:val="000000" w:themeColor="text1"/>
          <w:szCs w:val="24"/>
          <w:highlight w:val="none"/>
          <w:lang w:val="en-US" w:eastAsia="zh-CN"/>
          <w14:textFill>
            <w14:solidFill>
              <w14:schemeClr w14:val="tx1"/>
            </w14:solidFill>
          </w14:textFill>
        </w:rPr>
        <w:t>东北</w:t>
      </w:r>
      <w:r>
        <w:rPr>
          <w:rFonts w:cs="Times New Roman"/>
          <w:bCs/>
          <w:color w:val="000000" w:themeColor="text1"/>
          <w:szCs w:val="24"/>
          <w:highlight w:val="none"/>
          <w14:textFill>
            <w14:solidFill>
              <w14:schemeClr w14:val="tx1"/>
            </w14:solidFill>
          </w14:textFill>
        </w:rPr>
        <w:t>侧</w:t>
      </w:r>
      <w:r>
        <w:rPr>
          <w:rFonts w:hint="eastAsia" w:cs="Times New Roman"/>
          <w:bCs/>
          <w:color w:val="000000" w:themeColor="text1"/>
          <w:szCs w:val="24"/>
          <w:highlight w:val="none"/>
          <w:lang w:val="en-US" w:eastAsia="zh-CN"/>
          <w14:textFill>
            <w14:solidFill>
              <w14:schemeClr w14:val="tx1"/>
            </w14:solidFill>
          </w14:textFill>
        </w:rPr>
        <w:t>耕</w:t>
      </w:r>
      <w:r>
        <w:rPr>
          <w:rFonts w:cs="Times New Roman"/>
          <w:bCs/>
          <w:color w:val="000000" w:themeColor="text1"/>
          <w:szCs w:val="24"/>
          <w:highlight w:val="none"/>
          <w14:textFill>
            <w14:solidFill>
              <w14:schemeClr w14:val="tx1"/>
            </w14:solidFill>
          </w14:textFill>
        </w:rPr>
        <w:t>地内，距离井口约</w:t>
      </w:r>
      <w:r>
        <w:rPr>
          <w:rFonts w:hint="eastAsia" w:cs="Times New Roman"/>
          <w:bCs/>
          <w:color w:val="000000" w:themeColor="text1"/>
          <w:szCs w:val="24"/>
          <w:highlight w:val="none"/>
          <w:lang w:val="en-US" w:eastAsia="zh-CN"/>
          <w14:textFill>
            <w14:solidFill>
              <w14:schemeClr w14:val="tx1"/>
            </w14:solidFill>
          </w14:textFill>
        </w:rPr>
        <w:t>15</w:t>
      </w:r>
      <w:r>
        <w:rPr>
          <w:rFonts w:cs="Times New Roman"/>
          <w:bCs/>
          <w:color w:val="000000" w:themeColor="text1"/>
          <w:szCs w:val="24"/>
          <w:highlight w:val="none"/>
          <w14:textFill>
            <w14:solidFill>
              <w14:schemeClr w14:val="tx1"/>
            </w14:solidFill>
          </w14:textFill>
        </w:rPr>
        <w:t>0m处</w:t>
      </w:r>
      <w:r>
        <w:rPr>
          <w:rFonts w:cs="Times New Roman"/>
          <w:bCs/>
          <w:color w:val="000000" w:themeColor="text1"/>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位于井场区域</w:t>
      </w:r>
      <w:r>
        <w:rPr>
          <w:rFonts w:hint="eastAsia" w:cs="Times New Roman"/>
          <w:bCs/>
          <w:color w:val="000000" w:themeColor="text1"/>
          <w:szCs w:val="24"/>
          <w:highlight w:val="none"/>
          <w:lang w:val="en-US" w:eastAsia="zh-CN"/>
          <w14:textFill>
            <w14:solidFill>
              <w14:schemeClr w14:val="tx1"/>
            </w14:solidFill>
          </w14:textFill>
        </w:rPr>
        <w:t>主导</w:t>
      </w:r>
      <w:r>
        <w:rPr>
          <w:rFonts w:cs="Times New Roman"/>
          <w:bCs/>
          <w:color w:val="000000" w:themeColor="text1"/>
          <w:szCs w:val="24"/>
          <w:highlight w:val="none"/>
          <w14:textFill>
            <w14:solidFill>
              <w14:schemeClr w14:val="tx1"/>
            </w14:solidFill>
          </w14:textFill>
        </w:rPr>
        <w:t>风向的</w:t>
      </w:r>
      <w:r>
        <w:rPr>
          <w:rFonts w:hint="eastAsia" w:cs="Times New Roman"/>
          <w:bCs/>
          <w:color w:val="000000" w:themeColor="text1"/>
          <w:szCs w:val="24"/>
          <w:highlight w:val="none"/>
          <w:lang w:val="en-US" w:eastAsia="zh-CN"/>
          <w14:textFill>
            <w14:solidFill>
              <w14:schemeClr w14:val="tx1"/>
            </w14:solidFill>
          </w14:textFill>
        </w:rPr>
        <w:t>下</w:t>
      </w:r>
      <w:r>
        <w:rPr>
          <w:rFonts w:cs="Times New Roman"/>
          <w:bCs/>
          <w:color w:val="000000" w:themeColor="text1"/>
          <w:szCs w:val="24"/>
          <w:highlight w:val="none"/>
          <w14:textFill>
            <w14:solidFill>
              <w14:schemeClr w14:val="tx1"/>
            </w14:solidFill>
          </w14:textFill>
        </w:rPr>
        <w:t>风向。根据现场调查，放喷池周围50m范围内无民房等各类设施。放喷池</w:t>
      </w:r>
      <w:r>
        <w:rPr>
          <w:rFonts w:hint="eastAsia" w:cs="Times New Roman"/>
          <w:bCs/>
          <w:color w:val="000000" w:themeColor="text1"/>
          <w:szCs w:val="24"/>
          <w:highlight w:val="none"/>
          <w14:textFill>
            <w14:solidFill>
              <w14:schemeClr w14:val="tx1"/>
            </w14:solidFill>
          </w14:textFill>
        </w:rPr>
        <w:t>东侧</w:t>
      </w:r>
      <w:r>
        <w:rPr>
          <w:rFonts w:cs="Times New Roman"/>
          <w:bCs/>
          <w:color w:val="000000" w:themeColor="text1"/>
          <w:szCs w:val="24"/>
          <w:highlight w:val="none"/>
          <w14:textFill>
            <w14:solidFill>
              <w14:schemeClr w14:val="tx1"/>
            </w14:solidFill>
          </w14:textFill>
        </w:rPr>
        <w:t>有小片林木和灌木，</w:t>
      </w:r>
      <w:r>
        <w:rPr>
          <w:rFonts w:hint="eastAsia" w:cs="Times New Roman"/>
          <w:bCs/>
          <w:color w:val="000000" w:themeColor="text1"/>
          <w:szCs w:val="24"/>
          <w:highlight w:val="none"/>
          <w:lang w:val="en-US" w:eastAsia="zh-CN"/>
          <w14:textFill>
            <w14:solidFill>
              <w14:schemeClr w14:val="tx1"/>
            </w14:solidFill>
          </w14:textFill>
        </w:rPr>
        <w:t>不</w:t>
      </w:r>
      <w:r>
        <w:rPr>
          <w:rFonts w:hint="eastAsia" w:cs="Times New Roman"/>
          <w:bCs/>
          <w:color w:val="000000" w:themeColor="text1"/>
          <w:szCs w:val="24"/>
          <w:highlight w:val="none"/>
          <w:lang w:eastAsia="zh-CN"/>
          <w14:textFill>
            <w14:solidFill>
              <w14:schemeClr w14:val="tx1"/>
            </w14:solidFill>
          </w14:textFill>
        </w:rPr>
        <w:t>存在</w:t>
      </w:r>
      <w:r>
        <w:rPr>
          <w:rFonts w:cs="Times New Roman"/>
          <w:bCs/>
          <w:color w:val="000000" w:themeColor="text1"/>
          <w:szCs w:val="24"/>
          <w:highlight w:val="none"/>
          <w14:textFill>
            <w14:solidFill>
              <w14:schemeClr w14:val="tx1"/>
            </w14:solidFill>
          </w14:textFill>
        </w:rPr>
        <w:t>重点保护野生动植物栖息地</w:t>
      </w:r>
      <w:r>
        <w:rPr>
          <w:rFonts w:hint="eastAsia" w:cs="Times New Roman"/>
          <w:bCs/>
          <w:color w:val="000000" w:themeColor="text1"/>
          <w:szCs w:val="24"/>
          <w:highlight w:val="none"/>
          <w:lang w:val="en-US" w:eastAsia="zh-CN"/>
          <w14:textFill>
            <w14:solidFill>
              <w14:schemeClr w14:val="tx1"/>
            </w14:solidFill>
          </w14:textFill>
        </w:rPr>
        <w:t>等，且距离均超过50m，且</w:t>
      </w:r>
      <w:r>
        <w:rPr>
          <w:rFonts w:cs="Times New Roman"/>
          <w:bCs/>
          <w:color w:val="000000" w:themeColor="text1"/>
          <w:szCs w:val="24"/>
          <w:highlight w:val="none"/>
          <w14:textFill>
            <w14:solidFill>
              <w14:schemeClr w14:val="tx1"/>
            </w14:solidFill>
          </w14:textFill>
        </w:rPr>
        <w:t>放喷池在</w:t>
      </w:r>
      <w:r>
        <w:rPr>
          <w:rFonts w:hint="eastAsia" w:cs="Times New Roman"/>
          <w:bCs/>
          <w:color w:val="000000" w:themeColor="text1"/>
          <w:szCs w:val="24"/>
          <w:highlight w:val="none"/>
          <w14:textFill>
            <w14:solidFill>
              <w14:schemeClr w14:val="tx1"/>
            </w14:solidFill>
          </w14:textFill>
        </w:rPr>
        <w:t>东</w:t>
      </w:r>
      <w:r>
        <w:rPr>
          <w:rFonts w:cs="Times New Roman"/>
          <w:bCs/>
          <w:color w:val="000000" w:themeColor="text1"/>
          <w:szCs w:val="24"/>
          <w:highlight w:val="none"/>
          <w14:textFill>
            <w14:solidFill>
              <w14:schemeClr w14:val="tx1"/>
            </w14:solidFill>
          </w14:textFill>
        </w:rPr>
        <w:t>、南、</w:t>
      </w:r>
      <w:r>
        <w:rPr>
          <w:rFonts w:hint="eastAsia" w:cs="Times New Roman"/>
          <w:bCs/>
          <w:color w:val="000000" w:themeColor="text1"/>
          <w:szCs w:val="24"/>
          <w:highlight w:val="none"/>
          <w14:textFill>
            <w14:solidFill>
              <w14:schemeClr w14:val="tx1"/>
            </w14:solidFill>
          </w14:textFill>
        </w:rPr>
        <w:t>北</w:t>
      </w:r>
      <w:r>
        <w:rPr>
          <w:rFonts w:cs="Times New Roman"/>
          <w:bCs/>
          <w:color w:val="000000" w:themeColor="text1"/>
          <w:szCs w:val="24"/>
          <w:highlight w:val="none"/>
          <w14:textFill>
            <w14:solidFill>
              <w14:schemeClr w14:val="tx1"/>
            </w14:solidFill>
          </w14:textFill>
        </w:rPr>
        <w:t>三面均将设置挡火墙，仅在靠近井场较空旷处（放喷池</w:t>
      </w:r>
      <w:r>
        <w:rPr>
          <w:rFonts w:hint="eastAsia" w:cs="Times New Roman"/>
          <w:bCs/>
          <w:color w:val="000000" w:themeColor="text1"/>
          <w:szCs w:val="24"/>
          <w:highlight w:val="none"/>
          <w14:textFill>
            <w14:solidFill>
              <w14:schemeClr w14:val="tx1"/>
            </w14:solidFill>
          </w14:textFill>
        </w:rPr>
        <w:t>西</w:t>
      </w:r>
      <w:r>
        <w:rPr>
          <w:rFonts w:cs="Times New Roman"/>
          <w:bCs/>
          <w:color w:val="000000" w:themeColor="text1"/>
          <w:szCs w:val="24"/>
          <w:highlight w:val="none"/>
          <w14:textFill>
            <w14:solidFill>
              <w14:schemeClr w14:val="tx1"/>
            </w14:solidFill>
          </w14:textFill>
        </w:rPr>
        <w:t>侧）设置入口</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在放喷时临时清理树林和放喷池之间的易燃物，加强监管，树林距离是满足放喷池防火要求的。周边无珍稀动植物和环境敏感目标。</w:t>
      </w:r>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5、</w:t>
      </w:r>
      <w:r>
        <w:rPr>
          <w:rFonts w:hint="eastAsia" w:ascii="Times New Roman" w:hAnsi="Times New Roman" w:eastAsia="黑体" w:cs="Times New Roman"/>
          <w:bCs/>
          <w:color w:val="000000" w:themeColor="text1"/>
          <w:szCs w:val="24"/>
          <w:highlight w:val="none"/>
          <w14:textFill>
            <w14:solidFill>
              <w14:schemeClr w14:val="tx1"/>
            </w14:solidFill>
          </w14:textFill>
        </w:rPr>
        <w:t>依托</w:t>
      </w:r>
      <w:r>
        <w:rPr>
          <w:rFonts w:ascii="Times New Roman" w:hAnsi="Times New Roman" w:eastAsia="黑体" w:cs="Times New Roman"/>
          <w:bCs/>
          <w:color w:val="000000" w:themeColor="text1"/>
          <w:szCs w:val="24"/>
          <w:highlight w:val="none"/>
          <w14:textFill>
            <w14:solidFill>
              <w14:schemeClr w14:val="tx1"/>
            </w14:solidFill>
          </w14:textFill>
        </w:rPr>
        <w:t>井场道路周边外环境简况</w:t>
      </w:r>
    </w:p>
    <w:p>
      <w:pPr>
        <w:tabs>
          <w:tab w:val="left" w:pos="0"/>
        </w:tabs>
        <w:ind w:firstLine="480"/>
        <w:rPr>
          <w:rFonts w:cs="Times New Roman"/>
          <w:bCs/>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w:t>
      </w:r>
      <w:r>
        <w:rPr>
          <w:rFonts w:hint="eastAsia" w:cs="Times New Roman"/>
          <w:bCs/>
          <w:color w:val="000000" w:themeColor="text1"/>
          <w:szCs w:val="24"/>
          <w:highlight w:val="none"/>
          <w14:textFill>
            <w14:solidFill>
              <w14:schemeClr w14:val="tx1"/>
            </w14:solidFill>
          </w14:textFill>
        </w:rPr>
        <w:t>新建进场道路</w:t>
      </w:r>
      <w:r>
        <w:rPr>
          <w:rFonts w:hint="eastAsia" w:cs="Times New Roman"/>
          <w:bCs/>
          <w:color w:val="000000" w:themeColor="text1"/>
          <w:szCs w:val="24"/>
          <w:highlight w:val="none"/>
          <w:lang w:val="en-US" w:eastAsia="zh-CN"/>
          <w14:textFill>
            <w14:solidFill>
              <w14:schemeClr w14:val="tx1"/>
            </w14:solidFill>
          </w14:textFill>
        </w:rPr>
        <w:t>10</w:t>
      </w:r>
      <w:r>
        <w:rPr>
          <w:rFonts w:hint="eastAsia" w:cs="Times New Roman"/>
          <w:bCs/>
          <w:color w:val="000000" w:themeColor="text1"/>
          <w:szCs w:val="24"/>
          <w:highlight w:val="none"/>
          <w14:textFill>
            <w14:solidFill>
              <w14:schemeClr w14:val="tx1"/>
            </w14:solidFill>
          </w14:textFill>
        </w:rPr>
        <w:t>0m</w:t>
      </w:r>
      <w:r>
        <w:rPr>
          <w:rFonts w:cs="Times New Roman"/>
          <w:bCs/>
          <w:color w:val="000000" w:themeColor="text1"/>
          <w:szCs w:val="24"/>
          <w:highlight w:val="none"/>
          <w14:textFill>
            <w14:solidFill>
              <w14:schemeClr w14:val="tx1"/>
            </w14:solidFill>
          </w14:textFill>
        </w:rPr>
        <w:t>，位于井场</w:t>
      </w:r>
      <w:r>
        <w:rPr>
          <w:rFonts w:hint="eastAsia" w:cs="Times New Roman"/>
          <w:bCs/>
          <w:color w:val="000000" w:themeColor="text1"/>
          <w:szCs w:val="24"/>
          <w:highlight w:val="none"/>
          <w:lang w:val="en-US" w:eastAsia="zh-CN"/>
          <w14:textFill>
            <w14:solidFill>
              <w14:schemeClr w14:val="tx1"/>
            </w14:solidFill>
          </w14:textFill>
        </w:rPr>
        <w:t>西南</w:t>
      </w:r>
      <w:r>
        <w:rPr>
          <w:rFonts w:cs="Times New Roman"/>
          <w:bCs/>
          <w:color w:val="000000" w:themeColor="text1"/>
          <w:szCs w:val="24"/>
          <w:highlight w:val="none"/>
          <w14:textFill>
            <w14:solidFill>
              <w14:schemeClr w14:val="tx1"/>
            </w14:solidFill>
          </w14:textFill>
        </w:rPr>
        <w:t>侧，道路</w:t>
      </w:r>
      <w:r>
        <w:rPr>
          <w:rFonts w:hint="eastAsia" w:cs="Times New Roman"/>
          <w:bCs/>
          <w:color w:val="000000" w:themeColor="text1"/>
          <w:szCs w:val="24"/>
          <w:highlight w:val="none"/>
          <w:lang w:val="en-US" w:eastAsia="zh-CN"/>
          <w14:textFill>
            <w14:solidFill>
              <w14:schemeClr w14:val="tx1"/>
            </w14:solidFill>
          </w14:textFill>
        </w:rPr>
        <w:t>两</w:t>
      </w:r>
      <w:r>
        <w:rPr>
          <w:rFonts w:cs="Times New Roman"/>
          <w:bCs/>
          <w:color w:val="000000" w:themeColor="text1"/>
          <w:szCs w:val="24"/>
          <w:highlight w:val="none"/>
          <w14:textFill>
            <w14:solidFill>
              <w14:schemeClr w14:val="tx1"/>
            </w14:solidFill>
          </w14:textFill>
        </w:rPr>
        <w:t>侧</w:t>
      </w:r>
      <w:r>
        <w:rPr>
          <w:rFonts w:hint="eastAsia" w:cs="Times New Roman"/>
          <w:bCs/>
          <w:color w:val="000000" w:themeColor="text1"/>
          <w:szCs w:val="24"/>
          <w:highlight w:val="none"/>
          <w:lang w:val="en-US" w:eastAsia="zh-CN"/>
          <w14:textFill>
            <w14:solidFill>
              <w14:schemeClr w14:val="tx1"/>
            </w14:solidFill>
          </w14:textFill>
        </w:rPr>
        <w:t>均为耕</w:t>
      </w:r>
      <w:r>
        <w:rPr>
          <w:rFonts w:cs="Times New Roman"/>
          <w:bCs/>
          <w:color w:val="000000" w:themeColor="text1"/>
          <w:szCs w:val="24"/>
          <w:highlight w:val="none"/>
          <w14:textFill>
            <w14:solidFill>
              <w14:schemeClr w14:val="tx1"/>
            </w14:solidFill>
          </w14:textFill>
        </w:rPr>
        <w:t>地</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周边均无珍稀动植物和保护区分布。</w:t>
      </w:r>
    </w:p>
    <w:p>
      <w:pPr>
        <w:tabs>
          <w:tab w:val="left" w:pos="0"/>
        </w:tabs>
        <w:ind w:firstLine="480"/>
        <w:rPr>
          <w:rFonts w:ascii="Times New Roman" w:hAnsi="Times New Roman" w:eastAsia="黑体" w:cs="Times New Roman"/>
          <w:bCs/>
          <w:color w:val="000000" w:themeColor="text1"/>
          <w:szCs w:val="24"/>
          <w:highlight w:val="none"/>
          <w14:textFill>
            <w14:solidFill>
              <w14:schemeClr w14:val="tx1"/>
            </w14:solidFill>
          </w14:textFill>
        </w:rPr>
      </w:pPr>
      <w:r>
        <w:rPr>
          <w:rFonts w:ascii="Times New Roman" w:hAnsi="Times New Roman" w:eastAsia="黑体" w:cs="Times New Roman"/>
          <w:bCs/>
          <w:color w:val="000000" w:themeColor="text1"/>
          <w:szCs w:val="24"/>
          <w:highlight w:val="none"/>
          <w14:textFill>
            <w14:solidFill>
              <w14:schemeClr w14:val="tx1"/>
            </w14:solidFill>
          </w14:textFill>
        </w:rPr>
        <w:t>6、管线沿线周边外环境简况</w:t>
      </w:r>
    </w:p>
    <w:p>
      <w:pPr>
        <w:ind w:firstLine="480"/>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本项目新建</w:t>
      </w:r>
      <w:r>
        <w:rPr>
          <w:rFonts w:hint="eastAsia" w:cs="Times New Roman"/>
          <w:color w:val="000000" w:themeColor="text1"/>
          <w:highlight w:val="none"/>
          <w:lang w:eastAsia="zh-CN"/>
          <w14:textFill>
            <w14:solidFill>
              <w14:schemeClr w14:val="tx1"/>
            </w14:solidFill>
          </w14:textFill>
        </w:rPr>
        <w:t>雷页1试验井组</w:t>
      </w:r>
      <w:r>
        <w:rPr>
          <w:rFonts w:hint="default" w:ascii="Times New Roman" w:hAnsi="Times New Roman" w:eastAsia="宋体" w:cs="Times New Roman"/>
          <w:color w:val="000000" w:themeColor="text1"/>
          <w:highlight w:val="none"/>
          <w14:textFill>
            <w14:solidFill>
              <w14:schemeClr w14:val="tx1"/>
            </w14:solidFill>
          </w14:textFill>
        </w:rPr>
        <w:t>试采站</w:t>
      </w:r>
      <w:r>
        <w:rPr>
          <w:rFonts w:hint="eastAsia" w:cs="Times New Roman"/>
          <w:color w:val="000000" w:themeColor="text1"/>
          <w:highlight w:val="none"/>
          <w:lang w:eastAsia="zh-CN"/>
          <w14:textFill>
            <w14:solidFill>
              <w14:schemeClr w14:val="tx1"/>
            </w14:solidFill>
          </w14:textFill>
        </w:rPr>
        <w:t>～雷页1试采站</w:t>
      </w:r>
      <w:r>
        <w:rPr>
          <w:rFonts w:hint="default" w:ascii="Times New Roman" w:hAnsi="Times New Roman" w:eastAsia="宋体" w:cs="Times New Roman"/>
          <w:color w:val="000000" w:themeColor="text1"/>
          <w:highlight w:val="none"/>
          <w14:textFill>
            <w14:solidFill>
              <w14:schemeClr w14:val="tx1"/>
            </w14:solidFill>
          </w14:textFill>
        </w:rPr>
        <w:t>管线长度约</w:t>
      </w:r>
      <w:r>
        <w:rPr>
          <w:rFonts w:hint="eastAsia" w:cs="Times New Roman"/>
          <w:color w:val="000000" w:themeColor="text1"/>
          <w:highlight w:val="none"/>
          <w:lang w:val="en-US" w:eastAsia="zh-CN"/>
          <w14:textFill>
            <w14:solidFill>
              <w14:schemeClr w14:val="tx1"/>
            </w14:solidFill>
          </w14:textFill>
        </w:rPr>
        <w:t>140</w:t>
      </w:r>
      <w:r>
        <w:rPr>
          <w:rFonts w:hint="default" w:ascii="Times New Roman" w:hAnsi="Times New Roman" w:eastAsia="宋体" w:cs="Times New Roman"/>
          <w:color w:val="000000" w:themeColor="text1"/>
          <w:highlight w:val="none"/>
          <w14:textFill>
            <w14:solidFill>
              <w14:schemeClr w14:val="tx1"/>
            </w14:solidFill>
          </w14:textFill>
        </w:rPr>
        <w:t>m，管线沿线</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主要为耕地和散居农户，周边</w:t>
      </w:r>
      <w:r>
        <w:rPr>
          <w:rFonts w:hint="default" w:ascii="Times New Roman" w:hAnsi="Times New Roman" w:eastAsia="宋体" w:cs="Times New Roman"/>
          <w:bCs/>
          <w:color w:val="000000" w:themeColor="text1"/>
          <w:highlight w:val="none"/>
          <w14:textFill>
            <w14:solidFill>
              <w14:schemeClr w14:val="tx1"/>
            </w14:solidFill>
          </w14:textFill>
        </w:rPr>
        <w:t>无珍稀动植物和保护区分布。</w:t>
      </w:r>
    </w:p>
    <w:p>
      <w:pPr>
        <w:pStyle w:val="4"/>
        <w:spacing w:before="120"/>
        <w:rPr>
          <w:color w:val="000000" w:themeColor="text1"/>
          <w:highlight w:val="none"/>
          <w:lang w:eastAsia="zh-CN"/>
          <w14:textFill>
            <w14:solidFill>
              <w14:schemeClr w14:val="tx1"/>
            </w14:solidFill>
          </w14:textFill>
        </w:rPr>
      </w:pPr>
      <w:bookmarkStart w:id="92" w:name="_Toc120173086"/>
      <w:r>
        <w:rPr>
          <w:color w:val="000000" w:themeColor="text1"/>
          <w:highlight w:val="none"/>
          <w:lang w:eastAsia="zh-CN"/>
          <w14:textFill>
            <w14:solidFill>
              <w14:schemeClr w14:val="tx1"/>
            </w14:solidFill>
          </w14:textFill>
        </w:rPr>
        <w:t>主要环境保护目标</w:t>
      </w:r>
      <w:bookmarkEnd w:id="92"/>
    </w:p>
    <w:p>
      <w:pPr>
        <w:pStyle w:val="5"/>
        <w:bidi w:val="0"/>
        <w:rPr>
          <w:color w:val="000000" w:themeColor="text1"/>
          <w14:textFill>
            <w14:solidFill>
              <w14:schemeClr w14:val="tx1"/>
            </w14:solidFill>
          </w14:textFill>
        </w:rPr>
      </w:pPr>
      <w:r>
        <w:rPr>
          <w:color w:val="000000" w:themeColor="text1"/>
          <w14:textFill>
            <w14:solidFill>
              <w14:schemeClr w14:val="tx1"/>
            </w14:solidFill>
          </w14:textFill>
        </w:rPr>
        <w:t>生态环境保护目标</w:t>
      </w:r>
    </w:p>
    <w:p>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本项目所在地以耕地、林地为</w:t>
      </w:r>
      <w:r>
        <w:rPr>
          <w:rFonts w:hint="eastAsia"/>
          <w:bCs/>
          <w:color w:val="000000" w:themeColor="text1"/>
          <w:highlight w:val="none"/>
          <w14:textFill>
            <w14:solidFill>
              <w14:schemeClr w14:val="tx1"/>
            </w14:solidFill>
          </w14:textFill>
        </w:rPr>
        <w:t>（本项目周边有公益林及天然林分布，但主要分布于场地东侧和南侧</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本项目不直接占用天然林及公益林</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。评价范围内不涉及自然保护区、风景名胜区、湿地公园、集中式饮用水源保护区、生态保护红线等特殊或重要生态敏感区。故本次评价的主要生态环境保护目标为项目周边的耕地、植被（主要是农作物与林地</w:t>
      </w:r>
      <w:r>
        <w:rPr>
          <w:rFonts w:hint="eastAsia"/>
          <w:bCs/>
          <w:color w:val="000000" w:themeColor="text1"/>
          <w:highlight w:val="none"/>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天然林、</w:t>
      </w:r>
      <w:r>
        <w:rPr>
          <w:rFonts w:hint="eastAsia"/>
          <w:bCs/>
          <w:color w:val="000000" w:themeColor="text1"/>
          <w:highlight w:val="none"/>
          <w14:textFill>
            <w14:solidFill>
              <w14:schemeClr w14:val="tx1"/>
            </w14:solidFill>
          </w14:textFill>
        </w:rPr>
        <w:t>公益林</w:t>
      </w:r>
      <w:r>
        <w:rPr>
          <w:bCs/>
          <w:color w:val="000000" w:themeColor="text1"/>
          <w:highlight w:val="none"/>
          <w14:textFill>
            <w14:solidFill>
              <w14:schemeClr w14:val="tx1"/>
            </w14:solidFill>
          </w14:textFill>
        </w:rPr>
        <w:t>）、动物、永久基本农田等。</w:t>
      </w:r>
    </w:p>
    <w:p>
      <w:pPr>
        <w:pStyle w:val="5"/>
        <w:bidi w:val="0"/>
        <w:rPr>
          <w:rFonts w:hint="eastAsia"/>
          <w:color w:val="000000" w:themeColor="text1"/>
          <w14:textFill>
            <w14:solidFill>
              <w14:schemeClr w14:val="tx1"/>
            </w14:solidFill>
          </w14:textFill>
        </w:rPr>
      </w:pPr>
      <w:bookmarkStart w:id="93" w:name="_Toc140496887"/>
      <w:r>
        <w:rPr>
          <w:rFonts w:hint="eastAsia"/>
          <w:color w:val="000000" w:themeColor="text1"/>
          <w14:textFill>
            <w14:solidFill>
              <w14:schemeClr w14:val="tx1"/>
            </w14:solidFill>
          </w14:textFill>
        </w:rPr>
        <w:t>地表水环境保护目标</w:t>
      </w:r>
      <w:bookmarkEnd w:id="93"/>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根据调查，本项目井场和管线</w:t>
      </w:r>
      <w:r>
        <w:rPr>
          <w:rFonts w:hint="eastAsia" w:cs="Times New Roman"/>
          <w:bCs/>
          <w:color w:val="000000" w:themeColor="text1"/>
          <w:highlight w:val="none"/>
          <w:lang w:val="en-US" w:eastAsia="zh-CN"/>
          <w14:textFill>
            <w14:solidFill>
              <w14:schemeClr w14:val="tx1"/>
            </w14:solidFill>
          </w14:textFill>
        </w:rPr>
        <w:t>不位于</w:t>
      </w:r>
      <w:r>
        <w:rPr>
          <w:rFonts w:cs="Times New Roman"/>
          <w:bCs/>
          <w:color w:val="000000" w:themeColor="text1"/>
          <w:highlight w:val="none"/>
          <w14:textFill>
            <w14:solidFill>
              <w14:schemeClr w14:val="tx1"/>
            </w14:solidFill>
          </w14:textFill>
        </w:rPr>
        <w:t>集中式饮用水水源保护区、自然保护区、风景名胜区、重要湿地、重点保护与珍稀水生生物的栖息地、重要水生生物的自然产卵场及索饵场、越冬场和洄游通道天然渔场等渔业水体以及水产种质资源保护区</w:t>
      </w:r>
      <w:r>
        <w:rPr>
          <w:rFonts w:hint="eastAsia" w:cs="Times New Roman"/>
          <w:bCs/>
          <w:color w:val="000000" w:themeColor="text1"/>
          <w:highlight w:val="none"/>
          <w:lang w:val="en-US" w:eastAsia="zh-CN"/>
          <w14:textFill>
            <w14:solidFill>
              <w14:schemeClr w14:val="tx1"/>
            </w14:solidFill>
          </w14:textFill>
        </w:rPr>
        <w:t>内</w:t>
      </w:r>
      <w:r>
        <w:rPr>
          <w:rFonts w:cs="Times New Roman"/>
          <w:bCs/>
          <w:color w:val="000000" w:themeColor="text1"/>
          <w:highlight w:val="none"/>
          <w14:textFill>
            <w14:solidFill>
              <w14:schemeClr w14:val="tx1"/>
            </w14:solidFill>
          </w14:textFill>
        </w:rPr>
        <w:t>等。</w:t>
      </w:r>
    </w:p>
    <w:p>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项目周边地表水体分布及敏感性见</w:t>
      </w:r>
      <w:r>
        <w:rPr>
          <w:rFonts w:hint="default"/>
          <w:bCs/>
          <w:color w:val="000000" w:themeColor="text1"/>
          <w:highlight w:val="none"/>
          <w:lang w:val="en-US"/>
          <w14:textFill>
            <w14:solidFill>
              <w14:schemeClr w14:val="tx1"/>
            </w14:solidFill>
          </w14:textFill>
        </w:rPr>
        <w:fldChar w:fldCharType="begin"/>
      </w:r>
      <w:r>
        <w:rPr>
          <w:rFonts w:hint="default"/>
          <w:bCs/>
          <w:color w:val="000000" w:themeColor="text1"/>
          <w:highlight w:val="none"/>
          <w:lang w:val="en-US"/>
          <w14:textFill>
            <w14:solidFill>
              <w14:schemeClr w14:val="tx1"/>
            </w14:solidFill>
          </w14:textFill>
        </w:rPr>
        <w:instrText xml:space="preserve"> REF _Ref22892 \h </w:instrText>
      </w:r>
      <w:r>
        <w:rPr>
          <w:rFonts w:hint="default"/>
          <w:bCs/>
          <w:color w:val="000000" w:themeColor="text1"/>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1</w:t>
      </w:r>
      <w:r>
        <w:rPr>
          <w:rFonts w:hint="default"/>
          <w:bCs/>
          <w:color w:val="000000" w:themeColor="text1"/>
          <w:highlight w:val="none"/>
          <w:lang w:val="en-US"/>
          <w14:textFill>
            <w14:solidFill>
              <w14:schemeClr w14:val="tx1"/>
            </w14:solidFill>
          </w14:textFill>
        </w:rPr>
        <w:fldChar w:fldCharType="end"/>
      </w:r>
      <w:r>
        <w:rPr>
          <w:bCs/>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94" w:name="_Ref2289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9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本项目地表水环境保护目标及环境敏感特性一览表</w:t>
      </w:r>
    </w:p>
    <w:tbl>
      <w:tblPr>
        <w:tblStyle w:val="5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43"/>
        <w:gridCol w:w="2745"/>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194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14:textFill>
                  <w14:solidFill>
                    <w14:schemeClr w14:val="tx1"/>
                  </w14:solidFill>
                </w14:textFill>
              </w:rPr>
            </w:pPr>
            <w:bookmarkStart w:id="95" w:name="_Toc140496888"/>
            <w:r>
              <w:rPr>
                <w:rFonts w:hint="default" w:cs="Times New Roman"/>
                <w:b/>
                <w:bCs/>
                <w:color w:val="000000" w:themeColor="text1"/>
                <w:kern w:val="0"/>
                <w:sz w:val="21"/>
                <w:szCs w:val="21"/>
                <w14:textFill>
                  <w14:solidFill>
                    <w14:schemeClr w14:val="tx1"/>
                  </w14:solidFill>
                </w14:textFill>
              </w:rPr>
              <w:t>名称</w:t>
            </w:r>
          </w:p>
        </w:tc>
        <w:tc>
          <w:tcPr>
            <w:tcW w:w="27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14:textFill>
                  <w14:solidFill>
                    <w14:schemeClr w14:val="tx1"/>
                  </w14:solidFill>
                </w14:textFill>
              </w:rPr>
            </w:pPr>
            <w:r>
              <w:rPr>
                <w:rFonts w:hint="default" w:cs="Times New Roman"/>
                <w:b/>
                <w:bCs/>
                <w:color w:val="000000" w:themeColor="text1"/>
                <w:kern w:val="0"/>
                <w:sz w:val="21"/>
                <w:szCs w:val="21"/>
                <w14:textFill>
                  <w14:solidFill>
                    <w14:schemeClr w14:val="tx1"/>
                  </w14:solidFill>
                </w14:textFill>
              </w:rPr>
              <w:t>位置（m）</w:t>
            </w:r>
          </w:p>
        </w:tc>
        <w:tc>
          <w:tcPr>
            <w:tcW w:w="36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14:textFill>
                  <w14:solidFill>
                    <w14:schemeClr w14:val="tx1"/>
                  </w14:solidFill>
                </w14:textFill>
              </w:rPr>
            </w:pPr>
            <w:r>
              <w:rPr>
                <w:rFonts w:hint="default" w:cs="Times New Roman"/>
                <w:b/>
                <w:bCs/>
                <w:color w:val="000000" w:themeColor="text1"/>
                <w:kern w:val="0"/>
                <w:sz w:val="21"/>
                <w:szCs w:val="21"/>
                <w14:textFill>
                  <w14:solidFill>
                    <w14:schemeClr w14:val="tx1"/>
                  </w14:solidFill>
                </w14:textFill>
              </w:rPr>
              <w:t>环境敏感特性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14:textFill>
                  <w14:solidFill>
                    <w14:schemeClr w14:val="tx1"/>
                  </w14:solidFill>
                </w14:textFill>
              </w:rPr>
            </w:pPr>
            <w:r>
              <w:rPr>
                <w:rFonts w:hint="default" w:cs="Times New Roman"/>
                <w:color w:val="000000" w:themeColor="text1"/>
                <w:kern w:val="0"/>
                <w:sz w:val="21"/>
                <w:szCs w:val="21"/>
                <w14:textFill>
                  <w14:solidFill>
                    <w14:schemeClr w14:val="tx1"/>
                  </w14:solidFill>
                </w14:textFill>
              </w:rPr>
              <w:t>州河</w:t>
            </w:r>
          </w:p>
        </w:tc>
        <w:tc>
          <w:tcPr>
            <w:tcW w:w="27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s="Times New Roman"/>
                <w:color w:val="000000" w:themeColor="text1"/>
                <w:kern w:val="0"/>
                <w:sz w:val="21"/>
                <w:szCs w:val="21"/>
                <w:lang w:eastAsia="zh-CN"/>
                <w14:textFill>
                  <w14:solidFill>
                    <w14:schemeClr w14:val="tx1"/>
                  </w14:solidFill>
                </w14:textFill>
              </w:rPr>
            </w:pPr>
            <w:r>
              <w:rPr>
                <w:rFonts w:hint="default" w:cs="Times New Roman"/>
                <w:color w:val="000000" w:themeColor="text1"/>
                <w:kern w:val="0"/>
                <w:sz w:val="21"/>
                <w:szCs w:val="21"/>
                <w14:textFill>
                  <w14:solidFill>
                    <w14:schemeClr w14:val="tx1"/>
                  </w14:solidFill>
                </w14:textFill>
              </w:rPr>
              <w:t>位于场区</w:t>
            </w:r>
            <w:r>
              <w:rPr>
                <w:rFonts w:hint="eastAsia" w:cs="Times New Roman"/>
                <w:color w:val="000000" w:themeColor="text1"/>
                <w:kern w:val="0"/>
                <w:sz w:val="21"/>
                <w:szCs w:val="21"/>
                <w:lang w:eastAsia="zh-CN"/>
                <w14:textFill>
                  <w14:solidFill>
                    <w14:schemeClr w14:val="tx1"/>
                  </w14:solidFill>
                </w14:textFill>
              </w:rPr>
              <w:t>东南侧740m处</w:t>
            </w:r>
          </w:p>
        </w:tc>
        <w:tc>
          <w:tcPr>
            <w:tcW w:w="36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14:textFill>
                  <w14:solidFill>
                    <w14:schemeClr w14:val="tx1"/>
                  </w14:solidFill>
                </w14:textFill>
              </w:rPr>
            </w:pPr>
            <w:r>
              <w:rPr>
                <w:rFonts w:hint="default" w:cs="Times New Roman"/>
                <w:color w:val="000000" w:themeColor="text1"/>
                <w:kern w:val="0"/>
                <w:sz w:val="21"/>
                <w:szCs w:val="21"/>
                <w14:textFill>
                  <w14:solidFill>
                    <w14:schemeClr w14:val="tx1"/>
                  </w14:solidFill>
                </w14:textFill>
              </w:rPr>
              <w:t>项目所在河段为Ⅲ类水域，主要功能为灌溉、行洪和饮用水</w:t>
            </w:r>
          </w:p>
        </w:tc>
      </w:tr>
    </w:tbl>
    <w:p>
      <w:pPr>
        <w:pStyle w:val="5"/>
        <w:keepNext/>
        <w:keepLines/>
        <w:pageBreakBefore w:val="0"/>
        <w:widowControl w:val="0"/>
        <w:kinsoku/>
        <w:wordWrap/>
        <w:overflowPunct/>
        <w:topLinePunct w:val="0"/>
        <w:autoSpaceDE/>
        <w:autoSpaceDN/>
        <w:bidi w:val="0"/>
        <w:adjustRightInd w:val="0"/>
        <w:snapToGrid w:val="0"/>
        <w:spacing w:before="164" w:beforeLines="50"/>
        <w:textAlignment w:val="auto"/>
        <w:rPr>
          <w:color w:val="000000" w:themeColor="text1"/>
          <w14:textFill>
            <w14:solidFill>
              <w14:schemeClr w14:val="tx1"/>
            </w14:solidFill>
          </w14:textFill>
        </w:rPr>
      </w:pPr>
      <w:r>
        <w:rPr>
          <w:color w:val="000000" w:themeColor="text1"/>
          <w14:textFill>
            <w14:solidFill>
              <w14:schemeClr w14:val="tx1"/>
            </w14:solidFill>
          </w14:textFill>
        </w:rPr>
        <w:t>地下水环境保护目标</w:t>
      </w:r>
      <w:bookmarkEnd w:id="95"/>
    </w:p>
    <w:p>
      <w:pPr>
        <w:ind w:firstLine="480"/>
        <w:rPr>
          <w:bCs/>
          <w:color w:val="000000" w:themeColor="text1"/>
          <w:highlight w:val="none"/>
          <w14:textFill>
            <w14:solidFill>
              <w14:schemeClr w14:val="tx1"/>
            </w14:solidFill>
          </w14:textFill>
        </w:rPr>
      </w:pPr>
      <w:bookmarkStart w:id="96" w:name="_Hlk74674654"/>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项目地下水评价范围内无乡镇地下水集中式饮用水源分布，项目周围居民主要以</w:t>
      </w:r>
      <w:r>
        <w:rPr>
          <w:rFonts w:hint="eastAsia"/>
          <w:color w:val="000000" w:themeColor="text1"/>
          <w14:textFill>
            <w14:solidFill>
              <w14:schemeClr w14:val="tx1"/>
            </w14:solidFill>
          </w14:textFill>
        </w:rPr>
        <w:t>山泉水或</w:t>
      </w:r>
      <w:r>
        <w:rPr>
          <w:color w:val="000000" w:themeColor="text1"/>
          <w14:textFill>
            <w14:solidFill>
              <w14:schemeClr w14:val="tx1"/>
            </w14:solidFill>
          </w14:textFill>
        </w:rPr>
        <w:t>分散式井水为生活饮用水</w:t>
      </w:r>
      <w:r>
        <w:rPr>
          <w:bCs/>
          <w:color w:val="000000" w:themeColor="text1"/>
          <w:szCs w:val="24"/>
          <w:highlight w:val="none"/>
          <w14:textFill>
            <w14:solidFill>
              <w14:schemeClr w14:val="tx1"/>
            </w14:solidFill>
          </w14:textFill>
        </w:rPr>
        <w:t>。</w:t>
      </w:r>
      <w:r>
        <w:rPr>
          <w:bCs/>
          <w:color w:val="000000" w:themeColor="text1"/>
          <w:highlight w:val="none"/>
          <w14:textFill>
            <w14:solidFill>
              <w14:schemeClr w14:val="tx1"/>
            </w14:solidFill>
          </w14:textFill>
        </w:rPr>
        <w:t>根据调查，地下水环境保护目标见</w:t>
      </w:r>
      <w:r>
        <w:rPr>
          <w:rFonts w:hint="default"/>
          <w:bCs/>
          <w:color w:val="000000" w:themeColor="text1"/>
          <w:highlight w:val="none"/>
          <w:lang w:val="en-US"/>
          <w14:textFill>
            <w14:solidFill>
              <w14:schemeClr w14:val="tx1"/>
            </w14:solidFill>
          </w14:textFill>
        </w:rPr>
        <w:fldChar w:fldCharType="begin"/>
      </w:r>
      <w:r>
        <w:rPr>
          <w:rFonts w:hint="default"/>
          <w:bCs/>
          <w:color w:val="000000" w:themeColor="text1"/>
          <w:highlight w:val="none"/>
          <w:lang w:val="en-US"/>
          <w14:textFill>
            <w14:solidFill>
              <w14:schemeClr w14:val="tx1"/>
            </w14:solidFill>
          </w14:textFill>
        </w:rPr>
        <w:instrText xml:space="preserve"> REF _Ref22944 \h </w:instrText>
      </w:r>
      <w:r>
        <w:rPr>
          <w:rFonts w:hint="default"/>
          <w:bCs/>
          <w:color w:val="000000" w:themeColor="text1"/>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2</w:t>
      </w:r>
      <w:r>
        <w:rPr>
          <w:rFonts w:hint="default"/>
          <w:bCs/>
          <w:color w:val="000000" w:themeColor="text1"/>
          <w:highlight w:val="none"/>
          <w:lang w:val="en-US"/>
          <w14:textFill>
            <w14:solidFill>
              <w14:schemeClr w14:val="tx1"/>
            </w14:solidFill>
          </w14:textFill>
        </w:rPr>
        <w:fldChar w:fldCharType="end"/>
      </w:r>
      <w:r>
        <w:rPr>
          <w:bCs/>
          <w:color w:val="000000" w:themeColor="text1"/>
          <w:highlight w:val="none"/>
          <w14:textFill>
            <w14:solidFill>
              <w14:schemeClr w14:val="tx1"/>
            </w14:solidFill>
          </w14:textFill>
        </w:rPr>
        <w:t>。</w:t>
      </w:r>
    </w:p>
    <w:bookmarkEnd w:id="96"/>
    <w:p>
      <w:pPr>
        <w:pStyle w:val="201"/>
        <w:spacing w:before="120"/>
        <w:rPr>
          <w:rFonts w:hint="eastAsia"/>
          <w:color w:val="000000" w:themeColor="text1"/>
          <w:highlight w:val="none"/>
          <w14:textFill>
            <w14:solidFill>
              <w14:schemeClr w14:val="tx1"/>
            </w14:solidFill>
          </w14:textFill>
        </w:rPr>
      </w:pPr>
      <w:bookmarkStart w:id="97" w:name="_Ref22944"/>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9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地下水环境保护目标一览表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1"/>
        <w:gridCol w:w="2202"/>
        <w:gridCol w:w="2361"/>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highlight w:val="none"/>
                <w14:textFill>
                  <w14:solidFill>
                    <w14:schemeClr w14:val="tx1"/>
                  </w14:solidFill>
                </w14:textFill>
              </w:rPr>
            </w:pPr>
            <w:r>
              <w:rPr>
                <w:rFonts w:hint="default" w:cs="Times New Roman"/>
                <w:b/>
                <w:bCs/>
                <w:color w:val="000000" w:themeColor="text1"/>
                <w:kern w:val="0"/>
                <w:sz w:val="21"/>
                <w:szCs w:val="21"/>
                <w:highlight w:val="none"/>
                <w14:textFill>
                  <w14:solidFill>
                    <w14:schemeClr w14:val="tx1"/>
                  </w14:solidFill>
                </w14:textFill>
              </w:rPr>
              <w:t>名称</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highlight w:val="none"/>
                <w14:textFill>
                  <w14:solidFill>
                    <w14:schemeClr w14:val="tx1"/>
                  </w14:solidFill>
                </w14:textFill>
              </w:rPr>
            </w:pPr>
            <w:r>
              <w:rPr>
                <w:rFonts w:hint="default" w:cs="Times New Roman"/>
                <w:b/>
                <w:bCs/>
                <w:color w:val="000000" w:themeColor="text1"/>
                <w:kern w:val="0"/>
                <w:sz w:val="21"/>
                <w:szCs w:val="21"/>
                <w:highlight w:val="none"/>
                <w14:textFill>
                  <w14:solidFill>
                    <w14:schemeClr w14:val="tx1"/>
                  </w14:solidFill>
                </w14:textFill>
              </w:rPr>
              <w:t>位置（m）</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highlight w:val="none"/>
                <w14:textFill>
                  <w14:solidFill>
                    <w14:schemeClr w14:val="tx1"/>
                  </w14:solidFill>
                </w14:textFill>
              </w:rPr>
            </w:pPr>
            <w:r>
              <w:rPr>
                <w:rFonts w:hint="default" w:cs="Times New Roman"/>
                <w:b/>
                <w:bCs/>
                <w:color w:val="000000" w:themeColor="text1"/>
                <w:kern w:val="0"/>
                <w:sz w:val="21"/>
                <w:szCs w:val="21"/>
                <w:highlight w:val="none"/>
                <w14:textFill>
                  <w14:solidFill>
                    <w14:schemeClr w14:val="tx1"/>
                  </w14:solidFill>
                </w14:textFill>
              </w:rPr>
              <w:t>坐标</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
                <w:bCs/>
                <w:color w:val="000000" w:themeColor="text1"/>
                <w:kern w:val="0"/>
                <w:sz w:val="21"/>
                <w:szCs w:val="21"/>
                <w:highlight w:val="none"/>
                <w14:textFill>
                  <w14:solidFill>
                    <w14:schemeClr w14:val="tx1"/>
                  </w14:solidFill>
                </w14:textFill>
              </w:rPr>
            </w:pPr>
            <w:r>
              <w:rPr>
                <w:rFonts w:hint="default" w:cs="Times New Roman"/>
                <w:b/>
                <w:bCs/>
                <w:color w:val="000000" w:themeColor="text1"/>
                <w:kern w:val="0"/>
                <w:sz w:val="21"/>
                <w:szCs w:val="21"/>
                <w:highlight w:val="none"/>
                <w14:textFill>
                  <w14:solidFill>
                    <w14:schemeClr w14:val="tx1"/>
                  </w14:solidFill>
                </w14:textFill>
              </w:rPr>
              <w:t>环境敏感特性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Q1</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西南侧约4</w:t>
            </w:r>
            <w:r>
              <w:rPr>
                <w:rFonts w:hint="eastAsia" w:cs="Times New Roman"/>
                <w:color w:val="000000" w:themeColor="text1"/>
                <w:sz w:val="21"/>
                <w:szCs w:val="21"/>
                <w:highlight w:val="none"/>
                <w:lang w:val="en-US" w:eastAsia="zh-CN"/>
                <w14:textFill>
                  <w14:solidFill>
                    <w14:schemeClr w14:val="tx1"/>
                  </w14:solidFill>
                </w14:textFill>
              </w:rPr>
              <w:t>89</w:t>
            </w:r>
            <w:r>
              <w:rPr>
                <w:rFonts w:hint="default" w:cs="Times New Roman"/>
                <w:color w:val="000000" w:themeColor="text1"/>
                <w:sz w:val="21"/>
                <w:szCs w:val="21"/>
                <w:highlight w:val="none"/>
                <w14:textFill>
                  <w14:solidFill>
                    <w14:schemeClr w14:val="tx1"/>
                  </w14:solidFill>
                </w14:textFill>
              </w:rPr>
              <w:t>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泉水，以大气降雨补给为主，约4户居民使用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Q2</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西侧约</w:t>
            </w:r>
            <w:r>
              <w:rPr>
                <w:rFonts w:hint="eastAsia" w:cs="Times New Roman"/>
                <w:color w:val="000000" w:themeColor="text1"/>
                <w:sz w:val="21"/>
                <w:szCs w:val="21"/>
                <w:highlight w:val="none"/>
                <w:lang w:val="en-US" w:eastAsia="zh-CN"/>
                <w14:textFill>
                  <w14:solidFill>
                    <w14:schemeClr w14:val="tx1"/>
                  </w14:solidFill>
                </w14:textFill>
              </w:rPr>
              <w:t>212</w:t>
            </w:r>
            <w:r>
              <w:rPr>
                <w:rFonts w:hint="default" w:cs="Times New Roman"/>
                <w:color w:val="000000" w:themeColor="text1"/>
                <w:sz w:val="21"/>
                <w:szCs w:val="21"/>
                <w:highlight w:val="none"/>
                <w14:textFill>
                  <w14:solidFill>
                    <w14:schemeClr w14:val="tx1"/>
                  </w14:solidFill>
                </w14:textFill>
              </w:rPr>
              <w:t>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泉水，以大气降雨补给为主，约5户居民使用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Q3</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东北侧约</w:t>
            </w:r>
            <w:r>
              <w:rPr>
                <w:rFonts w:hint="eastAsia" w:cs="Times New Roman"/>
                <w:color w:val="000000" w:themeColor="text1"/>
                <w:sz w:val="21"/>
                <w:szCs w:val="21"/>
                <w:highlight w:val="none"/>
                <w:lang w:val="en-US" w:eastAsia="zh-CN"/>
                <w14:textFill>
                  <w14:solidFill>
                    <w14:schemeClr w14:val="tx1"/>
                  </w14:solidFill>
                </w14:textFill>
              </w:rPr>
              <w:t>89</w:t>
            </w:r>
            <w:r>
              <w:rPr>
                <w:rFonts w:hint="default" w:cs="Times New Roman"/>
                <w:color w:val="000000" w:themeColor="text1"/>
                <w:sz w:val="21"/>
                <w:szCs w:val="21"/>
                <w:highlight w:val="none"/>
                <w14:textFill>
                  <w14:solidFill>
                    <w14:schemeClr w14:val="tx1"/>
                  </w14:solidFill>
                </w14:textFill>
              </w:rPr>
              <w:t>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泉水，以大气降雨补给为主，约5户居民使用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Q4</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东北侧约</w:t>
            </w:r>
            <w:r>
              <w:rPr>
                <w:rFonts w:hint="eastAsia" w:cs="Times New Roman"/>
                <w:color w:val="000000" w:themeColor="text1"/>
                <w:sz w:val="21"/>
                <w:szCs w:val="21"/>
                <w:highlight w:val="none"/>
                <w:lang w:val="en-US" w:eastAsia="zh-CN"/>
                <w14:textFill>
                  <w14:solidFill>
                    <w14:schemeClr w14:val="tx1"/>
                  </w14:solidFill>
                </w14:textFill>
              </w:rPr>
              <w:t>517</w:t>
            </w:r>
            <w:r>
              <w:rPr>
                <w:rFonts w:hint="default" w:cs="Times New Roman"/>
                <w:color w:val="000000" w:themeColor="text1"/>
                <w:sz w:val="21"/>
                <w:szCs w:val="21"/>
                <w:highlight w:val="none"/>
                <w14:textFill>
                  <w14:solidFill>
                    <w14:schemeClr w14:val="tx1"/>
                  </w14:solidFill>
                </w14:textFill>
              </w:rPr>
              <w:t>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泉水，以大气降雨补给为主，约7户居民使用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Q5</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东侧约</w:t>
            </w:r>
            <w:r>
              <w:rPr>
                <w:rFonts w:hint="eastAsia" w:cs="Times New Roman"/>
                <w:color w:val="000000" w:themeColor="text1"/>
                <w:sz w:val="21"/>
                <w:szCs w:val="21"/>
                <w:highlight w:val="none"/>
                <w:lang w:val="en-US" w:eastAsia="zh-CN"/>
                <w14:textFill>
                  <w14:solidFill>
                    <w14:schemeClr w14:val="tx1"/>
                  </w14:solidFill>
                </w14:textFill>
              </w:rPr>
              <w:t>379</w:t>
            </w:r>
            <w:r>
              <w:rPr>
                <w:rFonts w:hint="default" w:cs="Times New Roman"/>
                <w:color w:val="000000" w:themeColor="text1"/>
                <w:sz w:val="21"/>
                <w:szCs w:val="21"/>
                <w:highlight w:val="none"/>
                <w14:textFill>
                  <w14:solidFill>
                    <w14:schemeClr w14:val="tx1"/>
                  </w14:solidFill>
                </w14:textFill>
              </w:rPr>
              <w:t>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泉水，以大气降雨补给为主，约3户居民使用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Q6</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西侧约530m处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泉水，以大气降雨补给为主，约6户居民使用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Q7</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西</w:t>
            </w:r>
            <w:r>
              <w:rPr>
                <w:rFonts w:hint="eastAsia" w:cs="Times New Roman"/>
                <w:color w:val="000000" w:themeColor="text1"/>
                <w:sz w:val="21"/>
                <w:szCs w:val="21"/>
                <w:highlight w:val="none"/>
                <w14:textFill>
                  <w14:solidFill>
                    <w14:schemeClr w14:val="tx1"/>
                  </w14:solidFill>
                </w14:textFill>
              </w:rPr>
              <w:t>南</w:t>
            </w:r>
            <w:r>
              <w:rPr>
                <w:rFonts w:hint="default" w:cs="Times New Roman"/>
                <w:color w:val="000000" w:themeColor="text1"/>
                <w:sz w:val="21"/>
                <w:szCs w:val="21"/>
                <w:highlight w:val="none"/>
                <w14:textFill>
                  <w14:solidFill>
                    <w14:schemeClr w14:val="tx1"/>
                  </w14:solidFill>
                </w14:textFill>
              </w:rPr>
              <w:t>侧约431m处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泉水，以大气降雨补给为主，约12户居民使用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Q8</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东南侧约455m处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泉水，以大气降雨补给为主，约7户居民使用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Q9</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default" w:cs="Times New Roman"/>
                <w:color w:val="000000" w:themeColor="text1"/>
                <w:sz w:val="21"/>
                <w:szCs w:val="21"/>
                <w:highlight w:val="none"/>
                <w14:textFill>
                  <w14:solidFill>
                    <w14:schemeClr w14:val="tx1"/>
                  </w14:solidFill>
                </w14:textFill>
              </w:rPr>
              <w:t>东北侧距约248m处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泉水，以大气降雨补给为主，约8户居民使用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Q10</w:t>
            </w:r>
          </w:p>
        </w:tc>
        <w:tc>
          <w:tcPr>
            <w:tcW w:w="21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eastAsia="zh-CN"/>
                <w14:textFill>
                  <w14:solidFill>
                    <w14:schemeClr w14:val="tx1"/>
                  </w14:solidFill>
                </w14:textFill>
              </w:rPr>
              <w:t>雷页1试验井组</w:t>
            </w:r>
            <w:r>
              <w:rPr>
                <w:rFonts w:hint="eastAsia" w:cs="Times New Roman"/>
                <w:color w:val="000000" w:themeColor="text1"/>
                <w:sz w:val="21"/>
                <w:szCs w:val="21"/>
                <w:highlight w:val="none"/>
                <w:lang w:val="en-US" w:eastAsia="zh-CN"/>
                <w14:textFill>
                  <w14:solidFill>
                    <w14:schemeClr w14:val="tx1"/>
                  </w14:solidFill>
                </w14:textFill>
              </w:rPr>
              <w:t>及管线</w:t>
            </w:r>
            <w:r>
              <w:rPr>
                <w:rFonts w:hint="eastAsia" w:cs="Times New Roman"/>
                <w:color w:val="000000" w:themeColor="text1"/>
                <w:sz w:val="21"/>
                <w:szCs w:val="21"/>
                <w:highlight w:val="none"/>
                <w14:textFill>
                  <w14:solidFill>
                    <w14:schemeClr w14:val="tx1"/>
                  </w14:solidFill>
                </w14:textFill>
              </w:rPr>
              <w:t>心</w:t>
            </w:r>
            <w:r>
              <w:rPr>
                <w:rFonts w:hint="default" w:cs="Times New Roman"/>
                <w:color w:val="000000" w:themeColor="text1"/>
                <w:sz w:val="21"/>
                <w:szCs w:val="21"/>
                <w:highlight w:val="none"/>
                <w14:textFill>
                  <w14:solidFill>
                    <w14:schemeClr w14:val="tx1"/>
                  </w14:solidFill>
                </w14:textFill>
              </w:rPr>
              <w:t>北侧约598m处</w:t>
            </w:r>
          </w:p>
        </w:tc>
        <w:tc>
          <w:tcPr>
            <w:tcW w:w="235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480" w:firstLineChars="200"/>
              <w:jc w:val="center"/>
              <w:rPr>
                <w:rFonts w:hint="default" w:cs="Times New Roman"/>
                <w:color w:val="000000" w:themeColor="text1"/>
                <w:kern w:val="0"/>
                <w:sz w:val="21"/>
                <w:szCs w:val="21"/>
                <w:highlight w:val="none"/>
                <w14:textFill>
                  <w14:solidFill>
                    <w14:schemeClr w14:val="tx1"/>
                  </w14:solidFill>
                </w14:textFill>
              </w:rPr>
            </w:pPr>
            <w:r>
              <w:rPr>
                <w:rFonts w:hint="eastAsia"/>
              </w:rPr>
              <w:t>***</w:t>
            </w:r>
          </w:p>
        </w:tc>
        <w:tc>
          <w:tcPr>
            <w:tcW w:w="270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泉水，以大气降雨补给为主，约15户居民使用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830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地下水评价范围内具备饮用功能的浅层含水层</w:t>
            </w:r>
          </w:p>
        </w:tc>
      </w:tr>
    </w:tbl>
    <w:p>
      <w:pPr>
        <w:pStyle w:val="202"/>
        <w:rPr>
          <w:color w:val="000000" w:themeColor="text1"/>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val="0"/>
        <w:snapToGrid w:val="0"/>
        <w:spacing w:before="164" w:beforeLines="50"/>
        <w:textAlignment w:val="auto"/>
        <w:rPr>
          <w:color w:val="000000" w:themeColor="text1"/>
          <w14:textFill>
            <w14:solidFill>
              <w14:schemeClr w14:val="tx1"/>
            </w14:solidFill>
          </w14:textFill>
        </w:rPr>
      </w:pPr>
      <w:bookmarkStart w:id="98" w:name="_Toc140496889"/>
      <w:r>
        <w:rPr>
          <w:color w:val="000000" w:themeColor="text1"/>
          <w14:textFill>
            <w14:solidFill>
              <w14:schemeClr w14:val="tx1"/>
            </w14:solidFill>
          </w14:textFill>
        </w:rPr>
        <w:t>环境空气保护目标</w:t>
      </w:r>
      <w:bookmarkEnd w:id="98"/>
    </w:p>
    <w:p>
      <w:pPr>
        <w:tabs>
          <w:tab w:val="left" w:pos="0"/>
        </w:tabs>
        <w:ind w:firstLine="480"/>
        <w:rPr>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井口100m范围内无居民等敏感目标分布，井场距铁路及高速公路直线距离均远大于200m，距公共设施及城镇中心均大于500m；井场及放喷池、清水池、外输管线等500m范围内的敏感点主要为散状分布的居民点，无医院、学校、城镇等特别敏感区域，本项目重点调查周边500m范围内的居民等敏感目标</w:t>
      </w:r>
      <w:r>
        <w:rPr>
          <w:rFonts w:hint="eastAsia" w:cs="Times New Roman"/>
          <w:bCs/>
          <w:color w:val="000000" w:themeColor="text1"/>
          <w:szCs w:val="24"/>
          <w:highlight w:val="none"/>
          <w14:textFill>
            <w14:solidFill>
              <w14:schemeClr w14:val="tx1"/>
            </w14:solidFill>
          </w14:textFill>
        </w:rPr>
        <w:t>，并简要调查周边2</w:t>
      </w:r>
      <w:r>
        <w:rPr>
          <w:rFonts w:cs="Times New Roman"/>
          <w:bCs/>
          <w:color w:val="000000" w:themeColor="text1"/>
          <w:szCs w:val="24"/>
          <w:highlight w:val="none"/>
          <w14:textFill>
            <w14:solidFill>
              <w14:schemeClr w14:val="tx1"/>
            </w14:solidFill>
          </w14:textFill>
        </w:rPr>
        <w:t>500</w:t>
      </w:r>
      <w:r>
        <w:rPr>
          <w:rFonts w:hint="eastAsia" w:cs="Times New Roman"/>
          <w:bCs/>
          <w:color w:val="000000" w:themeColor="text1"/>
          <w:szCs w:val="24"/>
          <w:highlight w:val="none"/>
          <w14:textFill>
            <w14:solidFill>
              <w14:schemeClr w14:val="tx1"/>
            </w14:solidFill>
          </w14:textFill>
        </w:rPr>
        <w:t>m范围内的居民等敏感目标</w:t>
      </w:r>
      <w:r>
        <w:rPr>
          <w:rFonts w:cs="Times New Roman"/>
          <w:bCs/>
          <w:color w:val="000000" w:themeColor="text1"/>
          <w:szCs w:val="24"/>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雷页1试验井组</w:t>
      </w:r>
      <w:r>
        <w:rPr>
          <w:rFonts w:cs="Times New Roman"/>
          <w:color w:val="000000" w:themeColor="text1"/>
          <w:highlight w:val="none"/>
          <w14:textFill>
            <w14:solidFill>
              <w14:schemeClr w14:val="tx1"/>
            </w14:solidFill>
          </w14:textFill>
        </w:rPr>
        <w:t>采气站</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大</w:t>
      </w:r>
      <w:r>
        <w:rPr>
          <w:rFonts w:hint="eastAsia" w:cs="Times New Roman"/>
          <w:color w:val="000000" w:themeColor="text1"/>
          <w:highlight w:val="none"/>
          <w:lang w:eastAsia="zh-CN"/>
          <w14:textFill>
            <w14:solidFill>
              <w14:schemeClr w14:val="tx1"/>
            </w14:solidFill>
          </w14:textFill>
        </w:rPr>
        <w:t>雷页1试采站</w:t>
      </w:r>
      <w:r>
        <w:rPr>
          <w:rFonts w:cs="Times New Roman"/>
          <w:color w:val="000000" w:themeColor="text1"/>
          <w:highlight w:val="none"/>
          <w14:textFill>
            <w14:solidFill>
              <w14:schemeClr w14:val="tx1"/>
            </w14:solidFill>
          </w14:textFill>
        </w:rPr>
        <w:t>之间的采气管道</w:t>
      </w:r>
      <w:r>
        <w:rPr>
          <w:rFonts w:hint="eastAsia" w:cs="Times New Roman"/>
          <w:color w:val="000000" w:themeColor="text1"/>
          <w:highlight w:val="none"/>
          <w:lang w:eastAsia="zh-CN"/>
          <w14:textFill>
            <w14:solidFill>
              <w14:schemeClr w14:val="tx1"/>
            </w14:solidFill>
          </w14:textFill>
        </w:rPr>
        <w:t>考虑施工期对周边环境空气的影响，对管线沿线两侧2</w:t>
      </w:r>
      <w:r>
        <w:rPr>
          <w:rFonts w:cs="Times New Roman"/>
          <w:color w:val="000000" w:themeColor="text1"/>
          <w:highlight w:val="none"/>
          <w:lang w:eastAsia="zh-CN"/>
          <w14:textFill>
            <w14:solidFill>
              <w14:schemeClr w14:val="tx1"/>
            </w14:solidFill>
          </w14:textFill>
        </w:rPr>
        <w:t>00</w:t>
      </w:r>
      <w:r>
        <w:rPr>
          <w:rFonts w:hint="eastAsia" w:cs="Times New Roman"/>
          <w:color w:val="000000" w:themeColor="text1"/>
          <w:highlight w:val="none"/>
          <w:lang w:eastAsia="zh-CN"/>
          <w14:textFill>
            <w14:solidFill>
              <w14:schemeClr w14:val="tx1"/>
            </w14:solidFill>
          </w14:textFill>
        </w:rPr>
        <w:t>m范围内的居民等敏感目标进行调查</w:t>
      </w:r>
      <w:r>
        <w:rPr>
          <w:rFonts w:cs="Times New Roman"/>
          <w:bCs/>
          <w:color w:val="000000" w:themeColor="text1"/>
          <w:szCs w:val="24"/>
          <w:highlight w:val="none"/>
          <w14:textFill>
            <w14:solidFill>
              <w14:schemeClr w14:val="tx1"/>
            </w14:solidFill>
          </w14:textFill>
        </w:rPr>
        <w:t>。环境空气保护目标见表2.9-3</w:t>
      </w:r>
      <w:r>
        <w:rPr>
          <w:bCs/>
          <w:color w:val="000000" w:themeColor="text1"/>
          <w:szCs w:val="24"/>
          <w:highlight w:val="none"/>
          <w14:textFill>
            <w14:solidFill>
              <w14:schemeClr w14:val="tx1"/>
            </w14:solidFill>
          </w14:textFill>
        </w:rPr>
        <w:t>。</w:t>
      </w:r>
    </w:p>
    <w:p>
      <w:pPr>
        <w:pStyle w:val="201"/>
        <w:spacing w:before="120"/>
        <w:rPr>
          <w:rFonts w:hint="eastAsia"/>
          <w:color w:val="000000" w:themeColor="text1"/>
          <w:highlight w:val="red"/>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 xml:space="preserve"> 本项目主要</w:t>
      </w:r>
      <w:r>
        <w:rPr>
          <w:rFonts w:hint="eastAsia"/>
          <w:color w:val="000000" w:themeColor="text1"/>
          <w:highlight w:val="none"/>
          <w14:textFill>
            <w14:solidFill>
              <w14:schemeClr w14:val="tx1"/>
            </w14:solidFill>
          </w14:textFill>
        </w:rPr>
        <w:t>环境空气保护目标一览表</w:t>
      </w:r>
    </w:p>
    <w:p>
      <w:pPr>
        <w:pStyle w:val="201"/>
        <w:spacing w:before="120"/>
        <w:rPr>
          <w:rFonts w:hint="eastAsia"/>
          <w:color w:val="000000" w:themeColor="text1"/>
          <w:highlight w:val="red"/>
          <w14:textFill>
            <w14:solidFill>
              <w14:schemeClr w14:val="tx1"/>
            </w14:solidFill>
          </w14:textFill>
        </w:rPr>
      </w:pPr>
      <w:bookmarkStart w:id="99" w:name="_Ref20550"/>
      <w:bookmarkStart w:id="100" w:name="_Toc140496890"/>
    </w:p>
    <w:p>
      <w:pPr>
        <w:pStyle w:val="202"/>
        <w:rPr>
          <w:rFonts w:hint="eastAsia"/>
        </w:rPr>
        <w:sectPr>
          <w:pgSz w:w="16840" w:h="11910" w:orient="landscape"/>
          <w:pgMar w:top="1803" w:right="1440" w:bottom="1803" w:left="1440" w:header="964" w:footer="964" w:gutter="0"/>
          <w:pgBorders>
            <w:top w:val="none" w:sz="0" w:space="0"/>
            <w:left w:val="none" w:sz="0" w:space="0"/>
            <w:bottom w:val="none" w:sz="0" w:space="0"/>
            <w:right w:val="none" w:sz="0" w:space="0"/>
          </w:pgBorders>
          <w:cols w:space="0" w:num="1"/>
          <w:rtlGutter w:val="0"/>
          <w:docGrid w:linePitch="326" w:charSpace="0"/>
        </w:sectPr>
      </w:pPr>
      <w:r>
        <w:rPr>
          <w:rFonts w:hint="eastAsia"/>
        </w:rPr>
        <w:t>***</w:t>
      </w:r>
    </w:p>
    <w:bookmarkEnd w:id="99"/>
    <w:bookmarkEnd w:id="100"/>
    <w:p>
      <w:pPr>
        <w:pStyle w:val="201"/>
        <w:spacing w:before="1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4 本项目主要声</w:t>
      </w:r>
      <w:r>
        <w:rPr>
          <w:rFonts w:hint="eastAsia"/>
          <w:color w:val="000000" w:themeColor="text1"/>
          <w:highlight w:val="none"/>
          <w14:textFill>
            <w14:solidFill>
              <w14:schemeClr w14:val="tx1"/>
            </w14:solidFill>
          </w14:textFill>
        </w:rPr>
        <w:t>保护目标一览表</w:t>
      </w:r>
    </w:p>
    <w:p>
      <w:pPr>
        <w:pStyle w:val="202"/>
      </w:pPr>
      <w:r>
        <w:rPr>
          <w:rFonts w:hint="eastAsia"/>
        </w:rPr>
        <w:t>***</w:t>
      </w:r>
    </w:p>
    <w:p>
      <w:pPr>
        <w:pStyle w:val="5"/>
        <w:keepNext/>
        <w:keepLines/>
        <w:pageBreakBefore w:val="0"/>
        <w:widowControl w:val="0"/>
        <w:kinsoku/>
        <w:wordWrap/>
        <w:overflowPunct/>
        <w:topLinePunct w:val="0"/>
        <w:autoSpaceDE/>
        <w:autoSpaceDN/>
        <w:bidi w:val="0"/>
        <w:adjustRightInd w:val="0"/>
        <w:snapToGrid w:val="0"/>
        <w:spacing w:before="164" w:beforeLines="5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土壤保护目标</w:t>
      </w:r>
    </w:p>
    <w:p>
      <w:pPr>
        <w:tabs>
          <w:tab w:val="left" w:pos="0"/>
        </w:tabs>
        <w:ind w:firstLine="480"/>
        <w:rPr>
          <w:rFonts w:cs="Times New Roman"/>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本项目土壤环境保护目标主要为项目占地范围以及占地范围外0.2km内的耕地（含基本农田）、</w:t>
      </w:r>
      <w:r>
        <w:rPr>
          <w:rFonts w:hint="eastAsia"/>
          <w:bCs/>
          <w:color w:val="000000" w:themeColor="text1"/>
          <w:szCs w:val="24"/>
          <w:highlight w:val="none"/>
          <w14:textFill>
            <w14:solidFill>
              <w14:schemeClr w14:val="tx1"/>
            </w14:solidFill>
          </w14:textFill>
        </w:rPr>
        <w:t>林</w:t>
      </w:r>
      <w:r>
        <w:rPr>
          <w:bCs/>
          <w:color w:val="000000" w:themeColor="text1"/>
          <w:szCs w:val="24"/>
          <w:highlight w:val="none"/>
          <w14:textFill>
            <w14:solidFill>
              <w14:schemeClr w14:val="tx1"/>
            </w14:solidFill>
          </w14:textFill>
        </w:rPr>
        <w:t>地等。</w:t>
      </w:r>
    </w:p>
    <w:p>
      <w:pPr>
        <w:pStyle w:val="5"/>
        <w:bidi w:val="0"/>
        <w:rPr>
          <w:color w:val="000000" w:themeColor="text1"/>
          <w14:textFill>
            <w14:solidFill>
              <w14:schemeClr w14:val="tx1"/>
            </w14:solidFill>
          </w14:textFill>
        </w:rPr>
      </w:pPr>
      <w:r>
        <w:rPr>
          <w:color w:val="000000" w:themeColor="text1"/>
          <w14:textFill>
            <w14:solidFill>
              <w14:schemeClr w14:val="tx1"/>
            </w14:solidFill>
          </w14:textFill>
        </w:rPr>
        <w:t>环境风险保护目标</w:t>
      </w:r>
    </w:p>
    <w:p>
      <w:pPr>
        <w:tabs>
          <w:tab w:val="left" w:pos="0"/>
        </w:tabs>
        <w:ind w:firstLine="480"/>
        <w:rPr>
          <w:rFonts w:hint="eastAsia" w:cs="Times New Roman"/>
          <w:color w:val="000000" w:themeColor="text1"/>
          <w:szCs w:val="24"/>
          <w:highlight w:val="none"/>
          <w:lang w:eastAsia="zh-CN"/>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本项目环境风险潜势划分为I，根据《建设项目环境风险评价技术导则》（HJ 169-2018），对本项目环境风险进行简单分析，简单分析项目未明确评价范围。根据环境风险可能影响的范围，确定本次环境风险重点调查井场周边500m范围与管线沿线两侧200m范围，主要调查居民点、地表水、地下水等保护目标。</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项目</w:t>
      </w:r>
      <w:r>
        <w:rPr>
          <w:rFonts w:hint="eastAsia" w:cs="Times New Roman"/>
          <w:color w:val="000000" w:themeColor="text1"/>
          <w:szCs w:val="24"/>
          <w:highlight w:val="none"/>
          <w:lang w:val="en-US" w:eastAsia="zh-CN"/>
          <w14:textFill>
            <w14:solidFill>
              <w14:schemeClr w14:val="tx1"/>
            </w14:solidFill>
          </w14:textFill>
        </w:rPr>
        <w:t>周边</w:t>
      </w:r>
      <w:r>
        <w:rPr>
          <w:rFonts w:hint="eastAsia" w:cs="Times New Roman"/>
          <w:color w:val="000000" w:themeColor="text1"/>
          <w:szCs w:val="24"/>
          <w:highlight w:val="none"/>
          <w14:textFill>
            <w14:solidFill>
              <w14:schemeClr w14:val="tx1"/>
            </w14:solidFill>
          </w14:textFill>
        </w:rPr>
        <w:t>环境风险保护目标具体见下表。</w:t>
      </w:r>
    </w:p>
    <w:p>
      <w:pPr>
        <w:pStyle w:val="201"/>
        <w:spacing w:before="120"/>
        <w:rPr>
          <w:rFonts w:hint="eastAsia"/>
          <w:color w:val="000000" w:themeColor="text1"/>
          <w:highlight w:val="none"/>
          <w:lang w:val="en-US" w:eastAsia="zh-CN"/>
          <w14:textFill>
            <w14:solidFill>
              <w14:schemeClr w14:val="tx1"/>
            </w14:solidFill>
          </w14:textFill>
        </w:rPr>
      </w:pPr>
      <w:bookmarkStart w:id="101" w:name="_Ref1683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bookmarkEnd w:id="101"/>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本项目环境风险保护目标</w:t>
      </w:r>
      <w:r>
        <w:rPr>
          <w:rFonts w:hint="eastAsia"/>
          <w:color w:val="000000" w:themeColor="text1"/>
          <w:highlight w:val="none"/>
          <w:lang w:val="en-US" w:eastAsia="zh-CN"/>
          <w14:textFill>
            <w14:solidFill>
              <w14:schemeClr w14:val="tx1"/>
            </w14:solidFill>
          </w14:textFill>
        </w:rPr>
        <w:t>一览表</w:t>
      </w:r>
    </w:p>
    <w:p>
      <w:pPr>
        <w:pStyle w:val="202"/>
        <w:rPr>
          <w:rFonts w:hint="eastAsia"/>
          <w:lang w:val="en-US" w:eastAsia="zh-CN"/>
        </w:rPr>
      </w:pPr>
      <w:r>
        <w:rPr>
          <w:rFonts w:hint="eastAsia"/>
          <w:lang w:val="en-US" w:eastAsia="zh-CN"/>
        </w:rPr>
        <w:t>***</w:t>
      </w:r>
    </w:p>
    <w:p>
      <w:pPr>
        <w:pStyle w:val="4"/>
        <w:numPr>
          <w:ilvl w:val="2"/>
          <w:numId w:val="1"/>
        </w:numPr>
        <w:spacing w:before="120"/>
        <w:rPr>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自然保护区、风景名胜区、文物古迹</w:t>
      </w:r>
    </w:p>
    <w:p>
      <w:pPr>
        <w:ind w:firstLine="480"/>
        <w:rPr>
          <w:rFonts w:hint="default"/>
          <w:color w:val="000000" w:themeColor="text1"/>
          <w:highlight w:val="none"/>
          <w:lang w:val="en-US"/>
          <w14:textFill>
            <w14:solidFill>
              <w14:schemeClr w14:val="tx1"/>
            </w14:solidFill>
          </w14:textFill>
        </w:rPr>
      </w:pPr>
      <w:r>
        <w:rPr>
          <w:rFonts w:ascii="Times New Roman" w:hAnsi="Times New Roman" w:eastAsia="宋体" w:cstheme="minorBidi"/>
          <w:color w:val="000000" w:themeColor="text1"/>
          <w:kern w:val="2"/>
          <w:sz w:val="24"/>
          <w:szCs w:val="22"/>
          <w:lang w:val="en-US" w:eastAsia="zh-CN" w:bidi="ar-SA"/>
          <w14:textFill>
            <w14:solidFill>
              <w14:schemeClr w14:val="tx1"/>
            </w14:solidFill>
          </w14:textFill>
        </w:rPr>
        <w:t>评价区域无自然保护区、风景名胜区、自然遗迹、文物古迹等，在项目建设过程中如果发现有保护价值的文物遗迹，建设单位应保护好现场，并报告文物主管部门</w:t>
      </w:r>
      <w:r>
        <w:rPr>
          <w:rFonts w:hint="eastAsia"/>
          <w:bCs/>
          <w:color w:val="000000" w:themeColor="text1"/>
          <w:kern w:val="2"/>
          <w:sz w:val="24"/>
          <w:szCs w:val="24"/>
          <w:highlight w:val="none"/>
          <w:lang w:val="en-US" w:eastAsia="zh-CN"/>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02" w:name="_Toc17880"/>
      <w:r>
        <w:rPr>
          <w:color w:val="000000" w:themeColor="text1"/>
          <w:highlight w:val="none"/>
          <w:lang w:eastAsia="zh-CN"/>
          <w14:textFill>
            <w14:solidFill>
              <w14:schemeClr w14:val="tx1"/>
            </w14:solidFill>
          </w14:textFill>
        </w:rPr>
        <w:t>工程方案的合理性分析</w:t>
      </w:r>
      <w:bookmarkEnd w:id="102"/>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rFonts w:ascii="Times New Roman" w:hAnsi="Times New Roman" w:cs="Times New Roman"/>
          <w:color w:val="000000" w:themeColor="text1"/>
          <w:highlight w:val="none"/>
          <w:lang w:eastAsia="zh-CN"/>
          <w14:textFill>
            <w14:solidFill>
              <w14:schemeClr w14:val="tx1"/>
            </w14:solidFill>
          </w14:textFill>
        </w:rPr>
      </w:pPr>
      <w:bookmarkStart w:id="103" w:name="_Toc120173088"/>
      <w:r>
        <w:rPr>
          <w:rFonts w:hint="eastAsia" w:cs="Times New Roman"/>
          <w:color w:val="000000" w:themeColor="text1"/>
          <w:highlight w:val="none"/>
          <w:lang w:val="en-US" w:eastAsia="zh-CN"/>
          <w14:textFill>
            <w14:solidFill>
              <w14:schemeClr w14:val="tx1"/>
            </w14:solidFill>
          </w14:textFill>
        </w:rPr>
        <w:t>井场</w:t>
      </w:r>
      <w:r>
        <w:rPr>
          <w:rFonts w:ascii="Times New Roman" w:hAnsi="Times New Roman" w:cs="Times New Roman"/>
          <w:color w:val="000000" w:themeColor="text1"/>
          <w:highlight w:val="none"/>
          <w:lang w:eastAsia="zh-CN"/>
          <w14:textFill>
            <w14:solidFill>
              <w14:schemeClr w14:val="tx1"/>
            </w14:solidFill>
          </w14:textFill>
        </w:rPr>
        <w:t>选址合理性分析</w:t>
      </w:r>
      <w:bookmarkEnd w:id="103"/>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根据《钻前工程及井场布置技术要求SY/T5466-2013</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石油天然气钻井井控技术规范》（GB/T 31033-2014）、《钻井井控技术规程》（SY/T6426-2005）等规定：油气井井口距高压线及其他永久性设施不小于75m，距民宅不小于100m，距铁路、高速公路不小于200m，距学校、医院和大型油库等人口密集性、高危性场所不小于500m。根据现场调查，项目井口与各设施的距离及符合性分析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_Ref142900221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04" w:name="_Ref14290022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10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本项目井口与各设施距离</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1275"/>
        <w:gridCol w:w="2835"/>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名称</w:t>
            </w:r>
          </w:p>
        </w:tc>
        <w:tc>
          <w:tcPr>
            <w:tcW w:w="12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钻前工程井场技术要求</w:t>
            </w:r>
          </w:p>
        </w:tc>
        <w:tc>
          <w:tcPr>
            <w:tcW w:w="283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本工程是否涉及居民区、铁路等，以及距井口距离</w:t>
            </w:r>
          </w:p>
        </w:tc>
        <w:tc>
          <w:tcPr>
            <w:tcW w:w="146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是否满足钻前技术要求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高压线及其他永久性设施</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民宅</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100m内无民房，</w:t>
            </w:r>
            <w:r>
              <w:rPr>
                <w:rFonts w:hint="eastAsia"/>
                <w:color w:val="000000" w:themeColor="text1"/>
                <w:szCs w:val="21"/>
                <w:highlight w:val="none"/>
                <w:lang w:val="en-US" w:eastAsia="zh-CN"/>
                <w14:textFill>
                  <w14:solidFill>
                    <w14:schemeClr w14:val="tx1"/>
                  </w14:solidFill>
                </w14:textFill>
              </w:rPr>
              <w:t>距离</w:t>
            </w:r>
            <w:r>
              <w:rPr>
                <w:rFonts w:hint="eastAsia"/>
                <w:color w:val="000000" w:themeColor="text1"/>
                <w:szCs w:val="21"/>
                <w:highlight w:val="none"/>
                <w14:textFill>
                  <w14:solidFill>
                    <w14:schemeClr w14:val="tx1"/>
                  </w14:solidFill>
                </w14:textFill>
              </w:rPr>
              <w:t>井口</w:t>
            </w:r>
            <w:r>
              <w:rPr>
                <w:rFonts w:hint="eastAsia"/>
                <w:color w:val="000000" w:themeColor="text1"/>
                <w:szCs w:val="21"/>
                <w:highlight w:val="none"/>
                <w:lang w:val="en-US" w:eastAsia="zh-CN"/>
                <w14:textFill>
                  <w14:solidFill>
                    <w14:schemeClr w14:val="tx1"/>
                  </w14:solidFill>
                </w14:textFill>
              </w:rPr>
              <w:t>最近居民约154</w:t>
            </w:r>
            <w:r>
              <w:rPr>
                <w:rFonts w:hint="eastAsia"/>
                <w:color w:val="000000" w:themeColor="text1"/>
                <w:szCs w:val="21"/>
                <w:highlight w:val="none"/>
                <w14:textFill>
                  <w14:solidFill>
                    <w14:schemeClr w14:val="tx1"/>
                  </w14:solidFill>
                </w14:textFill>
              </w:rPr>
              <w:t>m</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铁路</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高速公路</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学校</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医院</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油库等高危险场所</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集中居住地等人口密集区</w:t>
            </w:r>
          </w:p>
        </w:tc>
        <w:tc>
          <w:tcPr>
            <w:tcW w:w="12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w:t>
            </w:r>
          </w:p>
        </w:tc>
        <w:tc>
          <w:tcPr>
            <w:tcW w:w="283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500m范围内不涉及</w:t>
            </w:r>
          </w:p>
        </w:tc>
        <w:tc>
          <w:tcPr>
            <w:tcW w:w="146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满足要求</w:t>
            </w:r>
          </w:p>
        </w:tc>
      </w:tr>
    </w:tbl>
    <w:p>
      <w:pPr>
        <w:spacing w:before="120"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由上表可知，项目井口与各项设施的距离均满足《钻前工程及井场布置技术要求SY/T5466-2013</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石油天然气钻井井控技术规范》（GB/T31033-2014）、《钻井井控技术规程》（SY/T6426-2005）等中规定的要求。</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现场调查，本项目处于农村环境，本项目试采期井站为五级站场，周围50m范围内无100人以下的散居房屋和100人以上的居住区、厂矿企业、35kV及以上独立变电所、无林地、无高速公路和铁路、无架空电力线路，300m范围内无爆炸作业场地，满足《石油天然气工程设计防火规范》（GB50183-2004）等要求。</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拟建项目选址内无泉眼、地下暗河等控制性水点分布，不涉及各类环境敏感区，符合规划和国土管理方面的规定，其选址比较理想。本项目为新建，本项目</w:t>
      </w:r>
      <w:r>
        <w:rPr>
          <w:rFonts w:hint="eastAsia" w:cs="Times New Roman"/>
          <w:bCs/>
          <w:color w:val="000000" w:themeColor="text1"/>
          <w:szCs w:val="24"/>
          <w:highlight w:val="none"/>
          <w:lang w:eastAsia="zh-CN"/>
          <w14:textFill>
            <w14:solidFill>
              <w14:schemeClr w14:val="tx1"/>
            </w14:solidFill>
          </w14:textFill>
        </w:rPr>
        <w:t>试采期</w:t>
      </w:r>
      <w:r>
        <w:rPr>
          <w:rFonts w:cs="Times New Roman"/>
          <w:bCs/>
          <w:color w:val="000000" w:themeColor="text1"/>
          <w:szCs w:val="24"/>
          <w:highlight w:val="none"/>
          <w14:textFill>
            <w14:solidFill>
              <w14:schemeClr w14:val="tx1"/>
            </w14:solidFill>
          </w14:textFill>
        </w:rPr>
        <w:t>不涉及新增占地</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施工期新增临时占地</w:t>
      </w:r>
      <w:r>
        <w:rPr>
          <w:rFonts w:hint="eastAsia" w:cs="Times New Roman"/>
          <w:bCs/>
          <w:color w:val="000000" w:themeColor="text1"/>
          <w:szCs w:val="24"/>
          <w:highlight w:val="none"/>
          <w:lang w:val="en-US" w:eastAsia="zh-CN"/>
          <w14:textFill>
            <w14:solidFill>
              <w14:schemeClr w14:val="tx1"/>
            </w14:solidFill>
          </w14:textFill>
        </w:rPr>
        <w:t>面积小</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占用基本农田符合管理要求，不涉及天然林、公益林，不涉及重点保护野生动植物栖息地等生态敏感区，</w:t>
      </w:r>
      <w:r>
        <w:rPr>
          <w:rFonts w:cs="Times New Roman"/>
          <w:bCs/>
          <w:color w:val="000000" w:themeColor="text1"/>
          <w:szCs w:val="24"/>
          <w:highlight w:val="none"/>
          <w14:textFill>
            <w14:solidFill>
              <w14:schemeClr w14:val="tx1"/>
            </w14:solidFill>
          </w14:textFill>
        </w:rPr>
        <w:t>施工结束后复垦，在采取补偿等措施后，对失地农民的生活影响较小。选址位于当地城镇规划区外，不涉及环境敏感区，符合</w:t>
      </w:r>
      <w:r>
        <w:rPr>
          <w:rFonts w:ascii="宋体" w:hAnsi="宋体" w:cs="Times New Roman"/>
          <w:bCs/>
          <w:color w:val="000000" w:themeColor="text1"/>
          <w:szCs w:val="24"/>
          <w:highlight w:val="none"/>
          <w14:textFill>
            <w14:solidFill>
              <w14:schemeClr w14:val="tx1"/>
            </w14:solidFill>
          </w14:textFill>
        </w:rPr>
        <w:t>“三线一单”</w:t>
      </w:r>
      <w:r>
        <w:rPr>
          <w:rFonts w:cs="Times New Roman"/>
          <w:bCs/>
          <w:color w:val="000000" w:themeColor="text1"/>
          <w:szCs w:val="24"/>
          <w:highlight w:val="none"/>
          <w14:textFill>
            <w14:solidFill>
              <w14:schemeClr w14:val="tx1"/>
            </w14:solidFill>
          </w14:textFill>
        </w:rPr>
        <w:t>管控要求，因此项目选址合理。</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cs="Times New Roman"/>
          <w:color w:val="000000" w:themeColor="text1"/>
          <w:highlight w:val="none"/>
          <w:lang w:eastAsia="zh-CN"/>
          <w14:textFill>
            <w14:solidFill>
              <w14:schemeClr w14:val="tx1"/>
            </w14:solidFill>
          </w14:textFill>
        </w:rPr>
        <w:t>集输管线</w:t>
      </w:r>
      <w:r>
        <w:rPr>
          <w:rFonts w:hint="eastAsia" w:ascii="Times New Roman" w:hAnsi="Times New Roman" w:cs="Times New Roman"/>
          <w:color w:val="000000" w:themeColor="text1"/>
          <w:highlight w:val="none"/>
          <w:lang w:val="en-US" w:eastAsia="zh-CN"/>
          <w14:textFill>
            <w14:solidFill>
              <w14:schemeClr w14:val="tx1"/>
            </w14:solidFill>
          </w14:textFill>
        </w:rPr>
        <w:t>选线合理</w:t>
      </w:r>
      <w:r>
        <w:rPr>
          <w:rFonts w:ascii="Times New Roman" w:hAnsi="Times New Roman" w:cs="Times New Roman"/>
          <w:color w:val="000000" w:themeColor="text1"/>
          <w:highlight w:val="none"/>
          <w:lang w:eastAsia="zh-CN"/>
          <w14:textFill>
            <w14:solidFill>
              <w14:schemeClr w14:val="tx1"/>
            </w14:solidFill>
          </w14:textFill>
        </w:rPr>
        <w:t>性分析</w:t>
      </w:r>
    </w:p>
    <w:p>
      <w:pPr>
        <w:widowControl/>
        <w:adjustRightInd/>
        <w:snapToGrid/>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本工程需新建一条</w:t>
      </w:r>
      <w:r>
        <w:rPr>
          <w:rFonts w:hint="eastAsia" w:cs="Times New Roman"/>
          <w:color w:val="000000" w:themeColor="text1"/>
          <w:szCs w:val="24"/>
          <w:highlight w:val="none"/>
          <w:lang w:eastAsia="zh-CN"/>
          <w14:textFill>
            <w14:solidFill>
              <w14:schemeClr w14:val="tx1"/>
            </w14:solidFill>
          </w14:textFill>
        </w:rPr>
        <w:t>雷页1试验井组</w:t>
      </w:r>
      <w:r>
        <w:rPr>
          <w:rFonts w:hint="eastAsia" w:cs="Times New Roman"/>
          <w:color w:val="000000" w:themeColor="text1"/>
          <w:szCs w:val="24"/>
          <w:highlight w:val="none"/>
          <w14:textFill>
            <w14:solidFill>
              <w14:schemeClr w14:val="tx1"/>
            </w14:solidFill>
          </w14:textFill>
        </w:rPr>
        <w:t>试采站</w:t>
      </w:r>
      <w:r>
        <w:rPr>
          <w:rFonts w:hint="eastAsia" w:cs="Times New Roman"/>
          <w:color w:val="000000" w:themeColor="text1"/>
          <w:szCs w:val="24"/>
          <w:highlight w:val="none"/>
          <w:lang w:eastAsia="zh-CN"/>
          <w14:textFill>
            <w14:solidFill>
              <w14:schemeClr w14:val="tx1"/>
            </w14:solidFill>
          </w14:textFill>
        </w:rPr>
        <w:t>～雷页1试采站</w:t>
      </w:r>
      <w:r>
        <w:rPr>
          <w:rFonts w:hint="eastAsia" w:cs="Times New Roman"/>
          <w:color w:val="000000" w:themeColor="text1"/>
          <w:szCs w:val="24"/>
          <w:highlight w:val="none"/>
          <w14:textFill>
            <w14:solidFill>
              <w14:schemeClr w14:val="tx1"/>
            </w14:solidFill>
          </w14:textFill>
        </w:rPr>
        <w:t>的输气管道</w:t>
      </w:r>
      <w:r>
        <w:rPr>
          <w:rFonts w:cs="Times New Roman"/>
          <w:color w:val="000000" w:themeColor="text1"/>
          <w:kern w:val="0"/>
          <w:szCs w:val="24"/>
          <w:highlight w:val="none"/>
          <w14:textFill>
            <w14:solidFill>
              <w14:schemeClr w14:val="tx1"/>
            </w14:solidFill>
          </w14:textFill>
        </w:rPr>
        <w:t>，长度约</w:t>
      </w:r>
      <w:r>
        <w:rPr>
          <w:rFonts w:hint="eastAsia" w:cs="Times New Roman"/>
          <w:color w:val="000000" w:themeColor="text1"/>
          <w:kern w:val="0"/>
          <w:szCs w:val="24"/>
          <w:highlight w:val="none"/>
          <w:lang w:val="en-US" w:eastAsia="zh-CN"/>
          <w14:textFill>
            <w14:solidFill>
              <w14:schemeClr w14:val="tx1"/>
            </w14:solidFill>
          </w14:textFill>
        </w:rPr>
        <w:t>140</w:t>
      </w:r>
      <w:r>
        <w:rPr>
          <w:rFonts w:cs="Times New Roman"/>
          <w:color w:val="000000" w:themeColor="text1"/>
          <w:kern w:val="0"/>
          <w:szCs w:val="24"/>
          <w:highlight w:val="none"/>
          <w14:textFill>
            <w14:solidFill>
              <w14:schemeClr w14:val="tx1"/>
            </w14:solidFill>
          </w14:textFill>
        </w:rPr>
        <w:t>m，由于输气管线路径较短，且受起点站址、终点站址因素影响，</w:t>
      </w:r>
      <w:r>
        <w:rPr>
          <w:rFonts w:hint="eastAsia" w:cs="Times New Roman"/>
          <w:color w:val="000000" w:themeColor="text1"/>
          <w:kern w:val="0"/>
          <w:szCs w:val="24"/>
          <w:highlight w:val="none"/>
          <w:lang w:val="en-US" w:eastAsia="zh-CN"/>
          <w14:textFill>
            <w14:solidFill>
              <w14:schemeClr w14:val="tx1"/>
            </w14:solidFill>
          </w14:textFill>
        </w:rPr>
        <w:t>路径方案唯一。</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rFonts w:ascii="Times New Roman" w:hAnsi="Times New Roman"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占用永久基本农田的必要性分析</w:t>
      </w:r>
    </w:p>
    <w:p>
      <w:pPr>
        <w:ind w:firstLine="480"/>
        <w:rPr>
          <w:rFonts w:hint="eastAsia" w:cs="Times New Roman"/>
          <w:bCs/>
          <w:color w:val="000000" w:themeColor="text1"/>
          <w:highlight w:val="none"/>
          <w:lang w:val="en-US" w:eastAsia="zh-CN"/>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本项目井场和管线不可避免的占用基本农田。天然气勘探试采项目属于“地下决定地面”项目，因此本项目井位选址具有唯一性，可调整空间很小，本项目井场靶点在选择时已经根据周边敏感区分布情况</w:t>
      </w:r>
      <w:r>
        <w:rPr>
          <w:rFonts w:cs="Times New Roman"/>
          <w:color w:val="000000" w:themeColor="text1"/>
          <w:highlight w:val="none"/>
          <w14:textFill>
            <w14:solidFill>
              <w14:schemeClr w14:val="tx1"/>
            </w14:solidFill>
          </w14:textFill>
        </w:rPr>
        <w:t>避开了</w:t>
      </w:r>
      <w:r>
        <w:rPr>
          <w:rFonts w:cs="Times New Roman"/>
          <w:bCs/>
          <w:color w:val="000000" w:themeColor="text1"/>
          <w:highlight w:val="none"/>
          <w14:textFill>
            <w14:solidFill>
              <w14:schemeClr w14:val="tx1"/>
            </w14:solidFill>
          </w14:textFill>
        </w:rPr>
        <w:t>饮用水水源保护区、自然保护区、风景名胜区、重要湿地等敏感区域，</w:t>
      </w:r>
      <w:r>
        <w:rPr>
          <w:rFonts w:hint="eastAsia" w:cs="Times New Roman"/>
          <w:bCs/>
          <w:color w:val="000000" w:themeColor="text1"/>
          <w:highlight w:val="none"/>
          <w:lang w:val="en-US" w:eastAsia="zh-CN"/>
          <w14:textFill>
            <w14:solidFill>
              <w14:schemeClr w14:val="tx1"/>
            </w14:solidFill>
          </w14:textFill>
        </w:rPr>
        <w:t>避让了</w:t>
      </w:r>
      <w:r>
        <w:rPr>
          <w:rFonts w:cs="Times New Roman"/>
          <w:bCs/>
          <w:color w:val="000000" w:themeColor="text1"/>
          <w:highlight w:val="none"/>
          <w14:textFill>
            <w14:solidFill>
              <w14:schemeClr w14:val="tx1"/>
            </w14:solidFill>
          </w14:textFill>
        </w:rPr>
        <w:t>天然林、公益林</w:t>
      </w:r>
      <w:r>
        <w:rPr>
          <w:rFonts w:hint="eastAsia" w:cs="Times New Roman"/>
          <w:bCs/>
          <w:color w:val="000000" w:themeColor="text1"/>
          <w:highlight w:val="none"/>
          <w:lang w:val="en-US" w:eastAsia="zh-CN"/>
          <w14:textFill>
            <w14:solidFill>
              <w14:schemeClr w14:val="tx1"/>
            </w14:solidFill>
          </w14:textFill>
        </w:rPr>
        <w:t>等林地。本项目选址位于农村丘陵区域，井场选址局限于目标靶点附近，若必须避让基本农田同时确保井口与周边居民的安全距离，井场选址只能往周边较高处的丘坡（东侧山坡）处调整，不仅会增钻前工程施工工程量，还会增加破坏大量林地等生态，引起更多的水土流失，同时山坡区地质上安全性也会降低，布置井场及附属设施难度显著增大，同时若调整距离靶点较远，则实际钻井成本会显著增加，试产失败风险增大，同时需要增加水平段长度等，可能增加油基钻井液用量，同时产生更多的污染物，因此考虑到本项目靶点附近的地形地貌，以及调整选址避让基本农田后会大大增加钻前工程的工程量和生态破坏、水土流失且钻井施工难度增加等，故根据靶点周边基本农田分布、场址安全等情况</w:t>
      </w:r>
      <w:r>
        <w:rPr>
          <w:rFonts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本项目井场无法调整出基本农田范围，确需占用基本农田。</w:t>
      </w:r>
    </w:p>
    <w:p>
      <w:pPr>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根据达州市水利局《关于水土保持</w:t>
      </w:r>
      <w:r>
        <w:rPr>
          <w:rFonts w:hint="eastAsia" w:ascii="宋体" w:hAnsi="宋体" w:eastAsia="宋体" w:cs="宋体"/>
          <w:color w:val="000000" w:themeColor="text1"/>
          <w:kern w:val="0"/>
          <w:szCs w:val="24"/>
          <w:highlight w:val="none"/>
          <w14:textFill>
            <w14:solidFill>
              <w14:schemeClr w14:val="tx1"/>
            </w14:solidFill>
          </w14:textFill>
        </w:rPr>
        <w:t>“两区”</w:t>
      </w:r>
      <w:r>
        <w:rPr>
          <w:rFonts w:cs="Times New Roman"/>
          <w:color w:val="000000" w:themeColor="text1"/>
          <w:kern w:val="0"/>
          <w:szCs w:val="24"/>
          <w:highlight w:val="none"/>
          <w14:textFill>
            <w14:solidFill>
              <w14:schemeClr w14:val="tx1"/>
            </w14:solidFill>
          </w14:textFill>
        </w:rPr>
        <w:t>划分的公告》</w:t>
      </w:r>
      <w:r>
        <w:rPr>
          <w:rFonts w:hint="eastAsia" w:cs="Times New Roman"/>
          <w:color w:val="000000" w:themeColor="text1"/>
          <w:kern w:val="0"/>
          <w:szCs w:val="24"/>
          <w:highlight w:val="none"/>
          <w:lang w:eastAsia="zh-CN"/>
          <w14:textFill>
            <w14:solidFill>
              <w14:schemeClr w14:val="tx1"/>
            </w14:solidFill>
          </w14:textFill>
        </w:rPr>
        <w:t>，</w:t>
      </w:r>
      <w:r>
        <w:rPr>
          <w:rFonts w:hint="eastAsia" w:cs="Times New Roman"/>
          <w:color w:val="000000" w:themeColor="text1"/>
          <w:kern w:val="0"/>
          <w:szCs w:val="24"/>
          <w:highlight w:val="none"/>
          <w:lang w:val="en-US" w:eastAsia="zh-CN"/>
          <w14:textFill>
            <w14:solidFill>
              <w14:schemeClr w14:val="tx1"/>
            </w14:solidFill>
          </w14:textFill>
        </w:rPr>
        <w:t>普光镇全镇划分为</w:t>
      </w:r>
      <w:r>
        <w:rPr>
          <w:rFonts w:cs="Times New Roman"/>
          <w:color w:val="000000" w:themeColor="text1"/>
          <w:kern w:val="0"/>
          <w:szCs w:val="24"/>
          <w:highlight w:val="none"/>
          <w14:textFill>
            <w14:solidFill>
              <w14:schemeClr w14:val="tx1"/>
            </w14:solidFill>
          </w14:textFill>
        </w:rPr>
        <w:t>水土流失</w:t>
      </w:r>
      <w:r>
        <w:rPr>
          <w:rFonts w:hint="default" w:cs="Times New Roman"/>
          <w:color w:val="000000" w:themeColor="text1"/>
          <w:kern w:val="0"/>
          <w:szCs w:val="24"/>
          <w:highlight w:val="none"/>
          <w14:textFill>
            <w14:solidFill>
              <w14:schemeClr w14:val="tx1"/>
            </w14:solidFill>
          </w14:textFill>
        </w:rPr>
        <w:t>重点预防区</w:t>
      </w:r>
      <w:r>
        <w:rPr>
          <w:rFonts w:hint="eastAsia" w:cs="Times New Roman"/>
          <w:color w:val="000000" w:themeColor="text1"/>
          <w:kern w:val="0"/>
          <w:szCs w:val="24"/>
          <w:highlight w:val="none"/>
          <w:lang w:val="en-US" w:eastAsia="zh-CN"/>
          <w14:textFill>
            <w14:solidFill>
              <w14:schemeClr w14:val="tx1"/>
            </w14:solidFill>
          </w14:textFill>
        </w:rPr>
        <w:t>和</w:t>
      </w:r>
      <w:r>
        <w:rPr>
          <w:rFonts w:cs="Times New Roman"/>
          <w:color w:val="000000" w:themeColor="text1"/>
          <w:kern w:val="0"/>
          <w:szCs w:val="24"/>
          <w:highlight w:val="none"/>
          <w14:textFill>
            <w14:solidFill>
              <w14:schemeClr w14:val="tx1"/>
            </w14:solidFill>
          </w14:textFill>
        </w:rPr>
        <w:t>重点治理区</w:t>
      </w:r>
      <w:r>
        <w:rPr>
          <w:rFonts w:hint="eastAsia" w:cs="Times New Roman"/>
          <w:color w:val="000000" w:themeColor="text1"/>
          <w:kern w:val="0"/>
          <w:szCs w:val="24"/>
          <w:highlight w:val="none"/>
          <w:lang w:eastAsia="zh-CN"/>
          <w14:textFill>
            <w14:solidFill>
              <w14:schemeClr w14:val="tx1"/>
            </w14:solidFill>
          </w14:textFill>
        </w:rPr>
        <w:t>，</w:t>
      </w:r>
      <w:r>
        <w:rPr>
          <w:rFonts w:hint="eastAsia" w:cs="Times New Roman"/>
          <w:color w:val="000000" w:themeColor="text1"/>
          <w:kern w:val="0"/>
          <w:szCs w:val="24"/>
          <w:highlight w:val="none"/>
          <w:lang w:val="en-US" w:eastAsia="zh-CN"/>
          <w14:textFill>
            <w14:solidFill>
              <w14:schemeClr w14:val="tx1"/>
            </w14:solidFill>
          </w14:textFill>
        </w:rPr>
        <w:t>老君乡全镇划分为</w:t>
      </w:r>
      <w:r>
        <w:rPr>
          <w:rFonts w:cs="Times New Roman"/>
          <w:color w:val="000000" w:themeColor="text1"/>
          <w:kern w:val="0"/>
          <w:szCs w:val="24"/>
          <w:highlight w:val="none"/>
          <w14:textFill>
            <w14:solidFill>
              <w14:schemeClr w14:val="tx1"/>
            </w14:solidFill>
          </w14:textFill>
        </w:rPr>
        <w:t>水土流失重点治理区</w:t>
      </w:r>
      <w:r>
        <w:rPr>
          <w:rFonts w:hint="eastAsia" w:cs="Times New Roman"/>
          <w:color w:val="000000" w:themeColor="text1"/>
          <w:kern w:val="0"/>
          <w:szCs w:val="24"/>
          <w:highlight w:val="none"/>
          <w:lang w:eastAsia="zh-CN"/>
          <w14:textFill>
            <w14:solidFill>
              <w14:schemeClr w14:val="tx1"/>
            </w14:solidFill>
          </w14:textFill>
        </w:rPr>
        <w:t>，</w:t>
      </w:r>
      <w:r>
        <w:rPr>
          <w:rFonts w:hint="eastAsia" w:cs="Times New Roman"/>
          <w:color w:val="000000" w:themeColor="text1"/>
          <w:kern w:val="0"/>
          <w:szCs w:val="24"/>
          <w:highlight w:val="none"/>
          <w:lang w:val="en-US" w:eastAsia="zh-CN"/>
          <w14:textFill>
            <w14:solidFill>
              <w14:schemeClr w14:val="tx1"/>
            </w14:solidFill>
          </w14:textFill>
        </w:rPr>
        <w:t>雷页1试采站已建位于***，由于天然气勘探试采项目属于“地下决定地面”项目，雷页1试验井组选址具有唯一性，可调整空间很小，因此也无法避让</w:t>
      </w:r>
      <w:r>
        <w:rPr>
          <w:rFonts w:cs="Times New Roman"/>
          <w:color w:val="000000" w:themeColor="text1"/>
          <w:kern w:val="0"/>
          <w:szCs w:val="24"/>
          <w:highlight w:val="none"/>
          <w14:textFill>
            <w14:solidFill>
              <w14:schemeClr w14:val="tx1"/>
            </w14:solidFill>
          </w14:textFill>
        </w:rPr>
        <w:t>水土流失</w:t>
      </w:r>
      <w:r>
        <w:rPr>
          <w:rFonts w:hint="default" w:cs="Times New Roman"/>
          <w:color w:val="000000" w:themeColor="text1"/>
          <w:kern w:val="0"/>
          <w:szCs w:val="24"/>
          <w:highlight w:val="none"/>
          <w14:textFill>
            <w14:solidFill>
              <w14:schemeClr w14:val="tx1"/>
            </w14:solidFill>
          </w14:textFill>
        </w:rPr>
        <w:t>重点预防区</w:t>
      </w:r>
      <w:r>
        <w:rPr>
          <w:rFonts w:hint="eastAsia" w:cs="Times New Roman"/>
          <w:color w:val="000000" w:themeColor="text1"/>
          <w:kern w:val="0"/>
          <w:szCs w:val="24"/>
          <w:highlight w:val="none"/>
          <w:lang w:val="en-US" w:eastAsia="zh-CN"/>
          <w14:textFill>
            <w14:solidFill>
              <w14:schemeClr w14:val="tx1"/>
            </w14:solidFill>
          </w14:textFill>
        </w:rPr>
        <w:t>和</w:t>
      </w:r>
      <w:r>
        <w:rPr>
          <w:rFonts w:cs="Times New Roman"/>
          <w:color w:val="000000" w:themeColor="text1"/>
          <w:kern w:val="0"/>
          <w:szCs w:val="24"/>
          <w:highlight w:val="none"/>
          <w14:textFill>
            <w14:solidFill>
              <w14:schemeClr w14:val="tx1"/>
            </w14:solidFill>
          </w14:textFill>
        </w:rPr>
        <w:t>重点治理区</w:t>
      </w:r>
      <w:r>
        <w:rPr>
          <w:rFonts w:hint="eastAsia" w:cs="Times New Roman"/>
          <w:color w:val="000000" w:themeColor="text1"/>
          <w:kern w:val="0"/>
          <w:szCs w:val="24"/>
          <w:highlight w:val="none"/>
          <w:lang w:eastAsia="zh-CN"/>
          <w14:textFill>
            <w14:solidFill>
              <w14:schemeClr w14:val="tx1"/>
            </w14:solidFill>
          </w14:textFill>
        </w:rPr>
        <w:t>。</w:t>
      </w:r>
    </w:p>
    <w:p>
      <w:pPr>
        <w:ind w:firstLine="480"/>
        <w:rPr>
          <w:color w:val="000000" w:themeColor="text1"/>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根据前文分析，</w:t>
      </w:r>
      <w:r>
        <w:rPr>
          <w:b/>
          <w:bCs/>
          <w:color w:val="000000" w:themeColor="text1"/>
          <w:highlight w:val="none"/>
          <w14:textFill>
            <w14:solidFill>
              <w14:schemeClr w14:val="tx1"/>
            </w14:solidFill>
          </w14:textFill>
        </w:rPr>
        <w:t>本项目为天然气</w:t>
      </w:r>
      <w:r>
        <w:rPr>
          <w:rFonts w:hint="eastAsia"/>
          <w:b/>
          <w:bCs/>
          <w:color w:val="000000" w:themeColor="text1"/>
          <w:highlight w:val="none"/>
          <w14:textFill>
            <w14:solidFill>
              <w14:schemeClr w14:val="tx1"/>
            </w14:solidFill>
          </w14:textFill>
        </w:rPr>
        <w:t>实验性</w:t>
      </w:r>
      <w:r>
        <w:rPr>
          <w:b/>
          <w:bCs/>
          <w:color w:val="000000" w:themeColor="text1"/>
          <w:highlight w:val="none"/>
          <w14:textFill>
            <w14:solidFill>
              <w14:schemeClr w14:val="tx1"/>
            </w14:solidFill>
          </w14:textFill>
        </w:rPr>
        <w:t>探井</w:t>
      </w:r>
      <w:r>
        <w:rPr>
          <w:rFonts w:hint="eastAsia"/>
          <w:b/>
          <w:bCs/>
          <w:color w:val="000000" w:themeColor="text1"/>
          <w:highlight w:val="none"/>
          <w14:textFill>
            <w14:solidFill>
              <w14:schemeClr w14:val="tx1"/>
            </w14:solidFill>
          </w14:textFill>
        </w:rPr>
        <w:t>及试采</w:t>
      </w:r>
      <w:r>
        <w:rPr>
          <w:b/>
          <w:bCs/>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项目占地均为临时占地，涉及基本农田</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本项目属于（自然资规〔2018〕3号）中明确的</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符合国家产业政策的能源开采</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《自然资源部农业农村部关于加强和改进永久基本农田保护工作的通知》（自然资规〔2019〕1号）</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范畴。因此，建设单位应按照文件要求，尽快办理基本农田征、占用手续。</w:t>
      </w:r>
      <w:r>
        <w:rPr>
          <w:rFonts w:hint="eastAsia"/>
          <w:b w:val="0"/>
          <w:bCs w:val="0"/>
          <w:color w:val="000000" w:themeColor="text1"/>
          <w:highlight w:val="none"/>
          <w:vertAlign w:val="baseline"/>
          <w:lang w:val="en-US" w:eastAsia="zh-CN"/>
          <w14:textFill>
            <w14:solidFill>
              <w14:schemeClr w14:val="tx1"/>
            </w14:solidFill>
          </w14:textFill>
        </w:rPr>
        <w:t>项目在开工前，应根据国家有关要求编制项目水土保持方案或采取有效水保措施，确保本项目的水土保持工作得以有效完成。</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105" w:name="_Toc120173089"/>
      <w:bookmarkStart w:id="106" w:name="_Hlk49360744"/>
      <w:r>
        <w:rPr>
          <w:color w:val="000000" w:themeColor="text1"/>
          <w:highlight w:val="none"/>
          <w:lang w:eastAsia="zh-CN"/>
          <w14:textFill>
            <w14:solidFill>
              <w14:schemeClr w14:val="tx1"/>
            </w14:solidFill>
          </w14:textFill>
        </w:rPr>
        <w:t>平面布置合理性分析</w:t>
      </w:r>
      <w:bookmarkEnd w:id="105"/>
    </w:p>
    <w:p>
      <w:pPr>
        <w:tabs>
          <w:tab w:val="left" w:pos="0"/>
        </w:tabs>
        <w:ind w:firstLine="480"/>
        <w:rPr>
          <w:rFonts w:hint="default" w:ascii="Times New Roman" w:hAnsi="Times New Roman" w:eastAsia="黑体" w:cs="Times New Roman"/>
          <w:bCs/>
          <w:color w:val="000000" w:themeColor="text1"/>
          <w:szCs w:val="24"/>
          <w:highlight w:val="none"/>
          <w14:textFill>
            <w14:solidFill>
              <w14:schemeClr w14:val="tx1"/>
            </w14:solidFill>
          </w14:textFill>
        </w:rPr>
      </w:pPr>
      <w:r>
        <w:rPr>
          <w:rFonts w:hint="default" w:ascii="Times New Roman" w:hAnsi="Times New Roman" w:eastAsia="黑体" w:cs="Times New Roman"/>
          <w:bCs/>
          <w:color w:val="000000" w:themeColor="text1"/>
          <w:szCs w:val="24"/>
          <w:highlight w:val="none"/>
          <w14:textFill>
            <w14:solidFill>
              <w14:schemeClr w14:val="tx1"/>
            </w14:solidFill>
          </w14:textFill>
        </w:rPr>
        <w:t>1、钻井工程平面布局合理性分析</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本项目钻井井场沿</w:t>
      </w:r>
      <w:r>
        <w:rPr>
          <w:rFonts w:hint="eastAsia" w:cs="Times New Roman"/>
          <w:bCs/>
          <w:color w:val="000000" w:themeColor="text1"/>
          <w:szCs w:val="24"/>
          <w:highlight w:val="none"/>
          <w:lang w:val="en-US" w:eastAsia="zh-CN"/>
          <w14:textFill>
            <w14:solidFill>
              <w14:schemeClr w14:val="tx1"/>
            </w14:solidFill>
          </w14:textFill>
        </w:rPr>
        <w:t>北偏西</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南偏东</w:t>
      </w:r>
      <w:r>
        <w:rPr>
          <w:rFonts w:cs="Times New Roman"/>
          <w:bCs/>
          <w:color w:val="000000" w:themeColor="text1"/>
          <w:szCs w:val="24"/>
          <w:highlight w:val="none"/>
          <w14:textFill>
            <w14:solidFill>
              <w14:schemeClr w14:val="tx1"/>
            </w14:solidFill>
          </w14:textFill>
        </w:rPr>
        <w:t>方向布置，井场长约1</w:t>
      </w:r>
      <w:r>
        <w:rPr>
          <w:rFonts w:hint="eastAsia" w:cs="Times New Roman"/>
          <w:bCs/>
          <w:color w:val="000000" w:themeColor="text1"/>
          <w:szCs w:val="24"/>
          <w:highlight w:val="none"/>
          <w:lang w:val="en-US" w:eastAsia="zh-CN"/>
          <w14:textFill>
            <w14:solidFill>
              <w14:schemeClr w14:val="tx1"/>
            </w14:solidFill>
          </w14:textFill>
        </w:rPr>
        <w:t>17</w:t>
      </w:r>
      <w:r>
        <w:rPr>
          <w:rFonts w:cs="Times New Roman"/>
          <w:bCs/>
          <w:color w:val="000000" w:themeColor="text1"/>
          <w:szCs w:val="24"/>
          <w:highlight w:val="none"/>
          <w14:textFill>
            <w14:solidFill>
              <w14:schemeClr w14:val="tx1"/>
            </w14:solidFill>
          </w14:textFill>
        </w:rPr>
        <w:t>m，宽约5</w:t>
      </w:r>
      <w:r>
        <w:rPr>
          <w:rFonts w:hint="eastAsia" w:cs="Times New Roman"/>
          <w:bCs/>
          <w:color w:val="000000" w:themeColor="text1"/>
          <w:szCs w:val="24"/>
          <w:highlight w:val="none"/>
          <w:lang w:val="en-US" w:eastAsia="zh-CN"/>
          <w14:textFill>
            <w14:solidFill>
              <w14:schemeClr w14:val="tx1"/>
            </w14:solidFill>
          </w14:textFill>
        </w:rPr>
        <w:t>3</w:t>
      </w:r>
      <w:r>
        <w:rPr>
          <w:rFonts w:cs="Times New Roman"/>
          <w:bCs/>
          <w:color w:val="000000" w:themeColor="text1"/>
          <w:szCs w:val="24"/>
          <w:highlight w:val="none"/>
          <w14:textFill>
            <w14:solidFill>
              <w14:schemeClr w14:val="tx1"/>
            </w14:solidFill>
          </w14:textFill>
        </w:rPr>
        <w:t>m；放喷池位于井场外</w:t>
      </w:r>
      <w:r>
        <w:rPr>
          <w:rFonts w:hint="eastAsia" w:cs="Times New Roman"/>
          <w:bCs/>
          <w:color w:val="000000" w:themeColor="text1"/>
          <w:szCs w:val="24"/>
          <w:highlight w:val="none"/>
          <w14:textFill>
            <w14:solidFill>
              <w14:schemeClr w14:val="tx1"/>
            </w14:solidFill>
          </w14:textFill>
        </w:rPr>
        <w:t>东</w:t>
      </w:r>
      <w:r>
        <w:rPr>
          <w:rFonts w:hint="eastAsia" w:cs="Times New Roman"/>
          <w:bCs/>
          <w:color w:val="000000" w:themeColor="text1"/>
          <w:szCs w:val="24"/>
          <w:highlight w:val="none"/>
          <w:lang w:val="en-US" w:eastAsia="zh-CN"/>
          <w14:textFill>
            <w14:solidFill>
              <w14:schemeClr w14:val="tx1"/>
            </w14:solidFill>
          </w14:textFill>
        </w:rPr>
        <w:t>北</w:t>
      </w:r>
      <w:r>
        <w:rPr>
          <w:rFonts w:cs="Times New Roman"/>
          <w:bCs/>
          <w:color w:val="000000" w:themeColor="text1"/>
          <w:szCs w:val="24"/>
          <w:highlight w:val="none"/>
          <w14:textFill>
            <w14:solidFill>
              <w14:schemeClr w14:val="tx1"/>
            </w14:solidFill>
          </w14:textFill>
        </w:rPr>
        <w:t>侧，距离井口约</w:t>
      </w:r>
      <w:r>
        <w:rPr>
          <w:rFonts w:hint="eastAsia" w:cs="Times New Roman"/>
          <w:bCs/>
          <w:color w:val="000000" w:themeColor="text1"/>
          <w:szCs w:val="24"/>
          <w:highlight w:val="none"/>
          <w:lang w:val="en-US" w:eastAsia="zh-CN"/>
          <w14:textFill>
            <w14:solidFill>
              <w14:schemeClr w14:val="tx1"/>
            </w14:solidFill>
          </w14:textFill>
        </w:rPr>
        <w:t>157</w:t>
      </w:r>
      <w:r>
        <w:rPr>
          <w:rFonts w:cs="Times New Roman"/>
          <w:bCs/>
          <w:color w:val="000000" w:themeColor="text1"/>
          <w:szCs w:val="24"/>
          <w:highlight w:val="none"/>
          <w14:textFill>
            <w14:solidFill>
              <w14:schemeClr w14:val="tx1"/>
            </w14:solidFill>
          </w14:textFill>
        </w:rPr>
        <w:t>m，放喷池容积为300m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，开口朝向井口方向设置</w:t>
      </w: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在西侧</w:t>
      </w:r>
      <w:r>
        <w:rPr>
          <w:rFonts w:hint="eastAsia" w:cs="Times New Roman"/>
          <w:bCs/>
          <w:color w:val="000000" w:themeColor="text1"/>
          <w:szCs w:val="24"/>
          <w:highlight w:val="none"/>
          <w14:textFill>
            <w14:solidFill>
              <w14:schemeClr w14:val="tx1"/>
            </w14:solidFill>
          </w14:textFill>
        </w:rPr>
        <w:t>新建进场道路</w:t>
      </w:r>
      <w:r>
        <w:rPr>
          <w:rFonts w:hint="eastAsia" w:cs="Times New Roman"/>
          <w:bCs/>
          <w:color w:val="000000" w:themeColor="text1"/>
          <w:szCs w:val="24"/>
          <w:highlight w:val="none"/>
          <w:lang w:val="en-US" w:eastAsia="zh-CN"/>
          <w14:textFill>
            <w14:solidFill>
              <w14:schemeClr w14:val="tx1"/>
            </w14:solidFill>
          </w14:textFill>
        </w:rPr>
        <w:t>约10</w:t>
      </w:r>
      <w:r>
        <w:rPr>
          <w:rFonts w:hint="eastAsia" w:cs="Times New Roman"/>
          <w:bCs/>
          <w:color w:val="000000" w:themeColor="text1"/>
          <w:szCs w:val="24"/>
          <w:highlight w:val="none"/>
          <w14:textFill>
            <w14:solidFill>
              <w14:schemeClr w14:val="tx1"/>
            </w14:solidFill>
          </w14:textFill>
        </w:rPr>
        <w:t>0m</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利旧</w:t>
      </w:r>
      <w:r>
        <w:rPr>
          <w:rFonts w:ascii="Times New Roman" w:hAnsi="Times New Roman"/>
          <w:bCs/>
          <w:color w:val="000000" w:themeColor="text1"/>
          <w:kern w:val="2"/>
          <w:sz w:val="24"/>
          <w:szCs w:val="24"/>
          <w:highlight w:val="none"/>
          <w:lang w:eastAsia="zh-CN"/>
          <w14:textFill>
            <w14:solidFill>
              <w14:schemeClr w14:val="tx1"/>
            </w14:solidFill>
          </w14:textFill>
        </w:rPr>
        <w:t>600m</w:t>
      </w:r>
      <w:r>
        <w:rPr>
          <w:rFonts w:ascii="Times New Roman" w:hAnsi="Times New Roman"/>
          <w:bCs/>
          <w:color w:val="000000" w:themeColor="text1"/>
          <w:kern w:val="2"/>
          <w:sz w:val="24"/>
          <w:szCs w:val="24"/>
          <w:highlight w:val="none"/>
          <w:vertAlign w:val="superscript"/>
          <w:lang w:eastAsia="zh-CN"/>
          <w14:textFill>
            <w14:solidFill>
              <w14:schemeClr w14:val="tx1"/>
            </w14:solidFill>
          </w14:textFill>
        </w:rPr>
        <w:t>3</w:t>
      </w:r>
      <w:r>
        <w:rPr>
          <w:rFonts w:ascii="Times New Roman" w:hAnsi="Times New Roman"/>
          <w:bCs/>
          <w:color w:val="000000" w:themeColor="text1"/>
          <w:kern w:val="2"/>
          <w:sz w:val="24"/>
          <w:szCs w:val="24"/>
          <w:highlight w:val="none"/>
          <w:lang w:eastAsia="zh-CN"/>
          <w14:textFill>
            <w14:solidFill>
              <w14:schemeClr w14:val="tx1"/>
            </w14:solidFill>
          </w14:textFill>
        </w:rPr>
        <w:t>清水池在井场</w:t>
      </w:r>
      <w:r>
        <w:rPr>
          <w:rFonts w:hint="eastAsia"/>
          <w:bCs/>
          <w:color w:val="000000" w:themeColor="text1"/>
          <w:kern w:val="2"/>
          <w:sz w:val="24"/>
          <w:szCs w:val="24"/>
          <w:highlight w:val="none"/>
          <w:lang w:val="en-US" w:eastAsia="zh-CN"/>
          <w14:textFill>
            <w14:solidFill>
              <w14:schemeClr w14:val="tx1"/>
            </w14:solidFill>
          </w14:textFill>
        </w:rPr>
        <w:t>西侧</w:t>
      </w:r>
      <w:r>
        <w:rPr>
          <w:rFonts w:hint="eastAsia"/>
          <w:bCs/>
          <w:color w:val="000000" w:themeColor="text1"/>
          <w:kern w:val="2"/>
          <w:sz w:val="24"/>
          <w:szCs w:val="24"/>
          <w:highlight w:val="none"/>
          <w:lang w:eastAsia="zh-CN"/>
          <w14:textFill>
            <w14:solidFill>
              <w14:schemeClr w14:val="tx1"/>
            </w14:solidFill>
          </w14:textFill>
        </w:rPr>
        <w:t>，</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表土堆场</w:t>
      </w:r>
      <w:r>
        <w:rPr>
          <w:rFonts w:ascii="Times New Roman" w:hAnsi="Times New Roman"/>
          <w:bCs/>
          <w:color w:val="000000" w:themeColor="text1"/>
          <w:kern w:val="2"/>
          <w:sz w:val="24"/>
          <w:szCs w:val="24"/>
          <w:highlight w:val="none"/>
          <w:lang w:eastAsia="zh-CN"/>
          <w14:textFill>
            <w14:solidFill>
              <w14:schemeClr w14:val="tx1"/>
            </w14:solidFill>
          </w14:textFill>
        </w:rPr>
        <w:t>在井场</w:t>
      </w:r>
      <w:r>
        <w:rPr>
          <w:rFonts w:hint="eastAsia"/>
          <w:bCs/>
          <w:color w:val="000000" w:themeColor="text1"/>
          <w:kern w:val="2"/>
          <w:sz w:val="24"/>
          <w:szCs w:val="24"/>
          <w:highlight w:val="none"/>
          <w:lang w:val="en-US" w:eastAsia="zh-CN"/>
          <w14:textFill>
            <w14:solidFill>
              <w14:schemeClr w14:val="tx1"/>
            </w14:solidFill>
          </w14:textFill>
        </w:rPr>
        <w:t>东</w:t>
      </w:r>
      <w:r>
        <w:rPr>
          <w:rFonts w:ascii="Times New Roman" w:hAnsi="Times New Roman"/>
          <w:bCs/>
          <w:color w:val="000000" w:themeColor="text1"/>
          <w:kern w:val="2"/>
          <w:sz w:val="24"/>
          <w:szCs w:val="24"/>
          <w:highlight w:val="none"/>
          <w:lang w:eastAsia="zh-CN"/>
          <w14:textFill>
            <w14:solidFill>
              <w14:schemeClr w14:val="tx1"/>
            </w14:solidFill>
          </w14:textFill>
        </w:rPr>
        <w:t>侧</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地势平坦处</w:t>
      </w:r>
      <w:r>
        <w:rPr>
          <w:rFonts w:ascii="Times New Roman" w:hAnsi="Times New Roman"/>
          <w:bCs/>
          <w:color w:val="000000" w:themeColor="text1"/>
          <w:kern w:val="2"/>
          <w:sz w:val="24"/>
          <w:szCs w:val="24"/>
          <w:highlight w:val="none"/>
          <w:lang w:eastAsia="zh-CN"/>
          <w14:textFill>
            <w14:solidFill>
              <w14:schemeClr w14:val="tx1"/>
            </w14:solidFill>
          </w14:textFill>
        </w:rPr>
        <w:t>紧邻</w:t>
      </w:r>
      <w:r>
        <w:rPr>
          <w:rFonts w:hint="eastAsia"/>
          <w:bCs/>
          <w:color w:val="000000" w:themeColor="text1"/>
          <w:kern w:val="2"/>
          <w:sz w:val="24"/>
          <w:szCs w:val="24"/>
          <w:highlight w:val="none"/>
          <w:lang w:val="en-US" w:eastAsia="zh-CN"/>
          <w14:textFill>
            <w14:solidFill>
              <w14:schemeClr w14:val="tx1"/>
            </w14:solidFill>
          </w14:textFill>
        </w:rPr>
        <w:t>井场</w:t>
      </w:r>
      <w:r>
        <w:rPr>
          <w:rFonts w:ascii="Times New Roman" w:hAnsi="Times New Roman"/>
          <w:bCs/>
          <w:color w:val="000000" w:themeColor="text1"/>
          <w:kern w:val="2"/>
          <w:sz w:val="24"/>
          <w:szCs w:val="24"/>
          <w:highlight w:val="none"/>
          <w:lang w:eastAsia="zh-CN"/>
          <w14:textFill>
            <w14:solidFill>
              <w14:schemeClr w14:val="tx1"/>
            </w14:solidFill>
          </w14:textFill>
        </w:rPr>
        <w:t>布置。</w:t>
      </w:r>
    </w:p>
    <w:p>
      <w:pPr>
        <w:keepNext w:val="0"/>
        <w:keepLines w:val="0"/>
        <w:pageBreakBefore w:val="0"/>
        <w:widowControl w:val="0"/>
        <w:tabs>
          <w:tab w:val="left" w:pos="0"/>
        </w:tabs>
        <w:kinsoku/>
        <w:wordWrap/>
        <w:overflowPunct/>
        <w:topLinePunct w:val="0"/>
        <w:autoSpaceDE/>
        <w:autoSpaceDN/>
        <w:bidi w:val="0"/>
        <w:adjustRightInd w:val="0"/>
        <w:snapToGrid w:val="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总的来说，本项目钻井施工期平面布置按照《钻前工程及井场布置技术要求》（SY/T5466-2013）、《石油与天然气钻井、开发、储运防火防爆安全生产管理规定》（SY5225-2019）、《石油天然气工程设计防火规范》（GB50183-2004）等石油和天然气行业标准的要求进行，钻井井场主要包括井控台、柴油发电机组、泥浆循环系统、泥浆泵、泥浆不落地装置、值班室、技术房、油罐区等。井场外设置有放喷池等。井场平面布置满足防火、安全间距要求，各工程连通顺畅，尽量降低了占地，降低了钻前工程量，施工期钻井工程布局是合理的。</w:t>
      </w:r>
    </w:p>
    <w:p>
      <w:pPr>
        <w:tabs>
          <w:tab w:val="left" w:pos="0"/>
        </w:tabs>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（1）噪声源布局合理性分析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本工程井场噪声源布置与《钻前工程及井场布置技术要求》</w:t>
      </w:r>
      <w:r>
        <w:rPr>
          <w:rFonts w:ascii="宋体" w:hAnsi="宋体"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SY/T5466-2013</w:t>
      </w:r>
      <w:r>
        <w:rPr>
          <w:rFonts w:ascii="宋体" w:hAnsi="宋体"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等相关要求的符合性见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_Ref142900231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07" w:name="_Ref14290023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10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噪声源布局合理性</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1"/>
        <w:gridCol w:w="3003"/>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3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标准及规范要求</w:t>
            </w:r>
          </w:p>
        </w:tc>
        <w:tc>
          <w:tcPr>
            <w:tcW w:w="176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本工程噪声源布置</w:t>
            </w:r>
          </w:p>
        </w:tc>
        <w:tc>
          <w:tcPr>
            <w:tcW w:w="904"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《钻前工程及井场布置技术要求》（SY/T5466-2013）中的第4.3.2条规定：电动钻机发电机组和电控房应布置并排置于井场的后方。尽量远离敏感点或受噪声影响农户最少</w:t>
            </w:r>
          </w:p>
        </w:tc>
        <w:tc>
          <w:tcPr>
            <w:tcW w:w="1761" w:type="pc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柴油机、泥浆泵布置在中后场（</w:t>
            </w:r>
            <w:r>
              <w:rPr>
                <w:rFonts w:hint="eastAsia"/>
                <w:color w:val="000000" w:themeColor="text1"/>
                <w:szCs w:val="20"/>
                <w:highlight w:val="none"/>
                <w:lang w:val="en-US" w:eastAsia="zh-CN"/>
                <w14:textFill>
                  <w14:solidFill>
                    <w14:schemeClr w14:val="tx1"/>
                  </w14:solidFill>
                </w14:textFill>
              </w:rPr>
              <w:t>南偏东</w:t>
            </w:r>
            <w:r>
              <w:rPr>
                <w:rFonts w:hint="default"/>
                <w:color w:val="000000" w:themeColor="text1"/>
                <w:szCs w:val="20"/>
                <w:highlight w:val="none"/>
                <w14:textFill>
                  <w14:solidFill>
                    <w14:schemeClr w14:val="tx1"/>
                  </w14:solidFill>
                </w14:textFill>
              </w:rPr>
              <w:t>侧）。散居农户主要分布在井口</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14:textFill>
                  <w14:solidFill>
                    <w14:schemeClr w14:val="tx1"/>
                  </w14:solidFill>
                </w14:textFill>
              </w:rPr>
              <w:t>00m外</w:t>
            </w:r>
            <w:r>
              <w:rPr>
                <w:rFonts w:hint="eastAsia"/>
                <w:color w:val="000000" w:themeColor="text1"/>
                <w:szCs w:val="20"/>
                <w:highlight w:val="none"/>
                <w:lang w:eastAsia="zh-CN"/>
                <w14:textFill>
                  <w14:solidFill>
                    <w14:schemeClr w14:val="tx1"/>
                  </w14:solidFill>
                </w14:textFill>
              </w:rPr>
              <w:t>的</w:t>
            </w:r>
            <w:r>
              <w:rPr>
                <w:rFonts w:hint="eastAsia"/>
                <w:color w:val="000000" w:themeColor="text1"/>
                <w:szCs w:val="20"/>
                <w:highlight w:val="none"/>
                <w:lang w:val="en-US" w:eastAsia="zh-CN"/>
                <w14:textFill>
                  <w14:solidFill>
                    <w14:schemeClr w14:val="tx1"/>
                  </w14:solidFill>
                </w14:textFill>
              </w:rPr>
              <w:t>西侧、北侧</w:t>
            </w:r>
            <w:r>
              <w:rPr>
                <w:rFonts w:hint="default"/>
                <w:color w:val="000000" w:themeColor="text1"/>
                <w:szCs w:val="20"/>
                <w:highlight w:val="none"/>
                <w14:textFill>
                  <w14:solidFill>
                    <w14:schemeClr w14:val="tx1"/>
                  </w14:solidFill>
                </w14:textFill>
              </w:rPr>
              <w:t>。</w:t>
            </w:r>
          </w:p>
        </w:tc>
        <w:tc>
          <w:tcPr>
            <w:tcW w:w="90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符合要求</w:t>
            </w:r>
          </w:p>
        </w:tc>
      </w:tr>
    </w:tbl>
    <w:p>
      <w:pPr>
        <w:tabs>
          <w:tab w:val="left" w:pos="0"/>
        </w:tabs>
        <w:spacing w:before="120" w:beforeLines="50"/>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（2）放喷池布置合理性分析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本项目井场放喷池布置与《钻井井控技术规程》（SY/T6426-2005）等相关要求及规程的符合性见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_Ref142900247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08" w:name="_Ref14290024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10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放喷池布置合理性</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1"/>
        <w:gridCol w:w="4145"/>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2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标准及规范要求</w:t>
            </w:r>
          </w:p>
        </w:tc>
        <w:tc>
          <w:tcPr>
            <w:tcW w:w="414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本工程放喷池布置</w:t>
            </w:r>
          </w:p>
        </w:tc>
        <w:tc>
          <w:tcPr>
            <w:tcW w:w="93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1"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《钻井井控技术规程》（SY/T6426-2005）中的第4.1.2.3条规定：放喷管线应接至距井口75m以上的安全地带，距各种设施不小于50m。</w:t>
            </w:r>
          </w:p>
        </w:tc>
        <w:tc>
          <w:tcPr>
            <w:tcW w:w="41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放喷池布置在井场外井口</w:t>
            </w:r>
            <w:r>
              <w:rPr>
                <w:rFonts w:hint="eastAsia"/>
                <w:color w:val="000000" w:themeColor="text1"/>
                <w:szCs w:val="20"/>
                <w:highlight w:val="none"/>
                <w:lang w:val="en-US" w:eastAsia="zh-CN"/>
                <w14:textFill>
                  <w14:solidFill>
                    <w14:schemeClr w14:val="tx1"/>
                  </w14:solidFill>
                </w14:textFill>
              </w:rPr>
              <w:t>东</w:t>
            </w:r>
            <w:r>
              <w:rPr>
                <w:rFonts w:hint="eastAsia"/>
                <w:color w:val="000000" w:themeColor="text1"/>
                <w:szCs w:val="20"/>
                <w:highlight w:val="none"/>
                <w14:textFill>
                  <w14:solidFill>
                    <w14:schemeClr w14:val="tx1"/>
                  </w14:solidFill>
                </w14:textFill>
              </w:rPr>
              <w:t>北</w:t>
            </w:r>
            <w:r>
              <w:rPr>
                <w:rFonts w:hint="default"/>
                <w:color w:val="000000" w:themeColor="text1"/>
                <w:szCs w:val="20"/>
                <w:highlight w:val="none"/>
                <w14:textFill>
                  <w14:solidFill>
                    <w14:schemeClr w14:val="tx1"/>
                  </w14:solidFill>
                </w14:textFill>
              </w:rPr>
              <w:t>侧</w:t>
            </w:r>
            <w:r>
              <w:rPr>
                <w:rFonts w:hint="eastAsia"/>
                <w:color w:val="000000" w:themeColor="text1"/>
                <w:szCs w:val="20"/>
                <w:highlight w:val="none"/>
                <w:lang w:val="en-US" w:eastAsia="zh-CN"/>
                <w14:textFill>
                  <w14:solidFill>
                    <w14:schemeClr w14:val="tx1"/>
                  </w14:solidFill>
                </w14:textFill>
              </w:rPr>
              <w:t>耕</w:t>
            </w:r>
            <w:r>
              <w:rPr>
                <w:rFonts w:hint="default"/>
                <w:color w:val="000000" w:themeColor="text1"/>
                <w:szCs w:val="20"/>
                <w:highlight w:val="none"/>
                <w14:textFill>
                  <w14:solidFill>
                    <w14:schemeClr w14:val="tx1"/>
                  </w14:solidFill>
                </w14:textFill>
              </w:rPr>
              <w:t>地内，距离井口约</w:t>
            </w:r>
            <w:r>
              <w:rPr>
                <w:rFonts w:hint="eastAsia"/>
                <w:color w:val="000000" w:themeColor="text1"/>
                <w:szCs w:val="20"/>
                <w:highlight w:val="none"/>
                <w:lang w:val="en-US" w:eastAsia="zh-CN"/>
                <w14:textFill>
                  <w14:solidFill>
                    <w14:schemeClr w14:val="tx1"/>
                  </w14:solidFill>
                </w14:textFill>
              </w:rPr>
              <w:t>157</w:t>
            </w:r>
            <w:r>
              <w:rPr>
                <w:rFonts w:hint="default"/>
                <w:color w:val="000000" w:themeColor="text1"/>
                <w:szCs w:val="20"/>
                <w:highlight w:val="none"/>
                <w14:textFill>
                  <w14:solidFill>
                    <w14:schemeClr w14:val="tx1"/>
                  </w14:solidFill>
                </w14:textFill>
              </w:rPr>
              <w:t>m处，放喷池周边</w:t>
            </w:r>
            <w:r>
              <w:rPr>
                <w:rFonts w:hint="eastAsia"/>
                <w:color w:val="000000" w:themeColor="text1"/>
                <w:szCs w:val="20"/>
                <w:highlight w:val="none"/>
                <w:lang w:val="en-US" w:eastAsia="zh-CN"/>
                <w14:textFill>
                  <w14:solidFill>
                    <w14:schemeClr w14:val="tx1"/>
                  </w14:solidFill>
                </w14:textFill>
              </w:rPr>
              <w:t>5</w:t>
            </w:r>
            <w:r>
              <w:rPr>
                <w:rFonts w:hint="default"/>
                <w:color w:val="000000" w:themeColor="text1"/>
                <w:szCs w:val="20"/>
                <w:highlight w:val="none"/>
                <w14:textFill>
                  <w14:solidFill>
                    <w14:schemeClr w14:val="tx1"/>
                  </w14:solidFill>
                </w14:textFill>
              </w:rPr>
              <w:t>0m范围内</w:t>
            </w:r>
            <w:r>
              <w:rPr>
                <w:rFonts w:hint="eastAsia"/>
                <w:color w:val="000000" w:themeColor="text1"/>
                <w:szCs w:val="20"/>
                <w:highlight w:val="none"/>
                <w14:textFill>
                  <w14:solidFill>
                    <w14:schemeClr w14:val="tx1"/>
                  </w14:solidFill>
                </w14:textFill>
              </w:rPr>
              <w:t>均</w:t>
            </w:r>
            <w:r>
              <w:rPr>
                <w:rFonts w:hint="default"/>
                <w:color w:val="000000" w:themeColor="text1"/>
                <w:szCs w:val="20"/>
                <w:highlight w:val="none"/>
                <w14:textFill>
                  <w14:solidFill>
                    <w14:schemeClr w14:val="tx1"/>
                  </w14:solidFill>
                </w14:textFill>
              </w:rPr>
              <w:t>无居民等敏感目标分布，</w:t>
            </w:r>
            <w:r>
              <w:rPr>
                <w:rFonts w:hint="eastAsia"/>
                <w:bCs/>
                <w:color w:val="000000" w:themeColor="text1"/>
                <w:szCs w:val="20"/>
                <w:highlight w:val="none"/>
                <w14:textFill>
                  <w14:solidFill>
                    <w14:schemeClr w14:val="tx1"/>
                  </w14:solidFill>
                </w14:textFill>
              </w:rPr>
              <w:t>距离放喷池最近的居民点为</w:t>
            </w:r>
            <w:r>
              <w:rPr>
                <w:rFonts w:hint="eastAsia"/>
                <w:bCs/>
                <w:color w:val="000000" w:themeColor="text1"/>
                <w:szCs w:val="20"/>
                <w:highlight w:val="none"/>
                <w:lang w:val="en-US" w:eastAsia="zh-CN"/>
                <w14:textFill>
                  <w14:solidFill>
                    <w14:schemeClr w14:val="tx1"/>
                  </w14:solidFill>
                </w14:textFill>
              </w:rPr>
              <w:t>其西</w:t>
            </w:r>
            <w:r>
              <w:rPr>
                <w:rFonts w:hint="eastAsia"/>
                <w:bCs/>
                <w:color w:val="000000" w:themeColor="text1"/>
                <w:szCs w:val="20"/>
                <w:highlight w:val="none"/>
                <w14:textFill>
                  <w14:solidFill>
                    <w14:schemeClr w14:val="tx1"/>
                  </w14:solidFill>
                </w14:textFill>
              </w:rPr>
              <w:t>侧约</w:t>
            </w:r>
            <w:r>
              <w:rPr>
                <w:rFonts w:hint="eastAsia"/>
                <w:bCs/>
                <w:color w:val="000000" w:themeColor="text1"/>
                <w:szCs w:val="20"/>
                <w:highlight w:val="none"/>
                <w:lang w:val="en-US" w:eastAsia="zh-CN"/>
                <w14:textFill>
                  <w14:solidFill>
                    <w14:schemeClr w14:val="tx1"/>
                  </w14:solidFill>
                </w14:textFill>
              </w:rPr>
              <w:t>112</w:t>
            </w:r>
            <w:r>
              <w:rPr>
                <w:rFonts w:hint="eastAsia"/>
                <w:bCs/>
                <w:color w:val="000000" w:themeColor="text1"/>
                <w:szCs w:val="20"/>
                <w:highlight w:val="none"/>
                <w14:textFill>
                  <w14:solidFill>
                    <w14:schemeClr w14:val="tx1"/>
                  </w14:solidFill>
                </w14:textFill>
              </w:rPr>
              <w:t>m处的</w:t>
            </w:r>
            <w:r>
              <w:rPr>
                <w:rFonts w:hint="eastAsia"/>
                <w:bCs/>
                <w:color w:val="000000" w:themeColor="text1"/>
                <w:szCs w:val="20"/>
                <w:highlight w:val="none"/>
                <w:lang w:val="en-US" w:eastAsia="zh-CN"/>
                <w14:textFill>
                  <w14:solidFill>
                    <w14:schemeClr w14:val="tx1"/>
                  </w14:solidFill>
                </w14:textFill>
              </w:rPr>
              <w:t>1</w:t>
            </w:r>
            <w:r>
              <w:rPr>
                <w:rFonts w:hint="default"/>
                <w:bCs/>
                <w:color w:val="000000" w:themeColor="text1"/>
                <w:szCs w:val="20"/>
                <w:highlight w:val="none"/>
                <w14:textFill>
                  <w14:solidFill>
                    <w14:schemeClr w14:val="tx1"/>
                  </w14:solidFill>
                </w14:textFill>
              </w:rPr>
              <w:t>#</w:t>
            </w:r>
            <w:r>
              <w:rPr>
                <w:rFonts w:hint="eastAsia"/>
                <w:bCs/>
                <w:color w:val="000000" w:themeColor="text1"/>
                <w:szCs w:val="20"/>
                <w:highlight w:val="none"/>
                <w14:textFill>
                  <w14:solidFill>
                    <w14:schemeClr w14:val="tx1"/>
                  </w14:solidFill>
                </w14:textFill>
              </w:rPr>
              <w:t>居民点，放喷池测试放喷期间对周边居民等敏感目标影响较小，从环保角度而言选址合理</w:t>
            </w:r>
            <w:r>
              <w:rPr>
                <w:rFonts w:hint="default"/>
                <w:color w:val="000000" w:themeColor="text1"/>
                <w:szCs w:val="20"/>
                <w:highlight w:val="none"/>
                <w14:textFill>
                  <w14:solidFill>
                    <w14:schemeClr w14:val="tx1"/>
                  </w14:solidFill>
                </w14:textFill>
              </w:rPr>
              <w:t>。</w:t>
            </w:r>
          </w:p>
        </w:tc>
        <w:tc>
          <w:tcPr>
            <w:tcW w:w="9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符合要求</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2"/>
        <w:textAlignment w:val="auto"/>
        <w:rPr>
          <w:rFonts w:cs="Times New Roman"/>
          <w:bCs/>
          <w:color w:val="000000" w:themeColor="text1"/>
          <w:szCs w:val="24"/>
          <w:highlight w:val="none"/>
          <w14:textFill>
            <w14:solidFill>
              <w14:schemeClr w14:val="tx1"/>
            </w14:solidFill>
          </w14:textFill>
        </w:rPr>
      </w:pPr>
      <w:r>
        <w:rPr>
          <w:rFonts w:hint="eastAsia" w:cs="Times New Roman"/>
          <w:b/>
          <w:color w:val="000000" w:themeColor="text1"/>
          <w:szCs w:val="24"/>
          <w:highlight w:val="none"/>
          <w14:textFill>
            <w14:solidFill>
              <w14:schemeClr w14:val="tx1"/>
            </w14:solidFill>
          </w14:textFill>
        </w:rPr>
        <w:t>（3）清洁生产操作平台</w:t>
      </w:r>
      <w:r>
        <w:rPr>
          <w:rFonts w:cs="Times New Roman"/>
          <w:b/>
          <w:color w:val="000000" w:themeColor="text1"/>
          <w:szCs w:val="24"/>
          <w:highlight w:val="none"/>
          <w14:textFill>
            <w14:solidFill>
              <w14:schemeClr w14:val="tx1"/>
            </w14:solidFill>
          </w14:textFill>
        </w:rPr>
        <w:t>布置合理性分析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清洁生产操作平台布置于井口旁，</w:t>
      </w:r>
      <w:r>
        <w:rPr>
          <w:rFonts w:hint="eastAsia" w:cs="Times New Roman"/>
          <w:bCs/>
          <w:color w:val="000000" w:themeColor="text1"/>
          <w:szCs w:val="24"/>
          <w:highlight w:val="none"/>
          <w:lang w:val="en-US" w:eastAsia="zh-CN"/>
          <w14:textFill>
            <w14:solidFill>
              <w14:schemeClr w14:val="tx1"/>
            </w14:solidFill>
          </w14:textFill>
        </w:rPr>
        <w:t>紧挨泥浆循环系统，</w:t>
      </w:r>
      <w:r>
        <w:rPr>
          <w:rFonts w:hint="eastAsia" w:cs="Times New Roman"/>
          <w:bCs/>
          <w:color w:val="000000" w:themeColor="text1"/>
          <w:szCs w:val="24"/>
          <w:highlight w:val="none"/>
          <w14:textFill>
            <w14:solidFill>
              <w14:schemeClr w14:val="tx1"/>
            </w14:solidFill>
          </w14:textFill>
        </w:rPr>
        <w:t>钻井产生的循环泥浆、岩屑等产生后经短距离输送后即可得到有效妥善处置</w:t>
      </w:r>
      <w:r>
        <w:rPr>
          <w:rFonts w:hint="eastAsia" w:cs="Times New Roman"/>
          <w:bCs/>
          <w:color w:val="000000" w:themeColor="text1"/>
          <w:szCs w:val="24"/>
          <w:highlight w:val="none"/>
          <w:lang w:val="en-US" w:eastAsia="zh-CN"/>
          <w14:textFill>
            <w14:solidFill>
              <w14:schemeClr w14:val="tx1"/>
            </w14:solidFill>
          </w14:textFill>
        </w:rPr>
        <w:t>和重复利用</w:t>
      </w:r>
      <w:r>
        <w:rPr>
          <w:rFonts w:hint="eastAsia" w:cs="Times New Roman"/>
          <w:bCs/>
          <w:color w:val="000000" w:themeColor="text1"/>
          <w:szCs w:val="24"/>
          <w:highlight w:val="none"/>
          <w14:textFill>
            <w14:solidFill>
              <w14:schemeClr w14:val="tx1"/>
            </w14:solidFill>
          </w14:textFill>
        </w:rPr>
        <w:t>，避免了钻井产生的循环泥浆、岩屑的长距离输送而导致的</w:t>
      </w:r>
      <w:r>
        <w:rPr>
          <w:rFonts w:hint="eastAsia" w:cs="Times New Roman"/>
          <w:bCs/>
          <w:color w:val="000000" w:themeColor="text1"/>
          <w:szCs w:val="24"/>
          <w:highlight w:val="none"/>
          <w:lang w:eastAsia="zh-CN"/>
          <w14:textFill>
            <w14:solidFill>
              <w14:schemeClr w14:val="tx1"/>
            </w14:solidFill>
          </w14:textFill>
        </w:rPr>
        <w:t>泄漏</w:t>
      </w:r>
      <w:r>
        <w:rPr>
          <w:rFonts w:hint="eastAsia" w:cs="Times New Roman"/>
          <w:bCs/>
          <w:color w:val="000000" w:themeColor="text1"/>
          <w:szCs w:val="24"/>
          <w:highlight w:val="none"/>
          <w14:textFill>
            <w14:solidFill>
              <w14:schemeClr w14:val="tx1"/>
            </w14:solidFill>
          </w14:textFill>
        </w:rPr>
        <w:t>风险，因此从环保角度而言布置合理。</w:t>
      </w:r>
    </w:p>
    <w:p>
      <w:pPr>
        <w:keepNext w:val="0"/>
        <w:keepLines w:val="0"/>
        <w:pageBreakBefore w:val="0"/>
        <w:widowControl w:val="0"/>
        <w:tabs>
          <w:tab w:val="left" w:pos="0"/>
        </w:tabs>
        <w:kinsoku/>
        <w:wordWrap/>
        <w:overflowPunct/>
        <w:topLinePunct w:val="0"/>
        <w:autoSpaceDE/>
        <w:autoSpaceDN/>
        <w:bidi w:val="0"/>
        <w:adjustRightInd w:val="0"/>
        <w:snapToGrid w:val="0"/>
        <w:ind w:firstLine="482"/>
        <w:textAlignment w:val="auto"/>
        <w:rPr>
          <w:rFonts w:cs="Times New Roman"/>
          <w:bCs/>
          <w:color w:val="000000" w:themeColor="text1"/>
          <w:szCs w:val="24"/>
          <w:highlight w:val="none"/>
          <w14:textFill>
            <w14:solidFill>
              <w14:schemeClr w14:val="tx1"/>
            </w14:solidFill>
          </w14:textFill>
        </w:rPr>
      </w:pPr>
      <w:r>
        <w:rPr>
          <w:rFonts w:hint="eastAsia" w:cs="Times New Roman"/>
          <w:b/>
          <w:color w:val="000000" w:themeColor="text1"/>
          <w:szCs w:val="24"/>
          <w:highlight w:val="none"/>
          <w14:textFill>
            <w14:solidFill>
              <w14:schemeClr w14:val="tx1"/>
            </w14:solidFill>
          </w14:textFill>
        </w:rPr>
        <w:t>（</w:t>
      </w:r>
      <w:r>
        <w:rPr>
          <w:rFonts w:hint="eastAsia" w:cs="Times New Roman"/>
          <w:b/>
          <w:color w:val="000000" w:themeColor="text1"/>
          <w:szCs w:val="24"/>
          <w:highlight w:val="none"/>
          <w:lang w:val="en-US" w:eastAsia="zh-CN"/>
          <w14:textFill>
            <w14:solidFill>
              <w14:schemeClr w14:val="tx1"/>
            </w14:solidFill>
          </w14:textFill>
        </w:rPr>
        <w:t>4</w:t>
      </w:r>
      <w:r>
        <w:rPr>
          <w:rFonts w:hint="eastAsia" w:cs="Times New Roman"/>
          <w:b/>
          <w:color w:val="000000" w:themeColor="text1"/>
          <w:szCs w:val="24"/>
          <w:highlight w:val="none"/>
          <w14:textFill>
            <w14:solidFill>
              <w14:schemeClr w14:val="tx1"/>
            </w14:solidFill>
          </w14:textFill>
        </w:rPr>
        <w:t>）</w:t>
      </w:r>
      <w:r>
        <w:rPr>
          <w:rFonts w:hint="eastAsia" w:cs="Times New Roman"/>
          <w:b/>
          <w:color w:val="000000" w:themeColor="text1"/>
          <w:szCs w:val="24"/>
          <w:highlight w:val="none"/>
          <w:lang w:val="en-US" w:eastAsia="zh-CN"/>
          <w14:textFill>
            <w14:solidFill>
              <w14:schemeClr w14:val="tx1"/>
            </w14:solidFill>
          </w14:textFill>
        </w:rPr>
        <w:t>清水池</w:t>
      </w:r>
      <w:r>
        <w:rPr>
          <w:rFonts w:cs="Times New Roman"/>
          <w:b/>
          <w:color w:val="000000" w:themeColor="text1"/>
          <w:szCs w:val="24"/>
          <w:highlight w:val="none"/>
          <w14:textFill>
            <w14:solidFill>
              <w14:schemeClr w14:val="tx1"/>
            </w14:solidFill>
          </w14:textFill>
        </w:rPr>
        <w:t>布置合理性分析</w:t>
      </w:r>
    </w:p>
    <w:p>
      <w:pPr>
        <w:tabs>
          <w:tab w:val="left" w:pos="0"/>
        </w:tabs>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利旧的清水池</w:t>
      </w:r>
      <w:r>
        <w:rPr>
          <w:rFonts w:hint="eastAsia" w:cs="Times New Roman"/>
          <w:bCs/>
          <w:color w:val="000000" w:themeColor="text1"/>
          <w:szCs w:val="24"/>
          <w:highlight w:val="none"/>
          <w14:textFill>
            <w14:solidFill>
              <w14:schemeClr w14:val="tx1"/>
            </w14:solidFill>
          </w14:textFill>
        </w:rPr>
        <w:t>布置于</w:t>
      </w:r>
      <w:r>
        <w:rPr>
          <w:rFonts w:hint="eastAsia" w:cs="Times New Roman"/>
          <w:bCs/>
          <w:color w:val="000000" w:themeColor="text1"/>
          <w:szCs w:val="24"/>
          <w:highlight w:val="none"/>
          <w:lang w:val="en-US" w:eastAsia="zh-CN"/>
          <w14:textFill>
            <w14:solidFill>
              <w14:schemeClr w14:val="tx1"/>
            </w14:solidFill>
          </w14:textFill>
        </w:rPr>
        <w:t>井场外</w:t>
      </w: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进场道路终点，既便于用水的转运</w:t>
      </w: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又能有效暂存井场用水和避免在井场内对钻井作业造成干扰影响，降低极端情况下发生泄漏导致井场废水增多的风险，</w:t>
      </w:r>
      <w:r>
        <w:rPr>
          <w:rFonts w:hint="eastAsia" w:cs="Times New Roman"/>
          <w:bCs/>
          <w:color w:val="000000" w:themeColor="text1"/>
          <w:szCs w:val="24"/>
          <w:highlight w:val="none"/>
          <w14:textFill>
            <w14:solidFill>
              <w14:schemeClr w14:val="tx1"/>
            </w14:solidFill>
          </w14:textFill>
        </w:rPr>
        <w:t>因此从环保角度而言布置合理。</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综上所述，本工程钻井期井场布置合理。</w:t>
      </w:r>
    </w:p>
    <w:p>
      <w:pPr>
        <w:tabs>
          <w:tab w:val="left" w:pos="0"/>
        </w:tabs>
        <w:ind w:firstLine="480"/>
        <w:rPr>
          <w:rFonts w:eastAsia="黑体" w:cs="Times New Roman"/>
          <w:bCs/>
          <w:color w:val="000000" w:themeColor="text1"/>
          <w:szCs w:val="24"/>
          <w:highlight w:val="none"/>
          <w14:textFill>
            <w14:solidFill>
              <w14:schemeClr w14:val="tx1"/>
            </w14:solidFill>
          </w14:textFill>
        </w:rPr>
      </w:pPr>
      <w:bookmarkStart w:id="109" w:name="_Toc8802"/>
      <w:r>
        <w:rPr>
          <w:rFonts w:eastAsia="黑体" w:cs="Times New Roman"/>
          <w:bCs/>
          <w:color w:val="000000" w:themeColor="text1"/>
          <w:szCs w:val="24"/>
          <w:highlight w:val="none"/>
          <w14:textFill>
            <w14:solidFill>
              <w14:schemeClr w14:val="tx1"/>
            </w14:solidFill>
          </w14:textFill>
        </w:rPr>
        <w:t>2、试采工程平面布局合理性分析</w:t>
      </w:r>
      <w:bookmarkEnd w:id="109"/>
    </w:p>
    <w:p>
      <w:pPr>
        <w:widowControl w:val="0"/>
        <w:tabs>
          <w:tab w:val="left" w:pos="0"/>
        </w:tabs>
        <w:adjustRightInd w:val="0"/>
        <w:snapToGrid w:val="0"/>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本次</w:t>
      </w:r>
      <w:r>
        <w:rPr>
          <w:rFonts w:hint="eastAsia"/>
          <w:color w:val="000000" w:themeColor="text1"/>
          <w:highlight w:val="none"/>
          <w:lang w:val="en-US" w:eastAsia="zh-CN"/>
          <w14:textFill>
            <w14:solidFill>
              <w14:schemeClr w14:val="tx1"/>
            </w14:solidFill>
          </w14:textFill>
        </w:rPr>
        <w:t>试采期</w:t>
      </w:r>
      <w:r>
        <w:rPr>
          <w:rFonts w:ascii="Times New Roman" w:hAnsi="Times New Roman"/>
          <w:bCs/>
          <w:color w:val="000000" w:themeColor="text1"/>
          <w:kern w:val="2"/>
          <w:sz w:val="24"/>
          <w:szCs w:val="24"/>
          <w:highlight w:val="none"/>
          <w:lang w:eastAsia="zh-CN"/>
          <w14:textFill>
            <w14:solidFill>
              <w14:schemeClr w14:val="tx1"/>
            </w14:solidFill>
          </w14:textFill>
        </w:rPr>
        <w:t>集输设备布置在站场的</w:t>
      </w:r>
      <w:r>
        <w:rPr>
          <w:rFonts w:hint="eastAsia"/>
          <w:bCs/>
          <w:color w:val="000000" w:themeColor="text1"/>
          <w:kern w:val="2"/>
          <w:sz w:val="24"/>
          <w:szCs w:val="24"/>
          <w:highlight w:val="none"/>
          <w:lang w:val="en-US" w:eastAsia="zh-CN"/>
          <w14:textFill>
            <w14:solidFill>
              <w14:schemeClr w14:val="tx1"/>
            </w14:solidFill>
          </w14:textFill>
        </w:rPr>
        <w:t>西</w:t>
      </w:r>
      <w:r>
        <w:rPr>
          <w:rFonts w:ascii="Times New Roman" w:hAnsi="Times New Roman"/>
          <w:bCs/>
          <w:color w:val="000000" w:themeColor="text1"/>
          <w:kern w:val="2"/>
          <w:sz w:val="24"/>
          <w:szCs w:val="24"/>
          <w:highlight w:val="none"/>
          <w:lang w:eastAsia="zh-CN"/>
          <w14:textFill>
            <w14:solidFill>
              <w14:schemeClr w14:val="tx1"/>
            </w14:solidFill>
          </w14:textFill>
        </w:rPr>
        <w:t>侧</w:t>
      </w:r>
      <w:r>
        <w:rPr>
          <w:rFonts w:hint="eastAsia"/>
          <w:bCs/>
          <w:color w:val="000000" w:themeColor="text1"/>
          <w:kern w:val="2"/>
          <w:sz w:val="24"/>
          <w:szCs w:val="24"/>
          <w:highlight w:val="none"/>
          <w:lang w:val="en-US" w:eastAsia="zh-CN"/>
          <w14:textFill>
            <w14:solidFill>
              <w14:schemeClr w14:val="tx1"/>
            </w14:solidFill>
          </w14:textFill>
        </w:rPr>
        <w:t>的雷页1试采站内</w:t>
      </w:r>
      <w:r>
        <w:rPr>
          <w:rFonts w:ascii="Times New Roman" w:hAnsi="Times New Roman"/>
          <w:bCs/>
          <w:color w:val="000000" w:themeColor="text1"/>
          <w:kern w:val="2"/>
          <w:sz w:val="24"/>
          <w:szCs w:val="24"/>
          <w:highlight w:val="none"/>
          <w:lang w:eastAsia="zh-CN"/>
          <w14:textFill>
            <w14:solidFill>
              <w14:schemeClr w14:val="tx1"/>
            </w14:solidFill>
          </w14:textFill>
        </w:rPr>
        <w:t>，罐区（采出水罐）布置在</w:t>
      </w:r>
      <w:r>
        <w:rPr>
          <w:rFonts w:hint="eastAsia"/>
          <w:bCs/>
          <w:color w:val="000000" w:themeColor="text1"/>
          <w:kern w:val="2"/>
          <w:sz w:val="24"/>
          <w:szCs w:val="24"/>
          <w:highlight w:val="none"/>
          <w:lang w:val="en-US" w:eastAsia="zh-CN"/>
          <w14:textFill>
            <w14:solidFill>
              <w14:schemeClr w14:val="tx1"/>
            </w14:solidFill>
          </w14:textFill>
        </w:rPr>
        <w:t>试采站</w:t>
      </w:r>
      <w:r>
        <w:rPr>
          <w:rFonts w:ascii="Times New Roman" w:hAnsi="Times New Roman"/>
          <w:bCs/>
          <w:color w:val="000000" w:themeColor="text1"/>
          <w:kern w:val="2"/>
          <w:sz w:val="24"/>
          <w:szCs w:val="24"/>
          <w:highlight w:val="none"/>
          <w:lang w:eastAsia="zh-CN"/>
          <w14:textFill>
            <w14:solidFill>
              <w14:schemeClr w14:val="tx1"/>
            </w14:solidFill>
          </w14:textFill>
        </w:rPr>
        <w:t>站区</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东</w:t>
      </w:r>
      <w:r>
        <w:rPr>
          <w:rFonts w:ascii="Times New Roman" w:hAnsi="Times New Roman"/>
          <w:bCs/>
          <w:color w:val="000000" w:themeColor="text1"/>
          <w:kern w:val="2"/>
          <w:sz w:val="24"/>
          <w:szCs w:val="24"/>
          <w:highlight w:val="none"/>
          <w:lang w:eastAsia="zh-CN"/>
          <w14:textFill>
            <w14:solidFill>
              <w14:schemeClr w14:val="tx1"/>
            </w14:solidFill>
          </w14:textFill>
        </w:rPr>
        <w:t>侧，辅助生产用房布置在站场的</w:t>
      </w:r>
      <w:r>
        <w:rPr>
          <w:rFonts w:hint="eastAsia"/>
          <w:bCs/>
          <w:color w:val="000000" w:themeColor="text1"/>
          <w:kern w:val="2"/>
          <w:sz w:val="24"/>
          <w:szCs w:val="24"/>
          <w:highlight w:val="none"/>
          <w:lang w:val="en-US" w:eastAsia="zh-CN"/>
          <w14:textFill>
            <w14:solidFill>
              <w14:schemeClr w14:val="tx1"/>
            </w14:solidFill>
          </w14:textFill>
        </w:rPr>
        <w:t>中部及北</w:t>
      </w:r>
      <w:r>
        <w:rPr>
          <w:rFonts w:ascii="Times New Roman" w:hAnsi="Times New Roman"/>
          <w:bCs/>
          <w:color w:val="000000" w:themeColor="text1"/>
          <w:kern w:val="2"/>
          <w:sz w:val="24"/>
          <w:szCs w:val="24"/>
          <w:highlight w:val="none"/>
          <w:lang w:eastAsia="zh-CN"/>
          <w14:textFill>
            <w14:solidFill>
              <w14:schemeClr w14:val="tx1"/>
            </w14:solidFill>
          </w14:textFill>
        </w:rPr>
        <w:t>侧</w:t>
      </w:r>
      <w:r>
        <w:rPr>
          <w:rFonts w:hint="eastAsia"/>
          <w:bCs/>
          <w:color w:val="000000" w:themeColor="text1"/>
          <w:kern w:val="2"/>
          <w:sz w:val="24"/>
          <w:szCs w:val="24"/>
          <w:highlight w:val="none"/>
          <w:lang w:val="en-US" w:eastAsia="zh-CN"/>
          <w14:textFill>
            <w14:solidFill>
              <w14:schemeClr w14:val="tx1"/>
            </w14:solidFill>
          </w14:textFill>
        </w:rPr>
        <w:t>区域</w:t>
      </w:r>
      <w:r>
        <w:rPr>
          <w:rFonts w:ascii="Times New Roman" w:hAnsi="Times New Roman"/>
          <w:bCs/>
          <w:color w:val="000000" w:themeColor="text1"/>
          <w:kern w:val="2"/>
          <w:sz w:val="24"/>
          <w:szCs w:val="24"/>
          <w:highlight w:val="none"/>
          <w:lang w:eastAsia="zh-CN"/>
          <w14:textFill>
            <w14:solidFill>
              <w14:schemeClr w14:val="tx1"/>
            </w14:solidFill>
          </w14:textFill>
        </w:rPr>
        <w:t>，</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南侧</w:t>
      </w:r>
      <w:r>
        <w:rPr>
          <w:rFonts w:hint="eastAsia"/>
          <w:bCs/>
          <w:color w:val="000000" w:themeColor="text1"/>
          <w:kern w:val="2"/>
          <w:sz w:val="24"/>
          <w:szCs w:val="24"/>
          <w:highlight w:val="none"/>
          <w:lang w:val="en-US" w:eastAsia="zh-CN"/>
          <w14:textFill>
            <w14:solidFill>
              <w14:schemeClr w14:val="tx1"/>
            </w14:solidFill>
          </w14:textFill>
        </w:rPr>
        <w:t>雷页1试采站及</w:t>
      </w:r>
      <w:r>
        <w:rPr>
          <w:rFonts w:hint="eastAsia"/>
          <w:bCs/>
          <w:color w:val="000000" w:themeColor="text1"/>
          <w:kern w:val="2"/>
          <w:sz w:val="24"/>
          <w:szCs w:val="24"/>
          <w:highlight w:val="none"/>
          <w:lang w:eastAsia="zh-CN"/>
          <w14:textFill>
            <w14:solidFill>
              <w14:schemeClr w14:val="tx1"/>
            </w14:solidFill>
          </w14:textFill>
        </w:rPr>
        <w:t>雷页1试验井组</w:t>
      </w:r>
      <w:r>
        <w:rPr>
          <w:rFonts w:hint="eastAsia"/>
          <w:bCs/>
          <w:color w:val="000000" w:themeColor="text1"/>
          <w:kern w:val="2"/>
          <w:sz w:val="24"/>
          <w:szCs w:val="24"/>
          <w:highlight w:val="none"/>
          <w:lang w:val="en-US" w:eastAsia="zh-CN"/>
          <w14:textFill>
            <w14:solidFill>
              <w14:schemeClr w14:val="tx1"/>
            </w14:solidFill>
          </w14:textFill>
        </w:rPr>
        <w:t>的主要集输流程区</w:t>
      </w:r>
      <w:r>
        <w:rPr>
          <w:rFonts w:ascii="Times New Roman" w:hAnsi="Times New Roman"/>
          <w:bCs/>
          <w:color w:val="000000" w:themeColor="text1"/>
          <w:kern w:val="2"/>
          <w:sz w:val="24"/>
          <w:szCs w:val="24"/>
          <w:highlight w:val="none"/>
          <w:lang w:eastAsia="zh-CN"/>
          <w14:textFill>
            <w14:solidFill>
              <w14:schemeClr w14:val="tx1"/>
            </w14:solidFill>
          </w14:textFill>
        </w:rPr>
        <w:t>。</w:t>
      </w:r>
    </w:p>
    <w:p>
      <w:pPr>
        <w:widowControl w:val="0"/>
        <w:tabs>
          <w:tab w:val="left" w:pos="0"/>
        </w:tabs>
        <w:adjustRightInd w:val="0"/>
        <w:snapToGrid w:val="0"/>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据《石油天然气工程设计防火规范》（GB50183-2004）规定，</w:t>
      </w:r>
      <w:r>
        <w:rPr>
          <w:rFonts w:hint="eastAsia"/>
          <w:bCs/>
          <w:color w:val="000000" w:themeColor="text1"/>
          <w:kern w:val="2"/>
          <w:sz w:val="24"/>
          <w:szCs w:val="24"/>
          <w:highlight w:val="none"/>
          <w:lang w:eastAsia="zh-CN"/>
          <w14:textFill>
            <w14:solidFill>
              <w14:schemeClr w14:val="tx1"/>
            </w14:solidFill>
          </w14:textFill>
        </w:rPr>
        <w:t>雷页1试验井组</w:t>
      </w:r>
      <w:r>
        <w:rPr>
          <w:rFonts w:ascii="Times New Roman" w:hAnsi="Times New Roman"/>
          <w:bCs/>
          <w:color w:val="000000" w:themeColor="text1"/>
          <w:kern w:val="2"/>
          <w:sz w:val="24"/>
          <w:szCs w:val="24"/>
          <w:highlight w:val="none"/>
          <w:lang w:eastAsia="zh-CN"/>
          <w14:textFill>
            <w14:solidFill>
              <w14:schemeClr w14:val="tx1"/>
            </w14:solidFill>
          </w14:textFill>
        </w:rPr>
        <w:t>试采站属于五级站场。五级站场内设施的间距要求见下表2.10-4。</w:t>
      </w:r>
    </w:p>
    <w:p>
      <w:pPr>
        <w:pStyle w:val="201"/>
        <w:spacing w:before="12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 xml:space="preserve"> 站场总平面布置间距一览表  单位：m</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65"/>
        <w:gridCol w:w="858"/>
        <w:gridCol w:w="951"/>
        <w:gridCol w:w="967"/>
        <w:gridCol w:w="822"/>
        <w:gridCol w:w="777"/>
        <w:gridCol w:w="804"/>
        <w:gridCol w:w="79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名称</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油气井</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露天油气密闭设备及阀组</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可燃气体压缩机及压缩机房</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水套加热炉</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装卸车鹤管</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天然气凝液单罐&lt;50m³</w:t>
            </w: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计量仪表间、值班室</w:t>
            </w: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辅助生产厂房及辅助生产设施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油气井</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20</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露天油气密闭设备及阀组</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可燃气体压缩机及压缩机房</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20</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水套加热炉</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9</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装卸车鹤管</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10</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天然气凝液单罐&lt;50m³</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9</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22.5</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25</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计量仪表间、值班室</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9（</w:t>
            </w:r>
            <w:r>
              <w:rPr>
                <w:rFonts w:hint="eastAsia"/>
                <w:b/>
                <w:bCs/>
                <w:color w:val="000000" w:themeColor="text1"/>
                <w:szCs w:val="20"/>
                <w:highlight w:val="none"/>
                <w:lang w:val="en-US" w:eastAsia="zh-CN"/>
                <w14:textFill>
                  <w14:solidFill>
                    <w14:schemeClr w14:val="tx1"/>
                  </w14:solidFill>
                </w14:textFill>
              </w:rPr>
              <w:t>38</w:t>
            </w:r>
            <w:r>
              <w:rPr>
                <w:rFonts w:hint="default"/>
                <w:b/>
                <w:bCs/>
                <w:color w:val="000000" w:themeColor="text1"/>
                <w:szCs w:val="20"/>
                <w:highlight w:val="none"/>
                <w14:textFill>
                  <w14:solidFill>
                    <w14:schemeClr w14:val="tx1"/>
                  </w14:solidFill>
                </w14:textFill>
              </w:rPr>
              <w:t>）</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10</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10（</w:t>
            </w:r>
            <w:r>
              <w:rPr>
                <w:rFonts w:hint="eastAsia"/>
                <w:b/>
                <w:bCs/>
                <w:color w:val="000000" w:themeColor="text1"/>
                <w:szCs w:val="20"/>
                <w:highlight w:val="none"/>
                <w:lang w:val="en-US" w:eastAsia="zh-CN"/>
                <w14:textFill>
                  <w14:solidFill>
                    <w14:schemeClr w14:val="tx1"/>
                  </w14:solidFill>
                </w14:textFill>
              </w:rPr>
              <w:t>39</w:t>
            </w:r>
            <w:r>
              <w:rPr>
                <w:rFonts w:hint="default"/>
                <w:b/>
                <w:bCs/>
                <w:color w:val="000000" w:themeColor="text1"/>
                <w:szCs w:val="20"/>
                <w:highlight w:val="none"/>
                <w14:textFill>
                  <w14:solidFill>
                    <w14:schemeClr w14:val="tx1"/>
                  </w14:solidFill>
                </w14:textFill>
              </w:rPr>
              <w:t>）</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22.5</w:t>
            </w: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辅助生产厂房及辅助生产设施</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20</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12</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15</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22.5</w:t>
            </w: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6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污水池</w:t>
            </w:r>
          </w:p>
        </w:tc>
        <w:tc>
          <w:tcPr>
            <w:tcW w:w="8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5（</w:t>
            </w:r>
            <w:r>
              <w:rPr>
                <w:rFonts w:hint="eastAsia"/>
                <w:b/>
                <w:bCs/>
                <w:color w:val="000000" w:themeColor="text1"/>
                <w:szCs w:val="20"/>
                <w:highlight w:val="none"/>
                <w:lang w:val="en-US" w:eastAsia="zh-CN"/>
                <w14:textFill>
                  <w14:solidFill>
                    <w14:schemeClr w14:val="tx1"/>
                  </w14:solidFill>
                </w14:textFill>
              </w:rPr>
              <w:t>3</w:t>
            </w:r>
            <w:r>
              <w:rPr>
                <w:rFonts w:hint="default"/>
                <w:b/>
                <w:bCs/>
                <w:color w:val="000000" w:themeColor="text1"/>
                <w:szCs w:val="20"/>
                <w:highlight w:val="none"/>
                <w14:textFill>
                  <w14:solidFill>
                    <w14:schemeClr w14:val="tx1"/>
                  </w14:solidFill>
                </w14:textFill>
              </w:rPr>
              <w:t>0）</w:t>
            </w:r>
          </w:p>
        </w:tc>
        <w:tc>
          <w:tcPr>
            <w:tcW w:w="9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96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82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5（</w:t>
            </w:r>
            <w:r>
              <w:rPr>
                <w:rFonts w:hint="eastAsia"/>
                <w:b/>
                <w:bCs/>
                <w:color w:val="000000" w:themeColor="text1"/>
                <w:szCs w:val="20"/>
                <w:highlight w:val="none"/>
                <w:lang w:val="en-US" w:eastAsia="zh-CN"/>
                <w14:textFill>
                  <w14:solidFill>
                    <w14:schemeClr w14:val="tx1"/>
                  </w14:solidFill>
                </w14:textFill>
              </w:rPr>
              <w:t>40</w:t>
            </w:r>
            <w:r>
              <w:rPr>
                <w:rFonts w:hint="default"/>
                <w:b/>
                <w:bCs/>
                <w:color w:val="000000" w:themeColor="text1"/>
                <w:szCs w:val="20"/>
                <w:highlight w:val="none"/>
                <w14:textFill>
                  <w14:solidFill>
                    <w14:schemeClr w14:val="tx1"/>
                  </w14:solidFill>
                </w14:textFill>
              </w:rPr>
              <w:t>）</w:t>
            </w:r>
          </w:p>
        </w:tc>
        <w:tc>
          <w:tcPr>
            <w:tcW w:w="77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5</w:t>
            </w:r>
          </w:p>
        </w:tc>
        <w:tc>
          <w:tcPr>
            <w:tcW w:w="80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w:t>
            </w:r>
          </w:p>
        </w:tc>
        <w:tc>
          <w:tcPr>
            <w:tcW w:w="79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10（</w:t>
            </w:r>
            <w:r>
              <w:rPr>
                <w:rFonts w:hint="eastAsia"/>
                <w:b/>
                <w:bCs/>
                <w:color w:val="000000" w:themeColor="text1"/>
                <w:szCs w:val="20"/>
                <w:highlight w:val="none"/>
                <w:lang w:val="en-US" w:eastAsia="zh-CN"/>
                <w14:textFill>
                  <w14:solidFill>
                    <w14:schemeClr w14:val="tx1"/>
                  </w14:solidFill>
                </w14:textFill>
              </w:rPr>
              <w:t>24</w:t>
            </w:r>
            <w:r>
              <w:rPr>
                <w:rFonts w:hint="default"/>
                <w:b/>
                <w:bCs/>
                <w:color w:val="000000" w:themeColor="text1"/>
                <w:szCs w:val="20"/>
                <w:highlight w:val="none"/>
                <w14:textFill>
                  <w14:solidFill>
                    <w14:schemeClr w14:val="tx1"/>
                  </w14:solidFill>
                </w14:textFill>
              </w:rPr>
              <w:t>）</w:t>
            </w:r>
          </w:p>
        </w:tc>
        <w:tc>
          <w:tcPr>
            <w:tcW w:w="98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14:textFill>
                  <w14:solidFill>
                    <w14:schemeClr w14:val="tx1"/>
                  </w14:solidFill>
                </w14:textFill>
              </w:rPr>
            </w:pPr>
            <w:r>
              <w:rPr>
                <w:rFonts w:hint="default"/>
                <w:b w:val="0"/>
                <w:bCs w:val="0"/>
                <w:color w:val="000000" w:themeColor="text1"/>
                <w:szCs w:val="20"/>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222" w:type="dxa"/>
            <w:gridSpan w:val="9"/>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val="0"/>
                <w:bCs w:val="0"/>
                <w:color w:val="000000" w:themeColor="text1"/>
                <w:szCs w:val="20"/>
                <w:highlight w:val="none"/>
                <w:lang w:eastAsia="zh-CN"/>
                <w14:textFill>
                  <w14:solidFill>
                    <w14:schemeClr w14:val="tx1"/>
                  </w14:solidFill>
                </w14:textFill>
              </w:rPr>
            </w:pPr>
            <w:r>
              <w:rPr>
                <w:rFonts w:hint="default"/>
                <w:b w:val="0"/>
                <w:bCs w:val="0"/>
                <w:color w:val="000000" w:themeColor="text1"/>
                <w:szCs w:val="20"/>
                <w:highlight w:val="none"/>
                <w:lang w:eastAsia="zh-CN"/>
                <w14:textFill>
                  <w14:solidFill>
                    <w14:schemeClr w14:val="tx1"/>
                  </w14:solidFill>
                </w14:textFill>
              </w:rPr>
              <w:t>注：括号内为本项目试采站实际距离。</w:t>
            </w:r>
          </w:p>
        </w:tc>
      </w:tr>
    </w:tbl>
    <w:p>
      <w:pPr>
        <w:widowControl w:val="0"/>
        <w:tabs>
          <w:tab w:val="left" w:pos="0"/>
        </w:tabs>
        <w:adjustRightInd w:val="0"/>
        <w:snapToGrid w:val="0"/>
        <w:spacing w:before="120" w:beforeLines="50"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本项目站场为五级天然气井站，站内设施较少，主要涉及油气井、</w:t>
      </w:r>
      <w:r>
        <w:rPr>
          <w:rFonts w:ascii="Times New Roman" w:hAnsi="Times New Roman"/>
          <w:color w:val="000000" w:themeColor="text1"/>
          <w:sz w:val="24"/>
          <w:highlight w:val="none"/>
          <w:lang w:eastAsia="zh-CN"/>
          <w14:textFill>
            <w14:solidFill>
              <w14:schemeClr w14:val="tx1"/>
            </w14:solidFill>
          </w14:textFill>
        </w:rPr>
        <w:t>水套加热炉、气液分离器</w:t>
      </w:r>
      <w:r>
        <w:rPr>
          <w:rFonts w:hint="eastAsia" w:ascii="Times New Roman" w:hAnsi="Times New Roman"/>
          <w:color w:val="000000" w:themeColor="text1"/>
          <w:sz w:val="24"/>
          <w:highlight w:val="none"/>
          <w:lang w:val="en-US" w:eastAsia="zh-CN"/>
          <w14:textFill>
            <w14:solidFill>
              <w14:schemeClr w14:val="tx1"/>
            </w14:solidFill>
          </w14:textFill>
        </w:rPr>
        <w:t>撬</w:t>
      </w:r>
      <w:r>
        <w:rPr>
          <w:rFonts w:ascii="Times New Roman" w:hAnsi="Times New Roman"/>
          <w:color w:val="000000" w:themeColor="text1"/>
          <w:sz w:val="24"/>
          <w:highlight w:val="none"/>
          <w:lang w:eastAsia="zh-CN"/>
          <w14:textFill>
            <w14:solidFill>
              <w14:schemeClr w14:val="tx1"/>
            </w14:solidFill>
          </w14:textFill>
        </w:rPr>
        <w:t>、除砂器撬、采出水罐及外输阀组</w:t>
      </w:r>
      <w:r>
        <w:rPr>
          <w:rFonts w:ascii="Times New Roman" w:hAnsi="Times New Roman"/>
          <w:bCs/>
          <w:color w:val="000000" w:themeColor="text1"/>
          <w:kern w:val="2"/>
          <w:sz w:val="24"/>
          <w:szCs w:val="24"/>
          <w:highlight w:val="none"/>
          <w:lang w:eastAsia="zh-CN"/>
          <w14:textFill>
            <w14:solidFill>
              <w14:schemeClr w14:val="tx1"/>
            </w14:solidFill>
          </w14:textFill>
        </w:rPr>
        <w:t>和辅助生产用房（配电间、</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值班房</w:t>
      </w:r>
      <w:r>
        <w:rPr>
          <w:rFonts w:ascii="Times New Roman" w:hAnsi="Times New Roman"/>
          <w:bCs/>
          <w:color w:val="000000" w:themeColor="text1"/>
          <w:kern w:val="2"/>
          <w:sz w:val="24"/>
          <w:szCs w:val="24"/>
          <w:highlight w:val="none"/>
          <w:lang w:eastAsia="zh-CN"/>
          <w14:textFill>
            <w14:solidFill>
              <w14:schemeClr w14:val="tx1"/>
            </w14:solidFill>
          </w14:textFill>
        </w:rPr>
        <w:t>）等。工艺流程区（</w:t>
      </w:r>
      <w:r>
        <w:rPr>
          <w:rFonts w:ascii="Times New Roman" w:hAnsi="Times New Roman"/>
          <w:color w:val="000000" w:themeColor="text1"/>
          <w:sz w:val="24"/>
          <w:highlight w:val="none"/>
          <w:lang w:eastAsia="zh-CN"/>
          <w14:textFill>
            <w14:solidFill>
              <w14:schemeClr w14:val="tx1"/>
            </w14:solidFill>
          </w14:textFill>
        </w:rPr>
        <w:t>水套加热炉、气液分离器</w:t>
      </w:r>
      <w:r>
        <w:rPr>
          <w:rFonts w:hint="eastAsia" w:ascii="Times New Roman" w:hAnsi="Times New Roman"/>
          <w:color w:val="000000" w:themeColor="text1"/>
          <w:sz w:val="24"/>
          <w:highlight w:val="none"/>
          <w:lang w:val="en-US" w:eastAsia="zh-CN"/>
          <w14:textFill>
            <w14:solidFill>
              <w14:schemeClr w14:val="tx1"/>
            </w14:solidFill>
          </w14:textFill>
        </w:rPr>
        <w:t>撬</w:t>
      </w:r>
      <w:r>
        <w:rPr>
          <w:rFonts w:ascii="Times New Roman" w:hAnsi="Times New Roman"/>
          <w:color w:val="000000" w:themeColor="text1"/>
          <w:sz w:val="24"/>
          <w:highlight w:val="none"/>
          <w:lang w:eastAsia="zh-CN"/>
          <w14:textFill>
            <w14:solidFill>
              <w14:schemeClr w14:val="tx1"/>
            </w14:solidFill>
          </w14:textFill>
        </w:rPr>
        <w:t>、除砂器撬、</w:t>
      </w:r>
      <w:r>
        <w:rPr>
          <w:rFonts w:hint="eastAsia"/>
          <w:color w:val="000000" w:themeColor="text1"/>
          <w:sz w:val="24"/>
          <w:highlight w:val="none"/>
          <w:lang w:eastAsia="zh-CN"/>
          <w14:textFill>
            <w14:solidFill>
              <w14:schemeClr w14:val="tx1"/>
            </w14:solidFill>
          </w14:textFill>
        </w:rPr>
        <w:t>气液分离器</w:t>
      </w:r>
      <w:r>
        <w:rPr>
          <w:rFonts w:ascii="Times New Roman" w:hAnsi="Times New Roman"/>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三甘醇脱水撬等</w:t>
      </w:r>
      <w:r>
        <w:rPr>
          <w:rFonts w:ascii="Times New Roman" w:hAnsi="Times New Roman"/>
          <w:bCs/>
          <w:color w:val="000000" w:themeColor="text1"/>
          <w:kern w:val="2"/>
          <w:sz w:val="24"/>
          <w:szCs w:val="24"/>
          <w:highlight w:val="none"/>
          <w:lang w:eastAsia="zh-CN"/>
          <w14:textFill>
            <w14:solidFill>
              <w14:schemeClr w14:val="tx1"/>
            </w14:solidFill>
          </w14:textFill>
        </w:rPr>
        <w:t>）位于站场</w:t>
      </w:r>
      <w:r>
        <w:rPr>
          <w:rFonts w:hint="eastAsia"/>
          <w:bCs/>
          <w:color w:val="000000" w:themeColor="text1"/>
          <w:kern w:val="2"/>
          <w:sz w:val="24"/>
          <w:szCs w:val="24"/>
          <w:highlight w:val="none"/>
          <w:lang w:val="en-US" w:eastAsia="zh-CN"/>
          <w14:textFill>
            <w14:solidFill>
              <w14:schemeClr w14:val="tx1"/>
            </w14:solidFill>
          </w14:textFill>
        </w:rPr>
        <w:t>西侧及南</w:t>
      </w:r>
      <w:r>
        <w:rPr>
          <w:rFonts w:ascii="Times New Roman" w:hAnsi="Times New Roman"/>
          <w:bCs/>
          <w:color w:val="000000" w:themeColor="text1"/>
          <w:kern w:val="2"/>
          <w:sz w:val="24"/>
          <w:szCs w:val="24"/>
          <w:highlight w:val="none"/>
          <w:lang w:eastAsia="zh-CN"/>
          <w14:textFill>
            <w14:solidFill>
              <w14:schemeClr w14:val="tx1"/>
            </w14:solidFill>
          </w14:textFill>
        </w:rPr>
        <w:t>部，</w:t>
      </w:r>
      <w:r>
        <w:rPr>
          <w:rFonts w:ascii="Times New Roman" w:hAnsi="Times New Roman"/>
          <w:color w:val="000000" w:themeColor="text1"/>
          <w:sz w:val="24"/>
          <w:highlight w:val="none"/>
          <w:lang w:eastAsia="zh-CN"/>
          <w14:textFill>
            <w14:solidFill>
              <w14:schemeClr w14:val="tx1"/>
            </w14:solidFill>
          </w14:textFill>
        </w:rPr>
        <w:t>采出水罐</w:t>
      </w:r>
      <w:r>
        <w:rPr>
          <w:rFonts w:ascii="Times New Roman" w:hAnsi="Times New Roman"/>
          <w:bCs/>
          <w:color w:val="000000" w:themeColor="text1"/>
          <w:kern w:val="2"/>
          <w:sz w:val="24"/>
          <w:szCs w:val="24"/>
          <w:highlight w:val="none"/>
          <w:lang w:eastAsia="zh-CN"/>
          <w14:textFill>
            <w14:solidFill>
              <w14:schemeClr w14:val="tx1"/>
            </w14:solidFill>
          </w14:textFill>
        </w:rPr>
        <w:t>位于</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东</w:t>
      </w:r>
      <w:r>
        <w:rPr>
          <w:rFonts w:ascii="Times New Roman" w:hAnsi="Times New Roman"/>
          <w:bCs/>
          <w:color w:val="000000" w:themeColor="text1"/>
          <w:kern w:val="2"/>
          <w:sz w:val="24"/>
          <w:szCs w:val="24"/>
          <w:highlight w:val="none"/>
          <w:lang w:eastAsia="zh-CN"/>
          <w14:textFill>
            <w14:solidFill>
              <w14:schemeClr w14:val="tx1"/>
            </w14:solidFill>
          </w14:textFill>
        </w:rPr>
        <w:t>部，配电</w:t>
      </w:r>
      <w:r>
        <w:rPr>
          <w:rFonts w:hint="eastAsia"/>
          <w:bCs/>
          <w:color w:val="000000" w:themeColor="text1"/>
          <w:kern w:val="2"/>
          <w:sz w:val="24"/>
          <w:szCs w:val="24"/>
          <w:highlight w:val="none"/>
          <w:lang w:val="en-US" w:eastAsia="zh-CN"/>
          <w14:textFill>
            <w14:solidFill>
              <w14:schemeClr w14:val="tx1"/>
            </w14:solidFill>
          </w14:textFill>
        </w:rPr>
        <w:t>机柜</w:t>
      </w:r>
      <w:r>
        <w:rPr>
          <w:rFonts w:ascii="Times New Roman" w:hAnsi="Times New Roman"/>
          <w:bCs/>
          <w:color w:val="000000" w:themeColor="text1"/>
          <w:kern w:val="2"/>
          <w:sz w:val="24"/>
          <w:szCs w:val="24"/>
          <w:highlight w:val="none"/>
          <w:lang w:eastAsia="zh-CN"/>
          <w14:textFill>
            <w14:solidFill>
              <w14:schemeClr w14:val="tx1"/>
            </w14:solidFill>
          </w14:textFill>
        </w:rPr>
        <w:t>间</w:t>
      </w:r>
      <w:r>
        <w:rPr>
          <w:rFonts w:hint="eastAsia"/>
          <w:bCs/>
          <w:color w:val="000000" w:themeColor="text1"/>
          <w:kern w:val="2"/>
          <w:sz w:val="24"/>
          <w:szCs w:val="24"/>
          <w:highlight w:val="none"/>
          <w:lang w:val="en-US" w:eastAsia="zh-CN"/>
          <w14:textFill>
            <w14:solidFill>
              <w14:schemeClr w14:val="tx1"/>
            </w14:solidFill>
          </w14:textFill>
        </w:rPr>
        <w:t>等</w:t>
      </w:r>
      <w:r>
        <w:rPr>
          <w:rFonts w:ascii="Times New Roman" w:hAnsi="Times New Roman"/>
          <w:bCs/>
          <w:color w:val="000000" w:themeColor="text1"/>
          <w:kern w:val="2"/>
          <w:sz w:val="24"/>
          <w:szCs w:val="24"/>
          <w:highlight w:val="none"/>
          <w:lang w:eastAsia="zh-CN"/>
          <w14:textFill>
            <w14:solidFill>
              <w14:schemeClr w14:val="tx1"/>
            </w14:solidFill>
          </w14:textFill>
        </w:rPr>
        <w:t>位于试采站</w:t>
      </w:r>
      <w:r>
        <w:rPr>
          <w:rFonts w:hint="eastAsia"/>
          <w:bCs/>
          <w:color w:val="000000" w:themeColor="text1"/>
          <w:kern w:val="2"/>
          <w:sz w:val="24"/>
          <w:szCs w:val="24"/>
          <w:highlight w:val="none"/>
          <w:lang w:val="en-US" w:eastAsia="zh-CN"/>
          <w14:textFill>
            <w14:solidFill>
              <w14:schemeClr w14:val="tx1"/>
            </w14:solidFill>
          </w14:textFill>
        </w:rPr>
        <w:t>北</w:t>
      </w:r>
      <w:r>
        <w:rPr>
          <w:rFonts w:ascii="Times New Roman" w:hAnsi="Times New Roman"/>
          <w:bCs/>
          <w:color w:val="000000" w:themeColor="text1"/>
          <w:kern w:val="2"/>
          <w:sz w:val="24"/>
          <w:szCs w:val="24"/>
          <w:highlight w:val="none"/>
          <w:lang w:eastAsia="zh-CN"/>
          <w14:textFill>
            <w14:solidFill>
              <w14:schemeClr w14:val="tx1"/>
            </w14:solidFill>
          </w14:textFill>
        </w:rPr>
        <w:t>侧，</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放空火炬区</w:t>
      </w:r>
      <w:r>
        <w:rPr>
          <w:rFonts w:ascii="Times New Roman" w:hAnsi="Times New Roman"/>
          <w:bCs/>
          <w:color w:val="000000" w:themeColor="text1"/>
          <w:kern w:val="2"/>
          <w:sz w:val="24"/>
          <w:szCs w:val="24"/>
          <w:highlight w:val="none"/>
          <w:lang w:eastAsia="zh-CN"/>
          <w14:textFill>
            <w14:solidFill>
              <w14:schemeClr w14:val="tx1"/>
            </w14:solidFill>
          </w14:textFill>
        </w:rPr>
        <w:t>位于试采站外</w:t>
      </w:r>
      <w:r>
        <w:rPr>
          <w:rFonts w:hint="eastAsia"/>
          <w:bCs/>
          <w:color w:val="000000" w:themeColor="text1"/>
          <w:kern w:val="2"/>
          <w:sz w:val="24"/>
          <w:szCs w:val="24"/>
          <w:highlight w:val="none"/>
          <w:lang w:val="en-US" w:eastAsia="zh-CN"/>
          <w14:textFill>
            <w14:solidFill>
              <w14:schemeClr w14:val="tx1"/>
            </w14:solidFill>
          </w14:textFill>
        </w:rPr>
        <w:t>北</w:t>
      </w:r>
      <w:r>
        <w:rPr>
          <w:rFonts w:ascii="Times New Roman" w:hAnsi="Times New Roman"/>
          <w:bCs/>
          <w:color w:val="000000" w:themeColor="text1"/>
          <w:kern w:val="2"/>
          <w:sz w:val="24"/>
          <w:szCs w:val="24"/>
          <w:highlight w:val="none"/>
          <w:lang w:eastAsia="zh-CN"/>
          <w14:textFill>
            <w14:solidFill>
              <w14:schemeClr w14:val="tx1"/>
            </w14:solidFill>
          </w14:textFill>
        </w:rPr>
        <w:t>侧，尽量减少了辅助设施的建设和占地，整个试采站能做到功能分区合理，不杂乱，便于物料进出，同时井口、采出水罐、水套加热炉和辅助生产用房相互之间的距离均大于防火间距，满足《石油天然气工程设计防火规范》（GB50183-2004）的第5.2.3条规定。放空区位于试采站东南侧，扩散条件良好，满足《石油天然气工程设计防火规范》（GB50183-2004）第4.0.8条规定。项目试采站运期噪声为气流摩擦噪声，由于采气规模小，噪声源声级值低，站界噪声和敏感点噪声均能满足相应标准要求。因此，试采期井站工程布局是合理的。</w:t>
      </w:r>
    </w:p>
    <w:p>
      <w:pPr>
        <w:widowControl w:val="0"/>
        <w:tabs>
          <w:tab w:val="left" w:pos="0"/>
        </w:tabs>
        <w:adjustRightInd w:val="0"/>
        <w:snapToGrid w:val="0"/>
        <w:spacing w:line="360" w:lineRule="auto"/>
        <w:ind w:firstLine="480" w:firstLineChars="200"/>
        <w:jc w:val="both"/>
        <w:rPr>
          <w:rFonts w:cs="Times New Roman"/>
          <w:bCs/>
          <w:color w:val="000000" w:themeColor="text1"/>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总的来看，利用雷页1试采</w:t>
      </w:r>
      <w:r>
        <w:rPr>
          <w:rFonts w:hint="eastAsia"/>
          <w:color w:val="000000" w:themeColor="text1"/>
          <w:highlight w:val="none"/>
          <w14:textFill>
            <w14:solidFill>
              <w14:schemeClr w14:val="tx1"/>
            </w14:solidFill>
          </w14:textFill>
        </w:rPr>
        <w:t>站</w:t>
      </w:r>
      <w:r>
        <w:rPr>
          <w:rFonts w:hint="eastAsia"/>
          <w:color w:val="000000" w:themeColor="text1"/>
          <w:highlight w:val="none"/>
          <w:lang w:val="en-US" w:eastAsia="zh-CN"/>
          <w14:textFill>
            <w14:solidFill>
              <w14:schemeClr w14:val="tx1"/>
            </w14:solidFill>
          </w14:textFill>
        </w:rPr>
        <w:t>进行集数工程</w:t>
      </w:r>
      <w:r>
        <w:rPr>
          <w:rFonts w:hint="eastAsia"/>
          <w:color w:val="000000" w:themeColor="text1"/>
          <w:highlight w:val="none"/>
          <w14:textFill>
            <w14:solidFill>
              <w14:schemeClr w14:val="tx1"/>
            </w14:solidFill>
          </w14:textFill>
        </w:rPr>
        <w:t>布局简单，</w:t>
      </w:r>
      <w:r>
        <w:rPr>
          <w:rFonts w:ascii="Times New Roman" w:hAnsi="Times New Roman"/>
          <w:bCs/>
          <w:color w:val="000000" w:themeColor="text1"/>
          <w:kern w:val="2"/>
          <w:sz w:val="24"/>
          <w:szCs w:val="24"/>
          <w:highlight w:val="none"/>
          <w:lang w:eastAsia="zh-CN"/>
          <w14:textFill>
            <w14:solidFill>
              <w14:schemeClr w14:val="tx1"/>
            </w14:solidFill>
          </w14:textFill>
        </w:rPr>
        <w:t>采用雨污分流设计，</w:t>
      </w:r>
      <w:r>
        <w:rPr>
          <w:rFonts w:hint="eastAsia"/>
          <w:color w:val="000000" w:themeColor="text1"/>
          <w:highlight w:val="none"/>
          <w14:textFill>
            <w14:solidFill>
              <w14:schemeClr w14:val="tx1"/>
            </w14:solidFill>
          </w14:textFill>
        </w:rPr>
        <w:t>设备较少，</w:t>
      </w:r>
      <w:r>
        <w:rPr>
          <w:bCs/>
          <w:color w:val="000000" w:themeColor="text1"/>
          <w:highlight w:val="none"/>
          <w14:textFill>
            <w14:solidFill>
              <w14:schemeClr w14:val="tx1"/>
            </w14:solidFill>
          </w14:textFill>
        </w:rPr>
        <w:t>满足《石油天然气工程设计防火规范》（GB50183-2004）的第5.2.3条规定</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因此</w:t>
      </w:r>
      <w:r>
        <w:rPr>
          <w:bCs/>
          <w:color w:val="000000" w:themeColor="text1"/>
          <w:highlight w:val="none"/>
          <w14:textFill>
            <w14:solidFill>
              <w14:schemeClr w14:val="tx1"/>
            </w14:solidFill>
          </w14:textFill>
        </w:rPr>
        <w:t>试采期井站工程布局是合理的。</w:t>
      </w:r>
      <w:bookmarkEnd w:id="106"/>
    </w:p>
    <w:p>
      <w:pPr>
        <w:ind w:firstLine="480"/>
        <w:rPr>
          <w:rFonts w:cs="Times New Roman"/>
          <w:color w:val="000000" w:themeColor="text1"/>
          <w:highlight w:val="none"/>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
        <w:rPr>
          <w:b/>
          <w:color w:val="000000" w:themeColor="text1"/>
          <w:highlight w:val="none"/>
          <w:lang w:eastAsia="zh-CN"/>
          <w14:textFill>
            <w14:solidFill>
              <w14:schemeClr w14:val="tx1"/>
            </w14:solidFill>
          </w14:textFill>
        </w:rPr>
      </w:pPr>
      <w:bookmarkStart w:id="110" w:name="_Toc8204"/>
      <w:r>
        <w:rPr>
          <w:color w:val="000000" w:themeColor="text1"/>
          <w:highlight w:val="none"/>
          <w:lang w:eastAsia="zh-CN"/>
          <w14:textFill>
            <w14:solidFill>
              <w14:schemeClr w14:val="tx1"/>
            </w14:solidFill>
          </w14:textFill>
        </w:rPr>
        <w:t>工程分析</w:t>
      </w:r>
      <w:bookmarkEnd w:id="110"/>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11" w:name="_Toc29857"/>
      <w:r>
        <w:rPr>
          <w:color w:val="000000" w:themeColor="text1"/>
          <w:highlight w:val="none"/>
          <w:lang w:eastAsia="zh-CN"/>
          <w14:textFill>
            <w14:solidFill>
              <w14:schemeClr w14:val="tx1"/>
            </w14:solidFill>
          </w14:textFill>
        </w:rPr>
        <w:t>项目概况</w:t>
      </w:r>
      <w:bookmarkEnd w:id="111"/>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112" w:name="_Toc120173099"/>
      <w:r>
        <w:rPr>
          <w:color w:val="000000" w:themeColor="text1"/>
          <w:highlight w:val="none"/>
          <w:lang w:eastAsia="zh-CN"/>
          <w14:textFill>
            <w14:solidFill>
              <w14:schemeClr w14:val="tx1"/>
            </w14:solidFill>
          </w14:textFill>
        </w:rPr>
        <w:t>建设项目基本情况</w:t>
      </w:r>
      <w:bookmarkEnd w:id="112"/>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项目名称：</w:t>
      </w:r>
      <w:r>
        <w:rPr>
          <w:rFonts w:hint="eastAsia" w:cs="Times New Roman"/>
          <w:bCs/>
          <w:color w:val="000000" w:themeColor="text1"/>
          <w:szCs w:val="24"/>
          <w:highlight w:val="none"/>
          <w:lang w:eastAsia="zh-CN"/>
          <w14:textFill>
            <w14:solidFill>
              <w14:schemeClr w14:val="tx1"/>
            </w14:solidFill>
          </w14:textFill>
        </w:rPr>
        <w:t>普光气田雷页1井组试验项目</w:t>
      </w:r>
      <w:r>
        <w:rPr>
          <w:rFonts w:cs="Times New Roman"/>
          <w:bCs/>
          <w:color w:val="000000" w:themeColor="text1"/>
          <w:szCs w:val="24"/>
          <w:highlight w:val="none"/>
          <w14:textFill>
            <w14:solidFill>
              <w14:schemeClr w14:val="tx1"/>
            </w14:solidFill>
          </w14:textFill>
        </w:rPr>
        <w:t>；</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建设单位：中国石油化工股份有限公司中原油田普光分公司；</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建设性质：</w:t>
      </w:r>
      <w:r>
        <w:rPr>
          <w:rFonts w:hint="eastAsia" w:cs="Times New Roman"/>
          <w:bCs/>
          <w:color w:val="000000" w:themeColor="text1"/>
          <w:szCs w:val="24"/>
          <w:highlight w:val="none"/>
          <w14:textFill>
            <w14:solidFill>
              <w14:schemeClr w14:val="tx1"/>
            </w14:solidFill>
          </w14:textFill>
        </w:rPr>
        <w:t>新</w:t>
      </w:r>
      <w:r>
        <w:rPr>
          <w:rFonts w:cs="Times New Roman"/>
          <w:bCs/>
          <w:color w:val="000000" w:themeColor="text1"/>
          <w:szCs w:val="24"/>
          <w:highlight w:val="none"/>
          <w14:textFill>
            <w14:solidFill>
              <w14:schemeClr w14:val="tx1"/>
            </w14:solidFill>
          </w14:textFill>
        </w:rPr>
        <w:t>建；</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建设地点：</w:t>
      </w:r>
      <w:r>
        <w:rPr>
          <w:rFonts w:hint="eastAsia" w:cs="Times New Roman"/>
          <w:bCs/>
          <w:color w:val="000000" w:themeColor="text1"/>
          <w:szCs w:val="24"/>
          <w:highlight w:val="none"/>
          <w:lang w:eastAsia="zh-CN"/>
          <w14:textFill>
            <w14:solidFill>
              <w14:schemeClr w14:val="tx1"/>
            </w14:solidFill>
          </w14:textFill>
        </w:rPr>
        <w:t>宣汉县***</w:t>
      </w:r>
      <w:r>
        <w:rPr>
          <w:rFonts w:cs="Times New Roman"/>
          <w:bCs/>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建设规模：项目投产后</w:t>
      </w:r>
      <w:r>
        <w:rPr>
          <w:rFonts w:hint="eastAsia"/>
          <w:color w:val="000000" w:themeColor="text1"/>
          <w:szCs w:val="24"/>
          <w:highlight w:val="none"/>
          <w:lang w:eastAsia="zh-CN"/>
          <w14:textFill>
            <w14:solidFill>
              <w14:schemeClr w14:val="tx1"/>
            </w14:solidFill>
          </w14:textFill>
        </w:rPr>
        <w:t>雷页1试验井组</w:t>
      </w:r>
      <w:r>
        <w:rPr>
          <w:rFonts w:ascii="宋体" w:hAnsi="宋体"/>
          <w:color w:val="000000" w:themeColor="text1"/>
          <w:szCs w:val="24"/>
          <w:highlight w:val="none"/>
          <w14:textFill>
            <w14:solidFill>
              <w14:schemeClr w14:val="tx1"/>
            </w14:solidFill>
          </w14:textFill>
        </w:rPr>
        <w:t>配产</w:t>
      </w:r>
      <w:r>
        <w:rPr>
          <w:rFonts w:hint="eastAsia"/>
          <w:color w:val="000000" w:themeColor="text1"/>
          <w:szCs w:val="24"/>
          <w:highlight w:val="none"/>
          <w:lang w:val="en-US" w:eastAsia="zh-CN"/>
          <w14:textFill>
            <w14:solidFill>
              <w14:schemeClr w14:val="tx1"/>
            </w14:solidFill>
          </w14:textFill>
        </w:rPr>
        <w:t>20</w:t>
      </w:r>
      <w:r>
        <w:rPr>
          <w:rFonts w:ascii="宋体"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10</w:t>
      </w:r>
      <w:r>
        <w:rPr>
          <w:color w:val="000000" w:themeColor="text1"/>
          <w:szCs w:val="24"/>
          <w:highlight w:val="none"/>
          <w:vertAlign w:val="superscript"/>
          <w14:textFill>
            <w14:solidFill>
              <w14:schemeClr w14:val="tx1"/>
            </w14:solidFill>
          </w14:textFill>
        </w:rPr>
        <w:t>4</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单井10</w:t>
      </w:r>
      <w:r>
        <w:rPr>
          <w:rFonts w:ascii="宋体"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10</w:t>
      </w:r>
      <w:r>
        <w:rPr>
          <w:color w:val="000000" w:themeColor="text1"/>
          <w:szCs w:val="24"/>
          <w:highlight w:val="none"/>
          <w:vertAlign w:val="superscript"/>
          <w14:textFill>
            <w14:solidFill>
              <w14:schemeClr w14:val="tx1"/>
            </w14:solidFill>
          </w14:textFill>
        </w:rPr>
        <w:t>4</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雷页1试采站内集输设备新增的最大集输能力为30</w:t>
      </w:r>
      <w:r>
        <w:rPr>
          <w:rFonts w:ascii="宋体"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10</w:t>
      </w:r>
      <w:r>
        <w:rPr>
          <w:color w:val="000000" w:themeColor="text1"/>
          <w:szCs w:val="24"/>
          <w:highlight w:val="none"/>
          <w:vertAlign w:val="superscript"/>
          <w14:textFill>
            <w14:solidFill>
              <w14:schemeClr w14:val="tx1"/>
            </w14:solidFill>
          </w14:textFill>
        </w:rPr>
        <w:t>4</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大于本项目两口井新增配产规模）</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项目投资：</w:t>
      </w:r>
      <w:r>
        <w:rPr>
          <w:rFonts w:hint="eastAsia" w:cs="Times New Roman"/>
          <w:color w:val="000000" w:themeColor="text1"/>
          <w:szCs w:val="24"/>
          <w:highlight w:val="none"/>
          <w:lang w:val="en-US" w:eastAsia="zh-CN"/>
          <w14:textFill>
            <w14:solidFill>
              <w14:schemeClr w14:val="tx1"/>
            </w14:solidFill>
          </w14:textFill>
        </w:rPr>
        <w:t>***万元</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位置：四川盆地</w:t>
      </w:r>
      <w:r>
        <w:rPr>
          <w:rFonts w:hint="eastAsia"/>
          <w:color w:val="000000" w:themeColor="text1"/>
          <w:highlight w:val="none"/>
          <w14:textFill>
            <w14:solidFill>
              <w14:schemeClr w14:val="tx1"/>
            </w14:solidFill>
          </w14:textFill>
        </w:rPr>
        <w:t>川东断褶带东</w:t>
      </w:r>
      <w:r>
        <w:rPr>
          <w:rFonts w:hint="eastAsia"/>
          <w:color w:val="000000" w:themeColor="text1"/>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井型：</w:t>
      </w:r>
      <w:r>
        <w:rPr>
          <w:rFonts w:hint="eastAsia" w:cs="Times New Roman"/>
          <w:color w:val="000000" w:themeColor="text1"/>
          <w:szCs w:val="24"/>
          <w:highlight w:val="none"/>
          <w14:textFill>
            <w14:solidFill>
              <w14:schemeClr w14:val="tx1"/>
            </w14:solidFill>
          </w14:textFill>
        </w:rPr>
        <w:t>水平</w:t>
      </w:r>
      <w:r>
        <w:rPr>
          <w:rFonts w:cs="Times New Roman"/>
          <w:color w:val="000000" w:themeColor="text1"/>
          <w:szCs w:val="24"/>
          <w:highlight w:val="none"/>
          <w14:textFill>
            <w14:solidFill>
              <w14:schemeClr w14:val="tx1"/>
            </w14:solidFill>
          </w14:textFill>
        </w:rPr>
        <w:t>井；</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目的层位：</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bookmarkStart w:id="113" w:name="_Hlk97284111"/>
      <w:r>
        <w:rPr>
          <w:rFonts w:cs="Times New Roman"/>
          <w:color w:val="000000" w:themeColor="text1"/>
          <w:szCs w:val="24"/>
          <w:highlight w:val="none"/>
          <w14:textFill>
            <w14:solidFill>
              <w14:schemeClr w14:val="tx1"/>
            </w14:solidFill>
          </w14:textFill>
        </w:rPr>
        <w:t>完钻层</w:t>
      </w:r>
      <w:bookmarkEnd w:id="113"/>
      <w:r>
        <w:rPr>
          <w:rFonts w:cs="Times New Roman"/>
          <w:color w:val="000000" w:themeColor="text1"/>
          <w:szCs w:val="24"/>
          <w:highlight w:val="none"/>
          <w14:textFill>
            <w14:solidFill>
              <w14:schemeClr w14:val="tx1"/>
            </w14:solidFill>
          </w14:textFill>
        </w:rPr>
        <w:t>位：</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完井方式：套管完井；</w:t>
      </w:r>
    </w:p>
    <w:p>
      <w:pPr>
        <w:ind w:firstLine="480"/>
        <w:rPr>
          <w:rFonts w:cs="Times New Roman"/>
          <w:b/>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项目基本情况：建设内容包括施工期钻前工程、钻井工程及</w:t>
      </w:r>
      <w:r>
        <w:rPr>
          <w:rFonts w:hint="eastAsia" w:cs="Times New Roman"/>
          <w:color w:val="000000" w:themeColor="text1"/>
          <w:szCs w:val="24"/>
          <w:highlight w:val="none"/>
          <w14:textFill>
            <w14:solidFill>
              <w14:schemeClr w14:val="tx1"/>
            </w14:solidFill>
          </w14:textFill>
        </w:rPr>
        <w:t>储层改造</w:t>
      </w:r>
      <w:r>
        <w:rPr>
          <w:rFonts w:cs="Times New Roman"/>
          <w:color w:val="000000" w:themeColor="text1"/>
          <w:szCs w:val="24"/>
          <w:highlight w:val="none"/>
          <w14:textFill>
            <w14:solidFill>
              <w14:schemeClr w14:val="tx1"/>
            </w14:solidFill>
          </w14:textFill>
        </w:rPr>
        <w:t>工程和试采期试采工程。具体建设内容为：</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（1）钻前工程</w:t>
      </w:r>
    </w:p>
    <w:p>
      <w:pPr>
        <w:pStyle w:val="123"/>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新建井场 1座，配套建设方井及井架基础各2座，泥浆泵、发电机房、循环罐、储备罐等设备基础各1座，进场道路 100 米，井场配套设施及边坡支护工程，利旧放喷池、清水池1座等</w:t>
      </w:r>
      <w:r>
        <w:rPr>
          <w:color w:val="000000" w:themeColor="text1"/>
          <w:highlight w:val="none"/>
          <w14:textFill>
            <w14:solidFill>
              <w14:schemeClr w14:val="tx1"/>
            </w14:solidFill>
          </w14:textFill>
        </w:rPr>
        <w:t>。</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（2）钻井工程</w:t>
      </w:r>
    </w:p>
    <w:p>
      <w:pPr>
        <w:widowControl/>
        <w:adjustRightInd w:val="0"/>
        <w:snapToGrid w:val="0"/>
        <w:spacing w:line="360" w:lineRule="auto"/>
        <w:ind w:firstLine="480" w:firstLineChars="200"/>
        <w:jc w:val="both"/>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新钻井2口（分别为雷页1-2HF、雷页1-3HF），总进尺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w:t>
      </w:r>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其中：雷页1-2HF井设计井深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米（垂深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米），井型为水平井，套管完井，水平段长</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米。采用导管+三开井身结构：导管Φ508毫米下深60米；一开采用Φ444.5毫米钻头钻至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米，下入Φ346.1+339.7毫米套管；二开采用Φ311.2毫米钻头钻至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米，下入Φ260.4+244.5毫米套管；三开采用Φ215.9毫米钻头钻至完钻井深，下入Φ139.7毫米套管。泥浆体系：</w:t>
      </w:r>
      <w:r>
        <w:rPr>
          <w:rFonts w:hint="eastAsia"/>
          <w:color w:val="000000" w:themeColor="text1"/>
          <w:highlight w:val="none"/>
          <w14:textFill>
            <w14:solidFill>
              <w14:schemeClr w14:val="tx1"/>
            </w14:solidFill>
          </w14:textFill>
        </w:rPr>
        <w:t>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一开采用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钻井液体系；二开采用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润滑防塌钻井液/复合盐体系；三开采用油基钻井液。测录井除常规项目外三开加测元素录井和旋转导向、自然伽马和井斜方位测井。</w:t>
      </w:r>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雷页1-3HF井设计井深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米（垂深</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米），井型为水平井，套管完井，水平段长</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米。采用导管+三开井身结构：导管Φ508毫米下深60米；一开采用Φ444.5毫米钻头钻至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米，下入Φ346.1+339.7毫米套管；二开采用Φ311.2毫米钻头钻至</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米，下入Φ260.4+244.5毫米套管；三开采用Φ215.9毫米钻头钻至完钻井深，下入Φ139.7毫米套管。泥浆体系：</w:t>
      </w:r>
      <w:r>
        <w:rPr>
          <w:rFonts w:hint="eastAsia"/>
          <w:color w:val="000000" w:themeColor="text1"/>
          <w:highlight w:val="none"/>
          <w14:textFill>
            <w14:solidFill>
              <w14:schemeClr w14:val="tx1"/>
            </w14:solidFill>
          </w14:textFill>
        </w:rPr>
        <w:t>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一开采用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钻井液体系；二开采用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润滑防塌钻井液/复合盐体系；三开采用油基钻井液。测录井除常规项目外，</w:t>
      </w:r>
    </w:p>
    <w:p>
      <w:pPr>
        <w:pStyle w:val="123"/>
        <w:rPr>
          <w:color w:val="000000" w:themeColor="text1"/>
          <w:highlight w:val="none"/>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三开加测元素录井和旋转导向、自然伽马和井斜方位测井</w:t>
      </w:r>
      <w:r>
        <w:rPr>
          <w:rFonts w:hint="eastAsia"/>
          <w:color w:val="000000" w:themeColor="text1"/>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储层改造</w:t>
      </w:r>
      <w:r>
        <w:rPr>
          <w:rFonts w:cs="Times New Roman"/>
          <w:color w:val="000000" w:themeColor="text1"/>
          <w:szCs w:val="24"/>
          <w:highlight w:val="none"/>
          <w14:textFill>
            <w14:solidFill>
              <w14:schemeClr w14:val="tx1"/>
            </w14:solidFill>
          </w14:textFill>
        </w:rPr>
        <w:t>工程</w:t>
      </w:r>
    </w:p>
    <w:p>
      <w:pPr>
        <w:widowControl/>
        <w:adjustRightInd w:val="0"/>
        <w:snapToGrid w:val="0"/>
        <w:spacing w:line="360" w:lineRule="auto"/>
        <w:ind w:firstLine="480" w:firstLineChars="200"/>
        <w:jc w:val="both"/>
        <w:rPr>
          <w:rFonts w:hint="default" w:ascii="Times New Roman" w:hAnsi="Times New Roman" w:eastAsia="宋体" w:cstheme="minorBidi"/>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两口井均采用连续油管处理井筒，整体采用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压裂工艺，首段采用连续油管输送射孔，后续压裂段采用泵送</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联作工艺，采用“</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”的改造模式。雷页1-2HF井分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立方米，雷页1-3HF井分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立方米，两口井施工排量均为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/分钟，施工限压均为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w:t>
      </w:r>
    </w:p>
    <w:p>
      <w:pPr>
        <w:pStyle w:val="123"/>
        <w:rPr>
          <w:color w:val="000000" w:themeColor="text1"/>
          <w:kern w:val="0"/>
          <w:szCs w:val="22"/>
          <w:highlight w:val="none"/>
          <w:lang w:eastAsia="zh-CN"/>
          <w14:textFill>
            <w14:solidFill>
              <w14:schemeClr w14:val="tx1"/>
            </w14:solidFill>
          </w14:textFill>
        </w:rPr>
      </w:pPr>
      <w:r>
        <w:rPr>
          <w:rFonts w:hint="eastAsia" w:cstheme="minorBidi"/>
          <w:color w:val="000000" w:themeColor="text1"/>
          <w:sz w:val="24"/>
          <w:szCs w:val="22"/>
          <w:highlight w:val="none"/>
          <w:lang w:val="en-US" w:eastAsia="zh-CN" w:bidi="ar-SA"/>
          <w14:textFill>
            <w14:solidFill>
              <w14:schemeClr w14:val="tx1"/>
            </w14:solidFill>
          </w14:textFill>
        </w:rPr>
        <w:t>***</w:t>
      </w:r>
      <w:r>
        <w:rPr>
          <w:color w:val="000000" w:themeColor="text1"/>
          <w:kern w:val="0"/>
          <w:szCs w:val="22"/>
          <w:highlight w:val="none"/>
          <w:lang w:eastAsia="zh-CN"/>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（4）</w:t>
      </w:r>
      <w:r>
        <w:rPr>
          <w:rFonts w:hint="eastAsia" w:cs="Times New Roman"/>
          <w:color w:val="000000" w:themeColor="text1"/>
          <w:highlight w:val="none"/>
          <w14:textFill>
            <w14:solidFill>
              <w14:schemeClr w14:val="tx1"/>
            </w14:solidFill>
          </w14:textFill>
        </w:rPr>
        <w:t>油气集输工程</w:t>
      </w:r>
    </w:p>
    <w:p>
      <w:pPr>
        <w:adjustRightInd w:val="0"/>
        <w:snapToGrid w:val="0"/>
        <w:spacing w:line="360" w:lineRule="auto"/>
        <w:ind w:firstLine="480" w:firstLineChars="200"/>
        <w:jc w:val="both"/>
        <w:rPr>
          <w:rFonts w:hint="default" w:eastAsia="宋体"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在现有雷页1试采站内新1套地面集输流程，井口来气通过管道输（管道长度140m，管线规格DN65，材质为Q345，设计压力6.9MPa，埋深1.2m）送至雷页1试采站，再经除砂、加热、节流、单井混相计量、脱水后</w:t>
      </w:r>
      <w:r>
        <w:rPr>
          <w:rFonts w:hint="eastAsia" w:cs="Times New Roman"/>
          <w:color w:val="000000" w:themeColor="text1"/>
          <w:szCs w:val="24"/>
          <w14:textFill>
            <w14:solidFill>
              <w14:schemeClr w14:val="tx1"/>
            </w14:solidFill>
          </w14:textFill>
        </w:rPr>
        <w:t>通过已建雷页</w:t>
      </w:r>
      <w:r>
        <w:rPr>
          <w:rFonts w:cs="Times New Roman"/>
          <w:color w:val="000000" w:themeColor="text1"/>
          <w:szCs w:val="24"/>
          <w14:textFill>
            <w14:solidFill>
              <w14:schemeClr w14:val="tx1"/>
            </w14:solidFill>
          </w14:textFill>
        </w:rPr>
        <w:t>1</w:t>
      </w:r>
      <w:r>
        <w:rPr>
          <w:rFonts w:hint="eastAsia" w:cs="Times New Roman"/>
          <w:color w:val="000000" w:themeColor="text1"/>
          <w:szCs w:val="24"/>
          <w14:textFill>
            <w14:solidFill>
              <w14:schemeClr w14:val="tx1"/>
            </w14:solidFill>
          </w14:textFill>
        </w:rPr>
        <w:t>井至毛达线魏兴站</w:t>
      </w:r>
      <w:r>
        <w:rPr>
          <w:rFonts w:hint="eastAsia" w:cs="Times New Roman"/>
          <w:color w:val="000000" w:themeColor="text1"/>
          <w:szCs w:val="24"/>
          <w:lang w:val="en-US" w:eastAsia="zh-CN"/>
          <w14:textFill>
            <w14:solidFill>
              <w14:schemeClr w14:val="tx1"/>
            </w14:solidFill>
          </w14:textFill>
        </w:rPr>
        <w:t>的管线实现</w:t>
      </w:r>
      <w:r>
        <w:rPr>
          <w:rFonts w:hint="eastAsia" w:cs="Times New Roman"/>
          <w:color w:val="000000" w:themeColor="text1"/>
          <w:szCs w:val="24"/>
          <w14:textFill>
            <w14:solidFill>
              <w14:schemeClr w14:val="tx1"/>
            </w14:solidFill>
          </w14:textFill>
        </w:rPr>
        <w:t>外输</w:t>
      </w:r>
      <w:r>
        <w:rPr>
          <w:rFonts w:hint="eastAsia" w:cs="Times New Roman"/>
          <w:color w:val="000000" w:themeColor="text1"/>
          <w:lang w:val="en-US" w:eastAsia="zh-CN"/>
          <w14:textFill>
            <w14:solidFill>
              <w14:schemeClr w14:val="tx1"/>
            </w14:solidFill>
          </w14:textFill>
        </w:rPr>
        <w:t>，采出水储存后装车外运，配套电力、通信、自控等设施</w:t>
      </w:r>
      <w:r>
        <w:rPr>
          <w:rFonts w:hint="eastAsia" w:ascii="Times New Roman" w:hAnsi="Times New Roman"/>
          <w:color w:val="000000" w:themeColor="text1"/>
          <w:highlight w:val="none"/>
          <w:lang w:val="en-US" w:eastAsia="zh-CN"/>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14:textFill>
            <w14:solidFill>
              <w14:schemeClr w14:val="tx1"/>
            </w14:solidFill>
          </w14:textFill>
        </w:rPr>
        <w:t>项目投产后，</w:t>
      </w:r>
      <w:r>
        <w:rPr>
          <w:rFonts w:hint="eastAsia" w:cs="Times New Roman"/>
          <w:color w:val="000000" w:themeColor="text1"/>
          <w:lang w:val="en-US" w:eastAsia="zh-CN"/>
          <w14:textFill>
            <w14:solidFill>
              <w14:schemeClr w14:val="tx1"/>
            </w14:solidFill>
          </w14:textFill>
        </w:rPr>
        <w:t>总</w:t>
      </w:r>
      <w:r>
        <w:rPr>
          <w:rFonts w:hint="eastAsia" w:cs="Times New Roman"/>
          <w:color w:val="000000" w:themeColor="text1"/>
          <w14:textFill>
            <w14:solidFill>
              <w14:schemeClr w14:val="tx1"/>
            </w14:solidFill>
          </w14:textFill>
        </w:rPr>
        <w:t>配产</w:t>
      </w:r>
      <w:r>
        <w:rPr>
          <w:rFonts w:hint="eastAsia" w:cs="Times New Roman"/>
          <w:color w:val="000000" w:themeColor="text1"/>
          <w:lang w:val="en-US" w:eastAsia="zh-CN"/>
          <w14:textFill>
            <w14:solidFill>
              <w14:schemeClr w14:val="tx1"/>
            </w14:solidFill>
          </w14:textFill>
        </w:rPr>
        <w:t>20</w:t>
      </w:r>
      <w:r>
        <w:rPr>
          <w:rFonts w:hint="eastAsia" w:cs="Times New Roman"/>
          <w:color w:val="000000" w:themeColor="text1"/>
          <w14:textFill>
            <w14:solidFill>
              <w14:schemeClr w14:val="tx1"/>
            </w14:solidFill>
          </w14:textFill>
        </w:rPr>
        <w:t>万立方米</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天</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单井配产规模为10</w:t>
      </w:r>
      <w:r>
        <w:rPr>
          <w:rFonts w:hint="eastAsia" w:cs="Times New Roman"/>
          <w:color w:val="000000" w:themeColor="text1"/>
          <w14:textFill>
            <w14:solidFill>
              <w14:schemeClr w14:val="tx1"/>
            </w14:solidFill>
          </w14:textFill>
        </w:rPr>
        <w:t>万立方米</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天</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，试采期为</w:t>
      </w:r>
      <w:r>
        <w:rPr>
          <w:rFonts w:hint="eastAsia" w:cs="Times New Roman"/>
          <w:color w:val="000000" w:themeColor="text1"/>
          <w:highlight w:val="none"/>
          <w:lang w:eastAsia="zh-CN"/>
          <w14:textFill>
            <w14:solidFill>
              <w14:schemeClr w14:val="tx1"/>
            </w14:solidFill>
          </w14:textFill>
        </w:rPr>
        <w:t>2</w:t>
      </w:r>
      <w:r>
        <w:rPr>
          <w:rFonts w:hint="eastAsia" w:cs="Times New Roman"/>
          <w:color w:val="000000" w:themeColor="text1"/>
          <w:highlight w:val="none"/>
          <w14:textFill>
            <w14:solidFill>
              <w14:schemeClr w14:val="tx1"/>
            </w14:solidFill>
          </w14:textFill>
        </w:rPr>
        <w:t>年。</w:t>
      </w:r>
    </w:p>
    <w:p>
      <w:pPr>
        <w:pStyle w:val="4"/>
        <w:spacing w:before="120"/>
        <w:rPr>
          <w:b/>
          <w:color w:val="000000" w:themeColor="text1"/>
          <w:highlight w:val="none"/>
          <w:lang w:eastAsia="zh-CN"/>
          <w14:textFill>
            <w14:solidFill>
              <w14:schemeClr w14:val="tx1"/>
            </w14:solidFill>
          </w14:textFill>
        </w:rPr>
      </w:pPr>
      <w:bookmarkStart w:id="114" w:name="_Toc120173100"/>
      <w:r>
        <w:rPr>
          <w:color w:val="000000" w:themeColor="text1"/>
          <w:highlight w:val="none"/>
          <w:lang w:eastAsia="zh-CN"/>
          <w14:textFill>
            <w14:solidFill>
              <w14:schemeClr w14:val="tx1"/>
            </w14:solidFill>
          </w14:textFill>
        </w:rPr>
        <w:t>气藏地质特征</w:t>
      </w:r>
      <w:bookmarkEnd w:id="114"/>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气藏地质概况</w:t>
      </w:r>
    </w:p>
    <w:p>
      <w:pPr>
        <w:jc w:val="center"/>
      </w:pPr>
      <w:r>
        <w:rPr>
          <w:rFonts w:hint="eastAsia"/>
        </w:rPr>
        <w:t>***</w:t>
      </w:r>
    </w:p>
    <w:p>
      <w:pPr>
        <w:pStyle w:val="5"/>
        <w:spacing w:before="12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井身结构</w:t>
      </w:r>
    </w:p>
    <w:p>
      <w:pPr>
        <w:keepNext w:val="0"/>
        <w:keepLines w:val="0"/>
        <w:pageBreakBefore w:val="0"/>
        <w:tabs>
          <w:tab w:val="left" w:pos="0"/>
        </w:tabs>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黑体" w:cs="Times New Roman"/>
          <w:color w:val="000000" w:themeColor="text1"/>
          <w:szCs w:val="24"/>
          <w:highlight w:val="none"/>
          <w14:textFill>
            <w14:solidFill>
              <w14:schemeClr w14:val="tx1"/>
            </w14:solidFill>
          </w14:textFill>
        </w:rPr>
      </w:pPr>
      <w:r>
        <w:rPr>
          <w:rFonts w:hint="default" w:ascii="Times New Roman" w:hAnsi="Times New Roman" w:eastAsia="黑体" w:cs="Times New Roman"/>
          <w:color w:val="000000" w:themeColor="text1"/>
          <w:szCs w:val="24"/>
          <w:highlight w:val="none"/>
          <w14:textFill>
            <w14:solidFill>
              <w14:schemeClr w14:val="tx1"/>
            </w14:solidFill>
          </w14:textFill>
        </w:rPr>
        <w:t>1、井身结构设计</w:t>
      </w:r>
    </w:p>
    <w:p>
      <w:pPr>
        <w:pStyle w:val="96"/>
        <w:keepNext w:val="0"/>
        <w:keepLines w:val="0"/>
        <w:pageBreakBefore w:val="0"/>
        <w:numPr>
          <w:ilvl w:val="0"/>
          <w:numId w:val="8"/>
        </w:numPr>
        <w:kinsoku/>
        <w:wordWrap/>
        <w:overflowPunct/>
        <w:topLinePunct w:val="0"/>
        <w:autoSpaceDE/>
        <w:autoSpaceDN/>
        <w:bidi w:val="0"/>
        <w:adjustRightInd w:val="0"/>
        <w:snapToGrid w:val="0"/>
        <w:ind w:firstLine="440" w:firstLineChars="200"/>
        <w:jc w:val="both"/>
        <w:textAlignment w:val="auto"/>
        <w:rPr>
          <w:rFonts w:ascii="Times New Roman" w:hAnsi="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w:t>
      </w:r>
      <w:r>
        <w:rPr>
          <w:rFonts w:ascii="Times New Roman" w:hAnsi="Times New Roman"/>
          <w:color w:val="000000" w:themeColor="text1"/>
          <w:sz w:val="24"/>
          <w:szCs w:val="24"/>
          <w:highlight w:val="none"/>
          <w:lang w:eastAsia="zh-CN"/>
          <w14:textFill>
            <w14:solidFill>
              <w14:schemeClr w14:val="tx1"/>
            </w14:solidFill>
          </w14:textFill>
        </w:rPr>
        <w:t>。</w:t>
      </w:r>
    </w:p>
    <w:p>
      <w:pPr>
        <w:keepNext w:val="0"/>
        <w:keepLines w:val="0"/>
        <w:pageBreakBefore w:val="0"/>
        <w:tabs>
          <w:tab w:val="left" w:pos="0"/>
        </w:tabs>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黑体" w:cs="Times New Roman"/>
          <w:color w:val="000000" w:themeColor="text1"/>
          <w:szCs w:val="24"/>
          <w:highlight w:val="none"/>
          <w14:textFill>
            <w14:solidFill>
              <w14:schemeClr w14:val="tx1"/>
            </w14:solidFill>
          </w14:textFill>
        </w:rPr>
      </w:pPr>
      <w:r>
        <w:rPr>
          <w:rFonts w:hint="default" w:ascii="Times New Roman" w:hAnsi="Times New Roman" w:eastAsia="黑体" w:cs="Times New Roman"/>
          <w:color w:val="000000" w:themeColor="text1"/>
          <w:szCs w:val="24"/>
          <w:highlight w:val="none"/>
          <w14:textFill>
            <w14:solidFill>
              <w14:schemeClr w14:val="tx1"/>
            </w14:solidFill>
          </w14:textFill>
        </w:rPr>
        <w:t>2、井身结构</w:t>
      </w:r>
    </w:p>
    <w:p>
      <w:pPr>
        <w:ind w:firstLine="480"/>
        <w:rPr>
          <w:rFonts w:ascii="宋体" w:hAnsi="宋体"/>
          <w:color w:val="000000" w:themeColor="text1"/>
          <w:szCs w:val="24"/>
          <w:highlight w:val="none"/>
          <w14:textFill>
            <w14:solidFill>
              <w14:schemeClr w14:val="tx1"/>
            </w14:solidFill>
          </w14:textFill>
        </w:rPr>
      </w:pPr>
      <w:bookmarkStart w:id="115" w:name="_Hlk142465119"/>
      <w:r>
        <w:rPr>
          <w:rFonts w:hint="eastAsia" w:ascii="宋体" w:hAnsi="宋体"/>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根据地质方案，</w:t>
      </w:r>
      <w:r>
        <w:rPr>
          <w:rFonts w:hint="eastAsia"/>
          <w:color w:val="000000" w:themeColor="text1"/>
          <w:szCs w:val="24"/>
          <w:highlight w:val="none"/>
          <w:lang w:eastAsia="zh-CN"/>
          <w14:textFill>
            <w14:solidFill>
              <w14:schemeClr w14:val="tx1"/>
            </w14:solidFill>
          </w14:textFill>
        </w:rPr>
        <w:t>雷页1试验井组</w:t>
      </w:r>
      <w:r>
        <w:rPr>
          <w:rFonts w:ascii="宋体" w:hAnsi="宋体"/>
          <w:color w:val="000000" w:themeColor="text1"/>
          <w:szCs w:val="24"/>
          <w:highlight w:val="none"/>
          <w14:textFill>
            <w14:solidFill>
              <w14:schemeClr w14:val="tx1"/>
            </w14:solidFill>
          </w14:textFill>
        </w:rPr>
        <w:t>配产日产</w:t>
      </w:r>
      <w:r>
        <w:rPr>
          <w:rFonts w:hint="eastAsia" w:ascii="宋体" w:hAnsi="宋体"/>
          <w:color w:val="000000" w:themeColor="text1"/>
          <w:szCs w:val="24"/>
          <w:highlight w:val="none"/>
          <w:lang w:val="en-US" w:eastAsia="zh-CN"/>
          <w14:textFill>
            <w14:solidFill>
              <w14:schemeClr w14:val="tx1"/>
            </w14:solidFill>
          </w14:textFill>
        </w:rPr>
        <w:t>不含硫天然</w:t>
      </w:r>
      <w:r>
        <w:rPr>
          <w:rFonts w:ascii="宋体" w:hAnsi="宋体"/>
          <w:color w:val="000000" w:themeColor="text1"/>
          <w:szCs w:val="24"/>
          <w:highlight w:val="none"/>
          <w14:textFill>
            <w14:solidFill>
              <w14:schemeClr w14:val="tx1"/>
            </w14:solidFill>
          </w14:textFill>
        </w:rPr>
        <w:t>气</w:t>
      </w:r>
      <w:r>
        <w:rPr>
          <w:rFonts w:hint="eastAsia"/>
          <w:color w:val="000000" w:themeColor="text1"/>
          <w:szCs w:val="24"/>
          <w:highlight w:val="none"/>
          <w:lang w:val="en-US" w:eastAsia="zh-CN"/>
          <w14:textFill>
            <w14:solidFill>
              <w14:schemeClr w14:val="tx1"/>
            </w14:solidFill>
          </w14:textFill>
        </w:rPr>
        <w:t>20</w:t>
      </w:r>
      <w:r>
        <w:rPr>
          <w:rFonts w:ascii="宋体"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10</w:t>
      </w:r>
      <w:r>
        <w:rPr>
          <w:color w:val="000000" w:themeColor="text1"/>
          <w:szCs w:val="24"/>
          <w:highlight w:val="none"/>
          <w:vertAlign w:val="superscript"/>
          <w14:textFill>
            <w14:solidFill>
              <w14:schemeClr w14:val="tx1"/>
            </w14:solidFill>
          </w14:textFill>
        </w:rPr>
        <w:t>4</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bookmarkEnd w:id="115"/>
      <w:r>
        <w:rPr>
          <w:rFonts w:cs="Times New Roman"/>
          <w:color w:val="000000" w:themeColor="text1"/>
          <w:szCs w:val="24"/>
          <w:highlight w:val="none"/>
          <w14:textFill>
            <w14:solidFill>
              <w14:schemeClr w14:val="tx1"/>
            </w14:solidFill>
          </w14:textFill>
        </w:rPr>
        <w:t>。</w:t>
      </w:r>
    </w:p>
    <w:p>
      <w:pPr>
        <w:tabs>
          <w:tab w:val="left" w:pos="0"/>
        </w:tabs>
        <w:ind w:firstLine="480"/>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（1）井口主要参数（预测）</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关井压力：</w:t>
      </w:r>
      <w:r>
        <w:rPr>
          <w:rFonts w:hint="eastAsia" w:cs="Times New Roman"/>
          <w:color w:val="000000" w:themeColor="text1"/>
          <w:szCs w:val="24"/>
          <w:highlight w:val="none"/>
          <w:lang w:val="en-US" w:eastAsia="zh-CN"/>
          <w14:textFill>
            <w14:solidFill>
              <w14:schemeClr w14:val="tx1"/>
            </w14:solidFill>
          </w14:textFill>
        </w:rPr>
        <w:t>32.5</w:t>
      </w:r>
      <w:r>
        <w:rPr>
          <w:rFonts w:cs="Times New Roman"/>
          <w:color w:val="000000" w:themeColor="text1"/>
          <w:szCs w:val="24"/>
          <w:highlight w:val="none"/>
          <w14:textFill>
            <w14:solidFill>
              <w14:schemeClr w14:val="tx1"/>
            </w14:solidFill>
          </w14:textFill>
        </w:rPr>
        <w:t>MPa</w:t>
      </w:r>
    </w:p>
    <w:p>
      <w:pPr>
        <w:tabs>
          <w:tab w:val="left" w:pos="0"/>
        </w:tabs>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井口流动压力：</w:t>
      </w:r>
      <w:r>
        <w:rPr>
          <w:rFonts w:hint="eastAsia" w:cs="Times New Roman"/>
          <w:color w:val="000000" w:themeColor="text1"/>
          <w:szCs w:val="24"/>
          <w:highlight w:val="none"/>
          <w:lang w:val="en-US" w:eastAsia="zh-CN"/>
          <w14:textFill>
            <w14:solidFill>
              <w14:schemeClr w14:val="tx1"/>
            </w14:solidFill>
          </w14:textFill>
        </w:rPr>
        <w:t>21.6</w:t>
      </w:r>
      <w:r>
        <w:rPr>
          <w:rFonts w:cs="Times New Roman"/>
          <w:color w:val="000000" w:themeColor="text1"/>
          <w:szCs w:val="24"/>
          <w:highlight w:val="none"/>
          <w14:textFill>
            <w14:solidFill>
              <w14:schemeClr w14:val="tx1"/>
            </w14:solidFill>
          </w14:textFill>
        </w:rPr>
        <w:t>MPa</w:t>
      </w:r>
    </w:p>
    <w:p>
      <w:pPr>
        <w:tabs>
          <w:tab w:val="left" w:pos="0"/>
        </w:tabs>
        <w:ind w:firstLine="480"/>
        <w:rPr>
          <w:rFonts w:hint="eastAsia" w:eastAsia="宋体" w:cs="Times New Roman"/>
          <w:color w:val="000000" w:themeColor="text1"/>
          <w:szCs w:val="24"/>
          <w:highlight w:val="none"/>
          <w:lang w:eastAsia="zh-CN"/>
          <w14:textFill>
            <w14:solidFill>
              <w14:schemeClr w14:val="tx1"/>
            </w14:solidFill>
          </w14:textFill>
        </w:rPr>
      </w:pPr>
      <w:r>
        <w:rPr>
          <w:rFonts w:cs="Times New Roman"/>
          <w:color w:val="000000" w:themeColor="text1"/>
          <w:szCs w:val="24"/>
          <w:highlight w:val="none"/>
          <w14:textFill>
            <w14:solidFill>
              <w14:schemeClr w14:val="tx1"/>
            </w14:solidFill>
          </w14:textFill>
        </w:rPr>
        <w:t>单井产</w:t>
      </w:r>
      <w:r>
        <w:rPr>
          <w:rFonts w:hint="eastAsia" w:cs="Times New Roman"/>
          <w:color w:val="000000" w:themeColor="text1"/>
          <w:szCs w:val="24"/>
          <w:highlight w:val="none"/>
          <w:lang w:val="en-US" w:eastAsia="zh-CN"/>
          <w14:textFill>
            <w14:solidFill>
              <w14:schemeClr w14:val="tx1"/>
            </w14:solidFill>
          </w14:textFill>
        </w:rPr>
        <w:t>气</w:t>
      </w:r>
      <w:r>
        <w:rPr>
          <w:rFonts w:cs="Times New Roman"/>
          <w:color w:val="000000" w:themeColor="text1"/>
          <w:szCs w:val="24"/>
          <w:highlight w:val="none"/>
          <w14:textFill>
            <w14:solidFill>
              <w14:schemeClr w14:val="tx1"/>
            </w14:solidFill>
          </w14:textFill>
        </w:rPr>
        <w:t>量</w:t>
      </w:r>
      <w:r>
        <w:rPr>
          <w:rFonts w:hint="eastAsia" w:cs="Times New Roman"/>
          <w:color w:val="000000" w:themeColor="text1"/>
          <w:szCs w:val="24"/>
          <w:highlight w:val="none"/>
          <w:lang w:val="en-US" w:eastAsia="zh-CN"/>
          <w14:textFill>
            <w14:solidFill>
              <w14:schemeClr w14:val="tx1"/>
            </w14:solidFill>
          </w14:textFill>
        </w:rPr>
        <w:t>10</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10</w:t>
      </w:r>
      <w:r>
        <w:rPr>
          <w:rFonts w:cs="Times New Roman"/>
          <w:color w:val="000000" w:themeColor="text1"/>
          <w:szCs w:val="24"/>
          <w:highlight w:val="none"/>
          <w:vertAlign w:val="superscript"/>
          <w14:textFill>
            <w14:solidFill>
              <w14:schemeClr w14:val="tx1"/>
            </w14:solidFill>
          </w14:textFill>
        </w:rPr>
        <w:t>4</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/d</w:t>
      </w:r>
    </w:p>
    <w:p>
      <w:pPr>
        <w:tabs>
          <w:tab w:val="left" w:pos="0"/>
        </w:tabs>
        <w:ind w:firstLine="480"/>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w:t>
      </w:r>
      <w:r>
        <w:rPr>
          <w:rFonts w:hint="eastAsia" w:cs="Times New Roman"/>
          <w:b/>
          <w:bCs/>
          <w:color w:val="000000" w:themeColor="text1"/>
          <w:szCs w:val="24"/>
          <w:highlight w:val="none"/>
          <w:lang w:val="en-US" w:eastAsia="zh-CN"/>
          <w14:textFill>
            <w14:solidFill>
              <w14:schemeClr w14:val="tx1"/>
            </w14:solidFill>
          </w14:textFill>
        </w:rPr>
        <w:t>天然气</w:t>
      </w:r>
      <w:r>
        <w:rPr>
          <w:rFonts w:cs="Times New Roman"/>
          <w:b/>
          <w:bCs/>
          <w:color w:val="000000" w:themeColor="text1"/>
          <w:szCs w:val="24"/>
          <w:highlight w:val="none"/>
          <w14:textFill>
            <w14:solidFill>
              <w14:schemeClr w14:val="tx1"/>
            </w14:solidFill>
          </w14:textFill>
        </w:rPr>
        <w:t>气组成及物性</w:t>
      </w:r>
    </w:p>
    <w:p>
      <w:pPr>
        <w:ind w:firstLine="480"/>
        <w:rPr>
          <w:color w:val="000000" w:themeColor="text1"/>
          <w14:textFill>
            <w14:solidFill>
              <w14:schemeClr w14:val="tx1"/>
            </w14:solidFill>
          </w14:textFill>
        </w:rPr>
      </w:pPr>
      <w:bookmarkStart w:id="116" w:name="_Toc154167753"/>
      <w:r>
        <w:rPr>
          <w:rFonts w:hint="eastAsia"/>
          <w:color w:val="000000" w:themeColor="text1"/>
          <w:highlight w:val="none"/>
          <w14:textFill>
            <w14:solidFill>
              <w14:schemeClr w14:val="tx1"/>
            </w14:solidFill>
          </w14:textFill>
        </w:rPr>
        <w:t>根据前期雷页1井以CNG方式试气情况（见附件</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），雷页</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井气体组分以甲烷为主，占比在</w:t>
      </w:r>
      <w:r>
        <w:rPr>
          <w:rFonts w:hint="eastAsia"/>
          <w:color w:val="000000" w:themeColor="text1"/>
          <w:highlight w:val="none"/>
          <w:lang w:val="en-US" w:eastAsia="zh-CN"/>
          <w14:textFill>
            <w14:solidFill>
              <w14:schemeClr w14:val="tx1"/>
            </w14:solidFill>
          </w14:textFill>
        </w:rPr>
        <w:t>约96.643</w:t>
      </w:r>
      <w:r>
        <w:rPr>
          <w:rFonts w:hint="eastAsia"/>
          <w:color w:val="000000" w:themeColor="text1"/>
          <w:highlight w:val="none"/>
          <w14:textFill>
            <w14:solidFill>
              <w14:schemeClr w14:val="tx1"/>
            </w14:solidFill>
          </w14:textFill>
        </w:rPr>
        <w:t>%，低含CO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，不含H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S，具体见</w:t>
      </w:r>
      <w:r>
        <w:rPr>
          <w:rFonts w:hint="eastAsia"/>
          <w:color w:val="000000" w:themeColor="text1"/>
          <w14:textFill>
            <w14:solidFill>
              <w14:schemeClr w14:val="tx1"/>
            </w14:solidFill>
          </w14:textFill>
        </w:rPr>
        <w:t>表。</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雷页1井气质组分</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075"/>
        <w:gridCol w:w="2075"/>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组分</w:t>
            </w:r>
          </w:p>
        </w:tc>
        <w:tc>
          <w:tcPr>
            <w:tcW w:w="20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摩尔含量%</w:t>
            </w:r>
          </w:p>
        </w:tc>
        <w:tc>
          <w:tcPr>
            <w:tcW w:w="20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组分</w:t>
            </w:r>
          </w:p>
        </w:tc>
        <w:tc>
          <w:tcPr>
            <w:tcW w:w="20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摩尔含量%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H</w:t>
            </w:r>
            <w:r>
              <w:rPr>
                <w:rFonts w:hint="default"/>
                <w:color w:val="000000" w:themeColor="text1"/>
                <w:szCs w:val="20"/>
                <w:vertAlign w:val="subscript"/>
                <w14:textFill>
                  <w14:solidFill>
                    <w14:schemeClr w14:val="tx1"/>
                  </w14:solidFill>
                </w14:textFill>
              </w:rPr>
              <w:t>2</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He</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N</w:t>
            </w:r>
            <w:r>
              <w:rPr>
                <w:rFonts w:hint="default"/>
                <w:color w:val="000000" w:themeColor="text1"/>
                <w:szCs w:val="20"/>
                <w:vertAlign w:val="subscript"/>
                <w14:textFill>
                  <w14:solidFill>
                    <w14:schemeClr w14:val="tx1"/>
                  </w14:solidFill>
                </w14:textFill>
              </w:rPr>
              <w:t>2</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CO</w:t>
            </w:r>
            <w:r>
              <w:rPr>
                <w:rFonts w:hint="default"/>
                <w:color w:val="000000" w:themeColor="text1"/>
                <w:szCs w:val="20"/>
                <w:vertAlign w:val="subscript"/>
                <w14:textFill>
                  <w14:solidFill>
                    <w14:schemeClr w14:val="tx1"/>
                  </w14:solidFill>
                </w14:textFill>
              </w:rPr>
              <w:t>2</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H</w:t>
            </w:r>
            <w:r>
              <w:rPr>
                <w:rFonts w:hint="default"/>
                <w:color w:val="000000" w:themeColor="text1"/>
                <w:szCs w:val="20"/>
                <w:vertAlign w:val="subscript"/>
                <w14:textFill>
                  <w14:solidFill>
                    <w14:schemeClr w14:val="tx1"/>
                  </w14:solidFill>
                </w14:textFill>
              </w:rPr>
              <w:t>2</w:t>
            </w:r>
            <w:r>
              <w:rPr>
                <w:rFonts w:hint="eastAsia"/>
                <w:color w:val="000000" w:themeColor="text1"/>
                <w:szCs w:val="20"/>
                <w14:textFill>
                  <w14:solidFill>
                    <w14:schemeClr w14:val="tx1"/>
                  </w14:solidFill>
                </w14:textFill>
              </w:rPr>
              <w:t>S</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CH</w:t>
            </w:r>
            <w:r>
              <w:rPr>
                <w:rFonts w:hint="default"/>
                <w:color w:val="000000" w:themeColor="text1"/>
                <w:szCs w:val="20"/>
                <w:vertAlign w:val="subscript"/>
                <w14:textFill>
                  <w14:solidFill>
                    <w14:schemeClr w14:val="tx1"/>
                  </w14:solidFill>
                </w14:textFill>
              </w:rPr>
              <w:t>4</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C</w:t>
            </w:r>
            <w:r>
              <w:rPr>
                <w:rFonts w:hint="default"/>
                <w:color w:val="000000" w:themeColor="text1"/>
                <w:szCs w:val="20"/>
                <w:vertAlign w:val="subscript"/>
                <w14:textFill>
                  <w14:solidFill>
                    <w14:schemeClr w14:val="tx1"/>
                  </w14:solidFill>
                </w14:textFill>
              </w:rPr>
              <w:t>2</w:t>
            </w:r>
            <w:r>
              <w:rPr>
                <w:rFonts w:hint="eastAsia"/>
                <w:color w:val="000000" w:themeColor="text1"/>
                <w:szCs w:val="20"/>
                <w14:textFill>
                  <w14:solidFill>
                    <w14:schemeClr w14:val="tx1"/>
                  </w14:solidFill>
                </w14:textFill>
              </w:rPr>
              <w:t>H</w:t>
            </w:r>
            <w:r>
              <w:rPr>
                <w:rFonts w:hint="default"/>
                <w:color w:val="000000" w:themeColor="text1"/>
                <w:szCs w:val="20"/>
                <w:vertAlign w:val="subscript"/>
                <w14:textFill>
                  <w14:solidFill>
                    <w14:schemeClr w14:val="tx1"/>
                  </w14:solidFill>
                </w14:textFill>
              </w:rPr>
              <w:t>6</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C</w:t>
            </w:r>
            <w:r>
              <w:rPr>
                <w:rFonts w:hint="eastAsia"/>
                <w:color w:val="000000" w:themeColor="text1"/>
                <w:szCs w:val="20"/>
                <w:vertAlign w:val="subscript"/>
                <w14:textFill>
                  <w14:solidFill>
                    <w14:schemeClr w14:val="tx1"/>
                  </w14:solidFill>
                </w14:textFill>
              </w:rPr>
              <w:t>3</w:t>
            </w:r>
            <w:r>
              <w:rPr>
                <w:rFonts w:hint="eastAsia"/>
                <w:color w:val="000000" w:themeColor="text1"/>
                <w:szCs w:val="20"/>
                <w14:textFill>
                  <w14:solidFill>
                    <w14:schemeClr w14:val="tx1"/>
                  </w14:solidFill>
                </w14:textFill>
              </w:rPr>
              <w:t>H</w:t>
            </w:r>
            <w:r>
              <w:rPr>
                <w:rFonts w:hint="default"/>
                <w:color w:val="000000" w:themeColor="text1"/>
                <w:szCs w:val="20"/>
                <w:vertAlign w:val="subscript"/>
                <w14:textFill>
                  <w14:solidFill>
                    <w14:schemeClr w14:val="tx1"/>
                  </w14:solidFill>
                </w14:textFill>
              </w:rPr>
              <w:t>8</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相对密度</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高位发热量（MJ/m</w:t>
            </w:r>
            <w:r>
              <w:rPr>
                <w:rFonts w:hint="default"/>
                <w:color w:val="000000" w:themeColor="text1"/>
                <w:szCs w:val="20"/>
                <w:vertAlign w:val="superscript"/>
                <w14:textFill>
                  <w14:solidFill>
                    <w14:schemeClr w14:val="tx1"/>
                  </w14:solidFill>
                </w14:textFill>
              </w:rPr>
              <w:t>3</w:t>
            </w:r>
            <w:r>
              <w:rPr>
                <w:rFonts w:hint="eastAsia"/>
                <w:color w:val="000000" w:themeColor="text1"/>
                <w:szCs w:val="20"/>
                <w14:textFill>
                  <w14:solidFill>
                    <w14:schemeClr w14:val="tx1"/>
                  </w14:solidFill>
                </w14:textFill>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c>
          <w:tcPr>
            <w:tcW w:w="2075"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Cs w:val="20"/>
                <w14:textFill>
                  <w14:solidFill>
                    <w14:schemeClr w14:val="tx1"/>
                  </w14:solidFill>
                </w14:textFill>
              </w:rPr>
            </w:pPr>
            <w:r>
              <w:rPr>
                <w:rFonts w:hint="eastAsia"/>
              </w:rPr>
              <w:t>***</w:t>
            </w:r>
          </w:p>
        </w:tc>
      </w:tr>
      <w:bookmarkEnd w:id="116"/>
    </w:tbl>
    <w:p>
      <w:pPr>
        <w:keepNext w:val="0"/>
        <w:keepLines w:val="0"/>
        <w:pageBreakBefore w:val="0"/>
        <w:widowControl w:val="0"/>
        <w:tabs>
          <w:tab w:val="left" w:pos="0"/>
        </w:tabs>
        <w:kinsoku/>
        <w:wordWrap/>
        <w:overflowPunct/>
        <w:topLinePunct w:val="0"/>
        <w:autoSpaceDE/>
        <w:autoSpaceDN/>
        <w:bidi w:val="0"/>
        <w:adjustRightInd w:val="0"/>
        <w:snapToGrid w:val="0"/>
        <w:spacing w:before="164" w:beforeLines="50"/>
        <w:ind w:firstLine="480"/>
        <w:textAlignment w:val="auto"/>
        <w:rPr>
          <w:rFonts w:hint="eastAsia" w:cs="Times New Roman"/>
          <w:b/>
          <w:bCs/>
          <w:color w:val="000000" w:themeColor="text1"/>
          <w:szCs w:val="24"/>
          <w:highlight w:val="none"/>
          <w:lang w:eastAsia="zh-CN"/>
          <w14:textFill>
            <w14:solidFill>
              <w14:schemeClr w14:val="tx1"/>
            </w14:solidFill>
          </w14:textFill>
        </w:rPr>
      </w:pPr>
      <w:bookmarkStart w:id="117" w:name="_Toc154167754"/>
      <w:r>
        <w:rPr>
          <w:rFonts w:hint="eastAsia" w:cs="Times New Roman"/>
          <w:b/>
          <w:bCs/>
          <w:color w:val="000000" w:themeColor="text1"/>
          <w:szCs w:val="24"/>
          <w:highlight w:val="none"/>
          <w:lang w:eastAsia="zh-CN"/>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3</w:t>
      </w:r>
      <w:r>
        <w:rPr>
          <w:rFonts w:hint="eastAsia" w:cs="Times New Roman"/>
          <w:b/>
          <w:bCs/>
          <w:color w:val="000000" w:themeColor="text1"/>
          <w:szCs w:val="24"/>
          <w:highlight w:val="none"/>
          <w:lang w:eastAsia="zh-CN"/>
          <w14:textFill>
            <w14:solidFill>
              <w14:schemeClr w14:val="tx1"/>
            </w14:solidFill>
          </w14:textFill>
        </w:rPr>
        <w:t>）采出水水质</w:t>
      </w:r>
      <w:bookmarkEnd w:id="117"/>
    </w:p>
    <w:p>
      <w:pPr>
        <w:widowControl w:val="0"/>
        <w:tabs>
          <w:tab w:val="left" w:pos="0"/>
        </w:tabs>
        <w:adjustRightInd w:val="0"/>
        <w:snapToGrid w:val="0"/>
        <w:spacing w:line="360" w:lineRule="auto"/>
        <w:ind w:firstLine="480" w:firstLineChars="200"/>
        <w:jc w:val="both"/>
        <w:rPr>
          <w:rFonts w:ascii="Times New Roman" w:hAnsi="Times New Roman"/>
          <w:color w:val="000000" w:themeColor="text1"/>
          <w:sz w:val="24"/>
          <w:szCs w:val="24"/>
          <w:lang w:eastAsia="zh-CN"/>
          <w14:textFill>
            <w14:solidFill>
              <w14:schemeClr w14:val="tx1"/>
            </w14:solidFill>
          </w14:textFill>
        </w:rPr>
      </w:pPr>
      <w:bookmarkStart w:id="118" w:name="_Toc120173101"/>
      <w:r>
        <w:rPr>
          <w:rFonts w:ascii="Times New Roman" w:hAnsi="Times New Roman"/>
          <w:color w:val="000000" w:themeColor="text1"/>
          <w:sz w:val="24"/>
          <w:szCs w:val="24"/>
          <w:lang w:eastAsia="zh-CN"/>
          <w14:textFill>
            <w14:solidFill>
              <w14:schemeClr w14:val="tx1"/>
            </w14:solidFill>
          </w14:textFill>
        </w:rPr>
        <w:t>根据可研资料，</w:t>
      </w:r>
      <w:r>
        <w:rPr>
          <w:rFonts w:hint="eastAsia" w:ascii="Times New Roman" w:hAnsi="Times New Roman"/>
          <w:color w:val="000000" w:themeColor="text1"/>
          <w:sz w:val="24"/>
          <w:szCs w:val="24"/>
          <w:lang w:val="en-US" w:eastAsia="zh-CN"/>
          <w14:textFill>
            <w14:solidFill>
              <w14:schemeClr w14:val="tx1"/>
            </w14:solidFill>
          </w14:textFill>
        </w:rPr>
        <w:t>预计本项目</w:t>
      </w:r>
      <w:r>
        <w:rPr>
          <w:rFonts w:ascii="Times New Roman" w:hAnsi="Times New Roman"/>
          <w:color w:val="000000" w:themeColor="text1"/>
          <w:sz w:val="24"/>
          <w:lang w:eastAsia="zh-CN"/>
          <w14:textFill>
            <w14:solidFill>
              <w14:schemeClr w14:val="tx1"/>
            </w14:solidFill>
          </w14:textFill>
        </w:rPr>
        <w:t>雷页1</w:t>
      </w:r>
      <w:r>
        <w:rPr>
          <w:rFonts w:hint="eastAsia" w:ascii="Times New Roman" w:hAnsi="Times New Roman"/>
          <w:color w:val="000000" w:themeColor="text1"/>
          <w:sz w:val="24"/>
          <w:lang w:val="en-US" w:eastAsia="zh-CN"/>
          <w14:textFill>
            <w14:solidFill>
              <w14:schemeClr w14:val="tx1"/>
            </w14:solidFill>
          </w14:textFill>
        </w:rPr>
        <w:t>试验井组</w:t>
      </w:r>
      <w:r>
        <w:rPr>
          <w:rFonts w:ascii="Times New Roman" w:hAnsi="Times New Roman"/>
          <w:color w:val="000000" w:themeColor="text1"/>
          <w:sz w:val="24"/>
          <w:lang w:eastAsia="zh-CN"/>
          <w14:textFill>
            <w14:solidFill>
              <w14:schemeClr w14:val="tx1"/>
            </w14:solidFill>
          </w14:textFill>
        </w:rPr>
        <w:t>采出水总矿化度</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lang w:eastAsia="zh-CN"/>
          <w14:textFill>
            <w14:solidFill>
              <w14:schemeClr w14:val="tx1"/>
            </w14:solidFill>
          </w14:textFill>
        </w:rPr>
        <w:t>，水型为CaCl</w:t>
      </w:r>
      <w:r>
        <w:rPr>
          <w:rFonts w:ascii="Times New Roman" w:hAnsi="Times New Roman"/>
          <w:color w:val="000000" w:themeColor="text1"/>
          <w:sz w:val="24"/>
          <w:vertAlign w:val="subscript"/>
          <w:lang w:eastAsia="zh-CN"/>
          <w14:textFill>
            <w14:solidFill>
              <w14:schemeClr w14:val="tx1"/>
            </w14:solidFill>
          </w14:textFill>
        </w:rPr>
        <w:t>2</w:t>
      </w:r>
      <w:r>
        <w:rPr>
          <w:rFonts w:ascii="Times New Roman" w:hAnsi="Times New Roman"/>
          <w:color w:val="000000" w:themeColor="text1"/>
          <w:sz w:val="24"/>
          <w:szCs w:val="24"/>
          <w:lang w:eastAsia="zh-CN"/>
          <w14:textFill>
            <w14:solidFill>
              <w14:schemeClr w14:val="tx1"/>
            </w14:solidFill>
          </w14:textFill>
        </w:rPr>
        <w:t>，采出水水质指标见下图：</w:t>
      </w:r>
    </w:p>
    <w:p>
      <w:pPr>
        <w:widowControl w:val="0"/>
        <w:tabs>
          <w:tab w:val="left" w:pos="0"/>
        </w:tabs>
        <w:adjustRightInd w:val="0"/>
        <w:snapToGrid w:val="0"/>
        <w:spacing w:line="360" w:lineRule="auto"/>
        <w:ind w:firstLine="480" w:firstLineChars="200"/>
        <w:jc w:val="both"/>
        <w:rPr>
          <w:rFonts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w:t>
      </w:r>
    </w:p>
    <w:p>
      <w:pPr>
        <w:pStyle w:val="4"/>
        <w:spacing w:before="120"/>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项目组成及建设内容</w:t>
      </w:r>
      <w:bookmarkEnd w:id="118"/>
    </w:p>
    <w:p>
      <w:pPr>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w:t>
      </w:r>
      <w:r>
        <w:rPr>
          <w:rFonts w:cs="Times New Roman"/>
          <w:color w:val="000000" w:themeColor="text1"/>
          <w:highlight w:val="none"/>
          <w14:textFill>
            <w14:solidFill>
              <w14:schemeClr w14:val="tx1"/>
            </w14:solidFill>
          </w14:textFill>
        </w:rPr>
        <w:t>项目组成包括施工期钻前工程、钻井工程</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储层改造</w:t>
      </w:r>
      <w:r>
        <w:rPr>
          <w:rFonts w:cs="Times New Roman"/>
          <w:color w:val="000000" w:themeColor="text1"/>
          <w:szCs w:val="24"/>
          <w:highlight w:val="none"/>
          <w14:textFill>
            <w14:solidFill>
              <w14:schemeClr w14:val="tx1"/>
            </w14:solidFill>
          </w14:textFill>
        </w:rPr>
        <w:t>工程</w:t>
      </w:r>
      <w:r>
        <w:rPr>
          <w:rFonts w:cs="Times New Roman"/>
          <w:color w:val="000000" w:themeColor="text1"/>
          <w:highlight w:val="none"/>
          <w14:textFill>
            <w14:solidFill>
              <w14:schemeClr w14:val="tx1"/>
            </w14:solidFill>
          </w14:textFill>
        </w:rPr>
        <w:t>和试采期</w:t>
      </w:r>
      <w:r>
        <w:rPr>
          <w:rFonts w:hint="eastAsia" w:cs="Times New Roman"/>
          <w:color w:val="000000" w:themeColor="text1"/>
          <w:highlight w:val="none"/>
          <w14:textFill>
            <w14:solidFill>
              <w14:schemeClr w14:val="tx1"/>
            </w14:solidFill>
          </w14:textFill>
        </w:rPr>
        <w:t>的</w:t>
      </w:r>
      <w:r>
        <w:rPr>
          <w:rFonts w:hint="eastAsia"/>
          <w:color w:val="000000" w:themeColor="text1"/>
          <w:highlight w:val="none"/>
          <w14:textFill>
            <w14:solidFill>
              <w14:schemeClr w14:val="tx1"/>
            </w14:solidFill>
          </w14:textFill>
        </w:rPr>
        <w:t>油气</w:t>
      </w:r>
      <w:r>
        <w:rPr>
          <w:color w:val="000000" w:themeColor="text1"/>
          <w:highlight w:val="none"/>
          <w14:textFill>
            <w14:solidFill>
              <w14:schemeClr w14:val="tx1"/>
            </w14:solidFill>
          </w14:textFill>
        </w:rPr>
        <w:t>集输工程</w:t>
      </w:r>
      <w:r>
        <w:rPr>
          <w:rFonts w:cs="Times New Roman"/>
          <w:color w:val="000000" w:themeColor="text1"/>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本项目组成见</w:t>
      </w:r>
      <w:r>
        <w:rPr>
          <w:rFonts w:hint="default" w:cs="Times New Roman"/>
          <w:color w:val="000000" w:themeColor="text1"/>
          <w:szCs w:val="24"/>
          <w:highlight w:val="none"/>
          <w:lang w:val="en-US"/>
          <w14:textFill>
            <w14:solidFill>
              <w14:schemeClr w14:val="tx1"/>
            </w14:solidFill>
          </w14:textFill>
        </w:rPr>
        <w:fldChar w:fldCharType="begin"/>
      </w:r>
      <w:r>
        <w:rPr>
          <w:rFonts w:hint="default" w:cs="Times New Roman"/>
          <w:color w:val="000000" w:themeColor="text1"/>
          <w:szCs w:val="24"/>
          <w:highlight w:val="none"/>
          <w:lang w:val="en-US"/>
          <w14:textFill>
            <w14:solidFill>
              <w14:schemeClr w14:val="tx1"/>
            </w14:solidFill>
          </w14:textFill>
        </w:rPr>
        <w:instrText xml:space="preserve"> REF _Ref13558 \h </w:instrText>
      </w:r>
      <w:r>
        <w:rPr>
          <w:rFonts w:hint="default" w:cs="Times New Roman"/>
          <w:color w:val="000000" w:themeColor="text1"/>
          <w:szCs w:val="24"/>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7</w:t>
      </w:r>
      <w:r>
        <w:rPr>
          <w:rFonts w:hint="default" w:cs="Times New Roman"/>
          <w:color w:val="000000" w:themeColor="text1"/>
          <w:szCs w:val="24"/>
          <w:highlight w:val="none"/>
          <w:lang w:val="en-US"/>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ind w:firstLine="480"/>
        <w:rPr>
          <w:color w:val="000000" w:themeColor="text1"/>
          <w:highlight w:val="none"/>
          <w14:textFill>
            <w14:solidFill>
              <w14:schemeClr w14:val="tx1"/>
            </w14:solidFill>
          </w14:textFill>
        </w:rPr>
      </w:pPr>
      <w:bookmarkStart w:id="119" w:name="_Ref13558"/>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11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本项目组成及主要环境影响一览表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1"/>
        <w:gridCol w:w="832"/>
        <w:gridCol w:w="992"/>
        <w:gridCol w:w="3402"/>
        <w:gridCol w:w="1843"/>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58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工程分类</w:t>
            </w:r>
          </w:p>
        </w:tc>
        <w:tc>
          <w:tcPr>
            <w:tcW w:w="1824"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项目名称</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主要建设内容</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可能存在的环境问题</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主体工程</w:t>
            </w: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钻前工程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场地平整</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r>
              <w:rPr>
                <w:rFonts w:hint="eastAsia"/>
                <w:color w:val="000000" w:themeColor="text1"/>
                <w:sz w:val="21"/>
                <w:szCs w:val="21"/>
                <w:highlight w:val="none"/>
                <w:lang w:val="en-US" w:eastAsia="zh-CN"/>
                <w14:textFill>
                  <w14:solidFill>
                    <w14:schemeClr w14:val="tx1"/>
                  </w14:solidFill>
                </w14:textFill>
              </w:rPr>
              <w:t>6201</w:t>
            </w:r>
            <w:r>
              <w:rPr>
                <w:rFonts w:hint="default" w:ascii="Times New Roman" w:hAnsi="Times New Roman"/>
                <w:color w:val="000000" w:themeColor="text1"/>
                <w:sz w:val="21"/>
                <w:szCs w:val="21"/>
                <w:highlight w:val="none"/>
                <w:lang w:eastAsia="zh-CN"/>
                <w14:textFill>
                  <w14:solidFill>
                    <w14:schemeClr w14:val="tx1"/>
                  </w14:solidFill>
                </w14:textFill>
              </w:rPr>
              <w:t>m</w:t>
            </w:r>
            <w:r>
              <w:rPr>
                <w:rFonts w:hint="default" w:ascii="Times New Roman" w:hAnsi="Times New Roman"/>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color w:val="000000" w:themeColor="text1"/>
                <w:sz w:val="21"/>
                <w:szCs w:val="21"/>
                <w:highlight w:val="none"/>
                <w:lang w:eastAsia="zh-CN"/>
                <w14:textFill>
                  <w14:solidFill>
                    <w14:schemeClr w14:val="tx1"/>
                  </w14:solidFill>
                </w14:textFill>
              </w:rPr>
              <w:t>（长×宽=</w:t>
            </w:r>
            <w:r>
              <w:rPr>
                <w:rFonts w:hint="eastAsia"/>
                <w:color w:val="000000" w:themeColor="text1"/>
                <w:sz w:val="21"/>
                <w:szCs w:val="21"/>
                <w:highlight w:val="none"/>
                <w:lang w:eastAsia="zh-CN"/>
                <w14:textFill>
                  <w14:solidFill>
                    <w14:schemeClr w14:val="tx1"/>
                  </w14:solidFill>
                </w14:textFill>
              </w:rPr>
              <w:t>117m×53m</w:t>
            </w: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0"/>
                <w:highlight w:val="none"/>
                <w:lang w:val="en-US" w:eastAsia="zh-CN"/>
                <w14:textFill>
                  <w14:solidFill>
                    <w14:schemeClr w14:val="tx1"/>
                  </w14:solidFill>
                </w14:textFill>
              </w:rPr>
              <w:t>井场1座，井场内建设</w:t>
            </w:r>
            <w:r>
              <w:rPr>
                <w:rFonts w:hint="default" w:cs="Times New Roman"/>
                <w:color w:val="000000" w:themeColor="text1"/>
                <w:sz w:val="21"/>
                <w:szCs w:val="20"/>
                <w:highlight w:val="none"/>
                <w14:textFill>
                  <w14:solidFill>
                    <w14:schemeClr w14:val="tx1"/>
                  </w14:solidFill>
                </w14:textFill>
              </w:rPr>
              <w:t>井架基础、泥浆罐基础、泥浆不落地基础、循环罐基础、储备罐基础、油罐基础、发电机房基础等</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水土流失</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施工扬尘、废水和施工人员生活污水、生活垃圾</w:t>
            </w:r>
            <w:r>
              <w:rPr>
                <w:rFonts w:hint="eastAsia" w:cs="Times New Roman"/>
                <w:color w:val="000000" w:themeColor="text1"/>
                <w:sz w:val="21"/>
                <w:szCs w:val="20"/>
                <w:highlight w:val="none"/>
                <w:lang w:eastAsia="zh-CN"/>
                <w14:textFill>
                  <w14:solidFill>
                    <w14:schemeClr w14:val="tx1"/>
                  </w14:solidFill>
                </w14:textFill>
              </w:rPr>
              <w:t>、</w:t>
            </w:r>
            <w:r>
              <w:rPr>
                <w:rFonts w:hint="eastAsia" w:cs="Times New Roman"/>
                <w:color w:val="000000" w:themeColor="text1"/>
                <w:sz w:val="21"/>
                <w:szCs w:val="20"/>
                <w:highlight w:val="none"/>
                <w:lang w:val="en-US" w:eastAsia="zh-CN"/>
                <w14:textFill>
                  <w14:solidFill>
                    <w14:schemeClr w14:val="tx1"/>
                  </w14:solidFill>
                </w14:textFill>
              </w:rPr>
              <w:t>噪声</w:t>
            </w:r>
            <w:r>
              <w:rPr>
                <w:rFonts w:hint="default" w:cs="Times New Roman"/>
                <w:color w:val="000000" w:themeColor="text1"/>
                <w:sz w:val="21"/>
                <w:szCs w:val="20"/>
                <w:highlight w:val="none"/>
                <w14:textFill>
                  <w14:solidFill>
                    <w14:schemeClr w14:val="tx1"/>
                  </w14:solidFill>
                </w14:textFill>
              </w:rPr>
              <w:t>等</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井口方井</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r>
              <w:rPr>
                <w:rFonts w:hint="eastAsia" w:cs="Times New Roman"/>
                <w:color w:val="000000" w:themeColor="text1"/>
                <w:sz w:val="21"/>
                <w:szCs w:val="20"/>
                <w:highlight w:val="none"/>
                <w:lang w:eastAsia="zh-CN"/>
                <w14:textFill>
                  <w14:solidFill>
                    <w14:schemeClr w14:val="tx1"/>
                  </w14:solidFill>
                </w14:textFill>
              </w:rPr>
              <w:t>2口方井</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设备、设施基础</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采用ZJ70钻机设备，共计1套，井架基础以粘土层为持力层，以C25钢筋混凝土基础，</w:t>
            </w:r>
            <w:r>
              <w:rPr>
                <w:rFonts w:hint="eastAsia" w:cs="Times New Roman"/>
                <w:color w:val="000000" w:themeColor="text1"/>
                <w:sz w:val="21"/>
                <w:szCs w:val="20"/>
                <w:highlight w:val="none"/>
                <w:lang w:val="en-US" w:eastAsia="zh-CN"/>
                <w14:textFill>
                  <w14:solidFill>
                    <w14:schemeClr w14:val="tx1"/>
                  </w14:solidFill>
                </w14:textFill>
              </w:rPr>
              <w:t>一般</w:t>
            </w:r>
            <w:r>
              <w:rPr>
                <w:rFonts w:hint="default" w:cs="Times New Roman"/>
                <w:color w:val="000000" w:themeColor="text1"/>
                <w:sz w:val="21"/>
                <w:szCs w:val="20"/>
                <w:highlight w:val="none"/>
                <w14:textFill>
                  <w14:solidFill>
                    <w14:schemeClr w14:val="tx1"/>
                  </w14:solidFill>
                </w14:textFill>
              </w:rPr>
              <w:t>防渗处理</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放喷池</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eastAsia="zh-CN"/>
                <w14:textFill>
                  <w14:solidFill>
                    <w14:schemeClr w14:val="tx1"/>
                  </w14:solidFill>
                </w14:textFill>
              </w:rPr>
              <w:t>依托放喷池1座</w:t>
            </w:r>
            <w:r>
              <w:rPr>
                <w:rFonts w:hint="default" w:cs="Times New Roman"/>
                <w:color w:val="000000" w:themeColor="text1"/>
                <w:sz w:val="21"/>
                <w:szCs w:val="20"/>
                <w:highlight w:val="none"/>
                <w14:textFill>
                  <w14:solidFill>
                    <w14:schemeClr w14:val="tx1"/>
                  </w14:solidFill>
                </w14:textFill>
              </w:rPr>
              <w:t>，尺寸为1</w:t>
            </w:r>
            <w:r>
              <w:rPr>
                <w:rFonts w:hint="eastAsia" w:cs="Times New Roman"/>
                <w:color w:val="000000" w:themeColor="text1"/>
                <w:sz w:val="21"/>
                <w:szCs w:val="20"/>
                <w:highlight w:val="none"/>
                <w:lang w:val="en-US" w:eastAsia="zh-CN"/>
                <w14:textFill>
                  <w14:solidFill>
                    <w14:schemeClr w14:val="tx1"/>
                  </w14:solidFill>
                </w14:textFill>
              </w:rPr>
              <w:t>0</w:t>
            </w:r>
            <w:r>
              <w:rPr>
                <w:rFonts w:hint="default" w:cs="Times New Roman"/>
                <w:color w:val="000000" w:themeColor="text1"/>
                <w:sz w:val="21"/>
                <w:szCs w:val="20"/>
                <w:highlight w:val="none"/>
                <w14:textFill>
                  <w14:solidFill>
                    <w14:schemeClr w14:val="tx1"/>
                  </w14:solidFill>
                </w14:textFill>
              </w:rPr>
              <w:t>m×20m×</w:t>
            </w:r>
            <w:r>
              <w:rPr>
                <w:rFonts w:hint="eastAsia" w:cs="Times New Roman"/>
                <w:color w:val="000000" w:themeColor="text1"/>
                <w:sz w:val="21"/>
                <w:szCs w:val="20"/>
                <w:highlight w:val="none"/>
                <w:lang w:val="en-US" w:eastAsia="zh-CN"/>
                <w14:textFill>
                  <w14:solidFill>
                    <w14:schemeClr w14:val="tx1"/>
                  </w14:solidFill>
                </w14:textFill>
              </w:rPr>
              <w:t>1.5</w:t>
            </w:r>
            <w:r>
              <w:rPr>
                <w:rFonts w:hint="default" w:cs="Times New Roman"/>
                <w:color w:val="000000" w:themeColor="text1"/>
                <w:sz w:val="21"/>
                <w:szCs w:val="20"/>
                <w:highlight w:val="none"/>
                <w14:textFill>
                  <w14:solidFill>
                    <w14:schemeClr w14:val="tx1"/>
                  </w14:solidFill>
                </w14:textFill>
              </w:rPr>
              <w:t>m，容积为</w:t>
            </w:r>
            <w:r>
              <w:rPr>
                <w:rFonts w:hint="eastAsia" w:cs="Times New Roman"/>
                <w:color w:val="000000" w:themeColor="text1"/>
                <w:sz w:val="21"/>
                <w:szCs w:val="20"/>
                <w:highlight w:val="none"/>
                <w:lang w:val="en-US" w:eastAsia="zh-CN"/>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00m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，用于测试放喷，池内重点防渗。</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清水池</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依托清水池1座</w:t>
            </w:r>
            <w:r>
              <w:rPr>
                <w:rFonts w:hint="eastAsia" w:cs="Times New Roman"/>
                <w:color w:val="000000" w:themeColor="text1"/>
                <w:sz w:val="21"/>
                <w:szCs w:val="20"/>
                <w:highlight w:val="none"/>
                <w:lang w:eastAsia="zh-CN"/>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尺寸为1</w:t>
            </w:r>
            <w:r>
              <w:rPr>
                <w:rFonts w:hint="eastAsia" w:cs="Times New Roman"/>
                <w:color w:val="000000" w:themeColor="text1"/>
                <w:sz w:val="21"/>
                <w:szCs w:val="20"/>
                <w:highlight w:val="none"/>
                <w:lang w:val="en-US" w:eastAsia="zh-CN"/>
                <w14:textFill>
                  <w14:solidFill>
                    <w14:schemeClr w14:val="tx1"/>
                  </w14:solidFill>
                </w14:textFill>
              </w:rPr>
              <w:t>5</w:t>
            </w:r>
            <w:r>
              <w:rPr>
                <w:rFonts w:hint="default" w:cs="Times New Roman"/>
                <w:color w:val="000000" w:themeColor="text1"/>
                <w:sz w:val="21"/>
                <w:szCs w:val="20"/>
                <w:highlight w:val="none"/>
                <w14:textFill>
                  <w14:solidFill>
                    <w14:schemeClr w14:val="tx1"/>
                  </w14:solidFill>
                </w14:textFill>
              </w:rPr>
              <w:t>m×20m×</w:t>
            </w:r>
            <w:r>
              <w:rPr>
                <w:rFonts w:hint="eastAsia" w:cs="Times New Roman"/>
                <w:color w:val="000000" w:themeColor="text1"/>
                <w:sz w:val="21"/>
                <w:szCs w:val="20"/>
                <w:highlight w:val="none"/>
                <w:lang w:val="en-US" w:eastAsia="zh-CN"/>
                <w14:textFill>
                  <w14:solidFill>
                    <w14:schemeClr w14:val="tx1"/>
                  </w14:solidFill>
                </w14:textFill>
              </w:rPr>
              <w:t>2.0</w:t>
            </w:r>
            <w:r>
              <w:rPr>
                <w:rFonts w:hint="default" w:cs="Times New Roman"/>
                <w:color w:val="000000" w:themeColor="text1"/>
                <w:sz w:val="21"/>
                <w:szCs w:val="20"/>
                <w:highlight w:val="none"/>
                <w14:textFill>
                  <w14:solidFill>
                    <w14:schemeClr w14:val="tx1"/>
                  </w14:solidFill>
                </w14:textFill>
              </w:rPr>
              <w:t>m，</w:t>
            </w:r>
            <w:r>
              <w:rPr>
                <w:rFonts w:hint="eastAsia" w:cs="Times New Roman"/>
                <w:color w:val="000000" w:themeColor="text1"/>
                <w:sz w:val="21"/>
                <w:szCs w:val="20"/>
                <w:highlight w:val="none"/>
                <w:lang w:val="en-US" w:eastAsia="zh-CN"/>
                <w14:textFill>
                  <w14:solidFill>
                    <w14:schemeClr w14:val="tx1"/>
                  </w14:solidFill>
                </w14:textFill>
              </w:rPr>
              <w:t>容积为6</w:t>
            </w:r>
            <w:r>
              <w:rPr>
                <w:rFonts w:hint="default" w:cs="Times New Roman"/>
                <w:color w:val="000000" w:themeColor="text1"/>
                <w:sz w:val="21"/>
                <w:szCs w:val="20"/>
                <w:highlight w:val="none"/>
                <w14:textFill>
                  <w14:solidFill>
                    <w14:schemeClr w14:val="tx1"/>
                  </w14:solidFill>
                </w14:textFill>
              </w:rPr>
              <w:t>00</w:t>
            </w:r>
            <w:r>
              <w:rPr>
                <w:rFonts w:hint="eastAsia" w:cs="Times New Roman"/>
                <w:color w:val="000000" w:themeColor="text1"/>
                <w:sz w:val="21"/>
                <w:szCs w:val="20"/>
                <w:highlight w:val="none"/>
                <w14:textFill>
                  <w14:solidFill>
                    <w14:schemeClr w14:val="tx1"/>
                  </w14:solidFill>
                </w14:textFill>
              </w:rPr>
              <w:t>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w:t>
            </w:r>
            <w:r>
              <w:rPr>
                <w:rFonts w:hint="eastAsia" w:cs="Times New Roman"/>
                <w:color w:val="000000" w:themeColor="text1"/>
                <w:sz w:val="21"/>
                <w:szCs w:val="20"/>
                <w:highlight w:val="none"/>
                <w14:textFill>
                  <w14:solidFill>
                    <w14:schemeClr w14:val="tx1"/>
                  </w14:solidFill>
                </w14:textFill>
              </w:rPr>
              <w:t>池内一般防渗</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3"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钻井作业</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钻井工程采用ZJ70</w:t>
            </w:r>
            <w:r>
              <w:rPr>
                <w:rFonts w:hint="eastAsia" w:ascii="Times New Roman" w:hAnsi="Times New Roman" w:eastAsia="宋体" w:cs="Times New Roman"/>
                <w:color w:val="000000" w:themeColor="text1"/>
                <w:sz w:val="21"/>
                <w:szCs w:val="20"/>
                <w:highlight w:val="none"/>
                <w14:textFill>
                  <w14:solidFill>
                    <w14:schemeClr w14:val="tx1"/>
                  </w14:solidFill>
                </w14:textFill>
              </w:rPr>
              <w:t>型钻机，本次</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0"/>
                <w:highlight w:val="none"/>
                <w14:textFill>
                  <w14:solidFill>
                    <w14:schemeClr w14:val="tx1"/>
                  </w14:solidFill>
                </w14:textFill>
              </w:rPr>
              <w:t>口井钻井深度为</w:t>
            </w:r>
            <w:r>
              <w:rPr>
                <w:rFonts w:hint="eastAsia" w:cs="Times New Roman"/>
                <w:color w:val="000000" w:themeColor="text1"/>
                <w:sz w:val="21"/>
                <w:szCs w:val="20"/>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米</w:t>
            </w:r>
            <w:r>
              <w:rPr>
                <w:rFonts w:hint="eastAsia" w:ascii="Times New Roman" w:hAnsi="Times New Roman" w:eastAsia="宋体" w:cs="Times New Roman"/>
                <w:color w:val="000000" w:themeColor="text1"/>
                <w:sz w:val="21"/>
                <w:szCs w:val="20"/>
                <w:highlight w:val="none"/>
                <w14:textFill>
                  <w14:solidFill>
                    <w14:schemeClr w14:val="tx1"/>
                  </w14:solidFill>
                </w14:textFill>
              </w:rPr>
              <w:t>，本工程</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优先选用清水或水基钻井液</w:t>
            </w:r>
            <w:r>
              <w:rPr>
                <w:rFonts w:hint="eastAsia" w:cs="Times New Roman"/>
                <w:color w:val="000000" w:themeColor="text1"/>
                <w:sz w:val="21"/>
                <w:szCs w:val="20"/>
                <w:highlight w:val="none"/>
                <w:lang w:val="en-US" w:eastAsia="zh-CN"/>
                <w14:textFill>
                  <w14:solidFill>
                    <w14:schemeClr w14:val="tx1"/>
                  </w14:solidFill>
                </w14:textFill>
              </w:rPr>
              <w:t>体系，三开段采用油基钻井</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钻井废水及</w:t>
            </w:r>
            <w:r>
              <w:rPr>
                <w:rFonts w:hint="default" w:cs="Times New Roman"/>
                <w:color w:val="000000" w:themeColor="text1"/>
                <w:sz w:val="21"/>
                <w:szCs w:val="20"/>
                <w:highlight w:val="none"/>
                <w14:textFill>
                  <w14:solidFill>
                    <w14:schemeClr w14:val="tx1"/>
                  </w14:solidFill>
                </w14:textFill>
              </w:rPr>
              <w:t>员工生活污水；岩屑及废泥浆、员工生活垃圾；钻井设备噪声</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储层改造工程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洗井、压裂</w:t>
            </w:r>
            <w:r>
              <w:rPr>
                <w:rFonts w:hint="default" w:cs="Times New Roman"/>
                <w:color w:val="000000" w:themeColor="text1"/>
                <w:sz w:val="21"/>
                <w:szCs w:val="20"/>
                <w:highlight w:val="none"/>
                <w14:textFill>
                  <w14:solidFill>
                    <w14:schemeClr w14:val="tx1"/>
                  </w14:solidFill>
                </w14:textFill>
              </w:rPr>
              <w:t>测试作业</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洗井作业、压裂酸化作业、放喷测试</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测试产生废气、放喷气流噪声，洗井废水、酸化废水</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油气集输工程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试采站</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钻井</w:t>
            </w:r>
            <w:r>
              <w:rPr>
                <w:rFonts w:hint="default" w:cs="Times New Roman"/>
                <w:color w:val="000000" w:themeColor="text1"/>
                <w:sz w:val="21"/>
                <w:szCs w:val="24"/>
                <w:highlight w:val="none"/>
                <w14:textFill>
                  <w14:solidFill>
                    <w14:schemeClr w14:val="tx1"/>
                  </w14:solidFill>
                </w14:textFill>
              </w:rPr>
              <w:t>完毕后，通过测试并获得天然气产量后，</w:t>
            </w:r>
            <w:r>
              <w:rPr>
                <w:rFonts w:hint="eastAsia" w:cs="Times New Roman"/>
                <w:color w:val="000000" w:themeColor="text1"/>
                <w:sz w:val="21"/>
                <w:szCs w:val="24"/>
                <w:highlight w:val="none"/>
                <w:lang w:eastAsia="zh-CN"/>
                <w14:textFill>
                  <w14:solidFill>
                    <w14:schemeClr w14:val="tx1"/>
                  </w14:solidFill>
                </w14:textFill>
              </w:rPr>
              <w:t>在现有雷页1试采站内新1套地面集输流程，井口来气通过管道输送至雷页1试采站，再经除砂、加热、节流、单井混相计量、脱水后通过已建雷页1井至毛达线魏兴站的管线实现外输，采出水储存后装车外运，配套电力、通信、自控等设施</w:t>
            </w:r>
            <w:r>
              <w:rPr>
                <w:rFonts w:hint="default" w:cs="Times New Roman"/>
                <w:color w:val="000000" w:themeColor="text1"/>
                <w:sz w:val="21"/>
                <w:szCs w:val="24"/>
                <w:highlight w:val="none"/>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施工期：</w:t>
            </w:r>
            <w:r>
              <w:rPr>
                <w:rFonts w:hint="default" w:cs="Times New Roman"/>
                <w:color w:val="000000" w:themeColor="text1"/>
                <w:sz w:val="21"/>
                <w:szCs w:val="20"/>
                <w:highlight w:val="none"/>
                <w14:textFill>
                  <w14:solidFill>
                    <w14:schemeClr w14:val="tx1"/>
                  </w14:solidFill>
                </w14:textFill>
              </w:rPr>
              <w:t>新增水土流失</w:t>
            </w:r>
            <w:r>
              <w:rPr>
                <w:rFonts w:hint="eastAsia" w:cs="Times New Roman"/>
                <w:color w:val="000000" w:themeColor="text1"/>
                <w:sz w:val="21"/>
                <w:szCs w:val="20"/>
                <w:highlight w:val="none"/>
                <w14:textFill>
                  <w14:solidFill>
                    <w14:schemeClr w14:val="tx1"/>
                  </w14:solidFill>
                </w14:textFill>
              </w:rPr>
              <w:t>、植被破坏、扬尘、废水、噪声、固废</w:t>
            </w:r>
            <w:r>
              <w:rPr>
                <w:rFonts w:hint="default" w:cs="Times New Roman"/>
                <w:color w:val="000000" w:themeColor="text1"/>
                <w:sz w:val="21"/>
                <w:szCs w:val="20"/>
                <w:highlight w:val="none"/>
                <w14:textFill>
                  <w14:solidFill>
                    <w14:schemeClr w14:val="tx1"/>
                  </w14:solidFill>
                </w14:textFill>
              </w:rPr>
              <w:t>、环境风险</w:t>
            </w:r>
            <w:r>
              <w:rPr>
                <w:rFonts w:hint="eastAsia" w:cs="Times New Roman"/>
                <w:color w:val="000000" w:themeColor="text1"/>
                <w:sz w:val="21"/>
                <w:szCs w:val="20"/>
                <w:highlight w:val="none"/>
                <w14:textFill>
                  <w14:solidFill>
                    <w14:schemeClr w14:val="tx1"/>
                  </w14:solidFill>
                </w14:textFill>
              </w:rPr>
              <w:t>等；</w:t>
            </w:r>
          </w:p>
          <w:p>
            <w:pPr>
              <w:keepNext w:val="0"/>
              <w:keepLines w:val="0"/>
              <w:suppressLineNumbers w:val="0"/>
              <w:spacing w:before="0" w:beforeAutospacing="0" w:after="0" w:afterAutospacing="0" w:line="240" w:lineRule="auto"/>
              <w:ind w:left="0" w:right="0" w:firstLine="0" w:firstLineChars="0"/>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eastAsia="zh-CN"/>
                <w14:textFill>
                  <w14:solidFill>
                    <w14:schemeClr w14:val="tx1"/>
                  </w14:solidFill>
                </w14:textFill>
              </w:rPr>
              <w:t>试采期</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废气、废水、噪声、环境风险</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外输</w:t>
            </w:r>
            <w:r>
              <w:rPr>
                <w:rFonts w:hint="eastAsia" w:cs="Times New Roman"/>
                <w:color w:val="000000" w:themeColor="text1"/>
                <w:sz w:val="21"/>
                <w:szCs w:val="20"/>
                <w:highlight w:val="none"/>
                <w14:textFill>
                  <w14:solidFill>
                    <w14:schemeClr w14:val="tx1"/>
                  </w14:solidFill>
                </w14:textFill>
              </w:rPr>
              <w:t>管线</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本工程新建</w:t>
            </w:r>
            <w:r>
              <w:rPr>
                <w:rFonts w:hint="eastAsia" w:cs="Times New Roman"/>
                <w:color w:val="000000" w:themeColor="text1"/>
                <w:sz w:val="21"/>
                <w:szCs w:val="20"/>
                <w:highlight w:val="none"/>
                <w:lang w:eastAsia="zh-CN"/>
                <w14:textFill>
                  <w14:solidFill>
                    <w14:schemeClr w14:val="tx1"/>
                  </w14:solidFill>
                </w14:textFill>
              </w:rPr>
              <w:t>雷页1试验井组</w:t>
            </w:r>
            <w:r>
              <w:rPr>
                <w:rFonts w:hint="eastAsia" w:cs="Times New Roman"/>
                <w:color w:val="000000" w:themeColor="text1"/>
                <w:sz w:val="21"/>
                <w:szCs w:val="20"/>
                <w:highlight w:val="none"/>
                <w14:textFill>
                  <w14:solidFill>
                    <w14:schemeClr w14:val="tx1"/>
                  </w14:solidFill>
                </w14:textFill>
              </w:rPr>
              <w:t>试采站</w:t>
            </w:r>
            <w:r>
              <w:rPr>
                <w:rFonts w:hint="eastAsia" w:cs="Times New Roman"/>
                <w:color w:val="000000" w:themeColor="text1"/>
                <w:sz w:val="21"/>
                <w:szCs w:val="20"/>
                <w:highlight w:val="none"/>
                <w:lang w:eastAsia="zh-CN"/>
                <w14:textFill>
                  <w14:solidFill>
                    <w14:schemeClr w14:val="tx1"/>
                  </w14:solidFill>
                </w14:textFill>
              </w:rPr>
              <w:t>～雷页1试采站</w:t>
            </w:r>
            <w:r>
              <w:rPr>
                <w:rFonts w:hint="eastAsia" w:cs="Times New Roman"/>
                <w:color w:val="000000" w:themeColor="text1"/>
                <w:sz w:val="21"/>
                <w:szCs w:val="20"/>
                <w:highlight w:val="none"/>
                <w14:textFill>
                  <w14:solidFill>
                    <w14:schemeClr w14:val="tx1"/>
                  </w14:solidFill>
                </w14:textFill>
              </w:rPr>
              <w:t>之间的</w:t>
            </w:r>
            <w:r>
              <w:rPr>
                <w:rFonts w:hint="eastAsia" w:cs="Times New Roman"/>
                <w:color w:val="000000" w:themeColor="text1"/>
                <w:sz w:val="21"/>
                <w:szCs w:val="20"/>
                <w:highlight w:val="none"/>
                <w:lang w:val="en-US" w:eastAsia="zh-CN"/>
                <w14:textFill>
                  <w14:solidFill>
                    <w14:schemeClr w14:val="tx1"/>
                  </w14:solidFill>
                </w14:textFill>
              </w:rPr>
              <w:t>天然气</w:t>
            </w:r>
            <w:r>
              <w:rPr>
                <w:rFonts w:hint="eastAsia" w:cs="Times New Roman"/>
                <w:color w:val="000000" w:themeColor="text1"/>
                <w:sz w:val="21"/>
                <w:szCs w:val="20"/>
                <w:highlight w:val="none"/>
                <w14:textFill>
                  <w14:solidFill>
                    <w14:schemeClr w14:val="tx1"/>
                  </w14:solidFill>
                </w14:textFill>
              </w:rPr>
              <w:t>管道1条，</w:t>
            </w:r>
            <w:r>
              <w:rPr>
                <w:rFonts w:hint="eastAsia" w:cs="Times New Roman"/>
                <w:color w:val="000000" w:themeColor="text1"/>
                <w:sz w:val="21"/>
                <w:szCs w:val="20"/>
                <w:highlight w:val="none"/>
                <w:lang w:val="en-US" w:eastAsia="zh-CN"/>
                <w14:textFill>
                  <w14:solidFill>
                    <w14:schemeClr w14:val="tx1"/>
                  </w14:solidFill>
                </w14:textFill>
              </w:rPr>
              <w:t>管道长度140m，管线规格DN65，材质为Q345，设计压力6.9MPa，埋深1.2m</w:t>
            </w:r>
            <w:r>
              <w:rPr>
                <w:rFonts w:hint="eastAsia" w:cs="Times New Roman"/>
                <w:color w:val="000000" w:themeColor="text1"/>
                <w:sz w:val="21"/>
                <w:szCs w:val="20"/>
                <w:highlight w:val="none"/>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施工期：</w:t>
            </w:r>
            <w:r>
              <w:rPr>
                <w:rFonts w:hint="default" w:cs="Times New Roman"/>
                <w:color w:val="000000" w:themeColor="text1"/>
                <w:sz w:val="21"/>
                <w:szCs w:val="20"/>
                <w:highlight w:val="none"/>
                <w14:textFill>
                  <w14:solidFill>
                    <w14:schemeClr w14:val="tx1"/>
                  </w14:solidFill>
                </w14:textFill>
              </w:rPr>
              <w:t>新增水土流失</w:t>
            </w:r>
            <w:r>
              <w:rPr>
                <w:rFonts w:hint="eastAsia" w:cs="Times New Roman"/>
                <w:color w:val="000000" w:themeColor="text1"/>
                <w:sz w:val="21"/>
                <w:szCs w:val="20"/>
                <w:highlight w:val="none"/>
                <w14:textFill>
                  <w14:solidFill>
                    <w14:schemeClr w14:val="tx1"/>
                  </w14:solidFill>
                </w14:textFill>
              </w:rPr>
              <w:t>、植被破坏、扬尘、废水、噪声、固废</w:t>
            </w:r>
            <w:r>
              <w:rPr>
                <w:rFonts w:hint="default" w:cs="Times New Roman"/>
                <w:color w:val="000000" w:themeColor="text1"/>
                <w:sz w:val="21"/>
                <w:szCs w:val="20"/>
                <w:highlight w:val="none"/>
                <w14:textFill>
                  <w14:solidFill>
                    <w14:schemeClr w14:val="tx1"/>
                  </w14:solidFill>
                </w14:textFill>
              </w:rPr>
              <w:t>、环境风险</w:t>
            </w:r>
            <w:r>
              <w:rPr>
                <w:rFonts w:hint="eastAsia" w:cs="Times New Roman"/>
                <w:color w:val="000000" w:themeColor="text1"/>
                <w:sz w:val="21"/>
                <w:szCs w:val="20"/>
                <w:highlight w:val="none"/>
                <w14:textFill>
                  <w14:solidFill>
                    <w14:schemeClr w14:val="tx1"/>
                  </w14:solidFill>
                </w14:textFill>
              </w:rPr>
              <w:t>等；</w:t>
            </w:r>
          </w:p>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eastAsia="zh-CN"/>
                <w14:textFill>
                  <w14:solidFill>
                    <w14:schemeClr w14:val="tx1"/>
                  </w14:solidFill>
                </w14:textFill>
              </w:rPr>
              <w:t>试采期</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环境风险</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辅助工程</w:t>
            </w:r>
          </w:p>
        </w:tc>
        <w:tc>
          <w:tcPr>
            <w:tcW w:w="83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钻前工程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生活区</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14:textFill>
                  <w14:solidFill>
                    <w14:schemeClr w14:val="tx1"/>
                  </w14:solidFill>
                </w14:textFill>
              </w:rPr>
              <w:t>钻前工程</w:t>
            </w:r>
            <w:r>
              <w:rPr>
                <w:rFonts w:hint="default" w:cs="Times New Roman"/>
                <w:color w:val="000000" w:themeColor="text1"/>
                <w:sz w:val="21"/>
                <w:szCs w:val="21"/>
                <w:highlight w:val="none"/>
                <w14:textFill>
                  <w14:solidFill>
                    <w14:schemeClr w14:val="tx1"/>
                  </w14:solidFill>
                </w14:textFill>
              </w:rPr>
              <w:t>不设置生活区，施工人员租住附近居民房屋</w:t>
            </w:r>
            <w:r>
              <w:rPr>
                <w:rFonts w:hint="eastAsia" w:cs="Times New Roman"/>
                <w:color w:val="000000" w:themeColor="text1"/>
                <w:sz w:val="21"/>
                <w:szCs w:val="21"/>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水土流失</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施工扬尘、废水和施工人员生活污水、生活垃圾</w:t>
            </w:r>
            <w:r>
              <w:rPr>
                <w:rFonts w:hint="eastAsia" w:cs="Times New Roman"/>
                <w:color w:val="000000" w:themeColor="text1"/>
                <w:sz w:val="21"/>
                <w:szCs w:val="20"/>
                <w:highlight w:val="none"/>
                <w:lang w:eastAsia="zh-CN"/>
                <w14:textFill>
                  <w14:solidFill>
                    <w14:schemeClr w14:val="tx1"/>
                  </w14:solidFill>
                </w14:textFill>
              </w:rPr>
              <w:t>、</w:t>
            </w:r>
            <w:r>
              <w:rPr>
                <w:rFonts w:hint="eastAsia" w:cs="Times New Roman"/>
                <w:color w:val="000000" w:themeColor="text1"/>
                <w:sz w:val="21"/>
                <w:szCs w:val="20"/>
                <w:highlight w:val="none"/>
                <w:lang w:val="en-US" w:eastAsia="zh-CN"/>
                <w14:textFill>
                  <w14:solidFill>
                    <w14:schemeClr w14:val="tx1"/>
                  </w14:solidFill>
                </w14:textFill>
              </w:rPr>
              <w:t>噪声</w:t>
            </w:r>
            <w:r>
              <w:rPr>
                <w:rFonts w:hint="default" w:cs="Times New Roman"/>
                <w:color w:val="000000" w:themeColor="text1"/>
                <w:sz w:val="21"/>
                <w:szCs w:val="20"/>
                <w:highlight w:val="none"/>
                <w14:textFill>
                  <w14:solidFill>
                    <w14:schemeClr w14:val="tx1"/>
                  </w14:solidFill>
                </w14:textFill>
              </w:rPr>
              <w:t>等</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钻井工程、储层改造工程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泥浆循环系统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含振动筛、除砂器、离心机、液气分离器、除泥砂除泥一体机、除气器等装置，及5个40m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/个循环罐组成</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设备噪声、岩屑、废泥浆、废水</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网电钻机系统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台</w:t>
            </w:r>
            <w:r>
              <w:rPr>
                <w:rFonts w:hint="eastAsia" w:cs="Times New Roman"/>
                <w:color w:val="000000" w:themeColor="text1"/>
                <w:sz w:val="21"/>
                <w:szCs w:val="20"/>
                <w:highlight w:val="none"/>
                <w:lang w:eastAsia="zh-CN"/>
                <w14:textFill>
                  <w14:solidFill>
                    <w14:schemeClr w14:val="tx1"/>
                  </w14:solidFill>
                </w14:textFill>
              </w:rPr>
              <w:t>1320</w:t>
            </w:r>
            <w:r>
              <w:rPr>
                <w:rFonts w:hint="default" w:cs="Times New Roman"/>
                <w:color w:val="000000" w:themeColor="text1"/>
                <w:sz w:val="21"/>
                <w:szCs w:val="20"/>
                <w:highlight w:val="none"/>
                <w14:textFill>
                  <w14:solidFill>
                    <w14:schemeClr w14:val="tx1"/>
                  </w14:solidFill>
                </w14:textFill>
              </w:rPr>
              <w:t>kW电动化机组</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噪声</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备用发电机</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400kW功率柴油机</w:t>
            </w:r>
            <w:r>
              <w:rPr>
                <w:rFonts w:hint="eastAsia" w:cs="Times New Roman"/>
                <w:color w:val="000000" w:themeColor="text1"/>
                <w:sz w:val="21"/>
                <w:szCs w:val="20"/>
                <w:highlight w:val="none"/>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台</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废气、噪声</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清洁生产操作平台</w:t>
            </w:r>
            <w:r>
              <w:rPr>
                <w:rFonts w:hint="eastAsia" w:cs="Times New Roman"/>
                <w:color w:val="000000" w:themeColor="text1"/>
                <w:sz w:val="21"/>
                <w:szCs w:val="20"/>
                <w:highlight w:val="none"/>
                <w14:textFill>
                  <w14:solidFill>
                    <w14:schemeClr w14:val="tx1"/>
                  </w14:solidFill>
                </w14:textFill>
              </w:rPr>
              <w:t>1座</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40m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废水罐4个（位于清洁化操作平台废水处理区，分为1个隔油罐、2个沉淀罐、1个回用罐）</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20m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岩屑固化罐4个（位于清洁化操作平台储备罐区）</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3m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岩屑收集罐8个（位于清洁化操作平台储备罐区）</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化学品存放区</w:t>
            </w:r>
            <w:r>
              <w:rPr>
                <w:rFonts w:hint="eastAsia" w:cs="Times New Roman"/>
                <w:color w:val="000000" w:themeColor="text1"/>
                <w:sz w:val="21"/>
                <w:szCs w:val="20"/>
                <w:highlight w:val="none"/>
                <w:lang w:eastAsia="zh-CN"/>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固化材料堆放棚（位于材料区），主要摆放固化材料、水处理药剂等</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用于暂存钻井泥浆、洗井作业、酸化作业废水，若处置不当或者发生泄漏现象，导致土壤、植被破坏以及地下水、地表水等污染</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放喷池及放喷管线</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利旧</w:t>
            </w:r>
            <w:r>
              <w:rPr>
                <w:rFonts w:hint="default" w:cs="Times New Roman"/>
                <w:color w:val="000000" w:themeColor="text1"/>
                <w:sz w:val="21"/>
                <w:szCs w:val="20"/>
                <w:highlight w:val="none"/>
                <w14:textFill>
                  <w14:solidFill>
                    <w14:schemeClr w14:val="tx1"/>
                  </w14:solidFill>
                </w14:textFill>
              </w:rPr>
              <w:t>300m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放喷池</w:t>
            </w:r>
            <w:r>
              <w:rPr>
                <w:rFonts w:hint="eastAsia" w:cs="Times New Roman"/>
                <w:color w:val="000000" w:themeColor="text1"/>
                <w:sz w:val="21"/>
                <w:szCs w:val="20"/>
                <w:highlight w:val="none"/>
                <w:lang w:val="en-US" w:eastAsia="zh-CN"/>
                <w14:textFill>
                  <w14:solidFill>
                    <w14:schemeClr w14:val="tx1"/>
                  </w14:solidFill>
                </w14:textFill>
              </w:rPr>
              <w:t>1</w:t>
            </w:r>
            <w:r>
              <w:rPr>
                <w:rFonts w:hint="default" w:cs="Times New Roman"/>
                <w:color w:val="000000" w:themeColor="text1"/>
                <w:sz w:val="21"/>
                <w:szCs w:val="20"/>
                <w:highlight w:val="none"/>
                <w14:textFill>
                  <w14:solidFill>
                    <w14:schemeClr w14:val="tx1"/>
                  </w14:solidFill>
                </w14:textFill>
              </w:rPr>
              <w:t>座，放喷管使用双四通、二条放喷管线。</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放喷废气、燃烧热辐射</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放喷点火系统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自动、手动点火装置各1套</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生活垃圾箱</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井场区域设1个</w:t>
            </w:r>
            <w:r>
              <w:rPr>
                <w:rFonts w:hint="eastAsia" w:cs="Times New Roman"/>
                <w:color w:val="000000" w:themeColor="text1"/>
                <w:sz w:val="21"/>
                <w:szCs w:val="20"/>
                <w:highlight w:val="none"/>
                <w:lang w:eastAsia="zh-CN" w:bidi="ar"/>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油罐区隔油池</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混凝土结构，2个</w:t>
            </w:r>
            <w:r>
              <w:rPr>
                <w:rFonts w:hint="eastAsia" w:cs="Times New Roman"/>
                <w:color w:val="000000" w:themeColor="text1"/>
                <w:sz w:val="21"/>
                <w:szCs w:val="20"/>
                <w:highlight w:val="none"/>
                <w:lang w:bidi="ar"/>
                <w14:textFill>
                  <w14:solidFill>
                    <w14:schemeClr w14:val="tx1"/>
                  </w14:solidFill>
                </w14:textFill>
              </w:rPr>
              <w:t>，单个容积</w:t>
            </w:r>
            <w:r>
              <w:rPr>
                <w:rFonts w:hint="default" w:cs="Times New Roman"/>
                <w:color w:val="000000" w:themeColor="text1"/>
                <w:sz w:val="21"/>
                <w:szCs w:val="20"/>
                <w:highlight w:val="none"/>
                <w:lang w:bidi="ar"/>
                <w14:textFill>
                  <w14:solidFill>
                    <w14:schemeClr w14:val="tx1"/>
                  </w14:solidFill>
                </w14:textFill>
              </w:rPr>
              <w:t>1m</w:t>
            </w:r>
            <w:r>
              <w:rPr>
                <w:rFonts w:hint="default" w:cs="Times New Roman"/>
                <w:color w:val="000000" w:themeColor="text1"/>
                <w:sz w:val="21"/>
                <w:szCs w:val="20"/>
                <w:highlight w:val="none"/>
                <w:vertAlign w:val="superscript"/>
                <w:lang w:bidi="ar"/>
                <w14:textFill>
                  <w14:solidFill>
                    <w14:schemeClr w14:val="tx1"/>
                  </w14:solidFill>
                </w14:textFill>
              </w:rPr>
              <w:t>3</w:t>
            </w:r>
            <w:r>
              <w:rPr>
                <w:rFonts w:hint="eastAsia" w:cs="Times New Roman"/>
                <w:color w:val="000000" w:themeColor="text1"/>
                <w:sz w:val="21"/>
                <w:szCs w:val="20"/>
                <w:highlight w:val="none"/>
                <w:vertAlign w:val="baseline"/>
                <w:lang w:eastAsia="zh-CN" w:bidi="ar"/>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4"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油气集输工程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通讯工程</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含光缆线路、光传输系统、工业以太网、站场广播对讲系统（PA/GA）、工业电视监控系统、周界报警系统、办公网及语音系统、气象系统、紧急疏散广播系统扩容、通信基站</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自动控制</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设置RTU系统，安装可燃气体探测器、硫化氢监测装置、摄像头和入侵检测报警装置</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消防系统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场站内配置4具MF/ABC8手提式干粉灭火器和1台MFT/ABC20推车式干粉灭火器</w:t>
            </w:r>
            <w:r>
              <w:rPr>
                <w:rFonts w:hint="eastAsia" w:cs="Times New Roman"/>
                <w:color w:val="000000" w:themeColor="text1"/>
                <w:sz w:val="21"/>
                <w:szCs w:val="20"/>
                <w:highlight w:val="none"/>
                <w14:textFill>
                  <w14:solidFill>
                    <w14:schemeClr w14:val="tx1"/>
                  </w14:solidFill>
                </w14:textFill>
              </w:rPr>
              <w:t>、2具</w:t>
            </w:r>
            <w:r>
              <w:rPr>
                <w:rFonts w:hint="default" w:cs="Times New Roman"/>
                <w:color w:val="000000" w:themeColor="text1"/>
                <w:sz w:val="21"/>
                <w:szCs w:val="20"/>
                <w:highlight w:val="none"/>
                <w14:textFill>
                  <w14:solidFill>
                    <w14:schemeClr w14:val="tx1"/>
                  </w14:solidFill>
                </w14:textFill>
              </w:rPr>
              <w:t>灭火器箱</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XMDDD-42</w:t>
            </w:r>
            <w:r>
              <w:rPr>
                <w:rFonts w:hint="eastAsia" w:cs="Times New Roman"/>
                <w:color w:val="000000" w:themeColor="text1"/>
                <w:sz w:val="21"/>
                <w:szCs w:val="20"/>
                <w:highlight w:val="none"/>
                <w14:textFill>
                  <w14:solidFill>
                    <w14:schemeClr w14:val="tx1"/>
                  </w14:solidFill>
                </w14:textFill>
              </w:rPr>
              <w:t>）</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公用工程</w:t>
            </w:r>
          </w:p>
        </w:tc>
        <w:tc>
          <w:tcPr>
            <w:tcW w:w="83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钻前工程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钻井工程、储层改造工程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给水</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eastAsia" w:ascii="宋体" w:hAnsi="宋体" w:cs="宋体"/>
                <w:color w:val="000000" w:themeColor="text1"/>
                <w:sz w:val="21"/>
                <w:szCs w:val="20"/>
                <w:highlight w:val="none"/>
                <w14:textFill>
                  <w14:solidFill>
                    <w14:schemeClr w14:val="tx1"/>
                  </w14:solidFill>
                </w14:textFill>
              </w:rPr>
              <w:t>①</w:t>
            </w:r>
            <w:r>
              <w:rPr>
                <w:rFonts w:hint="default" w:cs="Times New Roman"/>
                <w:color w:val="000000" w:themeColor="text1"/>
                <w:sz w:val="21"/>
                <w:szCs w:val="20"/>
                <w:highlight w:val="none"/>
                <w14:textFill>
                  <w14:solidFill>
                    <w14:schemeClr w14:val="tx1"/>
                  </w14:solidFill>
                </w14:textFill>
              </w:rPr>
              <w:t>生产用水：采用清洁化生产处理水作为生产用水，不足部分由水罐供给，采用运水车从周边的后河取水，存放于生产水罐中</w:t>
            </w:r>
            <w:r>
              <w:rPr>
                <w:rFonts w:hint="eastAsia" w:cs="Times New Roman"/>
                <w:color w:val="000000" w:themeColor="text1"/>
                <w:sz w:val="21"/>
                <w:szCs w:val="20"/>
                <w:highlight w:val="none"/>
                <w14:textFill>
                  <w14:solidFill>
                    <w14:schemeClr w14:val="tx1"/>
                  </w14:solidFill>
                </w14:textFill>
              </w:rPr>
              <w:t>，取水需严格按照相关主管部门要求办理取水许可</w:t>
            </w:r>
            <w:r>
              <w:rPr>
                <w:rFonts w:hint="default" w:cs="Times New Roman"/>
                <w:color w:val="000000" w:themeColor="text1"/>
                <w:sz w:val="21"/>
                <w:szCs w:val="20"/>
                <w:highlight w:val="none"/>
                <w14:textFill>
                  <w14:solidFill>
                    <w14:schemeClr w14:val="tx1"/>
                  </w14:solidFill>
                </w14:textFill>
              </w:rPr>
              <w:t>；</w:t>
            </w:r>
          </w:p>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ascii="宋体" w:hAnsi="宋体" w:cs="宋体"/>
                <w:color w:val="000000" w:themeColor="text1"/>
                <w:sz w:val="21"/>
                <w:szCs w:val="20"/>
                <w:highlight w:val="none"/>
                <w14:textFill>
                  <w14:solidFill>
                    <w14:schemeClr w14:val="tx1"/>
                  </w14:solidFill>
                </w14:textFill>
              </w:rPr>
              <w:t>②</w:t>
            </w:r>
            <w:r>
              <w:rPr>
                <w:rFonts w:hint="default" w:cs="Times New Roman"/>
                <w:color w:val="000000" w:themeColor="text1"/>
                <w:sz w:val="21"/>
                <w:szCs w:val="20"/>
                <w:highlight w:val="none"/>
                <w14:textFill>
                  <w14:solidFill>
                    <w14:schemeClr w14:val="tx1"/>
                  </w14:solidFill>
                </w14:textFill>
              </w:rPr>
              <w:t>生活用水：车辆拉运桶装水至场地</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场外排水</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边坡坡顶设置截水沟，截水沟与自然水系连通</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场内排水</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修建场内排水沟及隔油池，实现井场范围内清水与污水分流（钻前工程修建）</w:t>
            </w:r>
            <w:r>
              <w:rPr>
                <w:rFonts w:hint="eastAsia" w:cs="Times New Roman"/>
                <w:color w:val="000000" w:themeColor="text1"/>
                <w:sz w:val="21"/>
                <w:szCs w:val="20"/>
                <w:highlight w:val="none"/>
                <w:lang w:eastAsia="zh-CN" w:bidi="ar"/>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渗漏污染土壤、地下水环境</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产污区的</w:t>
            </w:r>
            <w:r>
              <w:rPr>
                <w:rFonts w:hint="eastAsia" w:cs="Times New Roman"/>
                <w:color w:val="000000" w:themeColor="text1"/>
                <w:sz w:val="21"/>
                <w:szCs w:val="20"/>
                <w:highlight w:val="none"/>
                <w:lang w:val="en-US" w:eastAsia="zh-CN" w:bidi="ar"/>
                <w14:textFill>
                  <w14:solidFill>
                    <w14:schemeClr w14:val="tx1"/>
                  </w14:solidFill>
                </w14:textFill>
              </w:rPr>
              <w:t>雨水</w:t>
            </w:r>
            <w:r>
              <w:rPr>
                <w:rFonts w:hint="default" w:cs="Times New Roman"/>
                <w:color w:val="000000" w:themeColor="text1"/>
                <w:sz w:val="21"/>
                <w:szCs w:val="20"/>
                <w:highlight w:val="none"/>
                <w:lang w:bidi="ar"/>
                <w14:textFill>
                  <w14:solidFill>
                    <w14:schemeClr w14:val="tx1"/>
                  </w14:solidFill>
                </w14:textFill>
              </w:rPr>
              <w:t>经集水坑和井口方井集水坑通过泵入</w:t>
            </w:r>
            <w:r>
              <w:rPr>
                <w:rFonts w:hint="default" w:cs="Times New Roman"/>
                <w:color w:val="000000" w:themeColor="text1"/>
                <w:sz w:val="21"/>
                <w:szCs w:val="20"/>
                <w:highlight w:val="none"/>
                <w14:textFill>
                  <w14:solidFill>
                    <w14:schemeClr w14:val="tx1"/>
                  </w14:solidFill>
                </w14:textFill>
              </w:rPr>
              <w:t>清洁生产操作平台废水罐</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井场清洁区雨水通过排水沟和隔油池处理后排入自然水系。排放口出口设置环境监测池</w:t>
            </w:r>
            <w:r>
              <w:rPr>
                <w:rFonts w:hint="eastAsia" w:cs="Times New Roman"/>
                <w:color w:val="000000" w:themeColor="text1"/>
                <w:sz w:val="21"/>
                <w:szCs w:val="20"/>
                <w:highlight w:val="none"/>
                <w:lang w:eastAsia="zh-CN" w:bidi="ar"/>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lang w:bidi="ar"/>
                <w14:textFill>
                  <w14:solidFill>
                    <w14:schemeClr w14:val="tx1"/>
                  </w14:solidFill>
                </w14:textFill>
              </w:rPr>
              <w:t>水罐区雨水排入自然水系。油罐区设置隔油池1座处理</w:t>
            </w:r>
            <w:r>
              <w:rPr>
                <w:rFonts w:hint="eastAsia" w:cs="Times New Roman"/>
                <w:color w:val="000000" w:themeColor="text1"/>
                <w:sz w:val="21"/>
                <w:szCs w:val="20"/>
                <w:highlight w:val="none"/>
                <w:lang w:val="en-US" w:eastAsia="zh-CN" w:bidi="ar"/>
                <w14:textFill>
                  <w14:solidFill>
                    <w14:schemeClr w14:val="tx1"/>
                  </w14:solidFill>
                </w14:textFill>
              </w:rPr>
              <w:t>进入废水收集罐处理</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生活污水经生态厕所收集后定期由密闭罐车拉运至周边生活污水处理厂处理</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供电</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从周边</w:t>
            </w:r>
            <w:r>
              <w:rPr>
                <w:rFonts w:hint="default" w:cs="Times New Roman"/>
                <w:color w:val="000000" w:themeColor="text1"/>
                <w:sz w:val="21"/>
                <w:szCs w:val="20"/>
                <w:highlight w:val="none"/>
                <w14:textFill>
                  <w14:solidFill>
                    <w14:schemeClr w14:val="tx1"/>
                  </w14:solidFill>
                </w14:textFill>
              </w:rPr>
              <w:t>电网</w:t>
            </w:r>
            <w:r>
              <w:rPr>
                <w:rFonts w:hint="eastAsia" w:cs="Times New Roman"/>
                <w:color w:val="000000" w:themeColor="text1"/>
                <w:sz w:val="21"/>
                <w:szCs w:val="20"/>
                <w:highlight w:val="none"/>
                <w14:textFill>
                  <w14:solidFill>
                    <w14:schemeClr w14:val="tx1"/>
                  </w14:solidFill>
                </w14:textFill>
              </w:rPr>
              <w:t>引入</w:t>
            </w:r>
            <w:r>
              <w:rPr>
                <w:rFonts w:hint="default" w:cs="Times New Roman"/>
                <w:color w:val="000000" w:themeColor="text1"/>
                <w:sz w:val="21"/>
                <w:szCs w:val="20"/>
                <w:highlight w:val="none"/>
                <w14:textFill>
                  <w14:solidFill>
                    <w14:schemeClr w14:val="tx1"/>
                  </w14:solidFill>
                </w14:textFill>
              </w:rPr>
              <w:t>供电</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油气集输工程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供配电</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周边</w:t>
            </w:r>
            <w:r>
              <w:rPr>
                <w:rFonts w:hint="default" w:cs="Times New Roman"/>
                <w:color w:val="000000" w:themeColor="text1"/>
                <w:sz w:val="21"/>
                <w:szCs w:val="21"/>
                <w:highlight w:val="none"/>
                <w14:textFill>
                  <w14:solidFill>
                    <w14:schemeClr w14:val="tx1"/>
                  </w14:solidFill>
                </w14:textFill>
              </w:rPr>
              <w:t>10kV已建电网</w:t>
            </w:r>
            <w:r>
              <w:rPr>
                <w:rFonts w:hint="eastAsia" w:cs="Times New Roman"/>
                <w:color w:val="000000" w:themeColor="text1"/>
                <w:sz w:val="21"/>
                <w:szCs w:val="21"/>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储运工程</w:t>
            </w: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钻前工程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表土临时堆场</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设置表土堆放区1处，位于井场</w:t>
            </w:r>
            <w:r>
              <w:rPr>
                <w:rFonts w:hint="eastAsia" w:cs="Times New Roman"/>
                <w:color w:val="000000" w:themeColor="text1"/>
                <w:sz w:val="21"/>
                <w:szCs w:val="20"/>
                <w:highlight w:val="none"/>
                <w:lang w:val="en-US" w:eastAsia="zh-CN"/>
                <w14:textFill>
                  <w14:solidFill>
                    <w14:schemeClr w14:val="tx1"/>
                  </w14:solidFill>
                </w14:textFill>
              </w:rPr>
              <w:t>西北</w:t>
            </w:r>
            <w:r>
              <w:rPr>
                <w:rFonts w:hint="default" w:cs="Times New Roman"/>
                <w:color w:val="000000" w:themeColor="text1"/>
                <w:sz w:val="21"/>
                <w:szCs w:val="20"/>
                <w:highlight w:val="none"/>
                <w14:textFill>
                  <w14:solidFill>
                    <w14:schemeClr w14:val="tx1"/>
                  </w14:solidFill>
                </w14:textFill>
              </w:rPr>
              <w:t>侧</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占地</w:t>
            </w:r>
            <w:r>
              <w:rPr>
                <w:rFonts w:hint="eastAsia" w:cs="Times New Roman"/>
                <w:color w:val="000000" w:themeColor="text1"/>
                <w:sz w:val="21"/>
                <w:szCs w:val="20"/>
                <w:highlight w:val="none"/>
                <w:lang w:val="en-US" w:eastAsia="zh-CN"/>
                <w14:textFill>
                  <w14:solidFill>
                    <w14:schemeClr w14:val="tx1"/>
                  </w14:solidFill>
                </w14:textFill>
              </w:rPr>
              <w:t>8</w:t>
            </w:r>
            <w:r>
              <w:rPr>
                <w:rFonts w:hint="default" w:cs="Times New Roman"/>
                <w:color w:val="000000" w:themeColor="text1"/>
                <w:sz w:val="21"/>
                <w:szCs w:val="20"/>
                <w:highlight w:val="none"/>
                <w14:textFill>
                  <w14:solidFill>
                    <w14:schemeClr w14:val="tx1"/>
                  </w14:solidFill>
                </w14:textFill>
              </w:rPr>
              <w:t>0</w:t>
            </w:r>
            <w:r>
              <w:rPr>
                <w:rFonts w:hint="eastAsia" w:cs="Times New Roman"/>
                <w:color w:val="000000" w:themeColor="text1"/>
                <w:sz w:val="21"/>
                <w:szCs w:val="20"/>
                <w:highlight w:val="none"/>
                <w14:textFill>
                  <w14:solidFill>
                    <w14:schemeClr w14:val="tx1"/>
                  </w14:solidFill>
                </w14:textFill>
              </w:rPr>
              <w:t>0</w:t>
            </w:r>
            <w:r>
              <w:rPr>
                <w:rFonts w:hint="default" w:cs="Times New Roman"/>
                <w:color w:val="000000" w:themeColor="text1"/>
                <w:sz w:val="21"/>
                <w:szCs w:val="20"/>
                <w:highlight w:val="none"/>
                <w14:textFill>
                  <w14:solidFill>
                    <w14:schemeClr w14:val="tx1"/>
                  </w14:solidFill>
                </w14:textFill>
              </w:rPr>
              <w:t>m</w:t>
            </w:r>
            <w:r>
              <w:rPr>
                <w:rFonts w:hint="default" w:cs="Times New Roman"/>
                <w:color w:val="000000" w:themeColor="text1"/>
                <w:sz w:val="21"/>
                <w:szCs w:val="20"/>
                <w:highlight w:val="none"/>
                <w:vertAlign w:val="superscript"/>
                <w14:textFill>
                  <w14:solidFill>
                    <w14:schemeClr w14:val="tx1"/>
                  </w14:solidFill>
                </w14:textFill>
              </w:rPr>
              <w:t>2</w:t>
            </w:r>
            <w:r>
              <w:rPr>
                <w:rFonts w:hint="eastAsia" w:cs="Times New Roman"/>
                <w:color w:val="000000" w:themeColor="text1"/>
                <w:sz w:val="21"/>
                <w:szCs w:val="20"/>
                <w:highlight w:val="none"/>
                <w:vertAlign w:val="baseline"/>
                <w:lang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新增水土流失</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施工扬尘、废水和施工人员生活污水、生活垃圾等</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进场道路</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新建进场道路，道路路基宽度4.5m，路面宽度4.0m，</w:t>
            </w:r>
            <w:r>
              <w:rPr>
                <w:rFonts w:hint="eastAsia" w:cs="Times New Roman"/>
                <w:color w:val="000000" w:themeColor="text1"/>
                <w:sz w:val="21"/>
                <w:szCs w:val="20"/>
                <w:highlight w:val="none"/>
                <w:lang w:eastAsia="zh-CN"/>
                <w14:textFill>
                  <w14:solidFill>
                    <w14:schemeClr w14:val="tx1"/>
                  </w14:solidFill>
                </w14:textFill>
              </w:rPr>
              <w:t>长度约100m</w:t>
            </w:r>
            <w:r>
              <w:rPr>
                <w:rFonts w:hint="default" w:cs="Times New Roman"/>
                <w:color w:val="000000" w:themeColor="text1"/>
                <w:sz w:val="21"/>
                <w:szCs w:val="20"/>
                <w:highlight w:val="none"/>
                <w14:textFill>
                  <w14:solidFill>
                    <w14:schemeClr w14:val="tx1"/>
                  </w14:solidFill>
                </w14:textFill>
              </w:rPr>
              <w:t>，采用20cm厚6%水泥稳定碎石，新建0.4m宽道路排水沟，采用浆砌石修筑。</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钻井工程、储层改造工程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柴油罐区</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占地25m</w:t>
            </w:r>
            <w:r>
              <w:rPr>
                <w:rFonts w:hint="default" w:cs="Times New Roman"/>
                <w:color w:val="000000" w:themeColor="text1"/>
                <w:sz w:val="21"/>
                <w:szCs w:val="20"/>
                <w:highlight w:val="none"/>
                <w:vertAlign w:val="superscript"/>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，2个柴油罐，每个容积20m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。地面硬化，铺设防渗膜并设围堰</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泄漏污染、火灾爆炸环境风险影响</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泥浆罐</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泥浆循环</w:t>
            </w:r>
            <w:r>
              <w:rPr>
                <w:rFonts w:hint="default" w:cs="Times New Roman"/>
                <w:color w:val="000000" w:themeColor="text1"/>
                <w:sz w:val="21"/>
                <w:szCs w:val="20"/>
                <w:highlight w:val="none"/>
                <w14:textFill>
                  <w14:solidFill>
                    <w14:schemeClr w14:val="tx1"/>
                  </w14:solidFill>
                </w14:textFill>
              </w:rPr>
              <w:t>罐</w:t>
            </w:r>
            <w:r>
              <w:rPr>
                <w:rFonts w:hint="eastAsia" w:cs="Times New Roman"/>
                <w:color w:val="000000" w:themeColor="text1"/>
                <w:sz w:val="21"/>
                <w:szCs w:val="20"/>
                <w:highlight w:val="none"/>
                <w:lang w:val="en-US" w:eastAsia="zh-CN"/>
                <w14:textFill>
                  <w14:solidFill>
                    <w14:schemeClr w14:val="tx1"/>
                  </w14:solidFill>
                </w14:textFill>
              </w:rPr>
              <w:t>5</w:t>
            </w:r>
            <w:r>
              <w:rPr>
                <w:rFonts w:hint="default" w:cs="Times New Roman"/>
                <w:color w:val="000000" w:themeColor="text1"/>
                <w:sz w:val="21"/>
                <w:szCs w:val="20"/>
                <w:highlight w:val="none"/>
                <w14:textFill>
                  <w14:solidFill>
                    <w14:schemeClr w14:val="tx1"/>
                  </w14:solidFill>
                </w14:textFill>
              </w:rPr>
              <w:t>个，每个容积</w:t>
            </w:r>
            <w:r>
              <w:rPr>
                <w:rFonts w:hint="eastAsia" w:cs="Times New Roman"/>
                <w:color w:val="000000" w:themeColor="text1"/>
                <w:sz w:val="21"/>
                <w:szCs w:val="20"/>
                <w:highlight w:val="none"/>
                <w:lang w:val="en-US" w:eastAsia="zh-CN"/>
                <w14:textFill>
                  <w14:solidFill>
                    <w14:schemeClr w14:val="tx1"/>
                  </w14:solidFill>
                </w14:textFill>
              </w:rPr>
              <w:t>8</w:t>
            </w:r>
            <w:r>
              <w:rPr>
                <w:rFonts w:hint="default" w:cs="Times New Roman"/>
                <w:color w:val="000000" w:themeColor="text1"/>
                <w:sz w:val="21"/>
                <w:szCs w:val="20"/>
                <w:highlight w:val="none"/>
                <w14:textFill>
                  <w14:solidFill>
                    <w14:schemeClr w14:val="tx1"/>
                  </w14:solidFill>
                </w14:textFill>
              </w:rPr>
              <w:t>0m</w:t>
            </w:r>
            <w:r>
              <w:rPr>
                <w:rFonts w:hint="default" w:cs="Times New Roman"/>
                <w:color w:val="000000" w:themeColor="text1"/>
                <w:sz w:val="21"/>
                <w:szCs w:val="20"/>
                <w:highlight w:val="none"/>
                <w:vertAlign w:val="superscript"/>
                <w14:textFill>
                  <w14:solidFill>
                    <w14:schemeClr w14:val="tx1"/>
                  </w14:solidFill>
                </w14:textFill>
              </w:rPr>
              <w:t>3</w:t>
            </w:r>
            <w:r>
              <w:rPr>
                <w:rFonts w:hint="eastAsia" w:cs="Times New Roman"/>
                <w:color w:val="000000" w:themeColor="text1"/>
                <w:sz w:val="21"/>
                <w:szCs w:val="20"/>
                <w:highlight w:val="none"/>
                <w:vertAlign w:val="baseline"/>
                <w:lang w:eastAsia="zh-CN"/>
                <w14:textFill>
                  <w14:solidFill>
                    <w14:schemeClr w14:val="tx1"/>
                  </w14:solidFill>
                </w14:textFill>
              </w:rPr>
              <w:t>，</w:t>
            </w:r>
            <w:r>
              <w:rPr>
                <w:rFonts w:hint="eastAsia" w:cs="Times New Roman"/>
                <w:color w:val="000000" w:themeColor="text1"/>
                <w:sz w:val="21"/>
                <w:szCs w:val="20"/>
                <w:highlight w:val="none"/>
                <w:lang w:val="en-US" w:eastAsia="zh-CN"/>
                <w14:textFill>
                  <w14:solidFill>
                    <w14:schemeClr w14:val="tx1"/>
                  </w14:solidFill>
                </w14:textFill>
              </w:rPr>
              <w:t>泥浆储备</w:t>
            </w:r>
            <w:r>
              <w:rPr>
                <w:rFonts w:hint="default" w:cs="Times New Roman"/>
                <w:color w:val="000000" w:themeColor="text1"/>
                <w:sz w:val="21"/>
                <w:szCs w:val="20"/>
                <w:highlight w:val="none"/>
                <w14:textFill>
                  <w14:solidFill>
                    <w14:schemeClr w14:val="tx1"/>
                  </w14:solidFill>
                </w14:textFill>
              </w:rPr>
              <w:t>罐</w:t>
            </w:r>
            <w:r>
              <w:rPr>
                <w:rFonts w:hint="eastAsia" w:cs="Times New Roman"/>
                <w:color w:val="000000" w:themeColor="text1"/>
                <w:sz w:val="21"/>
                <w:szCs w:val="20"/>
                <w:highlight w:val="none"/>
                <w:lang w:val="en-US" w:eastAsia="zh-CN"/>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个，每个容积</w:t>
            </w:r>
            <w:r>
              <w:rPr>
                <w:rFonts w:hint="eastAsia" w:cs="Times New Roman"/>
                <w:color w:val="000000" w:themeColor="text1"/>
                <w:sz w:val="21"/>
                <w:szCs w:val="20"/>
                <w:highlight w:val="none"/>
                <w:lang w:val="en-US" w:eastAsia="zh-CN"/>
                <w14:textFill>
                  <w14:solidFill>
                    <w14:schemeClr w14:val="tx1"/>
                  </w14:solidFill>
                </w14:textFill>
              </w:rPr>
              <w:t>6</w:t>
            </w:r>
            <w:r>
              <w:rPr>
                <w:rFonts w:hint="default" w:cs="Times New Roman"/>
                <w:color w:val="000000" w:themeColor="text1"/>
                <w:sz w:val="21"/>
                <w:szCs w:val="20"/>
                <w:highlight w:val="none"/>
                <w14:textFill>
                  <w14:solidFill>
                    <w14:schemeClr w14:val="tx1"/>
                  </w14:solidFill>
                </w14:textFill>
              </w:rPr>
              <w:t>0m</w:t>
            </w:r>
            <w:r>
              <w:rPr>
                <w:rFonts w:hint="default" w:cs="Times New Roman"/>
                <w:color w:val="000000" w:themeColor="text1"/>
                <w:sz w:val="21"/>
                <w:szCs w:val="20"/>
                <w:highlight w:val="none"/>
                <w:vertAlign w:val="superscript"/>
                <w14:textFill>
                  <w14:solidFill>
                    <w14:schemeClr w14:val="tx1"/>
                  </w14:solidFill>
                </w14:textFill>
              </w:rPr>
              <w:t>3</w:t>
            </w:r>
            <w:r>
              <w:rPr>
                <w:rFonts w:hint="eastAsia" w:cs="Times New Roman"/>
                <w:color w:val="000000" w:themeColor="text1"/>
                <w:sz w:val="21"/>
                <w:szCs w:val="20"/>
                <w:highlight w:val="none"/>
                <w:vertAlign w:val="baseline"/>
                <w:lang w:val="en-US"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泄漏污染</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环境风险影响</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lang w:eastAsia="zh-CN"/>
                <w14:textFill>
                  <w14:solidFill>
                    <w14:schemeClr w14:val="tx1"/>
                  </w14:solidFill>
                </w14:textFill>
              </w:rPr>
              <w:t>压裂</w:t>
            </w:r>
            <w:r>
              <w:rPr>
                <w:rFonts w:hint="default" w:cs="Times New Roman"/>
                <w:color w:val="000000" w:themeColor="text1"/>
                <w:sz w:val="21"/>
                <w:szCs w:val="20"/>
                <w:highlight w:val="none"/>
                <w14:textFill>
                  <w14:solidFill>
                    <w14:schemeClr w14:val="tx1"/>
                  </w14:solidFill>
                </w14:textFill>
              </w:rPr>
              <w:t>液储藏罐</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both"/>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lang w:eastAsia="zh-CN"/>
                <w14:textFill>
                  <w14:solidFill>
                    <w14:schemeClr w14:val="tx1"/>
                  </w14:solidFill>
                </w14:textFill>
              </w:rPr>
              <w:t>40个40m</w:t>
            </w:r>
            <w:r>
              <w:rPr>
                <w:rFonts w:hint="default" w:cs="Times New Roman"/>
                <w:color w:val="000000" w:themeColor="text1"/>
                <w:sz w:val="21"/>
                <w:szCs w:val="20"/>
                <w:highlight w:val="none"/>
                <w:vertAlign w:val="superscript"/>
                <w:lang w:eastAsia="zh-CN"/>
                <w14:textFill>
                  <w14:solidFill>
                    <w14:schemeClr w14:val="tx1"/>
                  </w14:solidFill>
                </w14:textFill>
              </w:rPr>
              <w:t>3</w:t>
            </w:r>
            <w:r>
              <w:rPr>
                <w:rFonts w:hint="default" w:cs="Times New Roman"/>
                <w:color w:val="000000" w:themeColor="text1"/>
                <w:sz w:val="21"/>
                <w:szCs w:val="20"/>
                <w:highlight w:val="none"/>
                <w:lang w:eastAsia="zh-CN"/>
                <w14:textFill>
                  <w14:solidFill>
                    <w14:schemeClr w14:val="tx1"/>
                  </w14:solidFill>
                </w14:textFill>
              </w:rPr>
              <w:t>压裂液储罐</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7"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油气集输工程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污水罐</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新增1</w:t>
            </w:r>
            <w:r>
              <w:rPr>
                <w:rFonts w:hint="default" w:cs="Times New Roman"/>
                <w:color w:val="000000" w:themeColor="text1"/>
                <w:sz w:val="21"/>
                <w:szCs w:val="20"/>
                <w:highlight w:val="none"/>
                <w:lang w:eastAsia="zh-CN"/>
                <w14:textFill>
                  <w14:solidFill>
                    <w14:schemeClr w14:val="tx1"/>
                  </w14:solidFill>
                </w14:textFill>
              </w:rPr>
              <w:t>个</w:t>
            </w:r>
            <w:r>
              <w:rPr>
                <w:rFonts w:hint="eastAsia" w:cs="Times New Roman"/>
                <w:color w:val="000000" w:themeColor="text1"/>
                <w:sz w:val="21"/>
                <w:szCs w:val="20"/>
                <w:highlight w:val="none"/>
                <w:lang w:val="en-US" w:eastAsia="zh-CN"/>
                <w14:textFill>
                  <w14:solidFill>
                    <w14:schemeClr w14:val="tx1"/>
                  </w14:solidFill>
                </w14:textFill>
              </w:rPr>
              <w:t>5</w:t>
            </w:r>
            <w:r>
              <w:rPr>
                <w:rFonts w:hint="default" w:cs="Times New Roman"/>
                <w:color w:val="000000" w:themeColor="text1"/>
                <w:sz w:val="21"/>
                <w:szCs w:val="20"/>
                <w:highlight w:val="none"/>
                <w:lang w:eastAsia="zh-CN"/>
                <w14:textFill>
                  <w14:solidFill>
                    <w14:schemeClr w14:val="tx1"/>
                  </w14:solidFill>
                </w14:textFill>
              </w:rPr>
              <w:t>0m</w:t>
            </w:r>
            <w:r>
              <w:rPr>
                <w:rFonts w:hint="default" w:cs="Times New Roman"/>
                <w:color w:val="000000" w:themeColor="text1"/>
                <w:sz w:val="21"/>
                <w:szCs w:val="20"/>
                <w:highlight w:val="none"/>
                <w:vertAlign w:val="superscript"/>
                <w:lang w:eastAsia="zh-CN"/>
                <w14:textFill>
                  <w14:solidFill>
                    <w14:schemeClr w14:val="tx1"/>
                  </w14:solidFill>
                </w14:textFill>
              </w:rPr>
              <w:t>3</w:t>
            </w:r>
            <w:r>
              <w:rPr>
                <w:rFonts w:hint="eastAsia" w:cs="Times New Roman"/>
                <w:color w:val="000000" w:themeColor="text1"/>
                <w:sz w:val="21"/>
                <w:szCs w:val="20"/>
                <w:highlight w:val="none"/>
                <w:lang w:val="en-US" w:eastAsia="zh-CN"/>
                <w14:textFill>
                  <w14:solidFill>
                    <w14:schemeClr w14:val="tx1"/>
                  </w14:solidFill>
                </w14:textFill>
              </w:rPr>
              <w:t>污水</w:t>
            </w:r>
            <w:r>
              <w:rPr>
                <w:rFonts w:hint="default" w:cs="Times New Roman"/>
                <w:color w:val="000000" w:themeColor="text1"/>
                <w:sz w:val="21"/>
                <w:szCs w:val="20"/>
                <w:highlight w:val="none"/>
                <w:lang w:eastAsia="zh-CN"/>
                <w14:textFill>
                  <w14:solidFill>
                    <w14:schemeClr w14:val="tx1"/>
                  </w14:solidFill>
                </w14:textFill>
              </w:rPr>
              <w:t>罐</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泄漏污染</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环境风险影响</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环保工程</w:t>
            </w: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钻前工程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生活污水收集</w:t>
            </w:r>
            <w:r>
              <w:rPr>
                <w:rFonts w:hint="eastAsia" w:cs="Times New Roman"/>
                <w:color w:val="000000" w:themeColor="text1"/>
                <w:sz w:val="21"/>
                <w:szCs w:val="20"/>
                <w:highlight w:val="none"/>
                <w:lang w:val="en-US" w:eastAsia="zh-CN"/>
                <w14:textFill>
                  <w14:solidFill>
                    <w14:schemeClr w14:val="tx1"/>
                  </w14:solidFill>
                </w14:textFill>
              </w:rPr>
              <w:t>处理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依托周边农户厕所</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生活污水</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排污沟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井场采用雨污分流设计，</w:t>
            </w:r>
            <w:r>
              <w:rPr>
                <w:rFonts w:hint="eastAsia" w:cs="Times New Roman"/>
                <w:color w:val="000000" w:themeColor="text1"/>
                <w:sz w:val="21"/>
                <w:szCs w:val="20"/>
                <w:highlight w:val="none"/>
                <w14:textFill>
                  <w14:solidFill>
                    <w14:schemeClr w14:val="tx1"/>
                  </w14:solidFill>
                </w14:textFill>
              </w:rPr>
              <w:t>新建</w:t>
            </w:r>
            <w:r>
              <w:rPr>
                <w:rFonts w:hint="default" w:cs="Times New Roman"/>
                <w:color w:val="000000" w:themeColor="text1"/>
                <w:sz w:val="21"/>
                <w:szCs w:val="20"/>
                <w:highlight w:val="none"/>
                <w14:textFill>
                  <w14:solidFill>
                    <w14:schemeClr w14:val="tx1"/>
                  </w14:solidFill>
                </w14:textFill>
              </w:rPr>
              <w:t>排水沟。沿设备基础新建0.35m宽环状排污沟</w:t>
            </w:r>
            <w:r>
              <w:rPr>
                <w:rFonts w:hint="eastAsia" w:cs="Times New Roman"/>
                <w:color w:val="000000" w:themeColor="text1"/>
                <w:sz w:val="21"/>
                <w:szCs w:val="20"/>
                <w:highlight w:val="none"/>
                <w:lang w:eastAsia="zh-CN"/>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放坡坡度i=0.5%。污水沟放坡开始位置可根据现场做适当调整，但必须满足正常放坡和无倒流</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场地雨水</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土石方</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剥离的表土与弃土集中堆放至表土堆放区（表土与弃土分开堆存养护），表土用于后期生态恢复，综合利用；管道</w:t>
            </w:r>
            <w:r>
              <w:rPr>
                <w:rFonts w:hint="eastAsia" w:cs="Times New Roman"/>
                <w:color w:val="000000" w:themeColor="text1"/>
                <w:sz w:val="21"/>
                <w:szCs w:val="20"/>
                <w:highlight w:val="none"/>
                <w:lang w:val="en-US" w:eastAsia="zh-CN"/>
                <w14:textFill>
                  <w14:solidFill>
                    <w14:schemeClr w14:val="tx1"/>
                  </w14:solidFill>
                </w14:textFill>
              </w:rPr>
              <w:t>地面敷设，土石方量小</w:t>
            </w:r>
            <w:r>
              <w:rPr>
                <w:rFonts w:hint="default" w:cs="Times New Roman"/>
                <w:color w:val="000000" w:themeColor="text1"/>
                <w:sz w:val="21"/>
                <w:szCs w:val="20"/>
                <w:highlight w:val="none"/>
                <w14:textFill>
                  <w14:solidFill>
                    <w14:schemeClr w14:val="tx1"/>
                  </w14:solidFill>
                </w14:textFill>
              </w:rPr>
              <w:t>，能够做到挖填方平衡</w:t>
            </w:r>
            <w:r>
              <w:rPr>
                <w:rFonts w:hint="eastAsia" w:cs="Times New Roman"/>
                <w:color w:val="000000" w:themeColor="text1"/>
                <w:sz w:val="21"/>
                <w:szCs w:val="20"/>
                <w:highlight w:val="none"/>
                <w14:textFill>
                  <w14:solidFill>
                    <w14:schemeClr w14:val="tx1"/>
                  </w14:solidFill>
                </w14:textFill>
              </w:rPr>
              <w:t>，</w:t>
            </w:r>
            <w:r>
              <w:rPr>
                <w:rFonts w:hint="default" w:cs="Times New Roman"/>
                <w:color w:val="000000" w:themeColor="text1"/>
                <w:sz w:val="21"/>
                <w:szCs w:val="20"/>
                <w:highlight w:val="none"/>
                <w14:textFill>
                  <w14:solidFill>
                    <w14:schemeClr w14:val="tx1"/>
                  </w14:solidFill>
                </w14:textFill>
              </w:rPr>
              <w:t>表土堆放区</w:t>
            </w:r>
            <w:r>
              <w:rPr>
                <w:rFonts w:hint="eastAsia" w:cs="Times New Roman"/>
                <w:color w:val="000000" w:themeColor="text1"/>
                <w:sz w:val="21"/>
                <w:szCs w:val="20"/>
                <w:highlight w:val="none"/>
                <w14:textFill>
                  <w14:solidFill>
                    <w14:schemeClr w14:val="tx1"/>
                  </w14:solidFill>
                </w14:textFill>
              </w:rPr>
              <w:t>占地面积约</w:t>
            </w:r>
            <w:r>
              <w:rPr>
                <w:rFonts w:hint="eastAsia" w:cs="Times New Roman"/>
                <w:color w:val="000000" w:themeColor="text1"/>
                <w:sz w:val="21"/>
                <w:szCs w:val="20"/>
                <w:highlight w:val="none"/>
                <w:lang w:val="en-US" w:eastAsia="zh-CN"/>
                <w14:textFill>
                  <w14:solidFill>
                    <w14:schemeClr w14:val="tx1"/>
                  </w14:solidFill>
                </w14:textFill>
              </w:rPr>
              <w:t>1579</w:t>
            </w:r>
            <w:r>
              <w:rPr>
                <w:rFonts w:hint="eastAsia" w:cs="Times New Roman"/>
                <w:color w:val="000000" w:themeColor="text1"/>
                <w:sz w:val="21"/>
                <w:szCs w:val="20"/>
                <w:highlight w:val="none"/>
                <w14:textFill>
                  <w14:solidFill>
                    <w14:schemeClr w14:val="tx1"/>
                  </w14:solidFill>
                </w14:textFill>
              </w:rPr>
              <w:t>m</w:t>
            </w:r>
            <w:r>
              <w:rPr>
                <w:rFonts w:hint="default" w:cs="Times New Roman"/>
                <w:color w:val="000000" w:themeColor="text1"/>
                <w:sz w:val="21"/>
                <w:szCs w:val="20"/>
                <w:highlight w:val="none"/>
                <w:vertAlign w:val="superscript"/>
                <w14:textFill>
                  <w14:solidFill>
                    <w14:schemeClr w14:val="tx1"/>
                  </w14:solidFill>
                </w14:textFill>
              </w:rPr>
              <w:t>2</w:t>
            </w:r>
            <w:r>
              <w:rPr>
                <w:rFonts w:hint="eastAsia" w:cs="Times New Roman"/>
                <w:color w:val="000000" w:themeColor="text1"/>
                <w:sz w:val="21"/>
                <w:szCs w:val="20"/>
                <w:highlight w:val="none"/>
                <w:vertAlign w:val="baseli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水土流失等</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建筑垃圾</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由施工队伍统一收集清运至政府指定</w:t>
            </w:r>
            <w:r>
              <w:rPr>
                <w:rFonts w:hint="eastAsia" w:cs="Times New Roman"/>
                <w:color w:val="000000" w:themeColor="text1"/>
                <w:sz w:val="21"/>
                <w:szCs w:val="20"/>
                <w:highlight w:val="none"/>
                <w:lang w:val="en-US" w:eastAsia="zh-CN"/>
                <w14:textFill>
                  <w14:solidFill>
                    <w14:schemeClr w14:val="tx1"/>
                  </w14:solidFill>
                </w14:textFill>
              </w:rPr>
              <w:t>处置场所处置</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建筑垃圾</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生活垃圾收集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生活垃圾设置垃圾桶集中收集，交由当地环卫部门处置</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生活垃圾</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钻井工程、储层改造工程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钻井废水</w:t>
            </w:r>
            <w:r>
              <w:rPr>
                <w:rFonts w:hint="eastAsia" w:cs="Times New Roman"/>
                <w:color w:val="000000" w:themeColor="text1"/>
                <w:sz w:val="21"/>
                <w:szCs w:val="20"/>
                <w:highlight w:val="none"/>
                <w:lang w:val="en-US" w:eastAsia="zh-CN"/>
                <w14:textFill>
                  <w14:solidFill>
                    <w14:schemeClr w14:val="tx1"/>
                  </w14:solidFill>
                </w14:textFill>
              </w:rPr>
              <w:t>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钻井废水</w:t>
            </w:r>
            <w:r>
              <w:rPr>
                <w:rFonts w:hint="eastAsia" w:cs="Times New Roman"/>
                <w:color w:val="000000" w:themeColor="text1"/>
                <w:sz w:val="21"/>
                <w:szCs w:val="21"/>
                <w:highlight w:val="none"/>
                <w:lang w:val="en-US" w:eastAsia="zh-CN"/>
                <w14:textFill>
                  <w14:solidFill>
                    <w14:schemeClr w14:val="tx1"/>
                  </w14:solidFill>
                </w14:textFill>
              </w:rPr>
              <w:t>首先</w:t>
            </w:r>
            <w:r>
              <w:rPr>
                <w:rFonts w:hint="default" w:ascii="Times New Roman" w:hAnsi="Times New Roman" w:cs="Times New Roman"/>
                <w:color w:val="000000" w:themeColor="text1"/>
                <w:sz w:val="21"/>
                <w:szCs w:val="21"/>
                <w:highlight w:val="none"/>
                <w14:textFill>
                  <w14:solidFill>
                    <w14:schemeClr w14:val="tx1"/>
                  </w14:solidFill>
                </w14:textFill>
              </w:rPr>
              <w:t>回用于钻井补充泥浆的配置，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剩余不能回用部分</w:t>
            </w:r>
            <w:r>
              <w:rPr>
                <w:rFonts w:hint="eastAsia" w:cs="Times New Roman"/>
                <w:color w:val="000000" w:themeColor="text1"/>
                <w:sz w:val="21"/>
                <w:szCs w:val="21"/>
                <w:highlight w:val="none"/>
                <w:lang w:val="en-US" w:eastAsia="zh-CN"/>
                <w14:textFill>
                  <w14:solidFill>
                    <w14:schemeClr w14:val="tx1"/>
                  </w14:solidFill>
                </w14:textFill>
              </w:rPr>
              <w:t>一起</w:t>
            </w:r>
            <w:r>
              <w:rPr>
                <w:rFonts w:hint="default" w:ascii="Times New Roman" w:hAnsi="Times New Roman" w:cs="Times New Roman"/>
                <w:color w:val="000000" w:themeColor="text1"/>
                <w:sz w:val="21"/>
                <w:szCs w:val="21"/>
                <w:highlight w:val="none"/>
                <w14:textFill>
                  <w14:solidFill>
                    <w14:schemeClr w14:val="tx1"/>
                  </w14:solidFill>
                </w14:textFill>
              </w:rPr>
              <w:t>暂存在清洁生产操作平台的废水罐内，定期装车拉运至</w:t>
            </w:r>
            <w:r>
              <w:rPr>
                <w:rFonts w:hint="eastAsia" w:cs="Times New Roman"/>
                <w:color w:val="000000" w:themeColor="text1"/>
                <w:sz w:val="21"/>
                <w:szCs w:val="2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 w:val="21"/>
                <w:szCs w:val="21"/>
                <w:highlight w:val="none"/>
                <w14:textFill>
                  <w14:solidFill>
                    <w14:schemeClr w14:val="tx1"/>
                  </w14:solidFill>
                </w14:textFill>
              </w:rPr>
              <w:t>达标后管输至</w:t>
            </w:r>
            <w:r>
              <w:rPr>
                <w:rFonts w:hint="eastAsia" w:cs="Times New Roman"/>
                <w:color w:val="000000" w:themeColor="text1"/>
                <w:sz w:val="21"/>
                <w:szCs w:val="21"/>
                <w:highlight w:val="none"/>
                <w:lang w:eastAsia="zh-CN"/>
                <w14:textFill>
                  <w14:solidFill>
                    <w14:schemeClr w14:val="tx1"/>
                  </w14:solidFill>
                </w14:textFill>
              </w:rPr>
              <w:t>普光3井回注站</w:t>
            </w:r>
            <w:r>
              <w:rPr>
                <w:rFonts w:hint="default" w:ascii="Times New Roman" w:hAnsi="Times New Roman" w:cs="Times New Roman"/>
                <w:color w:val="000000" w:themeColor="text1"/>
                <w:sz w:val="21"/>
                <w:szCs w:val="21"/>
                <w:highlight w:val="none"/>
                <w14:textFill>
                  <w14:solidFill>
                    <w14:schemeClr w14:val="tx1"/>
                  </w14:solidFill>
                </w14:textFill>
              </w:rPr>
              <w:t>回注</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不外排</w:t>
            </w:r>
            <w:r>
              <w:rPr>
                <w:rFonts w:hint="eastAsia" w:cs="Times New Roman"/>
                <w:color w:val="000000" w:themeColor="text1"/>
                <w:sz w:val="21"/>
                <w:szCs w:val="21"/>
                <w:highlight w:val="none"/>
                <w:lang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渗漏污染土壤、地下水、地表水环境</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r>
              <w:rPr>
                <w:rFonts w:hint="default"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洗井废水治理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洗井废水</w:t>
            </w:r>
            <w:r>
              <w:rPr>
                <w:rFonts w:hint="default" w:ascii="Times New Roman" w:hAnsi="Times New Roman" w:cs="Times New Roman"/>
                <w:color w:val="000000" w:themeColor="text1"/>
                <w:sz w:val="21"/>
                <w:szCs w:val="21"/>
                <w:highlight w:val="none"/>
                <w14:textFill>
                  <w14:solidFill>
                    <w14:schemeClr w14:val="tx1"/>
                  </w14:solidFill>
                </w14:textFill>
              </w:rPr>
              <w:t>暂存在清洁生产操作平台的废水罐内，定期装车拉运至</w:t>
            </w:r>
            <w:r>
              <w:rPr>
                <w:rFonts w:hint="eastAsia" w:cs="Times New Roman"/>
                <w:color w:val="000000" w:themeColor="text1"/>
                <w:sz w:val="21"/>
                <w:szCs w:val="2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 w:val="21"/>
                <w:szCs w:val="21"/>
                <w:highlight w:val="none"/>
                <w14:textFill>
                  <w14:solidFill>
                    <w14:schemeClr w14:val="tx1"/>
                  </w14:solidFill>
                </w14:textFill>
              </w:rPr>
              <w:t>达标后管输至</w:t>
            </w:r>
            <w:r>
              <w:rPr>
                <w:rFonts w:hint="eastAsia" w:cs="Times New Roman"/>
                <w:color w:val="000000" w:themeColor="text1"/>
                <w:sz w:val="21"/>
                <w:szCs w:val="21"/>
                <w:highlight w:val="none"/>
                <w:lang w:eastAsia="zh-CN"/>
                <w14:textFill>
                  <w14:solidFill>
                    <w14:schemeClr w14:val="tx1"/>
                  </w14:solidFill>
                </w14:textFill>
              </w:rPr>
              <w:t>普光3井回注站回注，不外排。</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r>
              <w:rPr>
                <w:rFonts w:hint="default"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压裂返排液</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压裂返排液临时暂存于压裂液储罐内，优先回用于气田周边其他井场配置压裂液使用，若周边井场暂无法使用或压裂返排液水质无法满足回用要求时，则通过密闭罐车定期拉运至赵家坝污水处理站处理达标后管输至</w:t>
            </w:r>
            <w:r>
              <w:rPr>
                <w:rFonts w:hint="eastAsia" w:cs="Times New Roman"/>
                <w:color w:val="000000" w:themeColor="text1"/>
                <w:sz w:val="21"/>
                <w:szCs w:val="21"/>
                <w:highlight w:val="none"/>
                <w:lang w:val="en-US" w:eastAsia="zh-CN"/>
                <w14:textFill>
                  <w14:solidFill>
                    <w14:schemeClr w14:val="tx1"/>
                  </w14:solidFill>
                </w14:textFill>
              </w:rPr>
              <w:t>普光3井回注站回注，不外排。</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r>
              <w:rPr>
                <w:rFonts w:hint="default"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钻井</w:t>
            </w:r>
            <w:r>
              <w:rPr>
                <w:rFonts w:hint="default" w:cs="Times New Roman"/>
                <w:color w:val="000000" w:themeColor="text1"/>
                <w:sz w:val="21"/>
                <w:szCs w:val="20"/>
                <w:highlight w:val="none"/>
                <w14:textFill>
                  <w14:solidFill>
                    <w14:schemeClr w14:val="tx1"/>
                  </w14:solidFill>
                </w14:textFill>
              </w:rPr>
              <w:t>施工粉尘</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硬化进出口并采取冲洗、洒水等措施控制扬尘</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废气影响</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备用柴油发电机</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柴油机经自带尾气处理系统后经过自带排气筒排放</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测试放喷废气</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放喷期间应临时撤离放喷口周边500m的居民</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事故放喷废气</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通过专用的放喷管线将天然气引至放喷池进行点火放喷，放喷前建设单位应对距离井口500m范围内的居民临时撤离，并建立警戒点进行24小时警戒，严禁居民靠近</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废水基</w:t>
            </w:r>
            <w:r>
              <w:rPr>
                <w:rFonts w:hint="eastAsia" w:cs="Times New Roman"/>
                <w:color w:val="000000" w:themeColor="text1"/>
                <w:sz w:val="21"/>
                <w:szCs w:val="20"/>
                <w:highlight w:val="none"/>
                <w:lang w:val="en-US" w:eastAsia="zh-CN"/>
                <w14:textFill>
                  <w14:solidFill>
                    <w14:schemeClr w14:val="tx1"/>
                  </w14:solidFill>
                </w14:textFill>
              </w:rPr>
              <w:t>钻井</w:t>
            </w:r>
            <w:r>
              <w:rPr>
                <w:rFonts w:hint="default" w:cs="Times New Roman"/>
                <w:color w:val="000000" w:themeColor="text1"/>
                <w:sz w:val="21"/>
                <w:szCs w:val="20"/>
                <w:highlight w:val="none"/>
                <w14:textFill>
                  <w14:solidFill>
                    <w14:schemeClr w14:val="tx1"/>
                  </w14:solidFill>
                </w14:textFill>
              </w:rPr>
              <w:t>泥浆及岩屑处置</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本项目采用清洁化操作平台，并采取泥浆不落地措施。项目常规钻产生的废弃泥浆与废岩屑暂存于</w:t>
            </w:r>
            <w:r>
              <w:rPr>
                <w:rFonts w:hint="eastAsia" w:cs="Times New Roman"/>
                <w:color w:val="000000" w:themeColor="text1"/>
                <w:sz w:val="21"/>
                <w:szCs w:val="20"/>
                <w:highlight w:val="none"/>
                <w14:textFill>
                  <w14:solidFill>
                    <w14:schemeClr w14:val="tx1"/>
                  </w14:solidFill>
                </w14:textFill>
              </w:rPr>
              <w:t>钻井固废暂存区</w:t>
            </w:r>
            <w:r>
              <w:rPr>
                <w:rFonts w:hint="default" w:cs="Times New Roman"/>
                <w:color w:val="000000" w:themeColor="text1"/>
                <w:sz w:val="21"/>
                <w:szCs w:val="20"/>
                <w:highlight w:val="none"/>
                <w14:textFill>
                  <w14:solidFill>
                    <w14:schemeClr w14:val="tx1"/>
                  </w14:solidFill>
                </w14:textFill>
              </w:rPr>
              <w:t>（共用1处，占地约60m</w:t>
            </w:r>
            <w:r>
              <w:rPr>
                <w:rFonts w:hint="default" w:cs="Times New Roman"/>
                <w:color w:val="000000" w:themeColor="text1"/>
                <w:sz w:val="21"/>
                <w:szCs w:val="20"/>
                <w:highlight w:val="none"/>
                <w:vertAlign w:val="superscript"/>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），及时就近交给依法取得生态环境部门关于利用和处置相关工业固体废物项目环评批复、具有处理处置相应固体废物能力并配套建设有废气、废水、固废等污染物治理设施的单位进行资源化利用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泄漏污染</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r>
              <w:rPr>
                <w:rFonts w:hint="eastAsia"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废</w:t>
            </w:r>
            <w:r>
              <w:rPr>
                <w:rFonts w:hint="default" w:cs="Times New Roman"/>
                <w:color w:val="000000" w:themeColor="text1"/>
                <w:sz w:val="21"/>
                <w:szCs w:val="20"/>
                <w:highlight w:val="none"/>
                <w14:textFill>
                  <w14:solidFill>
                    <w14:schemeClr w14:val="tx1"/>
                  </w14:solidFill>
                </w14:textFill>
              </w:rPr>
              <w:t>油基钻井废泥浆、岩屑</w:t>
            </w:r>
            <w:r>
              <w:rPr>
                <w:rFonts w:hint="eastAsia" w:cs="Times New Roman"/>
                <w:color w:val="000000" w:themeColor="text1"/>
                <w:sz w:val="21"/>
                <w:szCs w:val="20"/>
                <w:highlight w:val="none"/>
                <w:lang w:val="en-US" w:eastAsia="zh-CN"/>
                <w14:textFill>
                  <w14:solidFill>
                    <w14:schemeClr w14:val="tx1"/>
                  </w14:solidFill>
                </w14:textFill>
              </w:rPr>
              <w:t>处置</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油基钻井废泥浆、岩屑暂存于新建的60m</w:t>
            </w:r>
            <w:r>
              <w:rPr>
                <w:rFonts w:hint="default" w:cs="Times New Roman"/>
                <w:color w:val="000000" w:themeColor="text1"/>
                <w:sz w:val="21"/>
                <w:szCs w:val="20"/>
                <w:highlight w:val="none"/>
                <w:vertAlign w:val="superscript"/>
                <w14:textFill>
                  <w14:solidFill>
                    <w14:schemeClr w14:val="tx1"/>
                  </w14:solidFill>
                </w14:textFill>
              </w:rPr>
              <w:t>2</w:t>
            </w:r>
            <w:r>
              <w:rPr>
                <w:rFonts w:hint="default" w:cs="Times New Roman"/>
                <w:color w:val="000000" w:themeColor="text1"/>
                <w:sz w:val="21"/>
                <w:szCs w:val="20"/>
                <w:highlight w:val="none"/>
                <w14:textFill>
                  <w14:solidFill>
                    <w14:schemeClr w14:val="tx1"/>
                  </w14:solidFill>
                </w14:textFill>
              </w:rPr>
              <w:t>危险废物暂存场所（</w:t>
            </w:r>
            <w:r>
              <w:rPr>
                <w:rFonts w:hint="eastAsia" w:cs="Times New Roman"/>
                <w:color w:val="000000" w:themeColor="text1"/>
                <w:sz w:val="21"/>
                <w:szCs w:val="20"/>
                <w:highlight w:val="none"/>
                <w14:textFill>
                  <w14:solidFill>
                    <w14:schemeClr w14:val="tx1"/>
                  </w14:solidFill>
                </w14:textFill>
              </w:rPr>
              <w:t>若使用油基岩屑钻井时设置，</w:t>
            </w:r>
            <w:r>
              <w:rPr>
                <w:rFonts w:hint="default" w:cs="Times New Roman"/>
                <w:color w:val="000000" w:themeColor="text1"/>
                <w:sz w:val="21"/>
                <w:szCs w:val="20"/>
                <w:highlight w:val="none"/>
                <w14:textFill>
                  <w14:solidFill>
                    <w14:schemeClr w14:val="tx1"/>
                  </w14:solidFill>
                </w14:textFill>
              </w:rPr>
              <w:t>共用1处，采取必要的防风、防晒、防雨、防漏、防渗、防腐以及其他环境污染防治措施，不得露天堆放危险废物），泥浆和油基钻井岩屑及时交由有资质的单位处置</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生活垃圾</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井场区域设1个垃圾箱，完工后外运交由环卫集中收集处置</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废油</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废含油抹布和手套等含油固废</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1"/>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钻井机械保养维修产生的废油</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废含油抹布和手套</w:t>
            </w:r>
            <w:r>
              <w:rPr>
                <w:rFonts w:hint="default" w:cs="Times New Roman"/>
                <w:color w:val="000000" w:themeColor="text1"/>
                <w:sz w:val="21"/>
                <w:szCs w:val="21"/>
                <w:highlight w:val="none"/>
                <w14:textFill>
                  <w14:solidFill>
                    <w14:schemeClr w14:val="tx1"/>
                  </w14:solidFill>
                </w14:textFill>
              </w:rPr>
              <w:t>由回收桶</w:t>
            </w:r>
            <w:r>
              <w:rPr>
                <w:rFonts w:hint="eastAsia" w:cs="Times New Roman"/>
                <w:color w:val="000000" w:themeColor="text1"/>
                <w:sz w:val="21"/>
                <w:szCs w:val="21"/>
                <w:highlight w:val="none"/>
                <w:lang w:val="en-US" w:eastAsia="zh-CN"/>
                <w14:textFill>
                  <w14:solidFill>
                    <w14:schemeClr w14:val="tx1"/>
                  </w14:solidFill>
                </w14:textFill>
              </w:rPr>
              <w:t>分类</w:t>
            </w:r>
            <w:r>
              <w:rPr>
                <w:rFonts w:hint="default" w:cs="Times New Roman"/>
                <w:color w:val="000000" w:themeColor="text1"/>
                <w:sz w:val="21"/>
                <w:szCs w:val="21"/>
                <w:highlight w:val="none"/>
                <w14:textFill>
                  <w14:solidFill>
                    <w14:schemeClr w14:val="tx1"/>
                  </w14:solidFill>
                </w14:textFill>
              </w:rPr>
              <w:t>收集，暂存于泥浆不落地装置区临时堆放区内，并采取防扬散、防流失、防渗漏或者其他防止污染环境的措施，</w:t>
            </w:r>
            <w:r>
              <w:rPr>
                <w:rFonts w:hint="eastAsia" w:cs="Times New Roman"/>
                <w:color w:val="000000" w:themeColor="text1"/>
                <w:sz w:val="21"/>
                <w:szCs w:val="21"/>
                <w:highlight w:val="none"/>
                <w:lang w:val="en-US" w:eastAsia="zh-CN"/>
                <w14:textFill>
                  <w14:solidFill>
                    <w14:schemeClr w14:val="tx1"/>
                  </w14:solidFill>
                </w14:textFill>
              </w:rPr>
              <w:t>暂存废油的废油桶</w:t>
            </w:r>
            <w:r>
              <w:rPr>
                <w:rFonts w:hint="default" w:cs="Times New Roman"/>
                <w:color w:val="000000" w:themeColor="text1"/>
                <w:sz w:val="21"/>
                <w:szCs w:val="21"/>
                <w:highlight w:val="none"/>
                <w14:textFill>
                  <w14:solidFill>
                    <w14:schemeClr w14:val="tx1"/>
                  </w14:solidFill>
                </w14:textFill>
              </w:rPr>
              <w:t>设置围堰或托盘，完钻后交由有资质的单位处置</w:t>
            </w:r>
            <w:r>
              <w:rPr>
                <w:rFonts w:hint="eastAsia" w:cs="Times New Roman"/>
                <w:color w:val="000000" w:themeColor="text1"/>
                <w:sz w:val="21"/>
                <w:szCs w:val="21"/>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泄漏污染</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噪声治理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本项目周边已有完善的供电系统，采用网电，噪声较小；选用低噪声的施工机械和工艺，加强各类施工设备的维护和保养；对振动较大的固定机械设备加装基座减振</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生态保护</w:t>
            </w:r>
            <w:r>
              <w:rPr>
                <w:rFonts w:hint="eastAsia" w:cs="Times New Roman"/>
                <w:color w:val="000000" w:themeColor="text1"/>
                <w:sz w:val="21"/>
                <w:szCs w:val="20"/>
                <w:highlight w:val="none"/>
                <w:lang w:val="en-US" w:eastAsia="zh-CN"/>
                <w14:textFill>
                  <w14:solidFill>
                    <w14:schemeClr w14:val="tx1"/>
                  </w14:solidFill>
                </w14:textFill>
              </w:rPr>
              <w:t>措施</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放喷池建挡墙较小热辐射影响；对热辐射破坏的植被进行补偿</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生态恢复</w:t>
            </w:r>
            <w:r>
              <w:rPr>
                <w:rFonts w:hint="eastAsia" w:cs="Times New Roman"/>
                <w:color w:val="000000" w:themeColor="text1"/>
                <w:sz w:val="21"/>
                <w:szCs w:val="20"/>
                <w:highlight w:val="none"/>
                <w:lang w:val="en-US" w:eastAsia="zh-CN"/>
                <w14:textFill>
                  <w14:solidFill>
                    <w14:schemeClr w14:val="tx1"/>
                  </w14:solidFill>
                </w14:textFill>
              </w:rPr>
              <w:t>措施</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根据《</w:t>
            </w:r>
            <w:r>
              <w:rPr>
                <w:rFonts w:hint="eastAsia" w:cs="Times New Roman"/>
                <w:color w:val="000000" w:themeColor="text1"/>
                <w:sz w:val="21"/>
                <w:szCs w:val="20"/>
                <w:highlight w:val="none"/>
                <w14:textFill>
                  <w14:solidFill>
                    <w14:schemeClr w14:val="tx1"/>
                  </w14:solidFill>
                </w14:textFill>
              </w:rPr>
              <w:t>中华人民共和国</w:t>
            </w:r>
            <w:r>
              <w:rPr>
                <w:rFonts w:hint="default" w:cs="Times New Roman"/>
                <w:color w:val="000000" w:themeColor="text1"/>
                <w:sz w:val="21"/>
                <w:szCs w:val="20"/>
                <w:highlight w:val="none"/>
                <w14:textFill>
                  <w14:solidFill>
                    <w14:schemeClr w14:val="tx1"/>
                  </w14:solidFill>
                </w14:textFill>
              </w:rPr>
              <w:t>土地管理法》规定相关地方规定对工程占地进行补偿</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7"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环境风险</w:t>
            </w:r>
            <w:r>
              <w:rPr>
                <w:rFonts w:hint="eastAsia" w:cs="Times New Roman"/>
                <w:color w:val="000000" w:themeColor="text1"/>
                <w:sz w:val="21"/>
                <w:szCs w:val="20"/>
                <w:highlight w:val="none"/>
                <w:lang w:val="en-US" w:eastAsia="zh-CN"/>
                <w14:textFill>
                  <w14:solidFill>
                    <w14:schemeClr w14:val="tx1"/>
                  </w14:solidFill>
                </w14:textFill>
              </w:rPr>
              <w:t>防范措施</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泥浆储备罐罐区周边设置0.3m高围堰，容积10m</w:t>
            </w:r>
            <w:r>
              <w:rPr>
                <w:rFonts w:hint="default" w:cs="Times New Roman"/>
                <w:color w:val="000000" w:themeColor="text1"/>
                <w:sz w:val="21"/>
                <w:szCs w:val="20"/>
                <w:highlight w:val="none"/>
                <w:vertAlign w:val="superscript"/>
                <w14:textFill>
                  <w14:solidFill>
                    <w14:schemeClr w14:val="tx1"/>
                  </w14:solidFill>
                </w14:textFill>
              </w:rPr>
              <w:t>3</w:t>
            </w:r>
            <w:r>
              <w:rPr>
                <w:rFonts w:hint="default" w:cs="Times New Roman"/>
                <w:color w:val="000000" w:themeColor="text1"/>
                <w:sz w:val="21"/>
                <w:szCs w:val="20"/>
                <w:highlight w:val="none"/>
                <w14:textFill>
                  <w14:solidFill>
                    <w14:schemeClr w14:val="tx1"/>
                  </w14:solidFill>
                </w14:textFill>
              </w:rPr>
              <w:t>；柴油罐区周边设置0.3m高围堰，容积20m</w:t>
            </w:r>
            <w:r>
              <w:rPr>
                <w:rFonts w:hint="default" w:cs="Times New Roman"/>
                <w:color w:val="000000" w:themeColor="text1"/>
                <w:sz w:val="21"/>
                <w:szCs w:val="20"/>
                <w:highlight w:val="none"/>
                <w:vertAlign w:val="superscript"/>
                <w14:textFill>
                  <w14:solidFill>
                    <w14:schemeClr w14:val="tx1"/>
                  </w14:solidFill>
                </w14:textFill>
              </w:rPr>
              <w:t>3</w:t>
            </w:r>
            <w:r>
              <w:rPr>
                <w:rFonts w:hint="eastAsia" w:cs="Times New Roman"/>
                <w:color w:val="000000" w:themeColor="text1"/>
                <w:sz w:val="21"/>
                <w:szCs w:val="20"/>
                <w:highlight w:val="none"/>
                <w:vertAlign w:val="baseli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渗漏污染土壤、地下水、地表水环境</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油气集输工程</w:t>
            </w: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废水</w:t>
            </w:r>
            <w:r>
              <w:rPr>
                <w:rFonts w:hint="eastAsia" w:cs="Times New Roman"/>
                <w:color w:val="000000" w:themeColor="text1"/>
                <w:sz w:val="21"/>
                <w:szCs w:val="20"/>
                <w:highlight w:val="none"/>
                <w:lang w:val="en-US" w:eastAsia="zh-CN"/>
                <w14:textFill>
                  <w14:solidFill>
                    <w14:schemeClr w14:val="tx1"/>
                  </w14:solidFill>
                </w14:textFill>
              </w:rPr>
              <w:t>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施工期管道试压废水经沉淀后用于降尘使用，不外排。</w:t>
            </w:r>
            <w:r>
              <w:rPr>
                <w:rFonts w:hint="default" w:cs="Times New Roman"/>
                <w:color w:val="000000" w:themeColor="text1"/>
                <w:sz w:val="21"/>
                <w:szCs w:val="20"/>
                <w:highlight w:val="none"/>
                <w14:textFill>
                  <w14:solidFill>
                    <w14:schemeClr w14:val="tx1"/>
                  </w14:solidFill>
                </w14:textFill>
              </w:rPr>
              <w:t>试采期</w:t>
            </w:r>
            <w:r>
              <w:rPr>
                <w:rFonts w:hint="eastAsia" w:cs="Times New Roman"/>
                <w:color w:val="000000" w:themeColor="text1"/>
                <w:sz w:val="21"/>
                <w:szCs w:val="20"/>
                <w:highlight w:val="none"/>
                <w:lang w:eastAsia="zh-CN"/>
                <w14:textFill>
                  <w14:solidFill>
                    <w14:schemeClr w14:val="tx1"/>
                  </w14:solidFill>
                </w14:textFill>
              </w:rPr>
              <w:t>雷页1试验井组</w:t>
            </w:r>
            <w:r>
              <w:rPr>
                <w:rFonts w:hint="default" w:cs="Times New Roman"/>
                <w:color w:val="000000" w:themeColor="text1"/>
                <w:sz w:val="21"/>
                <w:szCs w:val="20"/>
                <w:highlight w:val="none"/>
                <w14:textFill>
                  <w14:solidFill>
                    <w14:schemeClr w14:val="tx1"/>
                  </w14:solidFill>
                </w14:textFill>
              </w:rPr>
              <w:t>采</w:t>
            </w:r>
            <w:r>
              <w:rPr>
                <w:rFonts w:hint="eastAsia" w:cs="Times New Roman"/>
                <w:color w:val="000000" w:themeColor="text1"/>
                <w:sz w:val="21"/>
                <w:szCs w:val="20"/>
                <w:highlight w:val="none"/>
                <w:lang w:val="en-US" w:eastAsia="zh-CN"/>
                <w14:textFill>
                  <w14:solidFill>
                    <w14:schemeClr w14:val="tx1"/>
                  </w14:solidFill>
                </w14:textFill>
              </w:rPr>
              <w:t>出水通过拟建管线外</w:t>
            </w:r>
            <w:r>
              <w:rPr>
                <w:rFonts w:hint="default" w:cs="Times New Roman"/>
                <w:color w:val="000000" w:themeColor="text1"/>
                <w:sz w:val="21"/>
                <w:szCs w:val="20"/>
                <w:highlight w:val="none"/>
                <w14:textFill>
                  <w14:solidFill>
                    <w14:schemeClr w14:val="tx1"/>
                  </w14:solidFill>
                </w14:textFill>
              </w:rPr>
              <w:t>输至</w:t>
            </w:r>
            <w:r>
              <w:rPr>
                <w:rFonts w:hint="eastAsia" w:cs="Times New Roman"/>
                <w:color w:val="000000" w:themeColor="text1"/>
                <w:sz w:val="21"/>
                <w:szCs w:val="20"/>
                <w:highlight w:val="none"/>
                <w:lang w:eastAsia="zh-CN"/>
                <w14:textFill>
                  <w14:solidFill>
                    <w14:schemeClr w14:val="tx1"/>
                  </w14:solidFill>
                </w14:textFill>
              </w:rPr>
              <w:t>雷页1试采站</w:t>
            </w:r>
            <w:r>
              <w:rPr>
                <w:rFonts w:hint="default" w:cs="Times New Roman"/>
                <w:color w:val="000000" w:themeColor="text1"/>
                <w:sz w:val="21"/>
                <w:szCs w:val="20"/>
                <w:highlight w:val="none"/>
                <w14:textFill>
                  <w14:solidFill>
                    <w14:schemeClr w14:val="tx1"/>
                  </w14:solidFill>
                </w14:textFill>
              </w:rPr>
              <w:t>已建酸液缓冲罐收集暂存，然后通过密闭罐车拉运至</w:t>
            </w:r>
            <w:r>
              <w:rPr>
                <w:rFonts w:hint="eastAsia" w:cs="Times New Roman"/>
                <w:color w:val="000000" w:themeColor="text1"/>
                <w:sz w:val="21"/>
                <w:szCs w:val="20"/>
                <w:highlight w:val="none"/>
                <w:lang w:eastAsia="zh-CN"/>
                <w14:textFill>
                  <w14:solidFill>
                    <w14:schemeClr w14:val="tx1"/>
                  </w14:solidFill>
                </w14:textFill>
              </w:rPr>
              <w:t>赵家坝污水处理站</w:t>
            </w:r>
            <w:r>
              <w:rPr>
                <w:rFonts w:hint="default" w:cs="Times New Roman"/>
                <w:color w:val="000000" w:themeColor="text1"/>
                <w:sz w:val="21"/>
                <w:szCs w:val="20"/>
                <w:highlight w:val="none"/>
                <w14:textFill>
                  <w14:solidFill>
                    <w14:schemeClr w14:val="tx1"/>
                  </w14:solidFill>
                </w14:textFill>
              </w:rPr>
              <w:t>达到《气田水回注方法》（SY/T 6596-2016）中注入水基本要求后管输至</w:t>
            </w:r>
            <w:r>
              <w:rPr>
                <w:rFonts w:hint="eastAsia" w:cs="Times New Roman"/>
                <w:color w:val="000000" w:themeColor="text1"/>
                <w:sz w:val="21"/>
                <w:szCs w:val="20"/>
                <w:highlight w:val="none"/>
                <w:lang w:eastAsia="zh-CN"/>
                <w14:textFill>
                  <w14:solidFill>
                    <w14:schemeClr w14:val="tx1"/>
                  </w14:solidFill>
                </w14:textFill>
              </w:rPr>
              <w:t>普光3井回注站</w:t>
            </w:r>
            <w:r>
              <w:rPr>
                <w:rFonts w:hint="default" w:cs="Times New Roman"/>
                <w:color w:val="000000" w:themeColor="text1"/>
                <w:sz w:val="21"/>
                <w:szCs w:val="20"/>
                <w:highlight w:val="none"/>
                <w14:textFill>
                  <w14:solidFill>
                    <w14:schemeClr w14:val="tx1"/>
                  </w14:solidFill>
                </w14:textFill>
              </w:rPr>
              <w:t>回注处理，不外排。拟建工程</w:t>
            </w:r>
            <w:r>
              <w:rPr>
                <w:rFonts w:hint="eastAsia" w:cs="Times New Roman"/>
                <w:color w:val="000000" w:themeColor="text1"/>
                <w:sz w:val="21"/>
                <w:szCs w:val="20"/>
                <w:highlight w:val="none"/>
                <w:lang w:val="en-US" w:eastAsia="zh-CN"/>
                <w14:textFill>
                  <w14:solidFill>
                    <w14:schemeClr w14:val="tx1"/>
                  </w14:solidFill>
                </w14:textFill>
              </w:rPr>
              <w:t>为无人值守井站，</w:t>
            </w:r>
            <w:r>
              <w:rPr>
                <w:rFonts w:hint="default" w:cs="Times New Roman"/>
                <w:color w:val="000000" w:themeColor="text1"/>
                <w:sz w:val="21"/>
                <w:szCs w:val="20"/>
                <w:highlight w:val="none"/>
                <w14:textFill>
                  <w14:solidFill>
                    <w14:schemeClr w14:val="tx1"/>
                  </w14:solidFill>
                </w14:textFill>
              </w:rPr>
              <w:t>不新增定员，不涉及值班人员生活废水</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废水</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废气治理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洒水降尘，选用环保合格机械车辆</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废气</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固废治理</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站场建设和集输管线施工产生少量建筑垃圾，如包装袋，废弃建筑材料等，由施工队伍统一收集清运至政府指定地方。生活垃圾利用附近农户现有的设施进行收集处置，项目站场建设和集输管线施工还会产生少量管道焊接、防腐作业中产生的废材料由施工单位带走处置。</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固废</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color w:val="000000" w:themeColor="text1"/>
                <w:sz w:val="21"/>
                <w:szCs w:val="20"/>
                <w:highlight w:val="none"/>
                <w:lang w:val="en-US" w:eastAsia="zh-CN"/>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环境风险</w:t>
            </w:r>
            <w:r>
              <w:rPr>
                <w:rFonts w:hint="eastAsia" w:cs="Times New Roman"/>
                <w:color w:val="000000" w:themeColor="text1"/>
                <w:sz w:val="21"/>
                <w:szCs w:val="20"/>
                <w:highlight w:val="none"/>
                <w:lang w:val="en-US" w:eastAsia="zh-CN"/>
                <w14:textFill>
                  <w14:solidFill>
                    <w14:schemeClr w14:val="tx1"/>
                  </w14:solidFill>
                </w14:textFill>
              </w:rPr>
              <w:t>防范措施</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事故放空：事故状态下站场内天然气通过</w:t>
            </w:r>
            <w:r>
              <w:rPr>
                <w:rFonts w:hint="eastAsia" w:cs="Times New Roman"/>
                <w:color w:val="000000" w:themeColor="text1"/>
                <w:sz w:val="21"/>
                <w:szCs w:val="20"/>
                <w:highlight w:val="none"/>
                <w:lang w:val="en-US" w:eastAsia="zh-CN"/>
                <w14:textFill>
                  <w14:solidFill>
                    <w14:schemeClr w14:val="tx1"/>
                  </w14:solidFill>
                </w14:textFill>
              </w:rPr>
              <w:t>试采站</w:t>
            </w:r>
            <w:r>
              <w:rPr>
                <w:rFonts w:hint="default" w:cs="Times New Roman"/>
                <w:color w:val="000000" w:themeColor="text1"/>
                <w:sz w:val="21"/>
                <w:szCs w:val="20"/>
                <w:highlight w:val="none"/>
                <w14:textFill>
                  <w14:solidFill>
                    <w14:schemeClr w14:val="tx1"/>
                  </w14:solidFill>
                </w14:textFill>
              </w:rPr>
              <w:t>的放空火炬燃烧排放</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项目建成后运行过程中风险应急预案依托项目所属的中国石油化工股份有限公司中原油田普光分公司编制的应急预案</w:t>
            </w:r>
            <w:r>
              <w:rPr>
                <w:rFonts w:hint="eastAsia" w:cs="Times New Roman"/>
                <w:color w:val="000000" w:themeColor="text1"/>
                <w:sz w:val="21"/>
                <w:szCs w:val="21"/>
                <w:highlight w:val="none"/>
                <w14:textFill>
                  <w14:solidFill>
                    <w14:schemeClr w14:val="tx1"/>
                  </w14:solidFill>
                </w14:textFill>
              </w:rPr>
              <w:t>；需按相关要求对预案进行修订，将本项目纳入更新后的应急预案体系管理；同时本项目应单独编制应急预案并定期演练</w:t>
            </w:r>
            <w:r>
              <w:rPr>
                <w:rFonts w:hint="eastAsia" w:cs="Times New Roman"/>
                <w:color w:val="000000" w:themeColor="text1"/>
                <w:sz w:val="21"/>
                <w:szCs w:val="21"/>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81"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83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99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color w:val="000000" w:themeColor="text1"/>
                <w:sz w:val="21"/>
                <w:szCs w:val="20"/>
                <w:highlight w:val="none"/>
                <w:lang w:val="en-US"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生态保护</w:t>
            </w:r>
            <w:r>
              <w:rPr>
                <w:rFonts w:hint="eastAsia" w:cs="Times New Roman"/>
                <w:color w:val="000000" w:themeColor="text1"/>
                <w:sz w:val="21"/>
                <w:szCs w:val="20"/>
                <w:highlight w:val="none"/>
                <w:lang w:val="en-US" w:eastAsia="zh-CN"/>
                <w14:textFill>
                  <w14:solidFill>
                    <w14:schemeClr w14:val="tx1"/>
                  </w14:solidFill>
                </w14:textFill>
              </w:rPr>
              <w:t>措施</w:t>
            </w:r>
          </w:p>
        </w:tc>
        <w:tc>
          <w:tcPr>
            <w:tcW w:w="34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eastAsia" w:eastAsia="宋体" w:cs="Times New Roman"/>
                <w:color w:val="000000" w:themeColor="text1"/>
                <w:sz w:val="21"/>
                <w:szCs w:val="20"/>
                <w:highlight w:val="none"/>
                <w:lang w:eastAsia="zh-CN"/>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站场周边修建排水沟，进行绿化建设</w:t>
            </w:r>
            <w:r>
              <w:rPr>
                <w:rFonts w:hint="eastAsia" w:cs="Times New Roman"/>
                <w:color w:val="000000" w:themeColor="text1"/>
                <w:sz w:val="21"/>
                <w:szCs w:val="20"/>
                <w:highlight w:val="none"/>
                <w:lang w:eastAsia="zh-CN"/>
                <w14:textFill>
                  <w14:solidFill>
                    <w14:schemeClr w14:val="tx1"/>
                  </w14:solidFill>
                </w14:textFill>
              </w:rPr>
              <w:t>。</w:t>
            </w:r>
          </w:p>
        </w:tc>
        <w:tc>
          <w:tcPr>
            <w:tcW w:w="184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57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新建</w:t>
            </w:r>
          </w:p>
        </w:tc>
      </w:tr>
    </w:tbl>
    <w:p>
      <w:pPr>
        <w:pStyle w:val="4"/>
        <w:spacing w:before="120"/>
        <w:rPr>
          <w:b/>
          <w:color w:val="000000" w:themeColor="text1"/>
          <w:highlight w:val="none"/>
          <w:lang w:eastAsia="zh-CN"/>
          <w14:textFill>
            <w14:solidFill>
              <w14:schemeClr w14:val="tx1"/>
            </w14:solidFill>
          </w14:textFill>
        </w:rPr>
      </w:pPr>
      <w:bookmarkStart w:id="120" w:name="_Toc120173102"/>
      <w:r>
        <w:rPr>
          <w:color w:val="000000" w:themeColor="text1"/>
          <w:highlight w:val="none"/>
          <w:lang w:eastAsia="zh-CN"/>
          <w14:textFill>
            <w14:solidFill>
              <w14:schemeClr w14:val="tx1"/>
            </w14:solidFill>
          </w14:textFill>
        </w:rPr>
        <w:t>主要设备</w:t>
      </w:r>
      <w:bookmarkEnd w:id="120"/>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bookmarkStart w:id="121" w:name="3.2.4总平面布置及其合理性分析"/>
      <w:bookmarkEnd w:id="121"/>
      <w:bookmarkStart w:id="122" w:name="3.2.3原辅材料及用量"/>
      <w:bookmarkEnd w:id="122"/>
      <w:bookmarkStart w:id="123" w:name="3.2.5公用工程"/>
      <w:bookmarkEnd w:id="123"/>
      <w:r>
        <w:rPr>
          <w:color w:val="000000" w:themeColor="text1"/>
          <w:highlight w:val="none"/>
          <w14:textFill>
            <w14:solidFill>
              <w14:schemeClr w14:val="tx1"/>
            </w14:solidFill>
          </w14:textFill>
        </w:rPr>
        <w:t>施工期</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本项目根据项目所在地地层实际情况，本项目采用机械钻机，为ZJ70钻机，并配备顶驱装置。井架设备和井场监控自动化设备</w:t>
      </w:r>
      <w:r>
        <w:rPr>
          <w:rFonts w:hint="eastAsia" w:cs="Times New Roman"/>
          <w:color w:val="000000" w:themeColor="text1"/>
          <w:szCs w:val="24"/>
          <w:highlight w:val="none"/>
          <w:lang w:val="en-US" w:eastAsia="zh-CN"/>
          <w14:textFill>
            <w14:solidFill>
              <w14:schemeClr w14:val="tx1"/>
            </w14:solidFill>
          </w14:textFill>
        </w:rPr>
        <w:t>由钻井队搬运至现场</w:t>
      </w:r>
      <w:r>
        <w:rPr>
          <w:rFonts w:cs="Times New Roman"/>
          <w:color w:val="000000" w:themeColor="text1"/>
          <w:szCs w:val="24"/>
          <w:highlight w:val="none"/>
          <w14:textFill>
            <w14:solidFill>
              <w14:schemeClr w14:val="tx1"/>
            </w14:solidFill>
          </w14:textFill>
        </w:rPr>
        <w:t>，泥浆钻井系统（含现场泥浆的调配、储存、循环以及钻井时的井控设施等）独立配置。项目钻、完井工程所用设备见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_Ref142593373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8</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rFonts w:hint="eastAsia"/>
          <w:color w:val="000000" w:themeColor="text1"/>
          <w:highlight w:val="none"/>
          <w:lang w:val="en-US" w:eastAsia="zh-CN"/>
          <w14:textFill>
            <w14:solidFill>
              <w14:schemeClr w14:val="tx1"/>
            </w14:solidFill>
          </w14:textFill>
        </w:rPr>
      </w:pPr>
      <w:bookmarkStart w:id="124" w:name="_Ref14259337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bookmarkEnd w:id="12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本项目钻井工程所用主要设施一览表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单井）</w:t>
      </w:r>
    </w:p>
    <w:p>
      <w:pPr>
        <w:pStyle w:val="201"/>
        <w:spacing w:before="120"/>
        <w:rPr>
          <w:rFonts w:hint="default" w:eastAsia="黑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p>
      <w:pPr>
        <w:pStyle w:val="5"/>
        <w:spacing w:before="12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试采期</w:t>
      </w:r>
    </w:p>
    <w:p>
      <w:pPr>
        <w:autoSpaceDE w:val="0"/>
        <w:autoSpaceDN w:val="0"/>
        <w:ind w:firstLine="420"/>
        <w:textAlignment w:val="baseline"/>
        <w:rPr>
          <w:rFonts w:cs="Times New Roman"/>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试采</w:t>
      </w:r>
      <w:r>
        <w:rPr>
          <w:rFonts w:hint="eastAsia"/>
          <w:color w:val="000000" w:themeColor="text1"/>
          <w:highlight w:val="none"/>
          <w:lang w:val="en-US" w:eastAsia="zh-CN"/>
          <w14:textFill>
            <w14:solidFill>
              <w14:schemeClr w14:val="tx1"/>
            </w14:solidFill>
          </w14:textFill>
        </w:rPr>
        <w:t>期</w:t>
      </w:r>
      <w:r>
        <w:rPr>
          <w:rFonts w:cs="Times New Roman"/>
          <w:color w:val="000000" w:themeColor="text1"/>
          <w:szCs w:val="24"/>
          <w:highlight w:val="none"/>
          <w14:textFill>
            <w14:solidFill>
              <w14:schemeClr w14:val="tx1"/>
            </w14:solidFill>
          </w14:textFill>
        </w:rPr>
        <w:t>主要设备一览表见</w:t>
      </w:r>
      <w:r>
        <w:rPr>
          <w:rFonts w:hint="eastAsia" w:cs="Times New Roman"/>
          <w:color w:val="000000" w:themeColor="text1"/>
          <w:szCs w:val="24"/>
          <w:highlight w:val="none"/>
          <w:lang w:val="en-US" w:eastAsia="zh-CN"/>
          <w14:textFill>
            <w14:solidFill>
              <w14:schemeClr w14:val="tx1"/>
            </w14:solidFill>
          </w14:textFill>
        </w:rPr>
        <w:t>下表</w:t>
      </w:r>
      <w:r>
        <w:rPr>
          <w:rFonts w:cs="Times New Roman"/>
          <w:color w:val="000000" w:themeColor="text1"/>
          <w:szCs w:val="24"/>
          <w:highlight w:val="none"/>
          <w14:textFill>
            <w14:solidFill>
              <w14:schemeClr w14:val="tx1"/>
            </w14:solidFill>
          </w14:textFill>
        </w:rPr>
        <w:t>。</w:t>
      </w:r>
      <w:bookmarkStart w:id="125" w:name="_Ref142593374"/>
    </w:p>
    <w:p>
      <w:pPr>
        <w:autoSpaceDE w:val="0"/>
        <w:autoSpaceDN w:val="0"/>
        <w:ind w:firstLine="420"/>
        <w:jc w:val="center"/>
        <w:textAlignment w:val="baseline"/>
        <w:rPr>
          <w:rFonts w:eastAsia="黑体" w:cs="Times New Roman"/>
          <w:color w:val="000000" w:themeColor="text1"/>
          <w:sz w:val="21"/>
          <w:szCs w:val="21"/>
          <w:highlight w:val="none"/>
          <w14:textFill>
            <w14:solidFill>
              <w14:schemeClr w14:val="tx1"/>
            </w14:solidFill>
          </w14:textFill>
        </w:rPr>
      </w:pPr>
      <w:r>
        <w:rPr>
          <w:rFonts w:hint="eastAsia" w:eastAsia="黑体" w:cs="Times New Roman"/>
          <w:color w:val="000000" w:themeColor="text1"/>
          <w:sz w:val="21"/>
          <w:szCs w:val="21"/>
          <w:highlight w:val="none"/>
          <w14:textFill>
            <w14:solidFill>
              <w14:schemeClr w14:val="tx1"/>
            </w14:solidFill>
          </w14:textFill>
        </w:rPr>
        <w:t>表</w:t>
      </w:r>
      <w:r>
        <w:rPr>
          <w:rFonts w:eastAsia="黑体" w:cs="Times New Roman"/>
          <w:color w:val="000000" w:themeColor="text1"/>
          <w:sz w:val="21"/>
          <w:szCs w:val="21"/>
          <w:highlight w:val="none"/>
          <w14:textFill>
            <w14:solidFill>
              <w14:schemeClr w14:val="tx1"/>
            </w14:solidFill>
          </w14:textFill>
        </w:rPr>
        <w:fldChar w:fldCharType="begin"/>
      </w:r>
      <w:r>
        <w:rPr>
          <w:rFonts w:eastAsia="黑体" w:cs="Times New Roman"/>
          <w:color w:val="000000" w:themeColor="text1"/>
          <w:sz w:val="21"/>
          <w:szCs w:val="21"/>
          <w:highlight w:val="none"/>
          <w14:textFill>
            <w14:solidFill>
              <w14:schemeClr w14:val="tx1"/>
            </w14:solidFill>
          </w14:textFill>
        </w:rPr>
        <w:instrText xml:space="preserve"> </w:instrText>
      </w:r>
      <w:r>
        <w:rPr>
          <w:rFonts w:hint="eastAsia" w:eastAsia="黑体" w:cs="Times New Roman"/>
          <w:color w:val="000000" w:themeColor="text1"/>
          <w:sz w:val="21"/>
          <w:szCs w:val="21"/>
          <w:highlight w:val="none"/>
          <w14:textFill>
            <w14:solidFill>
              <w14:schemeClr w14:val="tx1"/>
            </w14:solidFill>
          </w14:textFill>
        </w:rPr>
        <w:instrText xml:space="preserve">STYLEREF 2 \s</w:instrText>
      </w:r>
      <w:r>
        <w:rPr>
          <w:rFonts w:eastAsia="黑体" w:cs="Times New Roman"/>
          <w:color w:val="000000" w:themeColor="text1"/>
          <w:sz w:val="21"/>
          <w:szCs w:val="21"/>
          <w:highlight w:val="none"/>
          <w14:textFill>
            <w14:solidFill>
              <w14:schemeClr w14:val="tx1"/>
            </w14:solidFill>
          </w14:textFill>
        </w:rPr>
        <w:instrText xml:space="preserve"> </w:instrText>
      </w:r>
      <w:r>
        <w:rPr>
          <w:rFonts w:eastAsia="黑体" w:cs="Times New Roman"/>
          <w:color w:val="000000" w:themeColor="text1"/>
          <w:sz w:val="21"/>
          <w:szCs w:val="21"/>
          <w:highlight w:val="none"/>
          <w14:textFill>
            <w14:solidFill>
              <w14:schemeClr w14:val="tx1"/>
            </w14:solidFill>
          </w14:textFill>
        </w:rPr>
        <w:fldChar w:fldCharType="separate"/>
      </w:r>
      <w:r>
        <w:rPr>
          <w:rFonts w:eastAsia="黑体" w:cs="Times New Roman"/>
          <w:color w:val="000000" w:themeColor="text1"/>
          <w:sz w:val="21"/>
          <w:szCs w:val="21"/>
          <w:highlight w:val="none"/>
          <w14:textFill>
            <w14:solidFill>
              <w14:schemeClr w14:val="tx1"/>
            </w14:solidFill>
          </w14:textFill>
        </w:rPr>
        <w:t>3.2</w:t>
      </w:r>
      <w:r>
        <w:rPr>
          <w:rFonts w:eastAsia="黑体" w:cs="Times New Roman"/>
          <w:color w:val="000000" w:themeColor="text1"/>
          <w:sz w:val="21"/>
          <w:szCs w:val="21"/>
          <w:highlight w:val="none"/>
          <w14:textFill>
            <w14:solidFill>
              <w14:schemeClr w14:val="tx1"/>
            </w14:solidFill>
          </w14:textFill>
        </w:rPr>
        <w:fldChar w:fldCharType="end"/>
      </w:r>
      <w:r>
        <w:rPr>
          <w:rFonts w:eastAsia="黑体" w:cs="Times New Roman"/>
          <w:color w:val="000000" w:themeColor="text1"/>
          <w:sz w:val="21"/>
          <w:szCs w:val="21"/>
          <w:highlight w:val="none"/>
          <w14:textFill>
            <w14:solidFill>
              <w14:schemeClr w14:val="tx1"/>
            </w14:solidFill>
          </w14:textFill>
        </w:rPr>
        <w:noBreakHyphen/>
      </w:r>
      <w:r>
        <w:rPr>
          <w:rFonts w:eastAsia="黑体" w:cs="Times New Roman"/>
          <w:color w:val="000000" w:themeColor="text1"/>
          <w:sz w:val="21"/>
          <w:szCs w:val="21"/>
          <w:highlight w:val="none"/>
          <w14:textFill>
            <w14:solidFill>
              <w14:schemeClr w14:val="tx1"/>
            </w14:solidFill>
          </w14:textFill>
        </w:rPr>
        <w:fldChar w:fldCharType="begin"/>
      </w:r>
      <w:r>
        <w:rPr>
          <w:rFonts w:eastAsia="黑体" w:cs="Times New Roman"/>
          <w:color w:val="000000" w:themeColor="text1"/>
          <w:sz w:val="21"/>
          <w:szCs w:val="21"/>
          <w:highlight w:val="none"/>
          <w14:textFill>
            <w14:solidFill>
              <w14:schemeClr w14:val="tx1"/>
            </w14:solidFill>
          </w14:textFill>
        </w:rPr>
        <w:instrText xml:space="preserve"> </w:instrText>
      </w:r>
      <w:r>
        <w:rPr>
          <w:rFonts w:hint="eastAsia" w:eastAsia="黑体" w:cs="Times New Roman"/>
          <w:color w:val="000000" w:themeColor="text1"/>
          <w:sz w:val="21"/>
          <w:szCs w:val="21"/>
          <w:highlight w:val="none"/>
          <w14:textFill>
            <w14:solidFill>
              <w14:schemeClr w14:val="tx1"/>
            </w14:solidFill>
          </w14:textFill>
        </w:rPr>
        <w:instrText xml:space="preserve">SEQ 表 \* ARABIC \s 2</w:instrText>
      </w:r>
      <w:r>
        <w:rPr>
          <w:rFonts w:eastAsia="黑体" w:cs="Times New Roman"/>
          <w:color w:val="000000" w:themeColor="text1"/>
          <w:sz w:val="21"/>
          <w:szCs w:val="21"/>
          <w:highlight w:val="none"/>
          <w14:textFill>
            <w14:solidFill>
              <w14:schemeClr w14:val="tx1"/>
            </w14:solidFill>
          </w14:textFill>
        </w:rPr>
        <w:instrText xml:space="preserve"> </w:instrText>
      </w:r>
      <w:r>
        <w:rPr>
          <w:rFonts w:eastAsia="黑体" w:cs="Times New Roman"/>
          <w:color w:val="000000" w:themeColor="text1"/>
          <w:sz w:val="21"/>
          <w:szCs w:val="21"/>
          <w:highlight w:val="none"/>
          <w14:textFill>
            <w14:solidFill>
              <w14:schemeClr w14:val="tx1"/>
            </w14:solidFill>
          </w14:textFill>
        </w:rPr>
        <w:fldChar w:fldCharType="separate"/>
      </w:r>
      <w:r>
        <w:rPr>
          <w:rFonts w:hint="eastAsia" w:eastAsia="黑体" w:cs="Times New Roman"/>
          <w:color w:val="000000" w:themeColor="text1"/>
          <w:sz w:val="21"/>
          <w:szCs w:val="21"/>
          <w:highlight w:val="none"/>
          <w14:textFill>
            <w14:solidFill>
              <w14:schemeClr w14:val="tx1"/>
            </w14:solidFill>
          </w14:textFill>
        </w:rPr>
        <w:t>9</w:t>
      </w:r>
      <w:r>
        <w:rPr>
          <w:rFonts w:eastAsia="黑体" w:cs="Times New Roman"/>
          <w:color w:val="000000" w:themeColor="text1"/>
          <w:sz w:val="21"/>
          <w:szCs w:val="21"/>
          <w:highlight w:val="none"/>
          <w14:textFill>
            <w14:solidFill>
              <w14:schemeClr w14:val="tx1"/>
            </w14:solidFill>
          </w14:textFill>
        </w:rPr>
        <w:fldChar w:fldCharType="end"/>
      </w:r>
      <w:bookmarkEnd w:id="125"/>
      <w:r>
        <w:rPr>
          <w:rFonts w:eastAsia="黑体" w:cs="Times New Roman"/>
          <w:color w:val="000000" w:themeColor="text1"/>
          <w:sz w:val="21"/>
          <w:szCs w:val="21"/>
          <w:highlight w:val="none"/>
          <w14:textFill>
            <w14:solidFill>
              <w14:schemeClr w14:val="tx1"/>
            </w14:solidFill>
          </w14:textFill>
        </w:rPr>
        <w:t xml:space="preserve"> </w:t>
      </w:r>
      <w:r>
        <w:rPr>
          <w:rFonts w:hint="eastAsia" w:eastAsia="黑体" w:cs="Times New Roman"/>
          <w:color w:val="000000" w:themeColor="text1"/>
          <w:sz w:val="21"/>
          <w:szCs w:val="21"/>
          <w:highlight w:val="none"/>
          <w:lang w:eastAsia="zh-CN"/>
          <w14:textFill>
            <w14:solidFill>
              <w14:schemeClr w14:val="tx1"/>
            </w14:solidFill>
          </w14:textFill>
        </w:rPr>
        <w:t>雷页1试验井组</w:t>
      </w:r>
      <w:r>
        <w:rPr>
          <w:rFonts w:hint="eastAsia" w:eastAsia="黑体" w:cs="Times New Roman"/>
          <w:color w:val="000000" w:themeColor="text1"/>
          <w:sz w:val="21"/>
          <w:szCs w:val="21"/>
          <w:highlight w:val="none"/>
          <w:lang w:val="en-US" w:eastAsia="zh-CN"/>
          <w14:textFill>
            <w14:solidFill>
              <w14:schemeClr w14:val="tx1"/>
            </w14:solidFill>
          </w14:textFill>
        </w:rPr>
        <w:t>试采期</w:t>
      </w:r>
      <w:r>
        <w:rPr>
          <w:rFonts w:eastAsia="黑体" w:cs="Times New Roman"/>
          <w:color w:val="000000" w:themeColor="text1"/>
          <w:sz w:val="21"/>
          <w:szCs w:val="21"/>
          <w:highlight w:val="none"/>
          <w14:textFill>
            <w14:solidFill>
              <w14:schemeClr w14:val="tx1"/>
            </w14:solidFill>
          </w14:textFill>
        </w:rPr>
        <w:t>主要设备一览表</w:t>
      </w:r>
    </w:p>
    <w:p>
      <w:pPr>
        <w:autoSpaceDE w:val="0"/>
        <w:autoSpaceDN w:val="0"/>
        <w:ind w:firstLine="420"/>
        <w:jc w:val="center"/>
        <w:textAlignment w:val="baseline"/>
        <w:rPr>
          <w:rFonts w:eastAsia="黑体" w:cs="Times New Roman"/>
          <w:color w:val="000000" w:themeColor="text1"/>
          <w:sz w:val="21"/>
          <w:szCs w:val="21"/>
          <w:highlight w:val="none"/>
          <w14:textFill>
            <w14:solidFill>
              <w14:schemeClr w14:val="tx1"/>
            </w14:solidFill>
          </w14:textFill>
        </w:rPr>
      </w:pPr>
      <w:r>
        <w:rPr>
          <w:rFonts w:hint="eastAsia" w:eastAsia="黑体" w:cs="Times New Roman"/>
          <w:color w:val="000000" w:themeColor="text1"/>
          <w:sz w:val="21"/>
          <w:szCs w:val="2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164" w:beforeLines="50"/>
        <w:textAlignment w:val="auto"/>
        <w:rPr>
          <w:b/>
          <w:color w:val="000000" w:themeColor="text1"/>
          <w:highlight w:val="none"/>
          <w:lang w:eastAsia="zh-CN"/>
          <w14:textFill>
            <w14:solidFill>
              <w14:schemeClr w14:val="tx1"/>
            </w14:solidFill>
          </w14:textFill>
        </w:rPr>
      </w:pPr>
      <w:bookmarkStart w:id="126" w:name="_Toc120173103"/>
      <w:r>
        <w:rPr>
          <w:color w:val="000000" w:themeColor="text1"/>
          <w:highlight w:val="none"/>
          <w:lang w:eastAsia="zh-CN"/>
          <w14:textFill>
            <w14:solidFill>
              <w14:schemeClr w14:val="tx1"/>
            </w14:solidFill>
          </w14:textFill>
        </w:rPr>
        <w:t>原辅材料消耗</w:t>
      </w:r>
      <w:bookmarkEnd w:id="126"/>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p>
    <w:p>
      <w:pPr>
        <w:autoSpaceDE w:val="0"/>
        <w:autoSpaceDN w:val="0"/>
        <w:ind w:firstLine="482"/>
        <w:textAlignment w:val="baseline"/>
        <w:rPr>
          <w:rFonts w:hint="eastAsia" w:cs="Times New Roman"/>
          <w:b w:val="0"/>
          <w:bCs w:val="0"/>
          <w:color w:val="000000" w:themeColor="text1"/>
          <w:kern w:val="0"/>
          <w:szCs w:val="20"/>
          <w:highlight w:val="none"/>
          <w:lang w:val="en-US" w:eastAsia="zh-CN"/>
          <w14:textFill>
            <w14:solidFill>
              <w14:schemeClr w14:val="tx1"/>
            </w14:solidFill>
          </w14:textFill>
        </w:rPr>
      </w:pPr>
      <w:r>
        <w:rPr>
          <w:rFonts w:hint="eastAsia" w:cs="Times New Roman"/>
          <w:b w:val="0"/>
          <w:bCs w:val="0"/>
          <w:color w:val="000000" w:themeColor="text1"/>
          <w:kern w:val="0"/>
          <w:szCs w:val="20"/>
          <w:highlight w:val="none"/>
          <w:lang w:val="en-US" w:eastAsia="zh-CN"/>
          <w14:textFill>
            <w14:solidFill>
              <w14:schemeClr w14:val="tx1"/>
            </w14:solidFill>
          </w14:textFill>
        </w:rPr>
        <w:t>本项目施工期包括钻前工程施工、钻井工程施工、储层改造工程施工三部分，其中钻前工程主要为井场建设、设备基础、生活区等建设，其原辅材料消耗为常规的建筑施工材料及柴油、水资源等。本次评价结合项目特点，重点就钻井工程、储层改造工程所使用的原辅材料情况进行详细说明如下：</w:t>
      </w:r>
    </w:p>
    <w:p>
      <w:pPr>
        <w:autoSpaceDE w:val="0"/>
        <w:autoSpaceDN w:val="0"/>
        <w:ind w:firstLine="482"/>
        <w:textAlignment w:val="baseline"/>
        <w:rPr>
          <w:rFonts w:cs="Times New Roman"/>
          <w:b/>
          <w:bCs/>
          <w:color w:val="000000" w:themeColor="text1"/>
          <w:kern w:val="0"/>
          <w:szCs w:val="20"/>
          <w:highlight w:val="none"/>
          <w14:textFill>
            <w14:solidFill>
              <w14:schemeClr w14:val="tx1"/>
            </w14:solidFill>
          </w14:textFill>
        </w:rPr>
      </w:pPr>
      <w:r>
        <w:rPr>
          <w:rFonts w:hint="eastAsia" w:cs="Times New Roman"/>
          <w:b/>
          <w:bCs/>
          <w:color w:val="000000" w:themeColor="text1"/>
          <w:kern w:val="0"/>
          <w:szCs w:val="20"/>
          <w:highlight w:val="none"/>
          <w:lang w:val="en-US" w:eastAsia="zh-CN"/>
          <w14:textFill>
            <w14:solidFill>
              <w14:schemeClr w14:val="tx1"/>
            </w14:solidFill>
          </w14:textFill>
        </w:rPr>
        <w:t>1、</w:t>
      </w:r>
      <w:r>
        <w:rPr>
          <w:rFonts w:cs="Times New Roman"/>
          <w:b/>
          <w:bCs/>
          <w:color w:val="000000" w:themeColor="text1"/>
          <w:kern w:val="0"/>
          <w:szCs w:val="20"/>
          <w:highlight w:val="none"/>
          <w14:textFill>
            <w14:solidFill>
              <w14:schemeClr w14:val="tx1"/>
            </w14:solidFill>
          </w14:textFill>
        </w:rPr>
        <w:t>钻井作业材料消耗</w:t>
      </w:r>
    </w:p>
    <w:p>
      <w:pPr>
        <w:autoSpaceDE w:val="0"/>
        <w:autoSpaceDN w:val="0"/>
        <w:ind w:firstLine="482"/>
        <w:textAlignment w:val="baseline"/>
        <w:rPr>
          <w:rFonts w:hint="default" w:ascii="Times New Roman" w:hAnsi="Times New Roman" w:cs="Times New Roman"/>
          <w:b/>
          <w:bCs/>
          <w:color w:val="000000" w:themeColor="text1"/>
          <w:kern w:val="0"/>
          <w:szCs w:val="20"/>
          <w:highlight w:val="none"/>
          <w14:textFill>
            <w14:solidFill>
              <w14:schemeClr w14:val="tx1"/>
            </w14:solidFill>
          </w14:textFill>
        </w:rPr>
      </w:pPr>
      <w:r>
        <w:rPr>
          <w:rFonts w:hint="eastAsia" w:ascii="Times New Roman" w:hAnsi="Times New Roman" w:cs="Times New Roman"/>
          <w:b/>
          <w:bCs/>
          <w:color w:val="000000" w:themeColor="text1"/>
          <w:kern w:val="0"/>
          <w:szCs w:val="20"/>
          <w:highlight w:val="none"/>
          <w:lang w:val="en-US" w:eastAsia="zh-CN"/>
          <w14:textFill>
            <w14:solidFill>
              <w14:schemeClr w14:val="tx1"/>
            </w14:solidFill>
          </w14:textFill>
        </w:rPr>
        <w:t>（1）钻井</w:t>
      </w:r>
      <w:r>
        <w:rPr>
          <w:rFonts w:hint="eastAsia" w:cs="Times New Roman"/>
          <w:b/>
          <w:bCs/>
          <w:color w:val="000000" w:themeColor="text1"/>
          <w:kern w:val="0"/>
          <w:szCs w:val="20"/>
          <w:highlight w:val="none"/>
          <w:lang w:val="en-US" w:eastAsia="zh-CN"/>
          <w14:textFill>
            <w14:solidFill>
              <w14:schemeClr w14:val="tx1"/>
            </w14:solidFill>
          </w14:textFill>
        </w:rPr>
        <w:t>施工</w:t>
      </w:r>
      <w:r>
        <w:rPr>
          <w:rFonts w:hint="default" w:ascii="Times New Roman" w:hAnsi="Times New Roman" w:cs="Times New Roman"/>
          <w:b/>
          <w:bCs/>
          <w:color w:val="000000" w:themeColor="text1"/>
          <w:kern w:val="0"/>
          <w:szCs w:val="20"/>
          <w:highlight w:val="none"/>
          <w14:textFill>
            <w14:solidFill>
              <w14:schemeClr w14:val="tx1"/>
            </w14:solidFill>
          </w14:textFill>
        </w:rPr>
        <w:t>材料消耗</w:t>
      </w:r>
    </w:p>
    <w:p>
      <w:pPr>
        <w:autoSpaceDE w:val="0"/>
        <w:autoSpaceDN w:val="0"/>
        <w:ind w:firstLine="480"/>
        <w:textAlignment w:val="baseline"/>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本工程采用常规钻井工艺进行钻井，钻井初期在场地内配备钻井液并储存于钻井泥浆罐中循环使用，调配钻井液原料（如膨润</w:t>
      </w:r>
      <w:r>
        <w:rPr>
          <w:rFonts w:hint="eastAsia" w:cs="Times New Roman"/>
          <w:color w:val="000000" w:themeColor="text1"/>
          <w:kern w:val="0"/>
          <w:szCs w:val="20"/>
          <w:highlight w:val="none"/>
          <w:lang w:val="en-US" w:eastAsia="zh-CN"/>
          <w14:textFill>
            <w14:solidFill>
              <w14:schemeClr w14:val="tx1"/>
            </w14:solidFill>
          </w14:textFill>
        </w:rPr>
        <w:t>土</w:t>
      </w:r>
      <w:r>
        <w:rPr>
          <w:rFonts w:cs="Times New Roman"/>
          <w:color w:val="000000" w:themeColor="text1"/>
          <w:kern w:val="0"/>
          <w:szCs w:val="20"/>
          <w:highlight w:val="none"/>
          <w14:textFill>
            <w14:solidFill>
              <w14:schemeClr w14:val="tx1"/>
            </w14:solidFill>
          </w14:textFill>
        </w:rPr>
        <w:t>等，分区分类贮存于井场内，贮存区上部设雨篷遮挡，钻井液原料按月需求量贮存于井场内）。</w:t>
      </w:r>
      <w:r>
        <w:rPr>
          <w:rFonts w:hint="eastAsia" w:cs="Times New Roman"/>
          <w:color w:val="000000" w:themeColor="text1"/>
          <w:kern w:val="0"/>
          <w:szCs w:val="20"/>
          <w:highlight w:val="none"/>
          <w14:textFill>
            <w14:solidFill>
              <w14:schemeClr w14:val="tx1"/>
            </w14:solidFill>
          </w14:textFill>
        </w:rPr>
        <w:t>本项目钻井方式选用</w:t>
      </w:r>
      <w:r>
        <w:rPr>
          <w:rFonts w:hint="eastAsia" w:cs="Times New Roman"/>
          <w:color w:val="000000" w:themeColor="text1"/>
          <w:kern w:val="0"/>
          <w:szCs w:val="20"/>
          <w:highlight w:val="none"/>
          <w:lang w:val="en-US" w:eastAsia="zh-CN"/>
          <w14:textFill>
            <w14:solidFill>
              <w14:schemeClr w14:val="tx1"/>
            </w14:solidFill>
          </w14:textFill>
        </w:rPr>
        <w:t>水基</w:t>
      </w:r>
      <w:r>
        <w:rPr>
          <w:rFonts w:hint="eastAsia" w:cs="Times New Roman"/>
          <w:color w:val="000000" w:themeColor="text1"/>
          <w:kern w:val="0"/>
          <w:szCs w:val="20"/>
          <w:highlight w:val="none"/>
          <w14:textFill>
            <w14:solidFill>
              <w14:schemeClr w14:val="tx1"/>
            </w14:solidFill>
          </w14:textFill>
        </w:rPr>
        <w:t>钻井液体系，导管采用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hint="eastAsia" w:cs="Times New Roman"/>
          <w:color w:val="000000" w:themeColor="text1"/>
          <w:kern w:val="0"/>
          <w:szCs w:val="20"/>
          <w:highlight w:val="none"/>
          <w14:textFill>
            <w14:solidFill>
              <w14:schemeClr w14:val="tx1"/>
            </w14:solidFill>
          </w14:textFill>
        </w:rPr>
        <w:t>，</w:t>
      </w:r>
      <w:r>
        <w:rPr>
          <w:rFonts w:hint="eastAsia"/>
          <w:color w:val="000000" w:themeColor="text1"/>
          <w:highlight w:val="none"/>
          <w14:textFill>
            <w14:solidFill>
              <w14:schemeClr w14:val="tx1"/>
            </w14:solidFill>
          </w14:textFill>
        </w:rPr>
        <w:t>一开采用</w:t>
      </w:r>
      <w:r>
        <w:rPr>
          <w:rFonts w:hint="eastAsia"/>
          <w:color w:val="000000" w:themeColor="text1"/>
          <w:highlight w:val="none"/>
          <w:lang w:eastAsia="zh-CN"/>
          <w14:textFill>
            <w14:solidFill>
              <w14:schemeClr w14:val="tx1"/>
            </w14:solidFill>
          </w14:textFill>
        </w:rPr>
        <w:t>***钻井液</w:t>
      </w:r>
      <w:r>
        <w:rPr>
          <w:rFonts w:hint="eastAsia"/>
          <w:color w:val="000000" w:themeColor="text1"/>
          <w:highlight w:val="none"/>
          <w14:textFill>
            <w14:solidFill>
              <w14:schemeClr w14:val="tx1"/>
            </w14:solidFill>
          </w14:textFill>
        </w:rPr>
        <w:t>体系，二开采用</w:t>
      </w:r>
      <w:r>
        <w:rPr>
          <w:rFonts w:hint="eastAsia"/>
          <w:color w:val="000000" w:themeColor="text1"/>
          <w:kern w:val="0"/>
          <w:sz w:val="24"/>
          <w:highlight w:val="none"/>
          <w:lang w:val="zh-CN"/>
          <w14:textFill>
            <w14:solidFill>
              <w14:schemeClr w14:val="tx1"/>
            </w14:solidFill>
          </w14:textFill>
        </w:rPr>
        <w:t>***润滑防塌钻井液/复合盐</w:t>
      </w:r>
      <w:r>
        <w:rPr>
          <w:rFonts w:hint="eastAsia" w:ascii="宋体" w:hAnsi="Times New Roman" w:cs="宋体"/>
          <w:color w:val="000000" w:themeColor="text1"/>
          <w:kern w:val="0"/>
          <w:sz w:val="24"/>
          <w:highlight w:val="none"/>
          <w:lang w:val="zh-CN"/>
          <w14:textFill>
            <w14:solidFill>
              <w14:schemeClr w14:val="tx1"/>
            </w14:solidFill>
          </w14:textFill>
        </w:rPr>
        <w:t>体系</w:t>
      </w:r>
      <w:r>
        <w:rPr>
          <w:rFonts w:hint="eastAsia"/>
          <w:color w:val="000000" w:themeColor="text1"/>
          <w:highlight w:val="none"/>
          <w14:textFill>
            <w14:solidFill>
              <w14:schemeClr w14:val="tx1"/>
            </w14:solidFill>
          </w14:textFill>
        </w:rPr>
        <w:t>，三开</w:t>
      </w:r>
      <w:r>
        <w:rPr>
          <w:rFonts w:hint="eastAsia"/>
          <w:color w:val="000000" w:themeColor="text1"/>
          <w:highlight w:val="none"/>
          <w:lang w:val="en-US" w:eastAsia="zh-CN"/>
          <w14:textFill>
            <w14:solidFill>
              <w14:schemeClr w14:val="tx1"/>
            </w14:solidFill>
          </w14:textFill>
        </w:rPr>
        <w:t>优先</w:t>
      </w:r>
      <w:r>
        <w:rPr>
          <w:rFonts w:hint="eastAsia"/>
          <w:color w:val="000000" w:themeColor="text1"/>
          <w:highlight w:val="none"/>
          <w14:textFill>
            <w14:solidFill>
              <w14:schemeClr w14:val="tx1"/>
            </w14:solidFill>
          </w14:textFill>
        </w:rPr>
        <w:t>采用</w:t>
      </w:r>
      <w:r>
        <w:rPr>
          <w:rFonts w:hint="eastAsia"/>
          <w:color w:val="000000" w:themeColor="text1"/>
          <w:highlight w:val="none"/>
          <w:lang w:eastAsia="zh-CN"/>
          <w14:textFill>
            <w14:solidFill>
              <w14:schemeClr w14:val="tx1"/>
            </w14:solidFill>
          </w14:textFill>
        </w:rPr>
        <w:t>油基钻井</w:t>
      </w:r>
      <w:r>
        <w:rPr>
          <w:rFonts w:hint="eastAsia" w:cs="Times New Roman"/>
          <w:color w:val="000000" w:themeColor="text1"/>
          <w:kern w:val="0"/>
          <w:szCs w:val="20"/>
          <w:highlight w:val="none"/>
          <w14:textFill>
            <w14:solidFill>
              <w14:schemeClr w14:val="tx1"/>
            </w14:solidFill>
          </w14:textFill>
        </w:rPr>
        <w:t>。本</w:t>
      </w:r>
      <w:r>
        <w:rPr>
          <w:color w:val="000000" w:themeColor="text1"/>
          <w:highlight w:val="none"/>
          <w14:textFill>
            <w14:solidFill>
              <w14:schemeClr w14:val="tx1"/>
            </w14:solidFill>
          </w14:textFill>
        </w:rPr>
        <w:t>项目钻井液</w:t>
      </w:r>
      <w:r>
        <w:rPr>
          <w:rFonts w:hint="eastAsia"/>
          <w:color w:val="000000" w:themeColor="text1"/>
          <w:highlight w:val="none"/>
          <w14:textFill>
            <w14:solidFill>
              <w14:schemeClr w14:val="tx1"/>
            </w14:solidFill>
          </w14:textFill>
        </w:rPr>
        <w:t>均</w:t>
      </w:r>
      <w:r>
        <w:rPr>
          <w:color w:val="000000" w:themeColor="text1"/>
          <w:highlight w:val="none"/>
          <w14:textFill>
            <w14:solidFill>
              <w14:schemeClr w14:val="tx1"/>
            </w14:solidFill>
          </w14:textFill>
        </w:rPr>
        <w:t>不涉及聚磺体系</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储备钻井液压调配好后储存于泥浆罐中（泥浆储备罐区采取防渗措施）</w:t>
      </w:r>
      <w:r>
        <w:rPr>
          <w:rFonts w:hint="eastAsia" w:cs="Times New Roman"/>
          <w:color w:val="000000" w:themeColor="text1"/>
          <w:kern w:val="0"/>
          <w:szCs w:val="20"/>
          <w:highlight w:val="none"/>
          <w14:textFill>
            <w14:solidFill>
              <w14:schemeClr w14:val="tx1"/>
            </w14:solidFill>
          </w14:textFill>
        </w:rPr>
        <w:t>。</w:t>
      </w:r>
    </w:p>
    <w:p>
      <w:pPr>
        <w:pStyle w:val="201"/>
        <w:spacing w:before="1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项目分段钻井液类型</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pPr>
        <w:pStyle w:val="250"/>
        <w:spacing w:before="120" w:beforeLines="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项目主要原辅材料消耗情况见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REF _Ref142593376 \h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w:t>
      </w:r>
    </w:p>
    <w:p>
      <w:pPr>
        <w:pStyle w:val="201"/>
        <w:spacing w:before="120"/>
        <w:rPr>
          <w:rFonts w:hint="eastAsia"/>
          <w:color w:val="000000" w:themeColor="text1"/>
          <w:highlight w:val="none"/>
          <w14:textFill>
            <w14:solidFill>
              <w14:schemeClr w14:val="tx1"/>
            </w14:solidFill>
          </w14:textFill>
        </w:rPr>
      </w:pPr>
      <w:bookmarkStart w:id="127" w:name="_Ref14259337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bookmarkEnd w:id="12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钻井作业主要原辅材料消耗情况表</w:t>
      </w:r>
    </w:p>
    <w:p>
      <w:pPr>
        <w:pStyle w:val="202"/>
      </w:pPr>
      <w:r>
        <w:rPr>
          <w:rFonts w:hint="eastAsia"/>
        </w:rPr>
        <w:t>***</w:t>
      </w:r>
    </w:p>
    <w:p>
      <w:pPr>
        <w:pStyle w:val="250"/>
        <w:adjustRightInd w:val="0"/>
        <w:snapToGrid w:val="0"/>
        <w:ind w:firstLine="482"/>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工程所用钻井液体系及成分见下表：</w:t>
      </w:r>
    </w:p>
    <w:p>
      <w:pPr>
        <w:pStyle w:val="201"/>
        <w:spacing w:before="1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工程钻井液体系及成分</w:t>
      </w:r>
    </w:p>
    <w:p>
      <w:pPr>
        <w:pStyle w:val="202"/>
        <w:rPr>
          <w:rFonts w:hint="eastAsia"/>
          <w:lang w:eastAsia="zh-CN"/>
        </w:rPr>
      </w:pPr>
      <w:r>
        <w:rPr>
          <w:rFonts w:hint="eastAsia"/>
          <w:lang w:eastAsia="zh-CN"/>
        </w:rPr>
        <w:t>***</w:t>
      </w:r>
    </w:p>
    <w:p>
      <w:pPr>
        <w:autoSpaceDE w:val="0"/>
        <w:autoSpaceDN w:val="0"/>
        <w:spacing w:before="120" w:beforeLines="50"/>
        <w:ind w:firstLine="482"/>
        <w:textAlignment w:val="baseline"/>
        <w:rPr>
          <w:rFonts w:cs="Times New Roman"/>
          <w:b/>
          <w:bCs/>
          <w:color w:val="000000" w:themeColor="text1"/>
          <w:kern w:val="0"/>
          <w:szCs w:val="20"/>
          <w:highlight w:val="none"/>
          <w14:textFill>
            <w14:solidFill>
              <w14:schemeClr w14:val="tx1"/>
            </w14:solidFill>
          </w14:textFill>
        </w:rPr>
      </w:pPr>
      <w:r>
        <w:rPr>
          <w:rFonts w:cs="Times New Roman"/>
          <w:b/>
          <w:bCs/>
          <w:color w:val="000000" w:themeColor="text1"/>
          <w:kern w:val="0"/>
          <w:szCs w:val="20"/>
          <w:highlight w:val="none"/>
          <w14:textFill>
            <w14:solidFill>
              <w14:schemeClr w14:val="tx1"/>
            </w14:solidFill>
          </w14:textFill>
        </w:rPr>
        <w:t>钻井液主要成分的物理化学特性：</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钻井液主要材料物理化学特性</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24"/>
        <w:gridCol w:w="1033"/>
        <w:gridCol w:w="6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03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材料名称</w:t>
            </w:r>
          </w:p>
        </w:tc>
        <w:tc>
          <w:tcPr>
            <w:tcW w:w="656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物理化学特性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2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w:t>
            </w:r>
          </w:p>
        </w:tc>
        <w:tc>
          <w:tcPr>
            <w:tcW w:w="103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c>
          <w:tcPr>
            <w:tcW w:w="6563" w:type="dxa"/>
            <w:vAlign w:val="center"/>
          </w:tcPr>
          <w:p>
            <w:pPr>
              <w:keepNext w:val="0"/>
              <w:keepLines w:val="0"/>
              <w:widowControl/>
              <w:suppressLineNumbers w:val="0"/>
              <w:spacing w:before="0" w:beforeAutospacing="0" w:after="0" w:afterAutospacing="0"/>
              <w:ind w:left="0" w:right="0" w:firstLine="480" w:firstLineChars="200"/>
              <w:jc w:val="center"/>
              <w:rPr>
                <w:rFonts w:hint="default"/>
                <w:color w:val="000000" w:themeColor="text1"/>
                <w:szCs w:val="20"/>
                <w:highlight w:val="none"/>
                <w14:textFill>
                  <w14:solidFill>
                    <w14:schemeClr w14:val="tx1"/>
                  </w14:solidFill>
                </w14:textFill>
              </w:rPr>
            </w:pPr>
            <w:r>
              <w:rPr>
                <w:rFonts w:hint="eastAsia"/>
              </w:rPr>
              <w:t>***</w:t>
            </w:r>
          </w:p>
        </w:tc>
      </w:tr>
    </w:tbl>
    <w:p>
      <w:pPr>
        <w:autoSpaceDE w:val="0"/>
        <w:autoSpaceDN w:val="0"/>
        <w:spacing w:before="120" w:beforeLines="50"/>
        <w:ind w:firstLine="482"/>
        <w:textAlignment w:val="baseline"/>
        <w:rPr>
          <w:rFonts w:cs="Times New Roman"/>
          <w:b/>
          <w:bCs/>
          <w:color w:val="000000" w:themeColor="text1"/>
          <w:kern w:val="0"/>
          <w:szCs w:val="20"/>
          <w:highlight w:val="none"/>
          <w14:textFill>
            <w14:solidFill>
              <w14:schemeClr w14:val="tx1"/>
            </w14:solidFill>
          </w14:textFill>
        </w:rPr>
      </w:pPr>
      <w:r>
        <w:rPr>
          <w:rFonts w:hint="eastAsia" w:cs="Times New Roman"/>
          <w:b/>
          <w:bCs/>
          <w:color w:val="000000" w:themeColor="text1"/>
          <w:kern w:val="0"/>
          <w:szCs w:val="20"/>
          <w:highlight w:val="none"/>
          <w:lang w:val="en-US" w:eastAsia="zh-CN"/>
          <w14:textFill>
            <w14:solidFill>
              <w14:schemeClr w14:val="tx1"/>
            </w14:solidFill>
          </w14:textFill>
        </w:rPr>
        <w:t>（2）</w:t>
      </w:r>
      <w:r>
        <w:rPr>
          <w:rFonts w:cs="Times New Roman"/>
          <w:b/>
          <w:bCs/>
          <w:color w:val="000000" w:themeColor="text1"/>
          <w:kern w:val="0"/>
          <w:szCs w:val="20"/>
          <w:highlight w:val="none"/>
          <w14:textFill>
            <w14:solidFill>
              <w14:schemeClr w14:val="tx1"/>
            </w14:solidFill>
          </w14:textFill>
        </w:rPr>
        <w:t>固井作业材料消耗</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1）水泥浆体系</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水泥浆体系设计</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井采用胶乳防窜水泥浆体系。</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注水泥设计</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雷页1</w:t>
      </w:r>
      <w:r>
        <w:rPr>
          <w:rFonts w:hint="eastAsia"/>
          <w:color w:val="000000" w:themeColor="text1"/>
          <w:highlight w:val="none"/>
          <w:lang w:val="en-US" w:eastAsia="zh-CN"/>
          <w14:textFill>
            <w14:solidFill>
              <w14:schemeClr w14:val="tx1"/>
            </w14:solidFill>
          </w14:textFill>
        </w:rPr>
        <w:t>-2HF</w:t>
      </w:r>
      <w:r>
        <w:rPr>
          <w:rFonts w:hint="eastAsia"/>
          <w:color w:val="000000" w:themeColor="text1"/>
          <w:highlight w:val="none"/>
          <w:lang w:eastAsia="zh-CN"/>
          <w14:textFill>
            <w14:solidFill>
              <w14:schemeClr w14:val="tx1"/>
            </w14:solidFill>
          </w14:textFill>
        </w:rPr>
        <w:t>井</w:t>
      </w:r>
      <w:r>
        <w:rPr>
          <w:color w:val="000000" w:themeColor="text1"/>
          <w:highlight w:val="none"/>
          <w14:textFill>
            <w14:solidFill>
              <w14:schemeClr w14:val="tx1"/>
            </w14:solidFill>
          </w14:textFill>
        </w:rPr>
        <w:t>注水泥设计表</w:t>
      </w:r>
    </w:p>
    <w:tbl>
      <w:tblPr>
        <w:tblStyle w:val="52"/>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616"/>
        <w:gridCol w:w="947"/>
        <w:gridCol w:w="830"/>
        <w:gridCol w:w="1165"/>
        <w:gridCol w:w="947"/>
        <w:gridCol w:w="1039"/>
        <w:gridCol w:w="645"/>
        <w:gridCol w:w="585"/>
        <w:gridCol w:w="510"/>
        <w:gridCol w:w="9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开钻序号</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套管外径</w:t>
            </w:r>
            <w:r>
              <w:rPr>
                <w:rFonts w:hint="default" w:cs="Times New Roman"/>
                <w:color w:val="000000" w:themeColor="text1"/>
                <w:sz w:val="21"/>
                <w:szCs w:val="21"/>
                <w:highlight w:val="none"/>
                <w14:textFill>
                  <w14:solidFill>
                    <w14:schemeClr w14:val="tx1"/>
                  </w14:solidFill>
                </w14:textFill>
              </w:rPr>
              <w:t>mm</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套管下深</w:t>
            </w:r>
            <w:r>
              <w:rPr>
                <w:rFonts w:hint="default" w:cs="Times New Roman"/>
                <w:color w:val="000000" w:themeColor="text1"/>
                <w:sz w:val="21"/>
                <w:szCs w:val="21"/>
                <w:highlight w:val="none"/>
                <w14:textFill>
                  <w14:solidFill>
                    <w14:schemeClr w14:val="tx1"/>
                  </w14:solidFill>
                </w14:textFill>
              </w:rPr>
              <w:t>m</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钻井液密度</w:t>
            </w:r>
            <w:r>
              <w:rPr>
                <w:rFonts w:hint="default" w:cs="Times New Roman"/>
                <w:color w:val="000000" w:themeColor="text1"/>
                <w:sz w:val="21"/>
                <w:szCs w:val="21"/>
                <w:highlight w:val="none"/>
                <w14:textFill>
                  <w14:solidFill>
                    <w14:schemeClr w14:val="tx1"/>
                  </w14:solidFill>
                </w14:textFill>
              </w:rPr>
              <w:t>g/cm</w:t>
            </w:r>
            <w:r>
              <w:rPr>
                <w:rFonts w:hint="default" w:cs="Times New Roman"/>
                <w:color w:val="000000" w:themeColor="text1"/>
                <w:sz w:val="21"/>
                <w:szCs w:val="21"/>
                <w:highlight w:val="none"/>
                <w:vertAlign w:val="superscript"/>
                <w14:textFill>
                  <w14:solidFill>
                    <w14:schemeClr w14:val="tx1"/>
                  </w14:solidFill>
                </w14:textFill>
              </w:rPr>
              <w:t>3</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水泥上返深度</w:t>
            </w:r>
            <w:r>
              <w:rPr>
                <w:rFonts w:hint="default" w:cs="Times New Roman"/>
                <w:color w:val="000000" w:themeColor="text1"/>
                <w:sz w:val="21"/>
                <w:szCs w:val="21"/>
                <w:highlight w:val="none"/>
                <w14:textFill>
                  <w14:solidFill>
                    <w14:schemeClr w14:val="tx1"/>
                  </w14:solidFill>
                </w14:textFill>
              </w:rPr>
              <w:t>m</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水泥浆密度</w:t>
            </w:r>
            <w:r>
              <w:rPr>
                <w:rFonts w:hint="default" w:cs="Times New Roman"/>
                <w:color w:val="000000" w:themeColor="text1"/>
                <w:sz w:val="21"/>
                <w:szCs w:val="21"/>
                <w:highlight w:val="none"/>
                <w14:textFill>
                  <w14:solidFill>
                    <w14:schemeClr w14:val="tx1"/>
                  </w14:solidFill>
                </w14:textFill>
              </w:rPr>
              <w:t>g/cm</w:t>
            </w:r>
            <w:r>
              <w:rPr>
                <w:rFonts w:hint="default" w:cs="Times New Roman"/>
                <w:color w:val="000000" w:themeColor="text1"/>
                <w:sz w:val="21"/>
                <w:szCs w:val="21"/>
                <w:highlight w:val="none"/>
                <w:vertAlign w:val="superscript"/>
                <w14:textFill>
                  <w14:solidFill>
                    <w14:schemeClr w14:val="tx1"/>
                  </w14:solidFill>
                </w14:textFill>
              </w:rPr>
              <w:t>3</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水泥型号</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注水泥量</w:t>
            </w:r>
            <w:r>
              <w:rPr>
                <w:rFonts w:hint="default" w:cs="Times New Roman"/>
                <w:color w:val="000000" w:themeColor="text1"/>
                <w:sz w:val="21"/>
                <w:szCs w:val="21"/>
                <w:highlight w:val="none"/>
                <w14:textFill>
                  <w14:solidFill>
                    <w14:schemeClr w14:val="tx1"/>
                  </w14:solidFill>
                </w14:textFill>
              </w:rPr>
              <w:t>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固井方式</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一开</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二开</w:t>
            </w:r>
          </w:p>
        </w:tc>
        <w:tc>
          <w:tcPr>
            <w:tcW w:w="9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rPr>
            </w:pP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lang w:val="zh-CN"/>
              </w:rPr>
            </w:pPr>
            <w:r>
              <w:rPr>
                <w:rFonts w:hint="eastAsia"/>
              </w:rPr>
              <w:t>***</w:t>
            </w:r>
          </w:p>
        </w:tc>
        <w:tc>
          <w:tcPr>
            <w:tcW w:w="83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rPr>
            </w:pP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rPr>
            </w:pP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lang w:val="zh-CN"/>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vMerge w:val="continue"/>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p>
        </w:tc>
        <w:tc>
          <w:tcPr>
            <w:tcW w:w="947" w:type="dxa"/>
            <w:vMerge w:val="continue"/>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83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vMerge w:val="continue"/>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三开</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r>
    </w:tbl>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雷页1</w:t>
      </w:r>
      <w:r>
        <w:rPr>
          <w:rFonts w:hint="eastAsia"/>
          <w:color w:val="000000" w:themeColor="text1"/>
          <w:highlight w:val="none"/>
          <w:lang w:val="en-US" w:eastAsia="zh-CN"/>
          <w14:textFill>
            <w14:solidFill>
              <w14:schemeClr w14:val="tx1"/>
            </w14:solidFill>
          </w14:textFill>
        </w:rPr>
        <w:t>-3HF</w:t>
      </w:r>
      <w:r>
        <w:rPr>
          <w:rFonts w:hint="eastAsia"/>
          <w:color w:val="000000" w:themeColor="text1"/>
          <w:highlight w:val="none"/>
          <w:lang w:eastAsia="zh-CN"/>
          <w14:textFill>
            <w14:solidFill>
              <w14:schemeClr w14:val="tx1"/>
            </w14:solidFill>
          </w14:textFill>
        </w:rPr>
        <w:t>井</w:t>
      </w:r>
      <w:r>
        <w:rPr>
          <w:color w:val="000000" w:themeColor="text1"/>
          <w:highlight w:val="none"/>
          <w14:textFill>
            <w14:solidFill>
              <w14:schemeClr w14:val="tx1"/>
            </w14:solidFill>
          </w14:textFill>
        </w:rPr>
        <w:t>注水泥设计表</w:t>
      </w:r>
    </w:p>
    <w:tbl>
      <w:tblPr>
        <w:tblStyle w:val="52"/>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616"/>
        <w:gridCol w:w="947"/>
        <w:gridCol w:w="830"/>
        <w:gridCol w:w="1165"/>
        <w:gridCol w:w="947"/>
        <w:gridCol w:w="1039"/>
        <w:gridCol w:w="645"/>
        <w:gridCol w:w="585"/>
        <w:gridCol w:w="510"/>
        <w:gridCol w:w="9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开钻序号</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套管外径</w:t>
            </w:r>
            <w:r>
              <w:rPr>
                <w:rFonts w:hint="default" w:cs="Times New Roman"/>
                <w:color w:val="000000" w:themeColor="text1"/>
                <w:sz w:val="21"/>
                <w:szCs w:val="21"/>
                <w:highlight w:val="none"/>
                <w14:textFill>
                  <w14:solidFill>
                    <w14:schemeClr w14:val="tx1"/>
                  </w14:solidFill>
                </w14:textFill>
              </w:rPr>
              <w:t>mm</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套管下深</w:t>
            </w:r>
            <w:r>
              <w:rPr>
                <w:rFonts w:hint="default" w:cs="Times New Roman"/>
                <w:color w:val="000000" w:themeColor="text1"/>
                <w:sz w:val="21"/>
                <w:szCs w:val="21"/>
                <w:highlight w:val="none"/>
                <w14:textFill>
                  <w14:solidFill>
                    <w14:schemeClr w14:val="tx1"/>
                  </w14:solidFill>
                </w14:textFill>
              </w:rPr>
              <w:t>m</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钻井液密度</w:t>
            </w:r>
            <w:r>
              <w:rPr>
                <w:rFonts w:hint="default" w:cs="Times New Roman"/>
                <w:color w:val="000000" w:themeColor="text1"/>
                <w:sz w:val="21"/>
                <w:szCs w:val="21"/>
                <w:highlight w:val="none"/>
                <w14:textFill>
                  <w14:solidFill>
                    <w14:schemeClr w14:val="tx1"/>
                  </w14:solidFill>
                </w14:textFill>
              </w:rPr>
              <w:t>g/cm</w:t>
            </w:r>
            <w:r>
              <w:rPr>
                <w:rFonts w:hint="default" w:cs="Times New Roman"/>
                <w:color w:val="000000" w:themeColor="text1"/>
                <w:sz w:val="21"/>
                <w:szCs w:val="21"/>
                <w:highlight w:val="none"/>
                <w:vertAlign w:val="superscript"/>
                <w14:textFill>
                  <w14:solidFill>
                    <w14:schemeClr w14:val="tx1"/>
                  </w14:solidFill>
                </w14:textFill>
              </w:rPr>
              <w:t>3</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水泥上返深度</w:t>
            </w:r>
            <w:r>
              <w:rPr>
                <w:rFonts w:hint="default" w:cs="Times New Roman"/>
                <w:color w:val="000000" w:themeColor="text1"/>
                <w:sz w:val="21"/>
                <w:szCs w:val="21"/>
                <w:highlight w:val="none"/>
                <w14:textFill>
                  <w14:solidFill>
                    <w14:schemeClr w14:val="tx1"/>
                  </w14:solidFill>
                </w14:textFill>
              </w:rPr>
              <w:t>m</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水泥浆密度</w:t>
            </w:r>
            <w:r>
              <w:rPr>
                <w:rFonts w:hint="default" w:cs="Times New Roman"/>
                <w:color w:val="000000" w:themeColor="text1"/>
                <w:sz w:val="21"/>
                <w:szCs w:val="21"/>
                <w:highlight w:val="none"/>
                <w14:textFill>
                  <w14:solidFill>
                    <w14:schemeClr w14:val="tx1"/>
                  </w14:solidFill>
                </w14:textFill>
              </w:rPr>
              <w:t>g/cm</w:t>
            </w:r>
            <w:r>
              <w:rPr>
                <w:rFonts w:hint="default" w:cs="Times New Roman"/>
                <w:color w:val="000000" w:themeColor="text1"/>
                <w:sz w:val="21"/>
                <w:szCs w:val="21"/>
                <w:highlight w:val="none"/>
                <w:vertAlign w:val="superscript"/>
                <w14:textFill>
                  <w14:solidFill>
                    <w14:schemeClr w14:val="tx1"/>
                  </w14:solidFill>
                </w14:textFill>
              </w:rPr>
              <w:t>3</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水泥型号</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注水泥量</w:t>
            </w:r>
            <w:r>
              <w:rPr>
                <w:rFonts w:hint="default" w:cs="Times New Roman"/>
                <w:color w:val="000000" w:themeColor="text1"/>
                <w:sz w:val="21"/>
                <w:szCs w:val="21"/>
                <w:highlight w:val="none"/>
                <w14:textFill>
                  <w14:solidFill>
                    <w14:schemeClr w14:val="tx1"/>
                  </w14:solidFill>
                </w14:textFill>
              </w:rPr>
              <w:t>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固井方式</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一开</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二开</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rPr>
            </w:pP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lang w:val="zh-CN"/>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vMerge w:val="continue"/>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p>
        </w:tc>
        <w:tc>
          <w:tcPr>
            <w:tcW w:w="947" w:type="dxa"/>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vMerge w:val="continue"/>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61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三开</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rPr>
              <w:t>***</w:t>
            </w:r>
          </w:p>
        </w:tc>
        <w:tc>
          <w:tcPr>
            <w:tcW w:w="83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116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rPr>
              <w:t>***</w:t>
            </w:r>
          </w:p>
        </w:tc>
        <w:tc>
          <w:tcPr>
            <w:tcW w:w="9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39"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64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58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5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9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r>
    </w:tbl>
    <w:p>
      <w:pPr>
        <w:spacing w:line="240" w:lineRule="auto"/>
        <w:ind w:firstLine="0" w:firstLineChars="0"/>
        <w:rPr>
          <w:rFonts w:ascii="宋体" w:hAnsi="宋体" w:cs="Times New Roman"/>
          <w:i/>
          <w:iCs/>
          <w:color w:val="000000" w:themeColor="text1"/>
          <w:sz w:val="18"/>
          <w:szCs w:val="18"/>
          <w:highlight w:val="none"/>
          <w14:textFill>
            <w14:solidFill>
              <w14:schemeClr w14:val="tx1"/>
            </w14:solidFill>
          </w14:textFill>
        </w:rPr>
      </w:pPr>
      <w:r>
        <w:rPr>
          <w:rFonts w:ascii="宋体" w:hAnsi="宋体" w:cs="Times New Roman"/>
          <w:i/>
          <w:iCs/>
          <w:color w:val="000000" w:themeColor="text1"/>
          <w:sz w:val="18"/>
          <w:szCs w:val="18"/>
          <w:highlight w:val="none"/>
          <w14:textFill>
            <w14:solidFill>
              <w14:schemeClr w14:val="tx1"/>
            </w14:solidFill>
          </w14:textFill>
        </w:rPr>
        <w:t>注：</w:t>
      </w:r>
      <w:r>
        <w:rPr>
          <w:rFonts w:hint="eastAsia" w:ascii="宋体" w:hAnsi="宋体" w:cs="宋体"/>
          <w:i/>
          <w:iCs/>
          <w:color w:val="000000" w:themeColor="text1"/>
          <w:sz w:val="18"/>
          <w:szCs w:val="18"/>
          <w:highlight w:val="none"/>
          <w14:textFill>
            <w14:solidFill>
              <w14:schemeClr w14:val="tx1"/>
            </w14:solidFill>
          </w14:textFill>
        </w:rPr>
        <w:t>①</w:t>
      </w:r>
      <w:r>
        <w:rPr>
          <w:rFonts w:ascii="宋体" w:hAnsi="宋体" w:cs="Times New Roman"/>
          <w:i/>
          <w:iCs/>
          <w:color w:val="000000" w:themeColor="text1"/>
          <w:sz w:val="18"/>
          <w:szCs w:val="18"/>
          <w:highlight w:val="none"/>
          <w14:textFill>
            <w14:solidFill>
              <w14:schemeClr w14:val="tx1"/>
            </w14:solidFill>
          </w14:textFill>
        </w:rPr>
        <w:t>水泥用量及上返深度为理论数据，施工中应根据实测井径进行修正。</w:t>
      </w:r>
    </w:p>
    <w:p>
      <w:pPr>
        <w:spacing w:line="240" w:lineRule="auto"/>
        <w:ind w:firstLine="0" w:firstLineChars="0"/>
        <w:rPr>
          <w:rFonts w:ascii="宋体" w:hAnsi="宋体" w:cs="Times New Roman"/>
          <w:i/>
          <w:iCs/>
          <w:color w:val="000000" w:themeColor="text1"/>
          <w:sz w:val="18"/>
          <w:szCs w:val="18"/>
          <w:highlight w:val="none"/>
          <w14:textFill>
            <w14:solidFill>
              <w14:schemeClr w14:val="tx1"/>
            </w14:solidFill>
          </w14:textFill>
        </w:rPr>
      </w:pPr>
      <w:r>
        <w:rPr>
          <w:rFonts w:hint="eastAsia" w:ascii="宋体" w:hAnsi="宋体" w:cs="宋体"/>
          <w:i/>
          <w:iCs/>
          <w:color w:val="000000" w:themeColor="text1"/>
          <w:sz w:val="18"/>
          <w:szCs w:val="18"/>
          <w:highlight w:val="none"/>
          <w14:textFill>
            <w14:solidFill>
              <w14:schemeClr w14:val="tx1"/>
            </w14:solidFill>
          </w14:textFill>
        </w:rPr>
        <w:t>②</w:t>
      </w:r>
      <w:r>
        <w:rPr>
          <w:rFonts w:ascii="宋体" w:hAnsi="宋体" w:cs="Times New Roman"/>
          <w:i/>
          <w:iCs/>
          <w:color w:val="000000" w:themeColor="text1"/>
          <w:sz w:val="18"/>
          <w:szCs w:val="18"/>
          <w:highlight w:val="none"/>
          <w14:textFill>
            <w14:solidFill>
              <w14:schemeClr w14:val="tx1"/>
            </w14:solidFill>
          </w14:textFill>
        </w:rPr>
        <w:t>现场水泥浆密度应根据实际地层压力需要进行调整。</w:t>
      </w:r>
    </w:p>
    <w:p>
      <w:pPr>
        <w:spacing w:line="240" w:lineRule="auto"/>
        <w:ind w:firstLine="0" w:firstLineChars="0"/>
        <w:rPr>
          <w:rFonts w:ascii="宋体" w:hAnsi="宋体" w:cs="Times New Roman"/>
          <w:i/>
          <w:iCs/>
          <w:color w:val="000000" w:themeColor="text1"/>
          <w:sz w:val="18"/>
          <w:szCs w:val="18"/>
          <w:highlight w:val="none"/>
          <w14:textFill>
            <w14:solidFill>
              <w14:schemeClr w14:val="tx1"/>
            </w14:solidFill>
          </w14:textFill>
        </w:rPr>
      </w:pPr>
      <w:r>
        <w:rPr>
          <w:rFonts w:hint="eastAsia" w:ascii="宋体" w:hAnsi="宋体" w:cs="宋体"/>
          <w:i/>
          <w:iCs/>
          <w:color w:val="000000" w:themeColor="text1"/>
          <w:sz w:val="18"/>
          <w:szCs w:val="18"/>
          <w:highlight w:val="none"/>
          <w14:textFill>
            <w14:solidFill>
              <w14:schemeClr w14:val="tx1"/>
            </w14:solidFill>
          </w14:textFill>
        </w:rPr>
        <w:t>③</w:t>
      </w:r>
      <w:r>
        <w:rPr>
          <w:rFonts w:ascii="宋体" w:hAnsi="宋体" w:cs="Times New Roman"/>
          <w:i/>
          <w:iCs/>
          <w:color w:val="000000" w:themeColor="text1"/>
          <w:sz w:val="18"/>
          <w:szCs w:val="18"/>
          <w:highlight w:val="none"/>
          <w14:textFill>
            <w14:solidFill>
              <w14:schemeClr w14:val="tx1"/>
            </w14:solidFill>
          </w14:textFill>
        </w:rPr>
        <w:t>注水泥前，采取KSY等堵漏方法提高裸眼承压能力，确保在压稳、不漏的基础上进行固井施工。</w:t>
      </w:r>
    </w:p>
    <w:p>
      <w:pPr>
        <w:autoSpaceDE w:val="0"/>
        <w:autoSpaceDN w:val="0"/>
        <w:spacing w:line="240" w:lineRule="auto"/>
        <w:ind w:firstLine="0" w:firstLineChars="0"/>
        <w:textAlignment w:val="baseline"/>
        <w:rPr>
          <w:rFonts w:ascii="仿宋" w:hAnsi="仿宋" w:eastAsia="仿宋" w:cs="Times New Roman"/>
          <w:i/>
          <w:iCs/>
          <w:color w:val="000000" w:themeColor="text1"/>
          <w:sz w:val="18"/>
          <w:szCs w:val="18"/>
          <w:highlight w:val="none"/>
          <w14:textFill>
            <w14:solidFill>
              <w14:schemeClr w14:val="tx1"/>
            </w14:solidFill>
          </w14:textFill>
        </w:rPr>
      </w:pPr>
      <w:r>
        <w:rPr>
          <w:rFonts w:hint="eastAsia" w:ascii="宋体" w:hAnsi="宋体" w:cs="宋体"/>
          <w:i/>
          <w:iCs/>
          <w:color w:val="000000" w:themeColor="text1"/>
          <w:sz w:val="18"/>
          <w:szCs w:val="18"/>
          <w:highlight w:val="none"/>
          <w14:textFill>
            <w14:solidFill>
              <w14:schemeClr w14:val="tx1"/>
            </w14:solidFill>
          </w14:textFill>
        </w:rPr>
        <w:t>④</w:t>
      </w:r>
      <w:r>
        <w:rPr>
          <w:rFonts w:ascii="宋体" w:hAnsi="宋体" w:cs="Times New Roman"/>
          <w:i/>
          <w:iCs/>
          <w:color w:val="000000" w:themeColor="text1"/>
          <w:sz w:val="18"/>
          <w:szCs w:val="18"/>
          <w:highlight w:val="none"/>
          <w14:textFill>
            <w14:solidFill>
              <w14:schemeClr w14:val="tx1"/>
            </w14:solidFill>
          </w14:textFill>
        </w:rPr>
        <w:t>如果固井质量不好应采取挤水泥、短回接等方式补救至合格。</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水泥浆体系及性能参数</w:t>
      </w:r>
    </w:p>
    <w:tbl>
      <w:tblPr>
        <w:tblStyle w:val="52"/>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44"/>
        <w:gridCol w:w="1644"/>
        <w:gridCol w:w="1644"/>
        <w:gridCol w:w="1644"/>
        <w:gridCol w:w="16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项目</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一开</w:t>
            </w:r>
          </w:p>
        </w:tc>
        <w:tc>
          <w:tcPr>
            <w:tcW w:w="0" w:type="auto"/>
            <w:gridSpan w:val="2"/>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二开</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三开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c>
          <w:tcPr>
            <w:tcW w:w="0" w:type="auto"/>
            <w:tcBorders>
              <w:top w:val="single" w:color="auto" w:sz="4" w:space="0"/>
              <w:left w:val="single" w:color="auto" w:sz="4" w:space="0"/>
              <w:bottom w:val="single" w:color="auto" w:sz="4" w:space="0"/>
              <w:right w:val="single" w:color="auto" w:sz="4" w:space="0"/>
              <w:tl2br w:val="nil"/>
              <w:tr2bl w:val="nil"/>
            </w:tcBorders>
            <w:shd w:val="clear" w:color="000000"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zh-CN"/>
                <w14:textFill>
                  <w14:solidFill>
                    <w14:schemeClr w14:val="tx1"/>
                  </w14:solidFill>
                </w14:textFill>
              </w:rPr>
            </w:pPr>
            <w:r>
              <w:rPr>
                <w:rFonts w:hint="eastAsia"/>
              </w:rPr>
              <w:t>***</w:t>
            </w:r>
          </w:p>
        </w:tc>
      </w:tr>
    </w:tbl>
    <w:p>
      <w:pPr>
        <w:autoSpaceDE w:val="0"/>
        <w:autoSpaceDN w:val="0"/>
        <w:spacing w:before="120" w:beforeLines="5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2）固井材料</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固井作业主要原辅材料、能源消耗及来源统计</w:t>
      </w:r>
      <w:r>
        <w:rPr>
          <w:rFonts w:hint="eastAsia" w:cs="Times New Roman"/>
          <w:color w:val="000000" w:themeColor="text1"/>
          <w:szCs w:val="24"/>
          <w:highlight w:val="none"/>
          <w14:textFill>
            <w14:solidFill>
              <w14:schemeClr w14:val="tx1"/>
            </w14:solidFill>
          </w14:textFill>
        </w:rPr>
        <w:t>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_Ref142593382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16</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28" w:name="_Ref14259338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bookmarkEnd w:id="12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固井作业主要原辅材料和能源种类及用量</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单位：</w:t>
      </w:r>
      <w:r>
        <w:rPr>
          <w:color w:val="000000" w:themeColor="text1"/>
          <w:highlight w:val="none"/>
          <w14:textFill>
            <w14:solidFill>
              <w14:schemeClr w14:val="tx1"/>
            </w14:solidFill>
          </w14:textFill>
        </w:rPr>
        <w:t>t</w:t>
      </w:r>
    </w:p>
    <w:p>
      <w:pPr>
        <w:spacing w:line="240" w:lineRule="auto"/>
        <w:ind w:firstLine="0" w:firstLineChars="0"/>
        <w:jc w:val="center"/>
        <w:rPr>
          <w:rFonts w:hint="eastAsia" w:ascii="宋体" w:hAnsi="宋体" w:cs="Times New Roman"/>
          <w:color w:val="000000" w:themeColor="text1"/>
          <w:sz w:val="18"/>
          <w:szCs w:val="18"/>
          <w:highlight w:val="none"/>
          <w14:textFill>
            <w14:solidFill>
              <w14:schemeClr w14:val="tx1"/>
            </w14:solidFill>
          </w14:textFill>
        </w:rPr>
      </w:pPr>
      <w:r>
        <w:rPr>
          <w:rFonts w:hint="eastAsia" w:ascii="宋体" w:hAnsi="宋体" w:cs="Times New Roman"/>
          <w:color w:val="000000" w:themeColor="text1"/>
          <w:sz w:val="18"/>
          <w:szCs w:val="18"/>
          <w:highlight w:val="none"/>
          <w14:textFill>
            <w14:solidFill>
              <w14:schemeClr w14:val="tx1"/>
            </w14:solidFill>
          </w14:textFill>
        </w:rPr>
        <w:t>***</w:t>
      </w:r>
    </w:p>
    <w:p>
      <w:pPr>
        <w:spacing w:line="240" w:lineRule="auto"/>
        <w:ind w:firstLine="0" w:firstLineChars="0"/>
        <w:rPr>
          <w:rFonts w:ascii="宋体" w:hAnsi="宋体" w:cs="Times New Roman"/>
          <w:color w:val="000000" w:themeColor="text1"/>
          <w:sz w:val="18"/>
          <w:szCs w:val="18"/>
          <w:highlight w:val="none"/>
          <w14:textFill>
            <w14:solidFill>
              <w14:schemeClr w14:val="tx1"/>
            </w14:solidFill>
          </w14:textFill>
        </w:rPr>
      </w:pPr>
      <w:r>
        <w:rPr>
          <w:rFonts w:ascii="宋体" w:hAnsi="宋体" w:cs="Times New Roman"/>
          <w:color w:val="000000" w:themeColor="text1"/>
          <w:sz w:val="18"/>
          <w:szCs w:val="18"/>
          <w:highlight w:val="none"/>
          <w14:textFill>
            <w14:solidFill>
              <w14:schemeClr w14:val="tx1"/>
            </w14:solidFill>
          </w14:textFill>
        </w:rPr>
        <w:t>注：固井材料可根据实际情况进行调整，必须满足水泥浆性能要求和施工要求。</w:t>
      </w:r>
    </w:p>
    <w:p>
      <w:pPr>
        <w:keepNext w:val="0"/>
        <w:keepLines w:val="0"/>
        <w:pageBreakBefore w:val="0"/>
        <w:widowControl w:val="0"/>
        <w:kinsoku/>
        <w:wordWrap/>
        <w:overflowPunct/>
        <w:topLinePunct w:val="0"/>
        <w:autoSpaceDE w:val="0"/>
        <w:autoSpaceDN w:val="0"/>
        <w:bidi w:val="0"/>
        <w:adjustRightInd w:val="0"/>
        <w:snapToGrid w:val="0"/>
        <w:spacing w:before="164" w:beforeLines="50"/>
        <w:ind w:firstLine="482"/>
        <w:textAlignment w:val="baseline"/>
        <w:rPr>
          <w:rFonts w:cs="Times New Roman"/>
          <w:b/>
          <w:bCs/>
          <w:color w:val="000000" w:themeColor="text1"/>
          <w:kern w:val="0"/>
          <w:szCs w:val="20"/>
          <w:highlight w:val="none"/>
          <w14:textFill>
            <w14:solidFill>
              <w14:schemeClr w14:val="tx1"/>
            </w14:solidFill>
          </w14:textFill>
        </w:rPr>
      </w:pPr>
      <w:r>
        <w:rPr>
          <w:rFonts w:hint="eastAsia" w:cs="Times New Roman"/>
          <w:b/>
          <w:bCs/>
          <w:color w:val="000000" w:themeColor="text1"/>
          <w:kern w:val="0"/>
          <w:szCs w:val="20"/>
          <w:highlight w:val="none"/>
          <w:lang w:val="en-US" w:eastAsia="zh-CN"/>
          <w14:textFill>
            <w14:solidFill>
              <w14:schemeClr w14:val="tx1"/>
            </w14:solidFill>
          </w14:textFill>
        </w:rPr>
        <w:t>2、储层改造工程</w:t>
      </w:r>
      <w:r>
        <w:rPr>
          <w:rFonts w:cs="Times New Roman"/>
          <w:b/>
          <w:bCs/>
          <w:color w:val="000000" w:themeColor="text1"/>
          <w:kern w:val="0"/>
          <w:szCs w:val="20"/>
          <w:highlight w:val="none"/>
          <w14:textFill>
            <w14:solidFill>
              <w14:schemeClr w14:val="tx1"/>
            </w14:solidFill>
          </w14:textFill>
        </w:rPr>
        <w:t>材料消耗</w:t>
      </w:r>
    </w:p>
    <w:p>
      <w:pPr>
        <w:widowControl w:val="0"/>
        <w:autoSpaceDE w:val="0"/>
        <w:autoSpaceDN w:val="0"/>
        <w:adjustRightInd w:val="0"/>
        <w:snapToGrid w:val="0"/>
        <w:spacing w:line="360" w:lineRule="auto"/>
        <w:ind w:firstLine="482"/>
        <w:textAlignment w:val="baseline"/>
        <w:rPr>
          <w:rFonts w:ascii="Times New Roman" w:hAnsi="Times New Roman"/>
          <w:color w:val="000000" w:themeColor="text1"/>
          <w:sz w:val="24"/>
          <w:szCs w:val="24"/>
          <w:highlight w:val="none"/>
          <w:lang w:eastAsia="zh-CN"/>
          <w14:textFill>
            <w14:solidFill>
              <w14:schemeClr w14:val="tx1"/>
            </w14:solidFill>
          </w14:textFill>
        </w:rPr>
      </w:pPr>
      <w:r>
        <w:rPr>
          <w:rFonts w:ascii="Times New Roman" w:hAnsi="Times New Roman"/>
          <w:color w:val="000000" w:themeColor="text1"/>
          <w:sz w:val="24"/>
          <w:szCs w:val="24"/>
          <w:highlight w:val="none"/>
          <w:lang w:eastAsia="zh-CN"/>
          <w14:textFill>
            <w14:solidFill>
              <w14:schemeClr w14:val="tx1"/>
            </w14:solidFill>
          </w14:textFill>
        </w:rPr>
        <w:t>借鉴普光陆相</w:t>
      </w:r>
      <w:r>
        <w:rPr>
          <w:rFonts w:hint="eastAsia"/>
          <w:color w:val="000000" w:themeColor="text1"/>
          <w:sz w:val="24"/>
          <w:szCs w:val="24"/>
          <w:highlight w:val="none"/>
          <w:lang w:eastAsia="zh-CN"/>
          <w14:textFill>
            <w14:solidFill>
              <w14:schemeClr w14:val="tx1"/>
            </w14:solidFill>
          </w14:textFill>
        </w:rPr>
        <w:t>***页岩气</w:t>
      </w:r>
      <w:r>
        <w:rPr>
          <w:rFonts w:ascii="Times New Roman" w:hAnsi="Times New Roman"/>
          <w:color w:val="000000" w:themeColor="text1"/>
          <w:sz w:val="24"/>
          <w:szCs w:val="24"/>
          <w:highlight w:val="none"/>
          <w:lang w:eastAsia="zh-CN"/>
          <w14:textFill>
            <w14:solidFill>
              <w14:schemeClr w14:val="tx1"/>
            </w14:solidFill>
          </w14:textFill>
        </w:rPr>
        <w:t>压裂经验，采用</w:t>
      </w:r>
      <w:r>
        <w:rPr>
          <w:rFonts w:hint="eastAsia"/>
          <w:color w:val="000000" w:themeColor="text1"/>
          <w:sz w:val="24"/>
          <w:szCs w:val="24"/>
          <w:highlight w:val="none"/>
          <w:lang w:eastAsia="zh-CN"/>
          <w14:textFill>
            <w14:solidFill>
              <w14:schemeClr w14:val="tx1"/>
            </w14:solidFill>
          </w14:textFill>
        </w:rPr>
        <w:t>桥塞分段、***体积压裂工艺</w:t>
      </w:r>
      <w:r>
        <w:rPr>
          <w:rFonts w:ascii="Times New Roman" w:hAnsi="Times New Roman"/>
          <w:color w:val="000000" w:themeColor="text1"/>
          <w:sz w:val="24"/>
          <w:szCs w:val="24"/>
          <w:highlight w:val="none"/>
          <w:lang w:eastAsia="zh-CN"/>
          <w14:textFill>
            <w14:solidFill>
              <w14:schemeClr w14:val="tx1"/>
            </w14:solidFill>
          </w14:textFill>
        </w:rPr>
        <w:t>模式。</w:t>
      </w:r>
      <w:r>
        <w:rPr>
          <w:rFonts w:hint="eastAsia"/>
          <w:color w:val="000000" w:themeColor="text1"/>
          <w:sz w:val="24"/>
          <w:highlight w:val="none"/>
          <w:lang w:eastAsia="zh-CN"/>
          <w14:textFill>
            <w14:solidFill>
              <w14:schemeClr w14:val="tx1"/>
            </w14:solidFill>
          </w14:textFill>
        </w:rPr>
        <w:t>所有单井采用分段射孔，分段酸化压裂，</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雷页1-2HF井分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立方米，雷页1-3HF井分</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压裂施工，总液量为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立方米，总砂量为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立方米，两口井施工排量均为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hint="eastAsia" w:ascii="Times New Roman" w:hAnsi="Times New Roman" w:eastAsia="宋体" w:cstheme="minorBidi"/>
          <w:color w:val="000000" w:themeColor="text1"/>
          <w:sz w:val="24"/>
          <w:szCs w:val="22"/>
          <w:highlight w:val="none"/>
          <w:lang w:val="en-US" w:eastAsia="zh-CN" w:bidi="ar-SA"/>
          <w14:textFill>
            <w14:solidFill>
              <w14:schemeClr w14:val="tx1"/>
            </w14:solidFill>
          </w14:textFill>
        </w:rPr>
        <w:t>/分钟，施工限压均为</w:t>
      </w:r>
      <w:r>
        <w:rPr>
          <w:rFonts w:hint="eastAsia" w:cstheme="minorBidi"/>
          <w:color w:val="000000" w:themeColor="text1"/>
          <w:sz w:val="24"/>
          <w:szCs w:val="22"/>
          <w:highlight w:val="none"/>
          <w:lang w:val="en-US" w:eastAsia="zh-CN" w:bidi="ar-SA"/>
          <w14:textFill>
            <w14:solidFill>
              <w14:schemeClr w14:val="tx1"/>
            </w14:solidFill>
          </w14:textFill>
        </w:rPr>
        <w:t>***</w:t>
      </w:r>
      <w:r>
        <w:rPr>
          <w:rFonts w:ascii="Times New Roman" w:hAnsi="Times New Roman"/>
          <w:color w:val="000000" w:themeColor="text1"/>
          <w:sz w:val="24"/>
          <w:szCs w:val="24"/>
          <w:highlight w:val="none"/>
          <w:lang w:eastAsia="zh-CN"/>
          <w14:textFill>
            <w14:solidFill>
              <w14:schemeClr w14:val="tx1"/>
            </w14:solidFill>
          </w14:textFill>
        </w:rPr>
        <w:t>。</w:t>
      </w:r>
      <w:r>
        <w:rPr>
          <w:rFonts w:ascii="Times New Roman" w:hAnsi="Times New Roman"/>
          <w:color w:val="000000" w:themeColor="text1"/>
          <w:sz w:val="24"/>
          <w:highlight w:val="none"/>
          <w:lang w:eastAsia="zh-CN"/>
          <w14:textFill>
            <w14:solidFill>
              <w14:schemeClr w14:val="tx1"/>
            </w14:solidFill>
          </w14:textFill>
        </w:rPr>
        <w:t>所需压裂液在现场配制，压裂液均在配液车中配制完成，配制的压裂液进入压裂车注入井口，配制而成的压裂液不在厂区内长期暂存。</w:t>
      </w:r>
    </w:p>
    <w:p>
      <w:pPr>
        <w:pStyle w:val="201"/>
        <w:spacing w:before="12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STYLEREF 2 \s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SEQ 表 \* ARABIC \s 2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17</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 xml:space="preserve"> 压裂液量统计表</w:t>
      </w:r>
    </w:p>
    <w:tbl>
      <w:tblPr>
        <w:tblStyle w:val="5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69"/>
        <w:gridCol w:w="940"/>
        <w:gridCol w:w="770"/>
        <w:gridCol w:w="770"/>
        <w:gridCol w:w="1029"/>
        <w:gridCol w:w="1029"/>
        <w:gridCol w:w="1029"/>
        <w:gridCol w:w="942"/>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8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井号</w:t>
            </w:r>
          </w:p>
        </w:tc>
        <w:tc>
          <w:tcPr>
            <w:tcW w:w="9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水平段长</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段数</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前置酸（</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总液量</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低粘滑溜水</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中粘滑溜水</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高粘滑溜水</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交联滑溜水</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8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雷页1</w:t>
            </w:r>
            <w:r>
              <w:rPr>
                <w:rFonts w:hint="eastAsia" w:cs="Times New Roman"/>
                <w:color w:val="000000" w:themeColor="text1"/>
                <w:sz w:val="21"/>
                <w:szCs w:val="21"/>
                <w:highlight w:val="none"/>
                <w:lang w:val="en-US" w:eastAsia="zh-CN"/>
                <w14:textFill>
                  <w14:solidFill>
                    <w14:schemeClr w14:val="tx1"/>
                  </w14:solidFill>
                </w14:textFill>
              </w:rPr>
              <w:t>-2HF</w:t>
            </w:r>
            <w:r>
              <w:rPr>
                <w:rFonts w:hint="eastAsia" w:cs="Times New Roman"/>
                <w:color w:val="000000" w:themeColor="text1"/>
                <w:sz w:val="21"/>
                <w:szCs w:val="21"/>
                <w:highlight w:val="none"/>
                <w:lang w:val="zh-CN"/>
                <w14:textFill>
                  <w14:solidFill>
                    <w14:schemeClr w14:val="tx1"/>
                  </w14:solidFill>
                </w14:textFill>
              </w:rPr>
              <w:t>井</w:t>
            </w:r>
          </w:p>
        </w:tc>
        <w:tc>
          <w:tcPr>
            <w:tcW w:w="9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rPr>
              <w:t>***</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rPr>
              <w:t>***</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8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雷页1</w:t>
            </w:r>
            <w:r>
              <w:rPr>
                <w:rFonts w:hint="eastAsia" w:cs="Times New Roman"/>
                <w:color w:val="000000" w:themeColor="text1"/>
                <w:sz w:val="21"/>
                <w:szCs w:val="21"/>
                <w:highlight w:val="none"/>
                <w:lang w:val="en-US" w:eastAsia="zh-CN"/>
                <w14:textFill>
                  <w14:solidFill>
                    <w14:schemeClr w14:val="tx1"/>
                  </w14:solidFill>
                </w14:textFill>
              </w:rPr>
              <w:t>-3HF</w:t>
            </w:r>
            <w:r>
              <w:rPr>
                <w:rFonts w:hint="eastAsia" w:cs="Times New Roman"/>
                <w:color w:val="000000" w:themeColor="text1"/>
                <w:sz w:val="21"/>
                <w:szCs w:val="21"/>
                <w:highlight w:val="none"/>
                <w:lang w:val="zh-CN"/>
                <w14:textFill>
                  <w14:solidFill>
                    <w14:schemeClr w14:val="tx1"/>
                  </w14:solidFill>
                </w14:textFill>
              </w:rPr>
              <w:t>井</w:t>
            </w:r>
          </w:p>
        </w:tc>
        <w:tc>
          <w:tcPr>
            <w:tcW w:w="95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rPr>
              <w:t>***</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rPr>
              <w:t>***</w:t>
            </w:r>
          </w:p>
        </w:tc>
        <w:tc>
          <w:tcPr>
            <w:tcW w:w="7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95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r>
    </w:tbl>
    <w:p>
      <w:pPr>
        <w:pStyle w:val="201"/>
        <w:spacing w:before="12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STYLEREF 2 \s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SEQ 表 \* ARABIC \s 2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18</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 xml:space="preserve"> 支撑剂用量统计表</w:t>
      </w: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24"/>
        <w:gridCol w:w="824"/>
        <w:gridCol w:w="961"/>
        <w:gridCol w:w="1125"/>
        <w:gridCol w:w="1153"/>
        <w:gridCol w:w="1066"/>
        <w:gridCol w:w="1201"/>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井号</w:t>
            </w:r>
          </w:p>
        </w:tc>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段数</w:t>
            </w:r>
          </w:p>
        </w:tc>
        <w:tc>
          <w:tcPr>
            <w:tcW w:w="9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总砂量</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1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70/140目石英砂</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1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40/70目石英砂</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30/50目陶粒</w:t>
            </w:r>
            <w:r>
              <w:rPr>
                <w:rFonts w:hint="eastAsia" w:cs="Times New Roman"/>
                <w:color w:val="000000" w:themeColor="text1"/>
                <w:sz w:val="21"/>
                <w:szCs w:val="21"/>
                <w:highlight w:val="none"/>
                <w:lang w:val="zh-CN" w:eastAsia="zh-CN"/>
                <w14:textFill>
                  <w14:solidFill>
                    <w14:schemeClr w14:val="tx1"/>
                  </w14:solidFill>
                </w14:textFill>
              </w:rPr>
              <w:t>（</w:t>
            </w:r>
            <w:r>
              <w:rPr>
                <w:rFonts w:hint="eastAsia" w:cs="Times New Roman"/>
                <w:color w:val="000000" w:themeColor="text1"/>
                <w:sz w:val="21"/>
                <w:szCs w:val="21"/>
                <w:highlight w:val="none"/>
                <w:lang w:val="zh-CN"/>
                <w14:textFill>
                  <w14:solidFill>
                    <w14:schemeClr w14:val="tx1"/>
                  </w14:solidFill>
                </w14:textFill>
              </w:rPr>
              <w:t>m</w:t>
            </w:r>
            <w:r>
              <w:rPr>
                <w:rFonts w:hint="eastAsia" w:cs="Times New Roman"/>
                <w:color w:val="000000" w:themeColor="text1"/>
                <w:sz w:val="21"/>
                <w:szCs w:val="21"/>
                <w:highlight w:val="none"/>
                <w:vertAlign w:val="superscript"/>
                <w:lang w:val="zh-CN"/>
                <w14:textFill>
                  <w14:solidFill>
                    <w14:schemeClr w14:val="tx1"/>
                  </w14:solidFill>
                </w14:textFill>
              </w:rPr>
              <w:t>3</w:t>
            </w:r>
            <w:r>
              <w:rPr>
                <w:rFonts w:hint="eastAsia" w:cs="Times New Roman"/>
                <w:color w:val="000000" w:themeColor="text1"/>
                <w:sz w:val="21"/>
                <w:szCs w:val="21"/>
                <w:highlight w:val="none"/>
                <w:lang w:val="zh-CN" w:eastAsia="zh-CN"/>
                <w14:textFill>
                  <w14:solidFill>
                    <w14:schemeClr w14:val="tx1"/>
                  </w14:solidFill>
                </w14:textFill>
              </w:rPr>
              <w:t>）</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暂堵球（</w:t>
            </w:r>
            <w:r>
              <w:rPr>
                <w:rFonts w:hint="eastAsia"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zh-CN"/>
                <w14:textFill>
                  <w14:solidFill>
                    <w14:schemeClr w14:val="tx1"/>
                  </w14:solidFill>
                </w14:textFill>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暂堵剂（t）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雷页1</w:t>
            </w:r>
            <w:r>
              <w:rPr>
                <w:rFonts w:hint="eastAsia" w:cs="Times New Roman"/>
                <w:color w:val="000000" w:themeColor="text1"/>
                <w:sz w:val="21"/>
                <w:szCs w:val="21"/>
                <w:highlight w:val="none"/>
                <w:lang w:val="en-US" w:eastAsia="zh-CN"/>
                <w14:textFill>
                  <w14:solidFill>
                    <w14:schemeClr w14:val="tx1"/>
                  </w14:solidFill>
                </w14:textFill>
              </w:rPr>
              <w:t>-2HF</w:t>
            </w:r>
            <w:r>
              <w:rPr>
                <w:rFonts w:hint="eastAsia" w:cs="Times New Roman"/>
                <w:color w:val="000000" w:themeColor="text1"/>
                <w:sz w:val="21"/>
                <w:szCs w:val="21"/>
                <w:highlight w:val="none"/>
                <w:lang w:val="zh-CN"/>
                <w14:textFill>
                  <w14:solidFill>
                    <w14:schemeClr w14:val="tx1"/>
                  </w14:solidFill>
                </w14:textFill>
              </w:rPr>
              <w:t>井</w:t>
            </w:r>
          </w:p>
        </w:tc>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cs="Times New Roman"/>
                <w:color w:val="000000" w:themeColor="text1"/>
                <w:sz w:val="21"/>
                <w:szCs w:val="21"/>
                <w:highlight w:val="none"/>
                <w:lang w:val="en-US"/>
                <w14:textFill>
                  <w14:solidFill>
                    <w14:schemeClr w14:val="tx1"/>
                  </w14:solidFill>
                </w14:textFill>
              </w:rPr>
            </w:pPr>
            <w:r>
              <w:rPr>
                <w:rFonts w:hint="eastAsia"/>
              </w:rPr>
              <w:t>***</w:t>
            </w:r>
          </w:p>
        </w:tc>
        <w:tc>
          <w:tcPr>
            <w:tcW w:w="9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1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1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highlight w:val="none"/>
                <w:lang w:val="zh-CN"/>
                <w14:textFill>
                  <w14:solidFill>
                    <w14:schemeClr w14:val="tx1"/>
                  </w14:solidFill>
                </w14:textFill>
              </w:rPr>
            </w:pPr>
            <w:r>
              <w:rPr>
                <w:rFonts w:hint="eastAsia" w:cs="Times New Roman"/>
                <w:color w:val="000000" w:themeColor="text1"/>
                <w:sz w:val="21"/>
                <w:szCs w:val="21"/>
                <w:highlight w:val="none"/>
                <w:lang w:val="zh-CN"/>
                <w14:textFill>
                  <w14:solidFill>
                    <w14:schemeClr w14:val="tx1"/>
                  </w14:solidFill>
                </w14:textFill>
              </w:rPr>
              <w:t>雷页1</w:t>
            </w:r>
            <w:r>
              <w:rPr>
                <w:rFonts w:hint="eastAsia" w:cs="Times New Roman"/>
                <w:color w:val="000000" w:themeColor="text1"/>
                <w:sz w:val="21"/>
                <w:szCs w:val="21"/>
                <w:highlight w:val="none"/>
                <w:lang w:val="en-US" w:eastAsia="zh-CN"/>
                <w14:textFill>
                  <w14:solidFill>
                    <w14:schemeClr w14:val="tx1"/>
                  </w14:solidFill>
                </w14:textFill>
              </w:rPr>
              <w:t>-3HF</w:t>
            </w:r>
            <w:r>
              <w:rPr>
                <w:rFonts w:hint="eastAsia" w:cs="Times New Roman"/>
                <w:color w:val="000000" w:themeColor="text1"/>
                <w:sz w:val="21"/>
                <w:szCs w:val="21"/>
                <w:highlight w:val="none"/>
                <w:lang w:val="zh-CN"/>
                <w14:textFill>
                  <w14:solidFill>
                    <w14:schemeClr w14:val="tx1"/>
                  </w14:solidFill>
                </w14:textFill>
              </w:rPr>
              <w:t>井</w:t>
            </w:r>
          </w:p>
        </w:tc>
        <w:tc>
          <w:tcPr>
            <w:tcW w:w="8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rPr>
              <w:t>***</w:t>
            </w:r>
          </w:p>
        </w:tc>
        <w:tc>
          <w:tcPr>
            <w:tcW w:w="9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1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1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center"/>
              <w:textAlignment w:val="auto"/>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pPr>
            <w:r>
              <w:rPr>
                <w:rFonts w:hint="eastAsia"/>
              </w:rPr>
              <w:t>***</w:t>
            </w:r>
          </w:p>
        </w:tc>
      </w:tr>
    </w:tbl>
    <w:p>
      <w:pPr>
        <w:pStyle w:val="5"/>
        <w:spacing w:before="12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试采期</w:t>
      </w:r>
    </w:p>
    <w:p>
      <w:pPr>
        <w:autoSpaceDE w:val="0"/>
        <w:autoSpaceDN w:val="0"/>
        <w:ind w:firstLine="480"/>
        <w:textAlignment w:val="baseline"/>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项目试采期为天然气的试采，控制系统消耗一定的电能，水套加热炉加热系统</w:t>
      </w:r>
      <w:r>
        <w:rPr>
          <w:rFonts w:ascii="Times New Roman" w:hAnsi="Times New Roman"/>
          <w:color w:val="000000" w:themeColor="text1"/>
          <w:sz w:val="24"/>
          <w:szCs w:val="24"/>
          <w:highlight w:val="none"/>
          <w:lang w:eastAsia="zh-CN"/>
          <w14:textFill>
            <w14:solidFill>
              <w14:schemeClr w14:val="tx1"/>
            </w14:solidFill>
          </w14:textFill>
        </w:rPr>
        <w:t>与火炬长明灯</w:t>
      </w:r>
      <w:r>
        <w:rPr>
          <w:rFonts w:cs="Times New Roman"/>
          <w:color w:val="000000" w:themeColor="text1"/>
          <w:szCs w:val="24"/>
          <w:highlight w:val="none"/>
          <w14:textFill>
            <w14:solidFill>
              <w14:schemeClr w14:val="tx1"/>
            </w14:solidFill>
          </w14:textFill>
        </w:rPr>
        <w:t>消耗一定的天然气，试采工程主要原辅材料消耗情况见下</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_Ref142593390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19</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29" w:name="_Ref14259339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bookmarkEnd w:id="12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试采工程材料消耗一览表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04"/>
        <w:gridCol w:w="992"/>
        <w:gridCol w:w="993"/>
        <w:gridCol w:w="1196"/>
        <w:gridCol w:w="870"/>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70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类别</w:t>
            </w:r>
          </w:p>
        </w:tc>
        <w:tc>
          <w:tcPr>
            <w:tcW w:w="99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99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名称</w:t>
            </w:r>
          </w:p>
        </w:tc>
        <w:tc>
          <w:tcPr>
            <w:tcW w:w="119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单位</w:t>
            </w:r>
          </w:p>
        </w:tc>
        <w:tc>
          <w:tcPr>
            <w:tcW w:w="87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数量</w:t>
            </w:r>
          </w:p>
        </w:tc>
        <w:tc>
          <w:tcPr>
            <w:tcW w:w="34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4"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能源</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99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天然气</w:t>
            </w:r>
          </w:p>
        </w:tc>
        <w:tc>
          <w:tcPr>
            <w:tcW w:w="119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万m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/a</w:t>
            </w:r>
          </w:p>
        </w:tc>
        <w:tc>
          <w:tcPr>
            <w:tcW w:w="870"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32.8</w:t>
            </w:r>
          </w:p>
        </w:tc>
        <w:tc>
          <w:tcPr>
            <w:tcW w:w="3467"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4"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99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电</w:t>
            </w:r>
          </w:p>
        </w:tc>
        <w:tc>
          <w:tcPr>
            <w:tcW w:w="119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万</w:t>
            </w:r>
            <w:r>
              <w:rPr>
                <w:rFonts w:hint="eastAsia"/>
                <w:color w:val="000000" w:themeColor="text1"/>
                <w:szCs w:val="20"/>
                <w:highlight w:val="none"/>
                <w:lang w:eastAsia="zh-CN"/>
                <w14:textFill>
                  <w14:solidFill>
                    <w14:schemeClr w14:val="tx1"/>
                  </w14:solidFill>
                </w14:textFill>
              </w:rPr>
              <w:t>kW</w:t>
            </w:r>
            <w:r>
              <w:rPr>
                <w:rFonts w:hint="default"/>
                <w:color w:val="000000" w:themeColor="text1"/>
                <w:szCs w:val="20"/>
                <w:highlight w:val="none"/>
                <w14:textFill>
                  <w14:solidFill>
                    <w14:schemeClr w14:val="tx1"/>
                  </w14:solidFill>
                </w14:textFill>
              </w:rPr>
              <w:t>·h/a</w:t>
            </w:r>
          </w:p>
        </w:tc>
        <w:tc>
          <w:tcPr>
            <w:tcW w:w="870"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197.45</w:t>
            </w:r>
          </w:p>
        </w:tc>
        <w:tc>
          <w:tcPr>
            <w:tcW w:w="34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4" w:type="dxa"/>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原辅料</w:t>
            </w:r>
          </w:p>
        </w:tc>
        <w:tc>
          <w:tcPr>
            <w:tcW w:w="992"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w:t>
            </w:r>
          </w:p>
        </w:tc>
        <w:tc>
          <w:tcPr>
            <w:tcW w:w="993"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新鲜水</w:t>
            </w:r>
          </w:p>
        </w:tc>
        <w:tc>
          <w:tcPr>
            <w:tcW w:w="119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m</w:t>
            </w:r>
            <w:r>
              <w:rPr>
                <w:rFonts w:hint="default" w:ascii="Times New Roman" w:hAnsi="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color w:val="000000" w:themeColor="text1"/>
                <w:sz w:val="21"/>
                <w:szCs w:val="21"/>
                <w:highlight w:val="none"/>
                <w:lang w:eastAsia="zh-CN"/>
                <w14:textFill>
                  <w14:solidFill>
                    <w14:schemeClr w14:val="tx1"/>
                  </w14:solidFill>
                </w14:textFill>
              </w:rPr>
              <w:t>/a</w:t>
            </w:r>
          </w:p>
        </w:tc>
        <w:tc>
          <w:tcPr>
            <w:tcW w:w="870"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3467" w:type="dxa"/>
            <w:vAlign w:val="center"/>
          </w:tcPr>
          <w:p>
            <w:pPr>
              <w:pStyle w:val="295"/>
              <w:keepNext w:val="0"/>
              <w:keepLines w:val="0"/>
              <w:widowControl/>
              <w:suppressLineNumbers w:val="0"/>
              <w:spacing w:before="0" w:beforeAutospacing="0" w:after="0" w:afterAutospacing="0"/>
              <w:ind w:left="0" w:right="0"/>
              <w:jc w:val="center"/>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自来水或桶装水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4" w:type="dxa"/>
            <w:vMerge w:val="continue"/>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p>
        </w:tc>
        <w:tc>
          <w:tcPr>
            <w:tcW w:w="99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缓蚀剂</w:t>
            </w:r>
          </w:p>
        </w:tc>
        <w:tc>
          <w:tcPr>
            <w:tcW w:w="1196"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t/a</w:t>
            </w:r>
          </w:p>
        </w:tc>
        <w:tc>
          <w:tcPr>
            <w:tcW w:w="8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18.25</w:t>
            </w:r>
          </w:p>
        </w:tc>
        <w:tc>
          <w:tcPr>
            <w:tcW w:w="3467" w:type="dxa"/>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当地购买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704" w:type="dxa"/>
            <w:vMerge w:val="continue"/>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bookmarkStart w:id="130" w:name="_Toc120173104"/>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w:t>
            </w:r>
          </w:p>
        </w:tc>
        <w:tc>
          <w:tcPr>
            <w:tcW w:w="99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三甘醇</w:t>
            </w:r>
          </w:p>
        </w:tc>
        <w:tc>
          <w:tcPr>
            <w:tcW w:w="1196"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m</w:t>
            </w:r>
            <w:r>
              <w:rPr>
                <w:rFonts w:hint="default" w:ascii="Times New Roman" w:hAnsi="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color w:val="000000" w:themeColor="text1"/>
                <w:sz w:val="21"/>
                <w:szCs w:val="21"/>
                <w:highlight w:val="none"/>
                <w:lang w:eastAsia="zh-CN"/>
                <w14:textFill>
                  <w14:solidFill>
                    <w14:schemeClr w14:val="tx1"/>
                  </w14:solidFill>
                </w14:textFill>
              </w:rPr>
              <w:t>/a</w:t>
            </w:r>
          </w:p>
        </w:tc>
        <w:tc>
          <w:tcPr>
            <w:tcW w:w="870"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60</w:t>
            </w:r>
          </w:p>
        </w:tc>
        <w:tc>
          <w:tcPr>
            <w:tcW w:w="3467" w:type="dxa"/>
            <w:vAlign w:val="center"/>
          </w:tcPr>
          <w:p>
            <w:pPr>
              <w:pStyle w:val="295"/>
              <w:keepNext w:val="0"/>
              <w:keepLines w:val="0"/>
              <w:widowControl/>
              <w:suppressLineNumbers w:val="0"/>
              <w:spacing w:before="0" w:beforeAutospacing="0" w:after="0" w:afterAutospacing="0"/>
              <w:ind w:left="0" w:right="0"/>
              <w:jc w:val="center"/>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外购</w:t>
            </w:r>
          </w:p>
        </w:tc>
      </w:tr>
    </w:tbl>
    <w:p>
      <w:pPr>
        <w:pStyle w:val="21"/>
        <w:keepNext w:val="0"/>
        <w:keepLines w:val="0"/>
        <w:pageBreakBefore w:val="0"/>
        <w:widowControl/>
        <w:kinsoku/>
        <w:wordWrap/>
        <w:overflowPunct/>
        <w:topLinePunct w:val="0"/>
        <w:autoSpaceDE/>
        <w:autoSpaceDN/>
        <w:bidi w:val="0"/>
        <w:adjustRightInd w:val="0"/>
        <w:snapToGrid w:val="0"/>
        <w:spacing w:before="0" w:line="360" w:lineRule="auto"/>
        <w:ind w:left="0" w:firstLine="482" w:firstLineChars="200"/>
        <w:jc w:val="both"/>
        <w:textAlignment w:val="auto"/>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bookmarkStart w:id="131" w:name="3.3建设项目环境影响因素分析"/>
      <w:bookmarkEnd w:id="131"/>
      <w:bookmarkStart w:id="132" w:name="_bookmark19"/>
      <w:bookmarkEnd w:id="132"/>
      <w:r>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t>三甘醇（TEG）</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：无色无臭有吸湿性粘稠液体，密度1.1274g/cm</w:t>
      </w:r>
      <w:r>
        <w:rPr>
          <w:rFonts w:hint="default" w:ascii="Times New Roman" w:hAnsi="Times New Roman" w:eastAsia="宋体" w:cs="Times New Roman"/>
          <w:color w:val="000000" w:themeColor="text1"/>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沸点289.4℃，引燃温度为350℃，爆炸极限为0.9~9.2（V%），可燃、低毒，熔点-4.3℃，闪点165.85℃，粘度49mPa*s，自燃点371.1℃，蒸气压小于1.3332Pa。与水、乙醇混溶，微溶于乙醚，几乎不溶于石油醚。主要用作溶剂如硝酸纤维素、橡胶、树脂、油脂、油漆、农药等的溶剂，还可作增塑剂、烟草防干剂、纤维润滑剂和天然气的干燥剂等。毒性极低，未见中毒病例。对眼和皮肤无刺激。长时间或反复接触可引起皮肤刺激和神经系统损伤。</w:t>
      </w:r>
    </w:p>
    <w:p>
      <w:pPr>
        <w:pStyle w:val="21"/>
        <w:keepNext w:val="0"/>
        <w:keepLines w:val="0"/>
        <w:pageBreakBefore w:val="0"/>
        <w:widowControl/>
        <w:kinsoku/>
        <w:wordWrap/>
        <w:overflowPunct/>
        <w:topLinePunct w:val="0"/>
        <w:autoSpaceDE/>
        <w:autoSpaceDN/>
        <w:bidi w:val="0"/>
        <w:adjustRightInd w:val="0"/>
        <w:snapToGrid w:val="0"/>
        <w:spacing w:before="0" w:line="360" w:lineRule="auto"/>
        <w:ind w:left="0" w:firstLine="480" w:firstLineChars="200"/>
        <w:jc w:val="both"/>
        <w:textAlignment w:val="auto"/>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试采期所需</w:t>
      </w:r>
      <w:r>
        <w:rPr>
          <w:rFonts w:hint="eastAsia" w:ascii="Times New Roman" w:hAnsi="Times New Roman"/>
          <w:color w:val="000000" w:themeColor="text1"/>
          <w:highlight w:val="none"/>
          <w:lang w:val="en-US" w:eastAsia="zh-CN"/>
          <w14:textFill>
            <w14:solidFill>
              <w14:schemeClr w14:val="tx1"/>
            </w14:solidFill>
          </w14:textFill>
        </w:rPr>
        <w:t>燃料</w:t>
      </w:r>
      <w:r>
        <w:rPr>
          <w:rFonts w:ascii="Times New Roman" w:hAnsi="Times New Roman"/>
          <w:color w:val="000000" w:themeColor="text1"/>
          <w:highlight w:val="none"/>
          <w:lang w:eastAsia="zh-CN"/>
          <w14:textFill>
            <w14:solidFill>
              <w14:schemeClr w14:val="tx1"/>
            </w14:solidFill>
          </w14:textFill>
        </w:rPr>
        <w:t>天然气为</w:t>
      </w:r>
      <w:r>
        <w:rPr>
          <w:rFonts w:hint="eastAsia" w:cs="Times New Roman"/>
          <w:color w:val="000000" w:themeColor="text1"/>
          <w:szCs w:val="24"/>
          <w:highlight w:val="none"/>
          <w:lang w:val="en-US" w:eastAsia="zh-CN"/>
          <w14:textFill>
            <w14:solidFill>
              <w14:schemeClr w14:val="tx1"/>
            </w14:solidFill>
          </w14:textFill>
        </w:rPr>
        <w:t>由试采站内井口自产的天然气经站内三甘醇脱水装置脱水后的干气供给</w:t>
      </w:r>
      <w:r>
        <w:rPr>
          <w:rFonts w:hint="eastAsia"/>
          <w:color w:val="000000" w:themeColor="text1"/>
          <w:highlight w:val="none"/>
          <w:lang w:val="en-US"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采站内井口自产的</w:t>
      </w:r>
      <w:r>
        <w:rPr>
          <w:rFonts w:hint="eastAsia" w:ascii="Times New Roman" w:hAnsi="Times New Roman"/>
          <w:color w:val="000000" w:themeColor="text1"/>
          <w:highlight w:val="none"/>
          <w:lang w:val="en-US" w:eastAsia="zh-CN"/>
          <w14:textFill>
            <w14:solidFill>
              <w14:schemeClr w14:val="tx1"/>
            </w14:solidFill>
          </w14:textFill>
        </w:rPr>
        <w:t>天然气</w:t>
      </w:r>
      <w:r>
        <w:rPr>
          <w:rFonts w:ascii="Times New Roman" w:hAnsi="Times New Roman"/>
          <w:color w:val="000000" w:themeColor="text1"/>
          <w:highlight w:val="none"/>
          <w:lang w:eastAsia="zh-CN"/>
          <w14:textFill>
            <w14:solidFill>
              <w14:schemeClr w14:val="tx1"/>
            </w14:solidFill>
          </w14:textFill>
        </w:rPr>
        <w:t>气</w:t>
      </w:r>
      <w:r>
        <w:rPr>
          <w:rFonts w:hint="eastAsia" w:ascii="Times New Roman" w:hAnsi="Times New Roman"/>
          <w:color w:val="000000" w:themeColor="text1"/>
          <w:highlight w:val="none"/>
          <w:lang w:val="en-US" w:eastAsia="zh-CN"/>
          <w14:textFill>
            <w14:solidFill>
              <w14:schemeClr w14:val="tx1"/>
            </w14:solidFill>
          </w14:textFill>
        </w:rPr>
        <w:t>不含硫，不需要使用净化后燃料气，不建设燃料气管线。</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项目给排水及供电</w:t>
      </w:r>
      <w:bookmarkEnd w:id="130"/>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1、项目给水</w:t>
      </w:r>
    </w:p>
    <w:p>
      <w:pPr>
        <w:pStyle w:val="21"/>
        <w:spacing w:before="0"/>
        <w:ind w:left="0"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1）施工期</w:t>
      </w:r>
    </w:p>
    <w:p>
      <w:pPr>
        <w:ind w:firstLine="480"/>
        <w:rPr>
          <w:rFonts w:hint="default" w:ascii="Times New Roman" w:hAnsi="Times New Roman" w:cs="Times New Roman"/>
          <w:bCs/>
          <w:color w:val="000000" w:themeColor="text1"/>
          <w:highlight w:val="none"/>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本项目施工期的生产用水就近采用周边地表水（可从后河罐车拉运），生活用水</w:t>
      </w:r>
      <w:r>
        <w:rPr>
          <w:rFonts w:ascii="Times New Roman" w:hAnsi="Times New Roman"/>
          <w:color w:val="000000" w:themeColor="text1"/>
          <w:kern w:val="28"/>
          <w:szCs w:val="21"/>
          <w:highlight w:val="none"/>
          <w:lang w:eastAsia="zh-CN"/>
          <w14:textFill>
            <w14:solidFill>
              <w14:schemeClr w14:val="tx1"/>
            </w14:solidFill>
          </w14:textFill>
        </w:rPr>
        <w:t>车辆拉运桶装水至场地</w:t>
      </w:r>
      <w:bookmarkStart w:id="133" w:name="_Hlk91062915"/>
      <w:r>
        <w:rPr>
          <w:rFonts w:ascii="Times New Roman" w:hAnsi="Times New Roman"/>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本项目</w:t>
      </w:r>
      <w:r>
        <w:rPr>
          <w:rFonts w:hint="eastAsia" w:cs="Times New Roman"/>
          <w:bCs/>
          <w:color w:val="000000" w:themeColor="text1"/>
          <w:highlight w:val="none"/>
          <w:lang w:val="en-US" w:eastAsia="zh-CN"/>
          <w14:textFill>
            <w14:solidFill>
              <w14:schemeClr w14:val="tx1"/>
            </w14:solidFill>
          </w14:textFill>
        </w:rPr>
        <w:t>新增</w:t>
      </w:r>
      <w:r>
        <w:rPr>
          <w:rFonts w:hint="default" w:ascii="Times New Roman" w:hAnsi="Times New Roman" w:cs="Times New Roman"/>
          <w:bCs/>
          <w:color w:val="000000" w:themeColor="text1"/>
          <w:highlight w:val="none"/>
          <w14:textFill>
            <w14:solidFill>
              <w14:schemeClr w14:val="tx1"/>
            </w14:solidFill>
          </w14:textFill>
        </w:rPr>
        <w:t>的生产用水</w:t>
      </w:r>
      <w:r>
        <w:rPr>
          <w:rFonts w:hint="eastAsia" w:cs="Times New Roman"/>
          <w:bCs/>
          <w:color w:val="000000" w:themeColor="text1"/>
          <w:highlight w:val="none"/>
          <w:lang w:val="en-US" w:eastAsia="zh-CN"/>
          <w14:textFill>
            <w14:solidFill>
              <w14:schemeClr w14:val="tx1"/>
            </w14:solidFill>
          </w14:textFill>
        </w:rPr>
        <w:t>主要</w:t>
      </w:r>
      <w:r>
        <w:rPr>
          <w:rFonts w:hint="default" w:ascii="Times New Roman" w:hAnsi="Times New Roman" w:cs="Times New Roman"/>
          <w:bCs/>
          <w:color w:val="000000" w:themeColor="text1"/>
          <w:highlight w:val="none"/>
          <w14:textFill>
            <w14:solidFill>
              <w14:schemeClr w14:val="tx1"/>
            </w14:solidFill>
          </w14:textFill>
        </w:rPr>
        <w:t>就近采用附近地表水（</w:t>
      </w:r>
      <w:r>
        <w:rPr>
          <w:rFonts w:hint="eastAsia" w:cs="Times New Roman"/>
          <w:bCs/>
          <w:color w:val="000000" w:themeColor="text1"/>
          <w:highlight w:val="none"/>
          <w:lang w:val="en-US" w:eastAsia="zh-CN"/>
          <w14:textFill>
            <w14:solidFill>
              <w14:schemeClr w14:val="tx1"/>
            </w14:solidFill>
          </w14:textFill>
        </w:rPr>
        <w:t>州河</w:t>
      </w:r>
      <w:r>
        <w:rPr>
          <w:rFonts w:hint="default" w:ascii="Times New Roman" w:hAnsi="Times New Roman"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采取罐车拉运方式</w:t>
      </w:r>
      <w:r>
        <w:rPr>
          <w:rFonts w:hint="default" w:ascii="Times New Roman" w:hAnsi="Times New Roman" w:cs="Times New Roman"/>
          <w:bCs/>
          <w:color w:val="000000" w:themeColor="text1"/>
          <w:highlight w:val="none"/>
          <w14:textFill>
            <w14:solidFill>
              <w14:schemeClr w14:val="tx1"/>
            </w14:solidFill>
          </w14:textFill>
        </w:rPr>
        <w:t>。由于项目距离</w:t>
      </w:r>
      <w:r>
        <w:rPr>
          <w:rFonts w:hint="eastAsia" w:cs="Times New Roman"/>
          <w:bCs/>
          <w:color w:val="000000" w:themeColor="text1"/>
          <w:highlight w:val="none"/>
          <w:lang w:val="en-US" w:eastAsia="zh-CN"/>
          <w14:textFill>
            <w14:solidFill>
              <w14:schemeClr w14:val="tx1"/>
            </w14:solidFill>
          </w14:textFill>
        </w:rPr>
        <w:t>州河</w:t>
      </w:r>
      <w:r>
        <w:rPr>
          <w:rFonts w:hint="default" w:ascii="Times New Roman" w:hAnsi="Times New Roman" w:cs="Times New Roman"/>
          <w:bCs/>
          <w:color w:val="000000" w:themeColor="text1"/>
          <w:highlight w:val="none"/>
          <w14:textFill>
            <w14:solidFill>
              <w14:schemeClr w14:val="tx1"/>
            </w14:solidFill>
          </w14:textFill>
        </w:rPr>
        <w:t>较近，</w:t>
      </w:r>
      <w:r>
        <w:rPr>
          <w:rFonts w:hint="eastAsia" w:cs="Times New Roman"/>
          <w:bCs/>
          <w:color w:val="000000" w:themeColor="text1"/>
          <w:highlight w:val="none"/>
          <w:lang w:val="en-US" w:eastAsia="zh-CN"/>
          <w14:textFill>
            <w14:solidFill>
              <w14:schemeClr w14:val="tx1"/>
            </w14:solidFill>
          </w14:textFill>
        </w:rPr>
        <w:t>井场与州河之间有道路连接，州河</w:t>
      </w:r>
      <w:r>
        <w:rPr>
          <w:rFonts w:hint="default" w:ascii="Times New Roman" w:hAnsi="Times New Roman" w:cs="Times New Roman"/>
          <w:bCs/>
          <w:color w:val="000000" w:themeColor="text1"/>
          <w:highlight w:val="none"/>
          <w14:textFill>
            <w14:solidFill>
              <w14:schemeClr w14:val="tx1"/>
            </w14:solidFill>
          </w14:textFill>
        </w:rPr>
        <w:t>水量充足，</w:t>
      </w:r>
      <w:r>
        <w:rPr>
          <w:rFonts w:hint="eastAsia" w:cs="Times New Roman"/>
          <w:bCs/>
          <w:color w:val="000000" w:themeColor="text1"/>
          <w:highlight w:val="none"/>
          <w:lang w:val="en-US" w:eastAsia="zh-CN"/>
          <w14:textFill>
            <w14:solidFill>
              <w14:schemeClr w14:val="tx1"/>
            </w14:solidFill>
          </w14:textFill>
        </w:rPr>
        <w:t>在州河</w:t>
      </w:r>
      <w:r>
        <w:rPr>
          <w:rFonts w:hint="default" w:ascii="Times New Roman" w:hAnsi="Times New Roman" w:cs="Times New Roman"/>
          <w:bCs/>
          <w:color w:val="000000" w:themeColor="text1"/>
          <w:highlight w:val="none"/>
          <w14:textFill>
            <w14:solidFill>
              <w14:schemeClr w14:val="tx1"/>
            </w14:solidFill>
          </w14:textFill>
        </w:rPr>
        <w:t>项目</w:t>
      </w:r>
      <w:r>
        <w:rPr>
          <w:rFonts w:hint="eastAsia" w:cs="Times New Roman"/>
          <w:bCs/>
          <w:color w:val="000000" w:themeColor="text1"/>
          <w:highlight w:val="none"/>
          <w:lang w:val="en-US" w:eastAsia="zh-CN"/>
          <w14:textFill>
            <w14:solidFill>
              <w14:schemeClr w14:val="tx1"/>
            </w14:solidFill>
          </w14:textFill>
        </w:rPr>
        <w:t>通过</w:t>
      </w:r>
      <w:r>
        <w:rPr>
          <w:rFonts w:hint="default" w:ascii="Times New Roman" w:hAnsi="Times New Roman" w:cs="Times New Roman"/>
          <w:bCs/>
          <w:color w:val="000000" w:themeColor="text1"/>
          <w:highlight w:val="none"/>
          <w14:textFill>
            <w14:solidFill>
              <w14:schemeClr w14:val="tx1"/>
            </w14:solidFill>
          </w14:textFill>
        </w:rPr>
        <w:t>合理安排</w:t>
      </w:r>
      <w:r>
        <w:rPr>
          <w:rFonts w:hint="eastAsia" w:cs="Times New Roman"/>
          <w:bCs/>
          <w:color w:val="000000" w:themeColor="text1"/>
          <w:highlight w:val="none"/>
          <w:lang w:val="en-US" w:eastAsia="zh-CN"/>
          <w14:textFill>
            <w14:solidFill>
              <w14:schemeClr w14:val="tx1"/>
            </w14:solidFill>
          </w14:textFill>
        </w:rPr>
        <w:t>用水时间</w:t>
      </w:r>
      <w:r>
        <w:rPr>
          <w:rFonts w:hint="default" w:ascii="Times New Roman" w:hAnsi="Times New Roman" w:cs="Times New Roman"/>
          <w:bCs/>
          <w:color w:val="000000" w:themeColor="text1"/>
          <w:highlight w:val="none"/>
          <w14:textFill>
            <w14:solidFill>
              <w14:schemeClr w14:val="tx1"/>
            </w14:solidFill>
          </w14:textFill>
        </w:rPr>
        <w:t>，尽量不在枯水期取水，用水前做好与当地主管部门沟通协调工作，项目</w:t>
      </w:r>
      <w:r>
        <w:rPr>
          <w:rFonts w:hint="eastAsia" w:cs="Times New Roman"/>
          <w:bCs/>
          <w:color w:val="000000" w:themeColor="text1"/>
          <w:highlight w:val="none"/>
          <w:lang w:val="en-US" w:eastAsia="zh-CN"/>
          <w14:textFill>
            <w14:solidFill>
              <w14:schemeClr w14:val="tx1"/>
            </w14:solidFill>
          </w14:textFill>
        </w:rPr>
        <w:t>储层改造施工</w:t>
      </w:r>
      <w:r>
        <w:rPr>
          <w:rFonts w:hint="default" w:ascii="Times New Roman" w:hAnsi="Times New Roman" w:cs="Times New Roman"/>
          <w:bCs/>
          <w:color w:val="000000" w:themeColor="text1"/>
          <w:highlight w:val="none"/>
          <w14:textFill>
            <w14:solidFill>
              <w14:schemeClr w14:val="tx1"/>
            </w14:solidFill>
          </w14:textFill>
        </w:rPr>
        <w:t>取水不会对周边耕地等用水造成影响；若必须在枯水期取水要首先满足下游生态流量和管理部门的要求。</w:t>
      </w:r>
    </w:p>
    <w:p>
      <w:pPr>
        <w:pStyle w:val="21"/>
        <w:spacing w:before="0"/>
        <w:ind w:left="0"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（2）试采期</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试采期用水为</w:t>
      </w:r>
      <w:r>
        <w:rPr>
          <w:rFonts w:ascii="Times New Roman" w:hAnsi="Times New Roman"/>
          <w:color w:val="000000" w:themeColor="text1"/>
          <w:kern w:val="28"/>
          <w:szCs w:val="21"/>
          <w:highlight w:val="none"/>
          <w:lang w:eastAsia="zh-CN"/>
          <w14:textFill>
            <w14:solidFill>
              <w14:schemeClr w14:val="tx1"/>
            </w14:solidFill>
          </w14:textFill>
        </w:rPr>
        <w:t>车辆拉运桶装水至场地</w:t>
      </w:r>
      <w:r>
        <w:rPr>
          <w:rFonts w:hint="eastAsia" w:ascii="Times New Roman" w:hAnsi="Times New Roman"/>
          <w:color w:val="000000" w:themeColor="text1"/>
          <w:kern w:val="28"/>
          <w:szCs w:val="21"/>
          <w:highlight w:val="none"/>
          <w:lang w:val="en-US" w:eastAsia="zh-CN"/>
          <w14:textFill>
            <w14:solidFill>
              <w14:schemeClr w14:val="tx1"/>
            </w14:solidFill>
          </w14:textFill>
        </w:rPr>
        <w:t>或由当地自来水管网接入</w:t>
      </w:r>
      <w:r>
        <w:rPr>
          <w:rFonts w:ascii="Times New Roman" w:hAnsi="Times New Roman"/>
          <w:color w:val="000000" w:themeColor="text1"/>
          <w:highlight w:val="none"/>
          <w:lang w:eastAsia="zh-CN"/>
          <w14:textFill>
            <w14:solidFill>
              <w14:schemeClr w14:val="tx1"/>
            </w14:solidFill>
          </w14:textFill>
        </w:rPr>
        <w:t>。</w:t>
      </w:r>
      <w:bookmarkEnd w:id="133"/>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2、项目排水</w:t>
      </w:r>
    </w:p>
    <w:p>
      <w:pPr>
        <w:pStyle w:val="21"/>
        <w:spacing w:before="0"/>
        <w:ind w:left="0" w:firstLine="48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1）施工期</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井场排水采用雨污分流，井场四周设置排水沟，并设置集水坑，场内雨水通过场内排水沟和集水坑（4个）隔油收集后，初期雨水、井口方井内收集的雨水通过泵提升至泥浆不落地区域暂存，与钻井废水合并处理，后期雨水散排至附近沟渠。若场内雨水被污染流入外环沟，则需封闭外环沟由作业队伍从集水坑抽汲至废水罐或放喷池。</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经固液分离后的钻井液满足要求的全部在钻井过程中回用，剩余部分和设备冲洗废水、方井雨水、失效泥浆、岩屑等经泥浆不落地装置接收处理后形成钻井废水，</w:t>
      </w:r>
      <w:r>
        <w:rPr>
          <w:rFonts w:hint="eastAsia" w:cs="Times New Roman"/>
          <w:color w:val="000000" w:themeColor="text1"/>
          <w:szCs w:val="24"/>
          <w:highlight w:val="none"/>
          <w:lang w:val="en-US" w:eastAsia="zh-CN"/>
          <w14:textFill>
            <w14:solidFill>
              <w14:schemeClr w14:val="tx1"/>
            </w14:solidFill>
          </w14:textFill>
        </w:rPr>
        <w:t>经不落地装置处理后大部分回用于配制钻井液，剩余不能回用部分暂存于清洁生产操作平台的废水罐内，定期装车拉运至赵家坝污水处理站处理达标后经普光3井回注站回注</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储层改造阶段产生的</w:t>
      </w:r>
      <w:r>
        <w:rPr>
          <w:rFonts w:hint="default" w:ascii="Times New Roman" w:hAnsi="Times New Roman" w:cs="Times New Roman"/>
          <w:color w:val="000000" w:themeColor="text1"/>
          <w:highlight w:val="none"/>
          <w14:textFill>
            <w14:solidFill>
              <w14:schemeClr w14:val="tx1"/>
            </w14:solidFill>
          </w14:textFill>
        </w:rPr>
        <w:t>压裂返排液及洗井废水临时暂存于放喷池或者</w:t>
      </w:r>
      <w:r>
        <w:rPr>
          <w:rFonts w:hint="eastAsia" w:cs="Times New Roman"/>
          <w:color w:val="000000" w:themeColor="text1"/>
          <w:highlight w:val="none"/>
          <w:lang w:val="en-US" w:eastAsia="zh-CN"/>
          <w14:textFill>
            <w14:solidFill>
              <w14:schemeClr w14:val="tx1"/>
            </w14:solidFill>
          </w14:textFill>
        </w:rPr>
        <w:t>压裂液储</w:t>
      </w:r>
      <w:r>
        <w:rPr>
          <w:rFonts w:hint="default" w:ascii="Times New Roman" w:hAnsi="Times New Roman" w:cs="Times New Roman"/>
          <w:color w:val="000000" w:themeColor="text1"/>
          <w:highlight w:val="none"/>
          <w14:textFill>
            <w14:solidFill>
              <w14:schemeClr w14:val="tx1"/>
            </w14:solidFill>
          </w14:textFill>
        </w:rPr>
        <w:t>罐</w:t>
      </w:r>
      <w:r>
        <w:rPr>
          <w:rFonts w:hint="eastAsia"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优先回用于周边其他井场压裂液配置</w:t>
      </w:r>
      <w:r>
        <w:rPr>
          <w:rFonts w:hint="default" w:ascii="Times New Roman" w:hAnsi="Times New Roman" w:cs="Times New Roman"/>
          <w:color w:val="000000" w:themeColor="text1"/>
          <w:highlight w:val="none"/>
          <w14:textFill>
            <w14:solidFill>
              <w14:schemeClr w14:val="tx1"/>
            </w14:solidFill>
          </w14:textFill>
        </w:rPr>
        <w:t>，不能回用</w:t>
      </w:r>
      <w:r>
        <w:rPr>
          <w:rFonts w:hint="eastAsia" w:cs="Times New Roman"/>
          <w:color w:val="000000" w:themeColor="text1"/>
          <w:highlight w:val="none"/>
          <w:lang w:val="en-US" w:eastAsia="zh-CN"/>
          <w14:textFill>
            <w14:solidFill>
              <w14:schemeClr w14:val="tx1"/>
            </w14:solidFill>
          </w14:textFill>
        </w:rPr>
        <w:t>时</w:t>
      </w:r>
      <w:r>
        <w:rPr>
          <w:rFonts w:hint="default" w:ascii="Times New Roman" w:hAnsi="Times New Roman" w:cs="Times New Roman"/>
          <w:color w:val="000000" w:themeColor="text1"/>
          <w:highlight w:val="none"/>
          <w14:textFill>
            <w14:solidFill>
              <w14:schemeClr w14:val="tx1"/>
            </w14:solidFill>
          </w14:textFill>
        </w:rPr>
        <w:t>用罐车拉运至</w:t>
      </w:r>
      <w:r>
        <w:rPr>
          <w:rFonts w:hint="eastAsia" w:ascii="Times New Roman" w:hAnsi="Times New Roman"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ascii="Times New Roman" w:hAnsi="Times New Roman"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施工期（钻前工程）</w:t>
      </w:r>
      <w:r>
        <w:rPr>
          <w:rFonts w:hint="default" w:ascii="Times New Roman" w:hAnsi="Times New Roman" w:cs="Times New Roman"/>
          <w:color w:val="000000" w:themeColor="text1"/>
          <w:szCs w:val="24"/>
          <w:highlight w:val="none"/>
          <w14:textFill>
            <w14:solidFill>
              <w14:schemeClr w14:val="tx1"/>
            </w14:solidFill>
          </w14:textFill>
        </w:rPr>
        <w:t>生活污水依托周边农户已建设施处理</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不外排</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施工期（钻井工程、储层改造工程）</w:t>
      </w:r>
      <w:r>
        <w:rPr>
          <w:rFonts w:hint="default" w:ascii="Times New Roman" w:hAnsi="Times New Roman" w:cs="Times New Roman"/>
          <w:color w:val="000000" w:themeColor="text1"/>
          <w:highlight w:val="none"/>
          <w:lang w:eastAsia="zh-CN"/>
          <w14:textFill>
            <w14:solidFill>
              <w14:schemeClr w14:val="tx1"/>
            </w14:solidFill>
          </w14:textFill>
        </w:rPr>
        <w:t>生活污水经生态厕所收集后定期由密闭罐车拉运至周边生活污水处理厂处理。</w:t>
      </w:r>
      <w:r>
        <w:rPr>
          <w:rFonts w:ascii="Times New Roman" w:hAnsi="Times New Roman"/>
          <w:color w:val="000000" w:themeColor="text1"/>
          <w:highlight w:val="none"/>
          <w:lang w:eastAsia="zh-CN"/>
          <w14:textFill>
            <w14:solidFill>
              <w14:schemeClr w14:val="tx1"/>
            </w14:solidFill>
          </w14:textFill>
        </w:rPr>
        <w:t>在井场主要设备基础周边均设置了环状污水沟，用于收集可能产生的污水及雨季时雨水淋滤水，这部分废水通过连接处的集污坑隔油沉淀后最终汇入废水接收罐，接收罐及排污沟围堰上边缘均要高出井场20cm左右，确保污水不进入雨水排水系统，也防止雨水进入污水系统增加废水量。</w:t>
      </w:r>
    </w:p>
    <w:p>
      <w:pPr>
        <w:pStyle w:val="21"/>
        <w:spacing w:before="0"/>
        <w:ind w:left="0" w:firstLine="48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2）试采期</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项目天然气试采</w:t>
      </w:r>
      <w:r>
        <w:rPr>
          <w:rFonts w:hint="eastAsia" w:ascii="Times New Roman" w:hAnsi="Times New Roman"/>
          <w:color w:val="000000" w:themeColor="text1"/>
          <w:highlight w:val="none"/>
          <w:lang w:val="en-US" w:eastAsia="zh-CN"/>
          <w14:textFill>
            <w14:solidFill>
              <w14:schemeClr w14:val="tx1"/>
            </w14:solidFill>
          </w14:textFill>
        </w:rPr>
        <w:t>过程中</w:t>
      </w:r>
      <w:r>
        <w:rPr>
          <w:rFonts w:ascii="Times New Roman" w:hAnsi="Times New Roman"/>
          <w:color w:val="000000" w:themeColor="text1"/>
          <w:highlight w:val="none"/>
          <w:lang w:eastAsia="zh-CN"/>
          <w14:textFill>
            <w14:solidFill>
              <w14:schemeClr w14:val="tx1"/>
            </w14:solidFill>
          </w14:textFill>
        </w:rPr>
        <w:t>产生的气田水用</w:t>
      </w:r>
      <w:r>
        <w:rPr>
          <w:rFonts w:hint="eastAsia" w:ascii="Times New Roman" w:hAnsi="Times New Roman"/>
          <w:color w:val="000000" w:themeColor="text1"/>
          <w:highlight w:val="none"/>
          <w:lang w:eastAsia="zh-CN"/>
          <w14:textFill>
            <w14:solidFill>
              <w14:schemeClr w14:val="tx1"/>
            </w14:solidFill>
          </w14:textFill>
        </w:rPr>
        <w:t>放空分液罐、采出水罐</w:t>
      </w:r>
      <w:r>
        <w:rPr>
          <w:rFonts w:ascii="Times New Roman" w:hAnsi="Times New Roman"/>
          <w:color w:val="000000" w:themeColor="text1"/>
          <w:highlight w:val="none"/>
          <w:lang w:eastAsia="zh-CN"/>
          <w14:textFill>
            <w14:solidFill>
              <w14:schemeClr w14:val="tx1"/>
            </w14:solidFill>
          </w14:textFill>
        </w:rPr>
        <w:t>收集暂存，暂存一定量后</w:t>
      </w:r>
      <w:r>
        <w:rPr>
          <w:rFonts w:hint="eastAsia" w:ascii="Times New Roman" w:hAnsi="Times New Roman"/>
          <w:color w:val="000000" w:themeColor="text1"/>
          <w:highlight w:val="none"/>
          <w:lang w:val="en-US" w:eastAsia="zh-CN"/>
          <w14:textFill>
            <w14:solidFill>
              <w14:schemeClr w14:val="tx1"/>
            </w14:solidFill>
          </w14:textFill>
        </w:rPr>
        <w:t>外输至雷页1试采站暂存再由</w:t>
      </w:r>
      <w:r>
        <w:rPr>
          <w:rFonts w:ascii="Times New Roman" w:hAnsi="Times New Roman"/>
          <w:color w:val="000000" w:themeColor="text1"/>
          <w:highlight w:val="none"/>
          <w:lang w:eastAsia="zh-CN"/>
          <w14:textFill>
            <w14:solidFill>
              <w14:schemeClr w14:val="tx1"/>
            </w14:solidFill>
          </w14:textFill>
        </w:rPr>
        <w:t>密闭罐车运至</w:t>
      </w:r>
      <w:r>
        <w:rPr>
          <w:rFonts w:hint="eastAsia" w:ascii="Times New Roman" w:hAnsi="Times New Roman"/>
          <w:color w:val="000000" w:themeColor="text1"/>
          <w:highlight w:val="none"/>
          <w:lang w:eastAsia="zh-CN"/>
          <w14:textFill>
            <w14:solidFill>
              <w14:schemeClr w14:val="tx1"/>
            </w14:solidFill>
          </w14:textFill>
        </w:rPr>
        <w:t>赵家坝污水处理站</w:t>
      </w:r>
      <w:r>
        <w:rPr>
          <w:rFonts w:ascii="Times New Roman" w:hAnsi="Times New Roman"/>
          <w:color w:val="000000" w:themeColor="text1"/>
          <w:highlight w:val="none"/>
          <w:lang w:eastAsia="zh-CN"/>
          <w14:textFill>
            <w14:solidFill>
              <w14:schemeClr w14:val="tx1"/>
            </w14:solidFill>
          </w14:textFill>
        </w:rPr>
        <w:t>处理达到《气田水回注方法》（SY/T 6596-2016）中注入水基本要求后管输至</w:t>
      </w:r>
      <w:r>
        <w:rPr>
          <w:rFonts w:hint="eastAsia" w:ascii="Times New Roman" w:hAnsi="Times New Roman"/>
          <w:color w:val="000000" w:themeColor="text1"/>
          <w:highlight w:val="none"/>
          <w:lang w:eastAsia="zh-CN"/>
          <w14:textFill>
            <w14:solidFill>
              <w14:schemeClr w14:val="tx1"/>
            </w14:solidFill>
          </w14:textFill>
        </w:rPr>
        <w:t>普光3井回注站</w:t>
      </w:r>
      <w:r>
        <w:rPr>
          <w:rFonts w:ascii="Times New Roman" w:hAnsi="Times New Roman"/>
          <w:color w:val="000000" w:themeColor="text1"/>
          <w:highlight w:val="none"/>
          <w:lang w:eastAsia="zh-CN"/>
          <w14:textFill>
            <w14:solidFill>
              <w14:schemeClr w14:val="tx1"/>
            </w14:solidFill>
          </w14:textFill>
        </w:rPr>
        <w:t>回注处理，不外排。</w:t>
      </w:r>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3、项目供电</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项目施工期用电优先采用电网接入，在停电等紧急情况下则启用备用柴油发电机组供电。项目试采期，场站内的控制系统计量系统用电等均由地方电网供给。</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134" w:name="_Toc120173105"/>
      <w:r>
        <w:rPr>
          <w:color w:val="000000" w:themeColor="text1"/>
          <w:highlight w:val="none"/>
          <w:lang w:eastAsia="zh-CN"/>
          <w14:textFill>
            <w14:solidFill>
              <w14:schemeClr w14:val="tx1"/>
            </w14:solidFill>
          </w14:textFill>
        </w:rPr>
        <w:t>工程占地及土石方平衡</w:t>
      </w:r>
      <w:bookmarkEnd w:id="134"/>
    </w:p>
    <w:p>
      <w:pPr>
        <w:pStyle w:val="21"/>
        <w:pageBreakBefore w:val="0"/>
        <w:kinsoku/>
        <w:wordWrap/>
        <w:overflowPunct/>
        <w:topLinePunct w:val="0"/>
        <w:autoSpaceDE/>
        <w:autoSpaceDN/>
        <w:bidi w:val="0"/>
        <w:adjustRightInd w:val="0"/>
        <w:snapToGrid w:val="0"/>
        <w:spacing w:before="0"/>
        <w:ind w:left="0" w:firstLine="480"/>
        <w:jc w:val="both"/>
        <w:textAlignment w:val="auto"/>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1、工程占地</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拟建</w:t>
      </w:r>
      <w:r>
        <w:rPr>
          <w:rFonts w:hint="eastAsia" w:ascii="Times New Roman" w:hAnsi="Times New Roman"/>
          <w:color w:val="000000" w:themeColor="text1"/>
          <w:highlight w:val="none"/>
          <w:lang w:eastAsia="zh-CN"/>
          <w14:textFill>
            <w14:solidFill>
              <w14:schemeClr w14:val="tx1"/>
            </w14:solidFill>
          </w14:textFill>
        </w:rPr>
        <w:t>工程</w:t>
      </w:r>
      <w:r>
        <w:rPr>
          <w:rFonts w:ascii="Times New Roman" w:hAnsi="Times New Roman"/>
          <w:color w:val="000000" w:themeColor="text1"/>
          <w:highlight w:val="none"/>
          <w:lang w:eastAsia="zh-CN"/>
          <w14:textFill>
            <w14:solidFill>
              <w14:schemeClr w14:val="tx1"/>
            </w14:solidFill>
          </w14:textFill>
        </w:rPr>
        <w:t>新增临时占地约</w:t>
      </w:r>
      <w:r>
        <w:rPr>
          <w:rFonts w:hint="eastAsia" w:ascii="Times New Roman" w:hAnsi="Times New Roman"/>
          <w:color w:val="000000" w:themeColor="text1"/>
          <w:highlight w:val="none"/>
          <w:lang w:eastAsia="zh-CN"/>
          <w14:textFill>
            <w14:solidFill>
              <w14:schemeClr w14:val="tx1"/>
            </w14:solidFill>
          </w14:textFill>
        </w:rPr>
        <w:t>12808m</w:t>
      </w:r>
      <w:r>
        <w:rPr>
          <w:rFonts w:ascii="Times New Roman" w:hAnsi="Times New Roman"/>
          <w:color w:val="000000" w:themeColor="text1"/>
          <w:highlight w:val="none"/>
          <w:vertAlign w:val="superscript"/>
          <w:lang w:eastAsia="zh-CN"/>
          <w14:textFill>
            <w14:solidFill>
              <w14:schemeClr w14:val="tx1"/>
            </w14:solidFill>
          </w14:textFill>
        </w:rPr>
        <w:t>2</w:t>
      </w:r>
      <w:r>
        <w:rPr>
          <w:rFonts w:ascii="Times New Roman" w:hAnsi="Times New Roman"/>
          <w:color w:val="000000" w:themeColor="text1"/>
          <w:highlight w:val="none"/>
          <w:lang w:eastAsia="zh-CN"/>
          <w14:textFill>
            <w14:solidFill>
              <w14:schemeClr w14:val="tx1"/>
            </w14:solidFill>
          </w14:textFill>
        </w:rPr>
        <w:t>。主要占地类型为</w:t>
      </w:r>
      <w:r>
        <w:rPr>
          <w:rFonts w:hint="eastAsia" w:ascii="Times New Roman" w:hAnsi="Times New Roman"/>
          <w:color w:val="000000" w:themeColor="text1"/>
          <w:highlight w:val="none"/>
          <w:lang w:val="en-US" w:eastAsia="zh-CN"/>
          <w14:textFill>
            <w14:solidFill>
              <w14:schemeClr w14:val="tx1"/>
            </w14:solidFill>
          </w14:textFill>
        </w:rPr>
        <w:t>耕地和林地</w:t>
      </w:r>
      <w:r>
        <w:rPr>
          <w:rFonts w:ascii="Times New Roman" w:hAnsi="Times New Roman"/>
          <w:color w:val="000000" w:themeColor="text1"/>
          <w:highlight w:val="none"/>
          <w:lang w:eastAsia="zh-CN"/>
          <w14:textFill>
            <w14:solidFill>
              <w14:schemeClr w14:val="tx1"/>
            </w14:solidFill>
          </w14:textFill>
        </w:rPr>
        <w:t>，工程的具体占地情况见</w:t>
      </w:r>
      <w:r>
        <w:rPr>
          <w:rFonts w:ascii="Times New Roman" w:hAnsi="Times New Roman"/>
          <w:color w:val="000000" w:themeColor="text1"/>
          <w:highlight w:val="none"/>
          <w:lang w:eastAsia="zh-CN"/>
          <w14:textFill>
            <w14:solidFill>
              <w14:schemeClr w14:val="tx1"/>
            </w14:solidFill>
          </w14:textFill>
        </w:rPr>
        <w:fldChar w:fldCharType="begin"/>
      </w:r>
      <w:r>
        <w:rPr>
          <w:rFonts w:ascii="Times New Roman" w:hAnsi="Times New Roman"/>
          <w:color w:val="000000" w:themeColor="text1"/>
          <w:highlight w:val="none"/>
          <w:lang w:eastAsia="zh-CN"/>
          <w14:textFill>
            <w14:solidFill>
              <w14:schemeClr w14:val="tx1"/>
            </w14:solidFill>
          </w14:textFill>
        </w:rPr>
        <w:instrText xml:space="preserve"> REF _Ref142593399 \h  \* MERGEFORMAT </w:instrText>
      </w:r>
      <w:r>
        <w:rPr>
          <w:rFonts w:ascii="Times New Roman" w:hAnsi="Times New Roman"/>
          <w:color w:val="000000" w:themeColor="text1"/>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hint="eastAsia" w:ascii="Times New Roman" w:hAnsi="Times New Roman"/>
          <w:color w:val="000000" w:themeColor="text1"/>
          <w:highlight w:val="none"/>
          <w:lang w:eastAsia="zh-CN"/>
          <w14:textFill>
            <w14:solidFill>
              <w14:schemeClr w14:val="tx1"/>
            </w14:solidFill>
          </w14:textFill>
        </w:rPr>
        <w:fldChar w:fldCharType="begin"/>
      </w:r>
      <w:r>
        <w:rPr>
          <w:rFonts w:ascii="Times New Roman" w:hAnsi="Times New Roman"/>
          <w:color w:val="000000" w:themeColor="text1"/>
          <w:highlight w:val="none"/>
          <w:lang w:eastAsia="zh-CN"/>
          <w14:textFill>
            <w14:solidFill>
              <w14:schemeClr w14:val="tx1"/>
            </w14:solidFill>
          </w14:textFill>
        </w:rPr>
        <w:instrText xml:space="preserve"> </w:instrText>
      </w:r>
      <w:r>
        <w:rPr>
          <w:rFonts w:hint="eastAsia" w:ascii="Times New Roman" w:hAnsi="Times New Roman"/>
          <w:color w:val="000000" w:themeColor="text1"/>
          <w:highlight w:val="none"/>
          <w:lang w:eastAsia="zh-CN"/>
          <w14:textFill>
            <w14:solidFill>
              <w14:schemeClr w14:val="tx1"/>
            </w14:solidFill>
          </w14:textFill>
        </w:rPr>
        <w:instrText xml:space="preserve">STYLEREF 2 \s</w:instrText>
      </w:r>
      <w:r>
        <w:rPr>
          <w:rFonts w:ascii="Times New Roman" w:hAnsi="Times New Roman"/>
          <w:color w:val="000000" w:themeColor="text1"/>
          <w:highlight w:val="none"/>
          <w:lang w:eastAsia="zh-CN"/>
          <w14:textFill>
            <w14:solidFill>
              <w14:schemeClr w14:val="tx1"/>
            </w14:solidFill>
          </w14:textFill>
        </w:rPr>
        <w:instrText xml:space="preserve"> </w:instrText>
      </w:r>
      <w:r>
        <w:rPr>
          <w:rFonts w:ascii="Times New Roman" w:hAnsi="Times New Roman"/>
          <w:color w:val="000000" w:themeColor="text1"/>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3.2</w:t>
      </w:r>
      <w:r>
        <w:rPr>
          <w:rFonts w:ascii="Times New Roman" w:hAnsi="Times New Roman"/>
          <w:color w:val="000000" w:themeColor="text1"/>
          <w:highlight w:val="none"/>
          <w:lang w:eastAsia="zh-CN"/>
          <w14:textFill>
            <w14:solidFill>
              <w14:schemeClr w14:val="tx1"/>
            </w14:solidFill>
          </w14:textFill>
        </w:rPr>
        <w:fldChar w:fldCharType="end"/>
      </w:r>
      <w:r>
        <w:rPr>
          <w:rFonts w:ascii="Times New Roman" w:hAnsi="Times New Roman"/>
          <w:color w:val="000000" w:themeColor="text1"/>
          <w:highlight w:val="none"/>
          <w:lang w:eastAsia="zh-CN"/>
          <w14:textFill>
            <w14:solidFill>
              <w14:schemeClr w14:val="tx1"/>
            </w14:solidFill>
          </w14:textFill>
        </w:rPr>
        <w:noBreakHyphen/>
      </w:r>
      <w:r>
        <w:rPr>
          <w:rFonts w:hint="eastAsia" w:ascii="Times New Roman" w:hAnsi="Times New Roman"/>
          <w:color w:val="000000" w:themeColor="text1"/>
          <w:highlight w:val="none"/>
          <w:lang w:eastAsia="zh-CN"/>
          <w14:textFill>
            <w14:solidFill>
              <w14:schemeClr w14:val="tx1"/>
            </w14:solidFill>
          </w14:textFill>
        </w:rPr>
        <w:t>21</w:t>
      </w:r>
      <w:r>
        <w:rPr>
          <w:rFonts w:ascii="Times New Roman" w:hAnsi="Times New Roman"/>
          <w:color w:val="000000" w:themeColor="text1"/>
          <w:highlight w:val="none"/>
          <w:lang w:eastAsia="zh-CN"/>
          <w14:textFill>
            <w14:solidFill>
              <w14:schemeClr w14:val="tx1"/>
            </w14:solidFill>
          </w14:textFill>
        </w:rPr>
        <w:fldChar w:fldCharType="end"/>
      </w:r>
      <w:r>
        <w:rPr>
          <w:rFonts w:ascii="Times New Roman" w:hAnsi="Times New Roman"/>
          <w:color w:val="000000" w:themeColor="text1"/>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35" w:name="_Ref14259339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fldChar w:fldCharType="end"/>
      </w:r>
      <w:bookmarkEnd w:id="13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工程占地类型一览表</w:t>
      </w:r>
      <w:r>
        <w:rPr>
          <w:color w:val="000000" w:themeColor="text1"/>
          <w:highlight w:val="none"/>
          <w14:textFill>
            <w14:solidFill>
              <w14:schemeClr w14:val="tx1"/>
            </w14:solidFill>
          </w14:textFill>
        </w:rPr>
        <w:t xml:space="preserve">   单位：</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58"/>
        <w:gridCol w:w="1141"/>
        <w:gridCol w:w="1229"/>
        <w:gridCol w:w="1229"/>
        <w:gridCol w:w="1130"/>
        <w:gridCol w:w="1028"/>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项目组成</w:t>
            </w:r>
          </w:p>
        </w:tc>
        <w:tc>
          <w:tcPr>
            <w:tcW w:w="4729" w:type="dxa"/>
            <w:gridSpan w:val="4"/>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占地类型</w:t>
            </w:r>
          </w:p>
        </w:tc>
        <w:tc>
          <w:tcPr>
            <w:tcW w:w="1028"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合计</w:t>
            </w:r>
          </w:p>
        </w:tc>
        <w:tc>
          <w:tcPr>
            <w:tcW w:w="1205"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Merge w:val="continue"/>
            <w:vAlign w:val="center"/>
          </w:tcPr>
          <w:p>
            <w:pPr>
              <w:keepNext w:val="0"/>
              <w:keepLines w:val="0"/>
              <w:widowControl/>
              <w:suppressLineNumbers w:val="0"/>
              <w:spacing w:before="0" w:beforeAutospacing="0" w:after="0" w:afterAutospacing="0" w:line="240" w:lineRule="auto"/>
              <w:ind w:left="0" w:right="0" w:firstLine="480" w:firstLineChars="0"/>
              <w:jc w:val="center"/>
              <w:textAlignment w:val="baseline"/>
              <w:rPr>
                <w:rFonts w:hint="default" w:cs="Times New Roman"/>
                <w:bCs/>
                <w:color w:val="000000" w:themeColor="text1"/>
                <w:sz w:val="21"/>
                <w:szCs w:val="21"/>
                <w:highlight w:val="none"/>
                <w14:textFill>
                  <w14:solidFill>
                    <w14:schemeClr w14:val="tx1"/>
                  </w14:solidFill>
                </w14:textFill>
              </w:rPr>
            </w:pP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林地</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草</w:t>
            </w:r>
            <w:r>
              <w:rPr>
                <w:rFonts w:hint="eastAsia" w:cs="Times New Roman"/>
                <w:bCs/>
                <w:color w:val="000000" w:themeColor="text1"/>
                <w:sz w:val="21"/>
                <w:szCs w:val="21"/>
                <w:highlight w:val="none"/>
                <w14:textFill>
                  <w14:solidFill>
                    <w14:schemeClr w14:val="tx1"/>
                  </w14:solidFill>
                </w14:textFill>
              </w:rPr>
              <w:t>地</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耕地</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其他</w:t>
            </w:r>
            <w:r>
              <w:rPr>
                <w:rFonts w:hint="eastAsia" w:cs="Times New Roman"/>
                <w:bCs/>
                <w:color w:val="000000" w:themeColor="text1"/>
                <w:sz w:val="21"/>
                <w:szCs w:val="21"/>
                <w:highlight w:val="none"/>
                <w14:textFill>
                  <w14:solidFill>
                    <w14:schemeClr w14:val="tx1"/>
                  </w14:solidFill>
                </w14:textFill>
              </w:rPr>
              <w:t>用地</w:t>
            </w:r>
          </w:p>
        </w:tc>
        <w:tc>
          <w:tcPr>
            <w:tcW w:w="1028" w:type="dxa"/>
            <w:vMerge w:val="continue"/>
            <w:vAlign w:val="center"/>
          </w:tcPr>
          <w:p>
            <w:pPr>
              <w:keepNext w:val="0"/>
              <w:keepLines w:val="0"/>
              <w:widowControl/>
              <w:suppressLineNumbers w:val="0"/>
              <w:spacing w:before="0" w:beforeAutospacing="0" w:after="0" w:afterAutospacing="0" w:line="240" w:lineRule="auto"/>
              <w:ind w:left="0" w:right="0" w:firstLine="480" w:firstLineChars="0"/>
              <w:jc w:val="center"/>
              <w:textAlignment w:val="baseline"/>
              <w:rPr>
                <w:rFonts w:hint="default" w:cs="Times New Roman"/>
                <w:bCs/>
                <w:color w:val="000000" w:themeColor="text1"/>
                <w:sz w:val="21"/>
                <w:szCs w:val="21"/>
                <w:highlight w:val="none"/>
                <w14:textFill>
                  <w14:solidFill>
                    <w14:schemeClr w14:val="tx1"/>
                  </w14:solidFill>
                </w14:textFill>
              </w:rPr>
            </w:pPr>
          </w:p>
        </w:tc>
        <w:tc>
          <w:tcPr>
            <w:tcW w:w="1205" w:type="dxa"/>
            <w:vMerge w:val="continue"/>
            <w:vAlign w:val="center"/>
          </w:tcPr>
          <w:p>
            <w:pPr>
              <w:keepNext w:val="0"/>
              <w:keepLines w:val="0"/>
              <w:widowControl/>
              <w:suppressLineNumbers w:val="0"/>
              <w:spacing w:before="0" w:beforeAutospacing="0" w:after="0" w:afterAutospacing="0" w:line="240" w:lineRule="auto"/>
              <w:ind w:left="0" w:right="0" w:firstLine="480" w:firstLineChars="0"/>
              <w:jc w:val="center"/>
              <w:textAlignment w:val="baseline"/>
              <w:rPr>
                <w:rFonts w:hint="default" w:cs="Times New Roman"/>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井场</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bCs/>
                <w:color w:val="000000" w:themeColor="text1"/>
                <w:sz w:val="21"/>
                <w:szCs w:val="21"/>
                <w:highlight w:val="none"/>
                <w:lang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bCs/>
                <w:color w:val="000000" w:themeColor="text1"/>
                <w:sz w:val="21"/>
                <w:szCs w:val="21"/>
                <w:highlight w:val="none"/>
                <w:lang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0.6</w:t>
            </w:r>
            <w:r>
              <w:rPr>
                <w:rFonts w:hint="eastAsia" w:cs="Times New Roman"/>
                <w:bCs/>
                <w:color w:val="000000" w:themeColor="text1"/>
                <w:sz w:val="21"/>
                <w:szCs w:val="21"/>
                <w:highlight w:val="none"/>
                <w:lang w:val="en-US" w:eastAsia="zh-CN"/>
                <w14:textFill>
                  <w14:solidFill>
                    <w14:schemeClr w14:val="tx1"/>
                  </w14:solidFill>
                </w14:textFill>
              </w:rPr>
              <w:t>201</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0.6</w:t>
            </w:r>
            <w:r>
              <w:rPr>
                <w:rFonts w:hint="eastAsia" w:cs="Times New Roman"/>
                <w:bCs/>
                <w:color w:val="000000" w:themeColor="text1"/>
                <w:sz w:val="21"/>
                <w:szCs w:val="21"/>
                <w:highlight w:val="none"/>
                <w:lang w:val="en-US" w:eastAsia="zh-CN"/>
                <w14:textFill>
                  <w14:solidFill>
                    <w14:schemeClr w14:val="tx1"/>
                  </w14:solidFill>
                </w14:textFill>
              </w:rPr>
              <w:t>201</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临时征地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边坡</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0.2327</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0.2327</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进场道路</w:t>
            </w:r>
            <w:r>
              <w:rPr>
                <w:rFonts w:hint="eastAsia" w:cs="Times New Roman"/>
                <w:bCs/>
                <w:color w:val="000000" w:themeColor="text1"/>
                <w:sz w:val="21"/>
                <w:szCs w:val="21"/>
                <w:highlight w:val="none"/>
                <w:lang w:val="en-US" w:eastAsia="zh-CN"/>
                <w14:textFill>
                  <w14:solidFill>
                    <w14:schemeClr w14:val="tx1"/>
                  </w14:solidFill>
                </w14:textFill>
              </w:rPr>
              <w:t>及回转场地</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0.0</w:t>
            </w:r>
            <w:r>
              <w:rPr>
                <w:rFonts w:hint="eastAsia" w:cs="Times New Roman"/>
                <w:bCs/>
                <w:color w:val="000000" w:themeColor="text1"/>
                <w:sz w:val="21"/>
                <w:szCs w:val="21"/>
                <w:highlight w:val="none"/>
                <w:lang w:val="en-US" w:eastAsia="zh-CN"/>
                <w14:textFill>
                  <w14:solidFill>
                    <w14:schemeClr w14:val="tx1"/>
                  </w14:solidFill>
                </w14:textFill>
              </w:rPr>
              <w:t>181</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0.0</w:t>
            </w:r>
            <w:r>
              <w:rPr>
                <w:rFonts w:hint="eastAsia" w:cs="Times New Roman"/>
                <w:bCs/>
                <w:color w:val="000000" w:themeColor="text1"/>
                <w:sz w:val="21"/>
                <w:szCs w:val="21"/>
                <w:highlight w:val="none"/>
                <w:lang w:val="en-US" w:eastAsia="zh-CN"/>
                <w14:textFill>
                  <w14:solidFill>
                    <w14:schemeClr w14:val="tx1"/>
                  </w14:solidFill>
                </w14:textFill>
              </w:rPr>
              <w:t>181</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临时征地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清水池</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205"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利旧，不新增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放喷池</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20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9"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放喷管线及施工便道</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20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表土堆放区</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w:t>
            </w:r>
            <w:r>
              <w:rPr>
                <w:rFonts w:hint="eastAsia" w:cs="Times New Roman"/>
                <w:bCs/>
                <w:color w:val="000000" w:themeColor="text1"/>
                <w:sz w:val="21"/>
                <w:szCs w:val="21"/>
                <w:highlight w:val="none"/>
                <w:lang w:val="en-US" w:eastAsia="zh-CN"/>
                <w14:textFill>
                  <w14:solidFill>
                    <w14:schemeClr w14:val="tx1"/>
                  </w14:solidFill>
                </w14:textFill>
              </w:rPr>
              <w:t>1579</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w:t>
            </w:r>
            <w:r>
              <w:rPr>
                <w:rFonts w:hint="eastAsia" w:cs="Times New Roman"/>
                <w:bCs/>
                <w:color w:val="000000" w:themeColor="text1"/>
                <w:sz w:val="21"/>
                <w:szCs w:val="21"/>
                <w:highlight w:val="none"/>
                <w:lang w:val="en-US" w:eastAsia="zh-CN"/>
                <w14:textFill>
                  <w14:solidFill>
                    <w14:schemeClr w14:val="tx1"/>
                  </w14:solidFill>
                </w14:textFill>
              </w:rPr>
              <w:t>1579</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临时征地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生活区</w:t>
            </w:r>
          </w:p>
        </w:tc>
        <w:tc>
          <w:tcPr>
            <w:tcW w:w="1141"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0.14</w:t>
            </w:r>
          </w:p>
        </w:tc>
        <w:tc>
          <w:tcPr>
            <w:tcW w:w="113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0.14</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临时征地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集输管线</w:t>
            </w:r>
          </w:p>
        </w:tc>
        <w:tc>
          <w:tcPr>
            <w:tcW w:w="1141"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eastAsia"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0.112</w:t>
            </w:r>
          </w:p>
        </w:tc>
        <w:tc>
          <w:tcPr>
            <w:tcW w:w="1130"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eastAsia"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baseline"/>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0.112</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eastAsia"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14:textFill>
                  <w14:solidFill>
                    <w14:schemeClr w14:val="tx1"/>
                  </w14:solidFill>
                </w14:textFill>
              </w:rPr>
              <w:t>临时征地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25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14:textFill>
                  <w14:solidFill>
                    <w14:schemeClr w14:val="tx1"/>
                  </w14:solidFill>
                </w14:textFill>
              </w:rPr>
              <w:t>合计</w:t>
            </w:r>
          </w:p>
        </w:tc>
        <w:tc>
          <w:tcPr>
            <w:tcW w:w="1141"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229"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lang w:val="en-US"/>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1.2808</w:t>
            </w:r>
          </w:p>
        </w:tc>
        <w:tc>
          <w:tcPr>
            <w:tcW w:w="1130" w:type="dxa"/>
            <w:vAlign w:val="center"/>
          </w:tcPr>
          <w:p>
            <w:pPr>
              <w:keepNext w:val="0"/>
              <w:keepLines w:val="0"/>
              <w:widowControl/>
              <w:suppressLineNumbers w:val="0"/>
              <w:spacing w:before="0" w:beforeAutospacing="0" w:after="0" w:afterAutospacing="0" w:line="240" w:lineRule="auto"/>
              <w:ind w:left="0" w:right="0" w:firstLine="420" w:firstLineChars="200"/>
              <w:jc w:val="center"/>
              <w:textAlignment w:val="baseline"/>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sz w:val="21"/>
                <w:szCs w:val="21"/>
                <w:highlight w:val="none"/>
                <w:lang w:val="en-US" w:eastAsia="zh-CN"/>
                <w14:textFill>
                  <w14:solidFill>
                    <w14:schemeClr w14:val="tx1"/>
                  </w14:solidFill>
                </w14:textFill>
              </w:rPr>
              <w:t>/</w:t>
            </w: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1.2808</w:t>
            </w:r>
          </w:p>
        </w:tc>
        <w:tc>
          <w:tcPr>
            <w:tcW w:w="1205" w:type="dxa"/>
            <w:vAlign w:val="center"/>
          </w:tcPr>
          <w:p>
            <w:pPr>
              <w:keepNext w:val="0"/>
              <w:keepLines w:val="0"/>
              <w:widowControl/>
              <w:suppressLineNumbers w:val="0"/>
              <w:spacing w:before="0" w:beforeAutospacing="0" w:after="0" w:afterAutospacing="0" w:line="240" w:lineRule="auto"/>
              <w:ind w:left="0" w:right="0" w:firstLine="480" w:firstLineChars="0"/>
              <w:jc w:val="both"/>
              <w:textAlignment w:val="baseline"/>
              <w:rPr>
                <w:rFonts w:hint="eastAsia"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bl>
    <w:p>
      <w:pPr>
        <w:pStyle w:val="21"/>
        <w:spacing w:before="120" w:beforeLines="5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2、工程土石方工程量</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（1）表土剥离</w:t>
      </w:r>
    </w:p>
    <w:p>
      <w:pPr>
        <w:ind w:firstLine="480"/>
        <w:rPr>
          <w:rFonts w:hint="default" w:eastAsia="宋体" w:cs="Times New Roman"/>
          <w:color w:val="000000" w:themeColor="text1"/>
          <w:szCs w:val="24"/>
          <w:highlight w:val="none"/>
          <w:lang w:val="en-US" w:eastAsia="zh-CN"/>
          <w14:textFill>
            <w14:solidFill>
              <w14:schemeClr w14:val="tx1"/>
            </w14:solidFill>
          </w14:textFill>
        </w:rPr>
      </w:pPr>
      <w:r>
        <w:rPr>
          <w:rFonts w:cs="Times New Roman"/>
          <w:bCs/>
          <w:color w:val="000000" w:themeColor="text1"/>
          <w:szCs w:val="24"/>
          <w:highlight w:val="none"/>
          <w14:textFill>
            <w14:solidFill>
              <w14:schemeClr w14:val="tx1"/>
            </w14:solidFill>
          </w14:textFill>
        </w:rPr>
        <w:t>根据项目设计资料可知，</w:t>
      </w:r>
      <w:r>
        <w:rPr>
          <w:rFonts w:hint="eastAsia" w:cs="Times New Roman"/>
          <w:bCs/>
          <w:color w:val="000000" w:themeColor="text1"/>
          <w:szCs w:val="24"/>
          <w:highlight w:val="none"/>
          <w:lang w:val="en-US" w:eastAsia="zh-CN"/>
          <w14:textFill>
            <w14:solidFill>
              <w14:schemeClr w14:val="tx1"/>
            </w14:solidFill>
          </w14:textFill>
        </w:rPr>
        <w:t>井场建设</w:t>
      </w:r>
      <w:r>
        <w:rPr>
          <w:rFonts w:cs="Times New Roman"/>
          <w:bCs/>
          <w:color w:val="000000" w:themeColor="text1"/>
          <w:szCs w:val="24"/>
          <w:highlight w:val="none"/>
          <w14:textFill>
            <w14:solidFill>
              <w14:schemeClr w14:val="tx1"/>
            </w14:solidFill>
          </w14:textFill>
        </w:rPr>
        <w:t>剥离表土就近堆放于项目设置的表土堆放场，堆放场采用密目网对其进行遮盖，定期洒水保持土壤的含水量。</w:t>
      </w:r>
      <w:r>
        <w:rPr>
          <w:rFonts w:hint="eastAsia" w:cs="Times New Roman"/>
          <w:bCs/>
          <w:color w:val="000000" w:themeColor="text1"/>
          <w:szCs w:val="24"/>
          <w:highlight w:val="none"/>
          <w:lang w:val="en-US" w:eastAsia="zh-CN"/>
          <w14:textFill>
            <w14:solidFill>
              <w14:schemeClr w14:val="tx1"/>
            </w14:solidFill>
          </w14:textFill>
        </w:rPr>
        <w:t>管线建设</w:t>
      </w:r>
      <w:r>
        <w:rPr>
          <w:rFonts w:cs="Times New Roman"/>
          <w:bCs/>
          <w:color w:val="000000" w:themeColor="text1"/>
          <w:szCs w:val="24"/>
          <w:highlight w:val="none"/>
          <w:lang w:eastAsia="zh-CN"/>
          <w14:textFill>
            <w14:solidFill>
              <w14:schemeClr w14:val="tx1"/>
            </w14:solidFill>
          </w14:textFill>
        </w:rPr>
        <w:t>临时开挖剥离的少量表土与土石方堆存于管道沿线临时占地范围内，</w:t>
      </w:r>
      <w:r>
        <w:rPr>
          <w:rFonts w:hint="eastAsia" w:cs="Times New Roman"/>
          <w:bCs/>
          <w:color w:val="000000" w:themeColor="text1"/>
          <w:szCs w:val="24"/>
          <w:highlight w:val="none"/>
          <w:lang w:val="en-US" w:eastAsia="zh-CN"/>
          <w14:textFill>
            <w14:solidFill>
              <w14:schemeClr w14:val="tx1"/>
            </w14:solidFill>
          </w14:textFill>
        </w:rPr>
        <w:t>不设置表土堆场，</w:t>
      </w:r>
      <w:r>
        <w:rPr>
          <w:rFonts w:cs="Times New Roman"/>
          <w:bCs/>
          <w:color w:val="000000" w:themeColor="text1"/>
          <w:szCs w:val="24"/>
          <w:highlight w:val="none"/>
          <w:lang w:eastAsia="zh-CN"/>
          <w14:textFill>
            <w14:solidFill>
              <w14:schemeClr w14:val="tx1"/>
            </w14:solidFill>
          </w14:textFill>
        </w:rPr>
        <w:t>严格落实水土保持措施</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本项目施工期剥离表土总计约</w:t>
      </w:r>
      <w:r>
        <w:rPr>
          <w:rFonts w:hint="eastAsia" w:cs="Times New Roman"/>
          <w:bCs/>
          <w:color w:val="000000" w:themeColor="text1"/>
          <w:szCs w:val="24"/>
          <w:highlight w:val="none"/>
          <w:lang w:val="en-US" w:eastAsia="zh-CN"/>
          <w14:textFill>
            <w14:solidFill>
              <w14:schemeClr w14:val="tx1"/>
            </w14:solidFill>
          </w14:textFill>
        </w:rPr>
        <w:t>2200</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，回填表土</w:t>
      </w:r>
      <w:r>
        <w:rPr>
          <w:rFonts w:hint="eastAsia" w:cs="Times New Roman"/>
          <w:bCs/>
          <w:color w:val="000000" w:themeColor="text1"/>
          <w:szCs w:val="24"/>
          <w:highlight w:val="none"/>
          <w:lang w:val="en-US" w:eastAsia="zh-CN"/>
          <w14:textFill>
            <w14:solidFill>
              <w14:schemeClr w14:val="tx1"/>
            </w14:solidFill>
          </w14:textFill>
        </w:rPr>
        <w:t>2200</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，用于施工开挖剥离面绿化耕植</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其中井场区域表土约1550</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边坡区表土约700</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lang w:val="en-US" w:eastAsia="zh-CN"/>
          <w14:textFill>
            <w14:solidFill>
              <w14:schemeClr w14:val="tx1"/>
            </w14:solidFill>
          </w14:textFill>
        </w:rPr>
        <w:t>，井场附近设置表土堆场1579m</w:t>
      </w:r>
      <w:r>
        <w:rPr>
          <w:rFonts w:hint="eastAsia" w:cs="Times New Roman"/>
          <w:bCs/>
          <w:color w:val="000000" w:themeColor="text1"/>
          <w:szCs w:val="24"/>
          <w:highlight w:val="none"/>
          <w:vertAlign w:val="superscript"/>
          <w:lang w:val="en-US" w:eastAsia="zh-CN"/>
          <w14:textFill>
            <w14:solidFill>
              <w14:schemeClr w14:val="tx1"/>
            </w14:solidFill>
          </w14:textFill>
        </w:rPr>
        <w:t>2</w:t>
      </w:r>
      <w:r>
        <w:rPr>
          <w:rFonts w:hint="eastAsia" w:cs="Times New Roman"/>
          <w:bCs/>
          <w:color w:val="000000" w:themeColor="text1"/>
          <w:szCs w:val="24"/>
          <w:highlight w:val="none"/>
          <w:lang w:val="en-US" w:eastAsia="zh-CN"/>
          <w14:textFill>
            <w14:solidFill>
              <w14:schemeClr w14:val="tx1"/>
            </w14:solidFill>
          </w14:textFill>
        </w:rPr>
        <w:t>，堆高约3m，总堆放容量约4700m</w:t>
      </w:r>
      <w:r>
        <w:rPr>
          <w:rFonts w:hint="eastAsia" w:cs="Times New Roman"/>
          <w:bCs/>
          <w:color w:val="000000" w:themeColor="text1"/>
          <w:szCs w:val="24"/>
          <w:highlight w:val="none"/>
          <w:vertAlign w:val="superscript"/>
          <w:lang w:val="en-US" w:eastAsia="zh-CN"/>
          <w14:textFill>
            <w14:solidFill>
              <w14:schemeClr w14:val="tx1"/>
            </w14:solidFill>
          </w14:textFill>
        </w:rPr>
        <w:t>3</w:t>
      </w:r>
      <w:r>
        <w:rPr>
          <w:rFonts w:hint="eastAsia" w:cs="Times New Roman"/>
          <w:bCs/>
          <w:color w:val="000000" w:themeColor="text1"/>
          <w:szCs w:val="24"/>
          <w:highlight w:val="none"/>
          <w:lang w:val="en-US" w:eastAsia="zh-CN"/>
          <w14:textFill>
            <w14:solidFill>
              <w14:schemeClr w14:val="tx1"/>
            </w14:solidFill>
          </w14:textFill>
        </w:rPr>
        <w:t>，满足井场建设表土临时堆场需求。</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（2）土石方</w:t>
      </w:r>
    </w:p>
    <w:p>
      <w:pPr>
        <w:pStyle w:val="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根据钻前工程设计可知，项目井场平场、设备基础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集输管线</w:t>
      </w:r>
      <w:r>
        <w:rPr>
          <w:color w:val="000000" w:themeColor="text1"/>
          <w:highlight w:val="none"/>
          <w14:textFill>
            <w14:solidFill>
              <w14:schemeClr w14:val="tx1"/>
            </w14:solidFill>
          </w14:textFill>
        </w:rPr>
        <w:t>等土石方总开挖方量</w:t>
      </w:r>
      <w:r>
        <w:rPr>
          <w:rFonts w:hint="eastAsia"/>
          <w:color w:val="000000" w:themeColor="text1"/>
          <w:highlight w:val="none"/>
          <w:lang w:val="en-US" w:eastAsia="zh-CN"/>
          <w14:textFill>
            <w14:solidFill>
              <w14:schemeClr w14:val="tx1"/>
            </w14:solidFill>
          </w14:textFill>
        </w:rPr>
        <w:t>8080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，总填方量</w:t>
      </w:r>
      <w:r>
        <w:rPr>
          <w:rFonts w:hint="eastAsia"/>
          <w:color w:val="000000" w:themeColor="text1"/>
          <w:highlight w:val="none"/>
          <w:lang w:val="en-US" w:eastAsia="zh-CN"/>
          <w14:textFill>
            <w14:solidFill>
              <w14:schemeClr w14:val="tx1"/>
            </w14:solidFill>
          </w14:textFill>
        </w:rPr>
        <w:t>8080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，弃方约0m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井场</w:t>
      </w:r>
      <w:r>
        <w:rPr>
          <w:color w:val="000000" w:themeColor="text1"/>
          <w:highlight w:val="none"/>
          <w14:textFill>
            <w14:solidFill>
              <w14:schemeClr w14:val="tx1"/>
            </w14:solidFill>
          </w14:textFill>
        </w:rPr>
        <w:t>剥离表土集中堆放至表土堆场，表土用于后期生态恢复，综合利用</w:t>
      </w:r>
      <w:r>
        <w:rPr>
          <w:rFonts w:hint="eastAsia"/>
          <w:color w:val="000000" w:themeColor="text1"/>
          <w:highlight w:val="none"/>
          <w14:textFill>
            <w14:solidFill>
              <w14:schemeClr w14:val="tx1"/>
            </w14:solidFill>
          </w14:textFill>
        </w:rPr>
        <w:t>；管道工程</w:t>
      </w:r>
      <w:r>
        <w:rPr>
          <w:rFonts w:hint="eastAsia"/>
          <w:color w:val="000000" w:themeColor="text1"/>
          <w:highlight w:val="none"/>
          <w:lang w:val="en-US" w:eastAsia="zh-CN"/>
          <w14:textFill>
            <w14:solidFill>
              <w14:schemeClr w14:val="tx1"/>
            </w14:solidFill>
          </w14:textFill>
        </w:rPr>
        <w:t>地面敷设，挖填方很少，平整和压实场地时能做到土石方平衡</w:t>
      </w:r>
      <w:r>
        <w:rPr>
          <w:color w:val="000000" w:themeColor="text1"/>
          <w:highlight w:val="none"/>
          <w14:textFill>
            <w14:solidFill>
              <w14:schemeClr w14:val="tx1"/>
            </w14:solidFill>
          </w14:textFill>
        </w:rPr>
        <w:t>。</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项目土石方平</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衡见</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REF _Ref142593419 \h  \* MERGEFORMAT </w:instrTex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begin"/>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w:instrTex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STYLEREF 2 \s</w:instrTex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instrText xml:space="preserve"> </w:instrTex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3.2</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end"/>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noBreakHyphen/>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22</w:t>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fldChar w:fldCharType="end"/>
      </w:r>
      <w:r>
        <w:rPr>
          <w:rFonts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36" w:name="_Ref14259341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bookmarkEnd w:id="13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本项目土石方平衡一览表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282"/>
        <w:gridCol w:w="774"/>
        <w:gridCol w:w="774"/>
        <w:gridCol w:w="1797"/>
        <w:gridCol w:w="774"/>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挖方</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填方</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借方（调方）</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余方</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井场工程</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井场场坪</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6260</w:t>
            </w:r>
          </w:p>
        </w:tc>
        <w:tc>
          <w:tcPr>
            <w:tcW w:w="0" w:type="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s="Times New Roman"/>
                <w:bCs/>
                <w:color w:val="000000" w:themeColor="text1"/>
                <w:sz w:val="21"/>
                <w:szCs w:val="20"/>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14:textFill>
                  <w14:solidFill>
                    <w14:schemeClr w14:val="tx1"/>
                  </w14:solidFill>
                </w14:textFill>
              </w:rPr>
              <w:t>7860</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1600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挖填方平衡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设备基础</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16</w:t>
            </w:r>
            <w:r>
              <w:rPr>
                <w:rFonts w:hint="default"/>
                <w:bCs/>
                <w:color w:val="000000" w:themeColor="text1"/>
                <w:szCs w:val="20"/>
                <w:highlight w:val="none"/>
                <w14:textFill>
                  <w14:solidFill>
                    <w14:schemeClr w14:val="tx1"/>
                  </w14:solidFill>
                </w14:textFill>
              </w:rPr>
              <w:t>00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小计</w:t>
            </w:r>
          </w:p>
        </w:tc>
        <w:tc>
          <w:tcPr>
            <w:tcW w:w="0" w:type="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s="Times New Roman"/>
                <w:bCs/>
                <w:color w:val="000000" w:themeColor="text1"/>
                <w:sz w:val="21"/>
                <w:szCs w:val="20"/>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14:textFill>
                  <w14:solidFill>
                    <w14:schemeClr w14:val="tx1"/>
                  </w14:solidFill>
                </w14:textFill>
              </w:rPr>
              <w:t>7860</w:t>
            </w:r>
          </w:p>
        </w:tc>
        <w:tc>
          <w:tcPr>
            <w:tcW w:w="0" w:type="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0"/>
                <w:highlight w:val="none"/>
                <w14:textFill>
                  <w14:solidFill>
                    <w14:schemeClr w14:val="tx1"/>
                  </w14:solidFill>
                </w14:textFill>
              </w:rPr>
            </w:pPr>
            <w:r>
              <w:rPr>
                <w:rFonts w:hint="eastAsia" w:cs="Times New Roman"/>
                <w:bCs/>
                <w:color w:val="000000" w:themeColor="text1"/>
                <w:sz w:val="21"/>
                <w:szCs w:val="20"/>
                <w:highlight w:val="none"/>
                <w:lang w:val="en-US" w:eastAsia="zh-CN"/>
                <w14:textFill>
                  <w14:solidFill>
                    <w14:schemeClr w14:val="tx1"/>
                  </w14:solidFill>
                </w14:textFill>
              </w:rPr>
              <w:t>7860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0</w:t>
            </w:r>
          </w:p>
        </w:tc>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管道工程</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22</w:t>
            </w:r>
            <w:r>
              <w:rPr>
                <w:rFonts w:hint="eastAsia"/>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22</w:t>
            </w:r>
            <w:r>
              <w:rPr>
                <w:rFonts w:hint="eastAsia"/>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eastAsia"/>
                <w:bCs/>
                <w:color w:val="000000" w:themeColor="text1"/>
                <w:szCs w:val="20"/>
                <w:highlight w:val="none"/>
                <w14:textFill>
                  <w14:solidFill>
                    <w14:schemeClr w14:val="tx1"/>
                  </w14:solidFill>
                </w14:textFill>
              </w:rPr>
              <w:t>0</w:t>
            </w:r>
          </w:p>
        </w:tc>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合计</w:t>
            </w:r>
          </w:p>
        </w:tc>
        <w:tc>
          <w:tcPr>
            <w:tcW w:w="0" w:type="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s="Times New Roman"/>
                <w:bCs/>
                <w:color w:val="000000" w:themeColor="text1"/>
                <w:sz w:val="21"/>
                <w:szCs w:val="20"/>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14:textFill>
                  <w14:solidFill>
                    <w14:schemeClr w14:val="tx1"/>
                  </w14:solidFill>
                </w14:textFill>
              </w:rPr>
              <w:t>8080</w:t>
            </w:r>
          </w:p>
        </w:tc>
        <w:tc>
          <w:tcPr>
            <w:tcW w:w="0" w:type="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s="Times New Roman"/>
                <w:bCs/>
                <w:color w:val="000000" w:themeColor="text1"/>
                <w:sz w:val="21"/>
                <w:szCs w:val="20"/>
                <w:highlight w:val="none"/>
                <w:lang w:val="en-US" w:eastAsia="zh-CN"/>
                <w14:textFill>
                  <w14:solidFill>
                    <w14:schemeClr w14:val="tx1"/>
                  </w14:solidFill>
                </w14:textFill>
              </w:rPr>
            </w:pPr>
            <w:r>
              <w:rPr>
                <w:rFonts w:hint="eastAsia" w:cs="Times New Roman"/>
                <w:bCs/>
                <w:color w:val="000000" w:themeColor="text1"/>
                <w:sz w:val="21"/>
                <w:szCs w:val="20"/>
                <w:highlight w:val="none"/>
                <w:lang w:val="en-US" w:eastAsia="zh-CN"/>
                <w14:textFill>
                  <w14:solidFill>
                    <w14:schemeClr w14:val="tx1"/>
                  </w14:solidFill>
                </w14:textFill>
              </w:rPr>
              <w:t>8080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0</w:t>
            </w:r>
          </w:p>
        </w:tc>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p>
        </w:tc>
      </w:tr>
    </w:tbl>
    <w:p>
      <w:pPr>
        <w:pStyle w:val="21"/>
        <w:spacing w:before="120" w:beforeLines="5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从上表可以看出，本项目无弃方产生，井场设备基础与集污坑开挖所产生的土石方在井场内平整。</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37" w:name="_Toc120173106"/>
      <w:r>
        <w:rPr>
          <w:color w:val="000000" w:themeColor="text1"/>
          <w:highlight w:val="none"/>
          <w:lang w:eastAsia="zh-CN"/>
          <w14:textFill>
            <w14:solidFill>
              <w14:schemeClr w14:val="tx1"/>
            </w14:solidFill>
          </w14:textFill>
        </w:rPr>
        <w:t>劳动定员及工作制度</w:t>
      </w:r>
      <w:bookmarkEnd w:id="137"/>
    </w:p>
    <w:p>
      <w:pPr>
        <w:pStyle w:val="21"/>
        <w:ind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施工期总工期</w:t>
      </w:r>
      <w:r>
        <w:rPr>
          <w:rFonts w:hint="eastAsia" w:ascii="Times New Roman" w:hAnsi="Times New Roman"/>
          <w:color w:val="000000" w:themeColor="text1"/>
          <w:highlight w:val="none"/>
          <w:lang w:val="en-US" w:eastAsia="zh-CN"/>
          <w14:textFill>
            <w14:solidFill>
              <w14:schemeClr w14:val="tx1"/>
            </w14:solidFill>
          </w14:textFill>
        </w:rPr>
        <w:t>586</w:t>
      </w:r>
      <w:r>
        <w:rPr>
          <w:rFonts w:ascii="Times New Roman" w:hAnsi="Times New Roman"/>
          <w:color w:val="000000" w:themeColor="text1"/>
          <w:highlight w:val="none"/>
          <w:lang w:eastAsia="zh-CN"/>
          <w14:textFill>
            <w14:solidFill>
              <w14:schemeClr w14:val="tx1"/>
            </w14:solidFill>
          </w14:textFill>
        </w:rPr>
        <w:t>天，其中钻前工程</w:t>
      </w:r>
      <w:r>
        <w:rPr>
          <w:rFonts w:hint="eastAsia" w:ascii="Times New Roman" w:hAnsi="Times New Roman"/>
          <w:color w:val="000000" w:themeColor="text1"/>
          <w:highlight w:val="none"/>
          <w:lang w:val="en-US" w:eastAsia="zh-CN"/>
          <w14:textFill>
            <w14:solidFill>
              <w14:schemeClr w14:val="tx1"/>
            </w14:solidFill>
          </w14:textFill>
        </w:rPr>
        <w:t>90</w:t>
      </w:r>
      <w:r>
        <w:rPr>
          <w:rFonts w:ascii="Times New Roman" w:hAnsi="Times New Roman"/>
          <w:color w:val="000000" w:themeColor="text1"/>
          <w:highlight w:val="none"/>
          <w:lang w:eastAsia="zh-CN"/>
          <w14:textFill>
            <w14:solidFill>
              <w14:schemeClr w14:val="tx1"/>
            </w14:solidFill>
          </w14:textFill>
        </w:rPr>
        <w:t>天，</w:t>
      </w:r>
      <w:r>
        <w:rPr>
          <w:rFonts w:hint="eastAsia" w:ascii="Times New Roman" w:hAnsi="Times New Roman"/>
          <w:color w:val="000000" w:themeColor="text1"/>
          <w:highlight w:val="none"/>
          <w:lang w:val="en-US" w:eastAsia="zh-CN"/>
          <w14:textFill>
            <w14:solidFill>
              <w14:schemeClr w14:val="tx1"/>
            </w14:solidFill>
          </w14:textFill>
        </w:rPr>
        <w:t>两口井</w:t>
      </w:r>
      <w:r>
        <w:rPr>
          <w:rFonts w:ascii="Times New Roman" w:hAnsi="Times New Roman"/>
          <w:color w:val="000000" w:themeColor="text1"/>
          <w:highlight w:val="none"/>
          <w:lang w:eastAsia="zh-CN"/>
          <w14:textFill>
            <w14:solidFill>
              <w14:schemeClr w14:val="tx1"/>
            </w14:solidFill>
          </w14:textFill>
        </w:rPr>
        <w:t>钻井工程</w:t>
      </w:r>
      <w:r>
        <w:rPr>
          <w:rFonts w:hint="eastAsia" w:ascii="Times New Roman" w:hAnsi="Times New Roman"/>
          <w:color w:val="000000" w:themeColor="text1"/>
          <w:highlight w:val="none"/>
          <w:lang w:val="en-US" w:eastAsia="zh-CN"/>
          <w14:textFill>
            <w14:solidFill>
              <w14:schemeClr w14:val="tx1"/>
            </w14:solidFill>
          </w14:textFill>
        </w:rPr>
        <w:t>均为136天，合计272</w:t>
      </w:r>
      <w:r>
        <w:rPr>
          <w:rFonts w:ascii="Times New Roman" w:hAnsi="Times New Roman"/>
          <w:color w:val="000000" w:themeColor="text1"/>
          <w:highlight w:val="none"/>
          <w:lang w:eastAsia="zh-CN"/>
          <w14:textFill>
            <w14:solidFill>
              <w14:schemeClr w14:val="tx1"/>
            </w14:solidFill>
          </w14:textFill>
        </w:rPr>
        <w:t>天、储层改造工程</w:t>
      </w:r>
      <w:r>
        <w:rPr>
          <w:rFonts w:hint="eastAsia" w:ascii="Times New Roman" w:hAnsi="Times New Roman"/>
          <w:color w:val="000000" w:themeColor="text1"/>
          <w:highlight w:val="none"/>
          <w:lang w:val="en-US" w:eastAsia="zh-CN"/>
          <w14:textFill>
            <w14:solidFill>
              <w14:schemeClr w14:val="tx1"/>
            </w14:solidFill>
          </w14:textFill>
        </w:rPr>
        <w:t>分别为36</w:t>
      </w:r>
      <w:r>
        <w:rPr>
          <w:rFonts w:ascii="Times New Roman" w:hAnsi="Times New Roman"/>
          <w:color w:val="000000" w:themeColor="text1"/>
          <w:highlight w:val="none"/>
          <w:lang w:eastAsia="zh-CN"/>
          <w14:textFill>
            <w14:solidFill>
              <w14:schemeClr w14:val="tx1"/>
            </w14:solidFill>
          </w14:textFill>
        </w:rPr>
        <w:t>天</w:t>
      </w:r>
      <w:r>
        <w:rPr>
          <w:rFonts w:hint="eastAsia" w:ascii="Times New Roman" w:hAnsi="Times New Roman"/>
          <w:color w:val="000000" w:themeColor="text1"/>
          <w:highlight w:val="none"/>
          <w:lang w:val="en-US" w:eastAsia="zh-CN"/>
          <w14:textFill>
            <w14:solidFill>
              <w14:schemeClr w14:val="tx1"/>
            </w14:solidFill>
          </w14:textFill>
        </w:rPr>
        <w:t>和38天</w:t>
      </w:r>
      <w:r>
        <w:rPr>
          <w:rFonts w:ascii="Times New Roman" w:hAnsi="Times New Roman"/>
          <w:color w:val="000000" w:themeColor="text1"/>
          <w:highlight w:val="none"/>
          <w:lang w:eastAsia="zh-CN"/>
          <w14:textFill>
            <w14:solidFill>
              <w14:schemeClr w14:val="tx1"/>
            </w14:solidFill>
          </w14:textFill>
        </w:rPr>
        <w:t>，地面集输工程</w:t>
      </w:r>
      <w:r>
        <w:rPr>
          <w:rFonts w:hint="eastAsia" w:ascii="Times New Roman" w:hAnsi="Times New Roman"/>
          <w:color w:val="000000" w:themeColor="text1"/>
          <w:highlight w:val="none"/>
          <w:lang w:val="en-US" w:eastAsia="zh-CN"/>
          <w14:textFill>
            <w14:solidFill>
              <w14:schemeClr w14:val="tx1"/>
            </w14:solidFill>
          </w14:textFill>
        </w:rPr>
        <w:t>15</w:t>
      </w:r>
      <w:r>
        <w:rPr>
          <w:rFonts w:ascii="Times New Roman" w:hAnsi="Times New Roman"/>
          <w:color w:val="000000" w:themeColor="text1"/>
          <w:highlight w:val="none"/>
          <w:lang w:eastAsia="zh-CN"/>
          <w14:textFill>
            <w14:solidFill>
              <w14:schemeClr w14:val="tx1"/>
            </w14:solidFill>
          </w14:textFill>
        </w:rPr>
        <w:t>0天。</w:t>
      </w:r>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1、钻前工程</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为土建施工，由专业施工单位组织当地民工施工作业为主，高峰时每天施工人员约30人，施工工期约30天，白天施工，夜间不作业。</w:t>
      </w:r>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ascii="Times New Roman" w:hAnsi="Times New Roman" w:eastAsia="黑体"/>
          <w:color w:val="000000" w:themeColor="text1"/>
          <w:highlight w:val="none"/>
          <w:lang w:eastAsia="zh-CN"/>
          <w14:textFill>
            <w14:solidFill>
              <w14:schemeClr w14:val="tx1"/>
            </w14:solidFill>
          </w14:textFill>
        </w:rPr>
        <w:t>2、钻井工程</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由专业人员组成，钻井队编制约45人，其中，管理人员有队长、副队长、钻井工程师、地质工程师、泥浆工程师、动力机械师、HSE管理员；下设3个钻井班、一个地质资料组、一个后勤组，外加炊事人员、医疗人员、勤杂人员等。</w:t>
      </w:r>
      <w:r>
        <w:rPr>
          <w:rFonts w:hint="eastAsia" w:ascii="Times New Roman" w:hAnsi="Times New Roman"/>
          <w:color w:val="000000" w:themeColor="text1"/>
          <w:highlight w:val="none"/>
          <w:lang w:val="en-US" w:eastAsia="zh-CN"/>
          <w14:textFill>
            <w14:solidFill>
              <w14:schemeClr w14:val="tx1"/>
            </w14:solidFill>
          </w14:textFill>
        </w:rPr>
        <w:t>两口井</w:t>
      </w:r>
      <w:r>
        <w:rPr>
          <w:rFonts w:ascii="Times New Roman" w:hAnsi="Times New Roman"/>
          <w:color w:val="000000" w:themeColor="text1"/>
          <w:highlight w:val="none"/>
          <w:lang w:eastAsia="zh-CN"/>
          <w14:textFill>
            <w14:solidFill>
              <w14:schemeClr w14:val="tx1"/>
            </w14:solidFill>
          </w14:textFill>
        </w:rPr>
        <w:t>施工工期</w:t>
      </w:r>
      <w:r>
        <w:rPr>
          <w:rFonts w:hint="eastAsia" w:ascii="Times New Roman" w:hAnsi="Times New Roman"/>
          <w:color w:val="000000" w:themeColor="text1"/>
          <w:highlight w:val="none"/>
          <w:lang w:val="en-US" w:eastAsia="zh-CN"/>
          <w14:textFill>
            <w14:solidFill>
              <w14:schemeClr w14:val="tx1"/>
            </w14:solidFill>
          </w14:textFill>
        </w:rPr>
        <w:t>均为136</w:t>
      </w:r>
      <w:r>
        <w:rPr>
          <w:rFonts w:ascii="Times New Roman" w:hAnsi="Times New Roman"/>
          <w:color w:val="000000" w:themeColor="text1"/>
          <w:highlight w:val="none"/>
          <w:lang w:eastAsia="zh-CN"/>
          <w14:textFill>
            <w14:solidFill>
              <w14:schemeClr w14:val="tx1"/>
            </w14:solidFill>
          </w14:textFill>
        </w:rPr>
        <w:t>天</w:t>
      </w:r>
      <w:r>
        <w:rPr>
          <w:rFonts w:hint="eastAsia" w:ascii="Times New Roman" w:hAnsi="Times New Roman"/>
          <w:color w:val="000000" w:themeColor="text1"/>
          <w:highlight w:val="none"/>
          <w:lang w:eastAsia="zh-CN"/>
          <w14:textFill>
            <w14:solidFill>
              <w14:schemeClr w14:val="tx1"/>
            </w14:solidFill>
          </w14:textFill>
        </w:rPr>
        <w:t>。</w:t>
      </w:r>
    </w:p>
    <w:p>
      <w:pPr>
        <w:pStyle w:val="21"/>
        <w:ind w:firstLine="199" w:firstLineChars="83"/>
        <w:rPr>
          <w:rFonts w:ascii="Times New Roman" w:hAnsi="Times New Roman" w:eastAsia="黑体"/>
          <w:color w:val="000000" w:themeColor="text1"/>
          <w:highlight w:val="none"/>
          <w:lang w:eastAsia="zh-CN"/>
          <w14:textFill>
            <w14:solidFill>
              <w14:schemeClr w14:val="tx1"/>
            </w14:solidFill>
          </w14:textFill>
        </w:rPr>
      </w:pPr>
      <w:r>
        <w:rPr>
          <w:rFonts w:hint="eastAsia" w:ascii="Times New Roman" w:hAnsi="Times New Roman" w:eastAsia="黑体"/>
          <w:color w:val="000000" w:themeColor="text1"/>
          <w:highlight w:val="none"/>
          <w:lang w:eastAsia="zh-CN"/>
          <w14:textFill>
            <w14:solidFill>
              <w14:schemeClr w14:val="tx1"/>
            </w14:solidFill>
          </w14:textFill>
        </w:rPr>
        <w:t>3、储层改造工程</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单井</w:t>
      </w:r>
      <w:r>
        <w:rPr>
          <w:rFonts w:hint="eastAsia" w:ascii="Times New Roman" w:hAnsi="Times New Roman"/>
          <w:color w:val="000000" w:themeColor="text1"/>
          <w:highlight w:val="none"/>
          <w:lang w:eastAsia="zh-CN"/>
          <w14:textFill>
            <w14:solidFill>
              <w14:schemeClr w14:val="tx1"/>
            </w14:solidFill>
          </w14:textFill>
        </w:rPr>
        <w:t>试气压裂队施工人员约50人，施工工期</w:t>
      </w:r>
      <w:r>
        <w:rPr>
          <w:rFonts w:hint="eastAsia" w:ascii="Times New Roman" w:hAnsi="Times New Roman"/>
          <w:color w:val="000000" w:themeColor="text1"/>
          <w:highlight w:val="none"/>
          <w:lang w:val="en-US" w:eastAsia="zh-CN"/>
          <w14:textFill>
            <w14:solidFill>
              <w14:schemeClr w14:val="tx1"/>
            </w14:solidFill>
          </w14:textFill>
        </w:rPr>
        <w:t>分别为36</w:t>
      </w:r>
      <w:r>
        <w:rPr>
          <w:rFonts w:hint="eastAsia" w:ascii="Times New Roman" w:hAnsi="Times New Roman"/>
          <w:color w:val="000000" w:themeColor="text1"/>
          <w:highlight w:val="none"/>
          <w:lang w:eastAsia="zh-CN"/>
          <w14:textFill>
            <w14:solidFill>
              <w14:schemeClr w14:val="tx1"/>
            </w14:solidFill>
          </w14:textFill>
        </w:rPr>
        <w:t>天</w:t>
      </w:r>
      <w:r>
        <w:rPr>
          <w:rFonts w:hint="eastAsia" w:ascii="Times New Roman" w:hAnsi="Times New Roman"/>
          <w:color w:val="000000" w:themeColor="text1"/>
          <w:highlight w:val="none"/>
          <w:lang w:val="en-US" w:eastAsia="zh-CN"/>
          <w14:textFill>
            <w14:solidFill>
              <w14:schemeClr w14:val="tx1"/>
            </w14:solidFill>
          </w14:textFill>
        </w:rPr>
        <w:t>和38天</w:t>
      </w:r>
      <w:r>
        <w:rPr>
          <w:rFonts w:hint="eastAsia" w:ascii="Times New Roman" w:hAnsi="Times New Roman"/>
          <w:color w:val="000000" w:themeColor="text1"/>
          <w:highlight w:val="none"/>
          <w:lang w:eastAsia="zh-CN"/>
          <w14:textFill>
            <w14:solidFill>
              <w14:schemeClr w14:val="tx1"/>
            </w14:solidFill>
          </w14:textFill>
        </w:rPr>
        <w:t>，压裂施工仅在昼间施工，夜间不作业。</w:t>
      </w:r>
    </w:p>
    <w:p>
      <w:pPr>
        <w:pStyle w:val="21"/>
        <w:spacing w:before="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hint="eastAsia" w:ascii="Times New Roman" w:hAnsi="Times New Roman" w:eastAsia="黑体"/>
          <w:color w:val="000000" w:themeColor="text1"/>
          <w:highlight w:val="none"/>
          <w:lang w:eastAsia="zh-CN"/>
          <w14:textFill>
            <w14:solidFill>
              <w14:schemeClr w14:val="tx1"/>
            </w14:solidFill>
          </w14:textFill>
        </w:rPr>
        <w:t>4</w:t>
      </w:r>
      <w:r>
        <w:rPr>
          <w:rFonts w:ascii="Times New Roman" w:hAnsi="Times New Roman" w:eastAsia="黑体"/>
          <w:color w:val="000000" w:themeColor="text1"/>
          <w:highlight w:val="none"/>
          <w:lang w:eastAsia="zh-CN"/>
          <w14:textFill>
            <w14:solidFill>
              <w14:schemeClr w14:val="tx1"/>
            </w14:solidFill>
          </w14:textFill>
        </w:rPr>
        <w:t>、地面工程</w:t>
      </w:r>
    </w:p>
    <w:p>
      <w:pPr>
        <w:pStyle w:val="21"/>
        <w:ind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地面工程高峰施工期约20人，施工工期约</w:t>
      </w:r>
      <w:r>
        <w:rPr>
          <w:rFonts w:hint="eastAsia" w:ascii="Times New Roman" w:hAnsi="Times New Roman"/>
          <w:color w:val="000000" w:themeColor="text1"/>
          <w:highlight w:val="none"/>
          <w:lang w:val="en-US" w:eastAsia="zh-CN"/>
          <w14:textFill>
            <w14:solidFill>
              <w14:schemeClr w14:val="tx1"/>
            </w14:solidFill>
          </w14:textFill>
        </w:rPr>
        <w:t>15</w:t>
      </w:r>
      <w:r>
        <w:rPr>
          <w:rFonts w:ascii="Times New Roman" w:hAnsi="Times New Roman"/>
          <w:color w:val="000000" w:themeColor="text1"/>
          <w:highlight w:val="none"/>
          <w:lang w:eastAsia="zh-CN"/>
          <w14:textFill>
            <w14:solidFill>
              <w14:schemeClr w14:val="tx1"/>
            </w14:solidFill>
          </w14:textFill>
        </w:rPr>
        <w:t>0天，仅白天施工，夜间不作业。</w:t>
      </w:r>
    </w:p>
    <w:p>
      <w:pPr>
        <w:pStyle w:val="21"/>
        <w:spacing w:before="120" w:beforeLines="50"/>
        <w:ind w:left="0" w:firstLine="480"/>
        <w:jc w:val="both"/>
        <w:rPr>
          <w:rFonts w:ascii="Times New Roman" w:hAnsi="Times New Roman" w:eastAsia="黑体"/>
          <w:color w:val="000000" w:themeColor="text1"/>
          <w:highlight w:val="none"/>
          <w:lang w:eastAsia="zh-CN"/>
          <w14:textFill>
            <w14:solidFill>
              <w14:schemeClr w14:val="tx1"/>
            </w14:solidFill>
          </w14:textFill>
        </w:rPr>
      </w:pPr>
      <w:r>
        <w:rPr>
          <w:rFonts w:hint="eastAsia" w:ascii="Times New Roman" w:hAnsi="Times New Roman" w:eastAsia="黑体"/>
          <w:color w:val="000000" w:themeColor="text1"/>
          <w:highlight w:val="none"/>
          <w:lang w:eastAsia="zh-CN"/>
          <w14:textFill>
            <w14:solidFill>
              <w14:schemeClr w14:val="tx1"/>
            </w14:solidFill>
          </w14:textFill>
        </w:rPr>
        <w:t>5</w:t>
      </w:r>
      <w:r>
        <w:rPr>
          <w:rFonts w:ascii="Times New Roman" w:hAnsi="Times New Roman" w:eastAsia="黑体"/>
          <w:color w:val="000000" w:themeColor="text1"/>
          <w:highlight w:val="none"/>
          <w:lang w:eastAsia="zh-CN"/>
          <w14:textFill>
            <w14:solidFill>
              <w14:schemeClr w14:val="tx1"/>
            </w14:solidFill>
          </w14:textFill>
        </w:rPr>
        <w:t>、试采工程</w:t>
      </w:r>
    </w:p>
    <w:p>
      <w:pPr>
        <w:pStyle w:val="21"/>
        <w:spacing w:before="0"/>
        <w:ind w:left="0" w:firstLine="480"/>
        <w:jc w:val="both"/>
        <w:rPr>
          <w:rFonts w:hint="default" w:ascii="Times New Roman" w:hAnsi="Times New Roman" w:cs="Times New Roman"/>
          <w:color w:val="000000" w:themeColor="text1"/>
          <w:highlight w:val="none"/>
          <w:lang w:eastAsia="zh-CN"/>
          <w14:textFill>
            <w14:solidFill>
              <w14:schemeClr w14:val="tx1"/>
            </w14:solidFill>
          </w14:textFill>
        </w:rPr>
      </w:pPr>
      <w:bookmarkStart w:id="138" w:name="_Hlk88749992"/>
      <w:r>
        <w:rPr>
          <w:rFonts w:hint="eastAsia" w:ascii="Times New Roman" w:hAnsi="Times New Roman" w:cs="Times New Roman"/>
          <w:color w:val="000000" w:themeColor="text1"/>
          <w:highlight w:val="none"/>
          <w:lang w:eastAsia="zh-CN"/>
          <w14:textFill>
            <w14:solidFill>
              <w14:schemeClr w14:val="tx1"/>
            </w14:solidFill>
          </w14:textFill>
        </w:rPr>
        <w:t>雷页1试验井组</w:t>
      </w:r>
      <w:r>
        <w:rPr>
          <w:rFonts w:hint="default" w:ascii="Times New Roman" w:hAnsi="Times New Roman" w:cs="Times New Roman"/>
          <w:color w:val="000000" w:themeColor="text1"/>
          <w:highlight w:val="none"/>
          <w:lang w:eastAsia="zh-CN"/>
          <w14:textFill>
            <w14:solidFill>
              <w14:schemeClr w14:val="tx1"/>
            </w14:solidFill>
          </w14:textFill>
        </w:rPr>
        <w:t>试采站按无人值守设计，实行连续24h不间断生产，年运行365天。</w:t>
      </w:r>
      <w:bookmarkEnd w:id="138"/>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39" w:name="_Toc4967"/>
      <w:r>
        <w:rPr>
          <w:color w:val="000000" w:themeColor="text1"/>
          <w:highlight w:val="none"/>
          <w:lang w:eastAsia="zh-CN"/>
          <w14:textFill>
            <w14:solidFill>
              <w14:schemeClr w14:val="tx1"/>
            </w14:solidFill>
          </w14:textFill>
        </w:rPr>
        <w:t>建设项目工程分析</w:t>
      </w:r>
      <w:bookmarkEnd w:id="139"/>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本项目包含钻前工程、钻井</w:t>
      </w:r>
      <w:r>
        <w:rPr>
          <w:rFonts w:hint="eastAsia" w:cs="Times New Roman"/>
          <w:color w:val="000000" w:themeColor="text1"/>
          <w:highlight w:val="none"/>
          <w:lang w:val="en-US" w:eastAsia="zh-CN"/>
          <w14:textFill>
            <w14:solidFill>
              <w14:schemeClr w14:val="tx1"/>
            </w14:solidFill>
          </w14:textFill>
        </w:rPr>
        <w:t>及储层改造</w:t>
      </w:r>
      <w:r>
        <w:rPr>
          <w:rFonts w:cs="Times New Roman"/>
          <w:color w:val="000000" w:themeColor="text1"/>
          <w:highlight w:val="none"/>
          <w14:textFill>
            <w14:solidFill>
              <w14:schemeClr w14:val="tx1"/>
            </w14:solidFill>
          </w14:textFill>
        </w:rPr>
        <w:t>工程、地面</w:t>
      </w:r>
      <w:r>
        <w:rPr>
          <w:rFonts w:hint="eastAsia" w:cs="Times New Roman"/>
          <w:color w:val="000000" w:themeColor="text1"/>
          <w:highlight w:val="none"/>
          <w:lang w:val="en-US" w:eastAsia="zh-CN"/>
          <w14:textFill>
            <w14:solidFill>
              <w14:schemeClr w14:val="tx1"/>
            </w14:solidFill>
          </w14:textFill>
        </w:rPr>
        <w:t>集输</w:t>
      </w:r>
      <w:r>
        <w:rPr>
          <w:rFonts w:cs="Times New Roman"/>
          <w:color w:val="000000" w:themeColor="text1"/>
          <w:highlight w:val="none"/>
          <w14:textFill>
            <w14:solidFill>
              <w14:schemeClr w14:val="tx1"/>
            </w14:solidFill>
          </w14:textFill>
        </w:rPr>
        <w:t>工程及试采工程。本项目充分参考了《陆上钻井作业环境保护推荐作法》的相关要求，并结合项目拟建地周边环境情况和中国石油化工股份有限公司多年的钻井工程经验，各项作业均达到该地区行业推荐作业方案的要求。钻井过程主要包括钻前工程（井场平整、道路、放喷池建设或修复等）、设备搬运及安装、钻井（固井、录井）、洗井、完井作业、设备搬迁及污染物治理等，项目工艺过程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_Ref142593685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posOffset>2079625</wp:posOffset>
                </wp:positionH>
                <wp:positionV relativeFrom="paragraph">
                  <wp:posOffset>2838450</wp:posOffset>
                </wp:positionV>
                <wp:extent cx="1264920" cy="287020"/>
                <wp:effectExtent l="0" t="0" r="12065" b="17780"/>
                <wp:wrapNone/>
                <wp:docPr id="91924" name="文本框 91924"/>
                <wp:cNvGraphicFramePr/>
                <a:graphic xmlns:a="http://schemas.openxmlformats.org/drawingml/2006/main">
                  <a:graphicData uri="http://schemas.microsoft.com/office/word/2010/wordprocessingShape">
                    <wps:wsp>
                      <wps:cNvSpPr txBox="1"/>
                      <wps:spPr bwMode="auto">
                        <a:xfrm>
                          <a:off x="0" y="0"/>
                          <a:ext cx="1264756" cy="287126"/>
                        </a:xfrm>
                        <a:prstGeom prst="rect">
                          <a:avLst/>
                        </a:prstGeom>
                        <a:solidFill>
                          <a:srgbClr val="FFFFFF"/>
                        </a:solidFill>
                        <a:ln w="9525">
                          <a:solidFill>
                            <a:srgbClr val="000000"/>
                          </a:solidFill>
                          <a:miter lim="800000"/>
                        </a:ln>
                      </wps:spPr>
                      <wps:txbx>
                        <w:txbxContent>
                          <w:p>
                            <w:pPr>
                              <w:ind w:firstLine="0" w:firstLineChars="0"/>
                              <w:jc w:val="center"/>
                              <w:rPr>
                                <w:sz w:val="18"/>
                                <w:szCs w:val="18"/>
                              </w:rPr>
                            </w:pPr>
                            <w:r>
                              <w:rPr>
                                <w:rFonts w:hint="eastAsia"/>
                                <w:sz w:val="18"/>
                                <w:szCs w:val="18"/>
                                <w:lang w:val="en-US" w:eastAsia="zh-CN"/>
                              </w:rPr>
                              <w:t>试采</w:t>
                            </w:r>
                            <w:r>
                              <w:rPr>
                                <w:rFonts w:hint="eastAsia"/>
                                <w:sz w:val="18"/>
                                <w:szCs w:val="18"/>
                              </w:rPr>
                              <w:t>站运营</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3.75pt;margin-top:223.5pt;height:22.6pt;width:99.6pt;mso-position-horizontal-relative:margin;z-index:251660288;mso-width-relative:page;mso-height-relative:page;" fillcolor="#FFFFFF" filled="t" stroked="t" coordsize="21600,21600" o:gfxdata="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GmPEJ2gAAAAsBAAAPAAAAAAAAAAEAIAAAACIAAABkcnMv&#10;ZG93bnJldi54bWxQSwECFAAUAAAACACHTuJAYeVrGHMCAADxBAAADgAAAAAAAAABACAAAAApAQAA&#10;ZHJzL2Uyb0RvYy54bWxQSwUGAAAAAAYABgBZAQAADgYAAAAA&#10;">
                <v:fill on="t" focussize="0,0"/>
                <v:stroke color="#000000" miterlimit="8" joinstyle="miter"/>
                <v:imagedata o:title=""/>
                <o:lock v:ext="edit" aspectratio="f"/>
                <v:textbox>
                  <w:txbxContent>
                    <w:p>
                      <w:pPr>
                        <w:ind w:firstLine="0" w:firstLineChars="0"/>
                        <w:jc w:val="center"/>
                        <w:rPr>
                          <w:sz w:val="18"/>
                          <w:szCs w:val="18"/>
                        </w:rPr>
                      </w:pPr>
                      <w:r>
                        <w:rPr>
                          <w:rFonts w:hint="eastAsia"/>
                          <w:sz w:val="18"/>
                          <w:szCs w:val="18"/>
                          <w:lang w:val="en-US" w:eastAsia="zh-CN"/>
                        </w:rPr>
                        <w:t>试采</w:t>
                      </w:r>
                      <w:r>
                        <w:rPr>
                          <w:rFonts w:hint="eastAsia"/>
                          <w:sz w:val="18"/>
                          <w:szCs w:val="18"/>
                        </w:rPr>
                        <w:t>站运营</w:t>
                      </w:r>
                    </w:p>
                  </w:txbxContent>
                </v:textbox>
              </v:shape>
            </w:pict>
          </mc:Fallback>
        </mc:AlternateConten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margin">
                  <wp:posOffset>2070735</wp:posOffset>
                </wp:positionH>
                <wp:positionV relativeFrom="paragraph">
                  <wp:posOffset>2340610</wp:posOffset>
                </wp:positionV>
                <wp:extent cx="1273810" cy="307975"/>
                <wp:effectExtent l="0" t="0" r="21590" b="16510"/>
                <wp:wrapNone/>
                <wp:docPr id="1826" name="文本框 1826"/>
                <wp:cNvGraphicFramePr/>
                <a:graphic xmlns:a="http://schemas.openxmlformats.org/drawingml/2006/main">
                  <a:graphicData uri="http://schemas.microsoft.com/office/word/2010/wordprocessingShape">
                    <wps:wsp>
                      <wps:cNvSpPr txBox="1"/>
                      <wps:spPr bwMode="auto">
                        <a:xfrm>
                          <a:off x="0" y="0"/>
                          <a:ext cx="1273974" cy="307818"/>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ind w:firstLine="0" w:firstLineChars="0"/>
                              <w:jc w:val="center"/>
                              <w:textAlignment w:val="auto"/>
                              <w:rPr>
                                <w:sz w:val="18"/>
                                <w:szCs w:val="18"/>
                              </w:rPr>
                            </w:pPr>
                            <w:r>
                              <w:rPr>
                                <w:rFonts w:hint="eastAsia"/>
                                <w:sz w:val="18"/>
                                <w:szCs w:val="18"/>
                                <w:lang w:val="en-US" w:eastAsia="zh-CN"/>
                              </w:rPr>
                              <w:t>试采</w:t>
                            </w:r>
                            <w:r>
                              <w:rPr>
                                <w:rFonts w:hint="eastAsia"/>
                                <w:sz w:val="18"/>
                                <w:szCs w:val="18"/>
                              </w:rPr>
                              <w:t>站建设</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3.05pt;margin-top:184.3pt;height:24.25pt;width:100.3pt;mso-position-horizontal-relative:margin;z-index:251659264;mso-width-relative:page;mso-height-relative:page;" fillcolor="#FFFFFF" filled="t" stroked="t" coordsize="21600,21600" o:gfxdata="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Tklm9oAAAALAQAADwAAAAAAAAABACAAAAAiAAAAZHJz&#10;L2Rvd25yZXYueG1sUEsBAhQAFAAAAAgAh07iQCcHmKZ0AgAA7wQAAA4AAAAAAAAAAQAgAAAAKQEA&#10;AGRycy9lMm9Eb2MueG1sUEsFBgAAAAAGAAYAWQEAAA8G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ind w:firstLine="0" w:firstLineChars="0"/>
                        <w:jc w:val="center"/>
                        <w:textAlignment w:val="auto"/>
                        <w:rPr>
                          <w:sz w:val="18"/>
                          <w:szCs w:val="18"/>
                        </w:rPr>
                      </w:pPr>
                      <w:r>
                        <w:rPr>
                          <w:rFonts w:hint="eastAsia"/>
                          <w:sz w:val="18"/>
                          <w:szCs w:val="18"/>
                          <w:lang w:val="en-US" w:eastAsia="zh-CN"/>
                        </w:rPr>
                        <w:t>试采</w:t>
                      </w:r>
                      <w:r>
                        <w:rPr>
                          <w:rFonts w:hint="eastAsia"/>
                          <w:sz w:val="18"/>
                          <w:szCs w:val="18"/>
                        </w:rPr>
                        <w:t>站建设</w:t>
                      </w:r>
                    </w:p>
                  </w:txbxContent>
                </v:textbox>
              </v:shape>
            </w:pict>
          </mc:Fallback>
        </mc:AlternateConten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3711575</wp:posOffset>
                </wp:positionH>
                <wp:positionV relativeFrom="paragraph">
                  <wp:posOffset>22225</wp:posOffset>
                </wp:positionV>
                <wp:extent cx="1264920" cy="251460"/>
                <wp:effectExtent l="0" t="0" r="0" b="0"/>
                <wp:wrapNone/>
                <wp:docPr id="91925" name="文本框 91925"/>
                <wp:cNvGraphicFramePr/>
                <a:graphic xmlns:a="http://schemas.openxmlformats.org/drawingml/2006/main">
                  <a:graphicData uri="http://schemas.microsoft.com/office/word/2010/wordprocessingShape">
                    <wps:wsp>
                      <wps:cNvSpPr txBox="1"/>
                      <wps:spPr bwMode="auto">
                        <a:xfrm>
                          <a:off x="0" y="0"/>
                          <a:ext cx="1264982" cy="251460"/>
                        </a:xfrm>
                        <a:prstGeom prst="rect">
                          <a:avLst/>
                        </a:prstGeom>
                        <a:solidFill>
                          <a:srgbClr val="FFFFFF"/>
                        </a:solidFill>
                        <a:ln w="9525">
                          <a:noFill/>
                          <a:miter lim="800000"/>
                        </a:ln>
                      </wps:spPr>
                      <wps:txbx>
                        <w:txbxContent>
                          <w:p>
                            <w:pPr>
                              <w:ind w:firstLine="360"/>
                              <w:rPr>
                                <w:sz w:val="18"/>
                                <w:szCs w:val="18"/>
                              </w:rPr>
                            </w:pPr>
                            <w:r>
                              <w:rPr>
                                <w:rFonts w:hint="eastAsia"/>
                                <w:sz w:val="18"/>
                                <w:szCs w:val="18"/>
                              </w:rPr>
                              <w:t>水土流失</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92.25pt;margin-top:1.75pt;height:19.8pt;width:99.6pt;mso-position-horizontal-relative:margin;z-index:251661312;mso-width-relative:page;mso-height-relative:page;" fillcolor="#FFFFFF" filled="t" stroked="f" coordsize="21600,21600" o:gfxdata="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QTys1wAAAAgBAAAPAAAAAAAAAAEAIAAAACIAAABkcnMvZG93&#10;bnJldi54bWxQSwECFAAUAAAACACHTuJA1AXtMHMCAADIBAAADgAAAAAAAAABACAAAAAmAQAAZHJz&#10;L2Uyb0RvYy54bWxQSwUGAAAAAAYABgBZAQAACwYAAAAA&#10;">
                <v:fill on="t" focussize="0,0"/>
                <v:stroke on="f" miterlimit="8" joinstyle="miter"/>
                <v:imagedata o:title=""/>
                <o:lock v:ext="edit" aspectratio="f"/>
                <v:textbox>
                  <w:txbxContent>
                    <w:p>
                      <w:pPr>
                        <w:ind w:firstLine="360"/>
                        <w:rPr>
                          <w:sz w:val="18"/>
                          <w:szCs w:val="18"/>
                        </w:rPr>
                      </w:pPr>
                      <w:r>
                        <w:rPr>
                          <w:rFonts w:hint="eastAsia"/>
                          <w:sz w:val="18"/>
                          <w:szCs w:val="18"/>
                        </w:rPr>
                        <w:t>水土流失</w:t>
                      </w:r>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5242560" cy="3129915"/>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9139" cy="3151603"/>
                    </a:xfrm>
                    <a:prstGeom prst="rect">
                      <a:avLst/>
                    </a:prstGeom>
                    <a:solidFill>
                      <a:srgbClr val="000000"/>
                    </a:solidFill>
                    <a:ln>
                      <a:noFill/>
                    </a:ln>
                  </pic:spPr>
                </pic:pic>
              </a:graphicData>
            </a:graphic>
          </wp:inline>
        </w:drawing>
      </w:r>
    </w:p>
    <w:p>
      <w:pPr>
        <w:pStyle w:val="163"/>
        <w:rPr>
          <w:b/>
          <w:color w:val="000000" w:themeColor="text1"/>
          <w:szCs w:val="21"/>
          <w:highlight w:val="none"/>
          <w14:textFill>
            <w14:solidFill>
              <w14:schemeClr w14:val="tx1"/>
            </w14:solidFill>
          </w14:textFill>
        </w:rPr>
      </w:pPr>
      <w:bookmarkStart w:id="140" w:name="_Ref142593685"/>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140"/>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项目工艺概况图</w:t>
      </w:r>
    </w:p>
    <w:p>
      <w:pPr>
        <w:pStyle w:val="4"/>
        <w:spacing w:before="120"/>
        <w:rPr>
          <w:b/>
          <w:color w:val="000000" w:themeColor="text1"/>
          <w:highlight w:val="none"/>
          <w:lang w:eastAsia="zh-CN"/>
          <w14:textFill>
            <w14:solidFill>
              <w14:schemeClr w14:val="tx1"/>
            </w14:solidFill>
          </w14:textFill>
        </w:rPr>
      </w:pPr>
      <w:bookmarkStart w:id="141" w:name="3.3.1施工期污染源"/>
      <w:bookmarkEnd w:id="141"/>
      <w:bookmarkStart w:id="142" w:name="_bookmark20"/>
      <w:bookmarkEnd w:id="142"/>
      <w:bookmarkStart w:id="143" w:name="_Toc120173108"/>
      <w:r>
        <w:rPr>
          <w:color w:val="000000" w:themeColor="text1"/>
          <w:highlight w:val="none"/>
          <w:lang w:eastAsia="zh-CN"/>
          <w14:textFill>
            <w14:solidFill>
              <w14:schemeClr w14:val="tx1"/>
            </w14:solidFill>
          </w14:textFill>
        </w:rPr>
        <w:t>施工期工程分析</w:t>
      </w:r>
      <w:bookmarkEnd w:id="143"/>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施工期主要有钻前工程、钻井工程、储层改造</w:t>
      </w:r>
      <w:r>
        <w:rPr>
          <w:rFonts w:hint="eastAsia" w:cs="Times New Roman"/>
          <w:color w:val="000000" w:themeColor="text1"/>
          <w:highlight w:val="none"/>
          <w:lang w:val="en-US" w:eastAsia="zh-CN"/>
          <w14:textFill>
            <w14:solidFill>
              <w14:schemeClr w14:val="tx1"/>
            </w14:solidFill>
          </w14:textFill>
        </w:rPr>
        <w:t>工程</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含完井测试</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油气</w:t>
      </w:r>
      <w:r>
        <w:rPr>
          <w:rFonts w:hint="default" w:ascii="Times New Roman" w:hAnsi="Times New Roman" w:cs="Times New Roman"/>
          <w:color w:val="000000" w:themeColor="text1"/>
          <w:highlight w:val="none"/>
          <w14:textFill>
            <w14:solidFill>
              <w14:schemeClr w14:val="tx1"/>
            </w14:solidFill>
          </w14:textFill>
        </w:rPr>
        <w:t>集输工程（</w:t>
      </w:r>
      <w:r>
        <w:rPr>
          <w:rFonts w:hint="eastAsia" w:cs="Times New Roman"/>
          <w:color w:val="000000" w:themeColor="text1"/>
          <w:highlight w:val="none"/>
          <w:lang w:val="en-US" w:eastAsia="zh-CN"/>
          <w14:textFill>
            <w14:solidFill>
              <w14:schemeClr w14:val="tx1"/>
            </w14:solidFill>
          </w14:textFill>
        </w:rPr>
        <w:t>地面集输设施的建设</w:t>
      </w:r>
      <w:r>
        <w:rPr>
          <w:rFonts w:hint="default" w:ascii="Times New Roman" w:hAnsi="Times New Roman" w:cs="Times New Roman"/>
          <w:color w:val="000000" w:themeColor="text1"/>
          <w:highlight w:val="none"/>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钻前工程</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（1）钻前工程工艺流程简述</w:t>
      </w:r>
    </w:p>
    <w:p>
      <w:pPr>
        <w:ind w:firstLine="480"/>
        <w:rPr>
          <w:rFonts w:cs="Times New Roman"/>
          <w:b/>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钻前工程主要新建</w:t>
      </w:r>
      <w:r>
        <w:rPr>
          <w:rFonts w:hint="eastAsia" w:cs="Times New Roman"/>
          <w:color w:val="000000" w:themeColor="text1"/>
          <w:highlight w:val="none"/>
          <w:lang w:eastAsia="zh-CN"/>
          <w14:textFill>
            <w14:solidFill>
              <w14:schemeClr w14:val="tx1"/>
            </w14:solidFill>
          </w14:textFill>
        </w:rPr>
        <w:t>井场长117m</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宽53m</w:t>
      </w:r>
      <w:r>
        <w:rPr>
          <w:rFonts w:cs="Times New Roman"/>
          <w:color w:val="000000" w:themeColor="text1"/>
          <w:highlight w:val="none"/>
          <w14:textFill>
            <w14:solidFill>
              <w14:schemeClr w14:val="tx1"/>
            </w14:solidFill>
          </w14:textFill>
        </w:rPr>
        <w:t>，新建井架基础、放喷池</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清水池、泥浆罐基础、泥浆不落地基础、循环罐基础、储备罐基础、油罐基础、发电机房基础等；此外，</w:t>
      </w:r>
      <w:r>
        <w:rPr>
          <w:rFonts w:cs="Times New Roman"/>
          <w:bCs/>
          <w:color w:val="000000" w:themeColor="text1"/>
          <w:highlight w:val="none"/>
          <w14:textFill>
            <w14:solidFill>
              <w14:schemeClr w14:val="tx1"/>
            </w14:solidFill>
          </w14:textFill>
        </w:rPr>
        <w:t>钻井设备的搬运及安装、井口设备准备、清污分流系统以及活动房布置等，主要为土建施工，由专业施工单位组织当地民工作业。</w:t>
      </w:r>
    </w:p>
    <w:p>
      <w:pPr>
        <w:pStyle w:val="21"/>
        <w:spacing w:before="0"/>
        <w:ind w:left="0" w:firstLine="480"/>
        <w:jc w:val="both"/>
        <w:rPr>
          <w:rFonts w:ascii="Times New Roman" w:hAnsi="Times New Roman"/>
          <w:b/>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钻前工程工艺流程及产污环</w:t>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节如</w: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instrText xml:space="preserve"> REF _Ref142597391 \h </w:instrTex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图</w:t>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begin"/>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instrText xml:space="preserve"> </w:instrText>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instrText xml:space="preserve">STYLEREF 2 \s</w:instrText>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instrText xml:space="preserve"> </w:instrText>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3.3</w:t>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end"/>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noBreakHyphen/>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fldChar w:fldCharType="end"/>
      </w:r>
      <w:r>
        <w:rPr>
          <w:rFonts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所示。</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039995" cy="1786255"/>
            <wp:effectExtent l="0" t="0" r="8255" b="4445"/>
            <wp:docPr id="1622" name="图片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1622"/>
                    <pic:cNvPicPr>
                      <a:picLocks noChangeAspect="1"/>
                    </pic:cNvPicPr>
                  </pic:nvPicPr>
                  <pic:blipFill>
                    <a:blip r:embed="rId16"/>
                    <a:stretch>
                      <a:fillRect/>
                    </a:stretch>
                  </pic:blipFill>
                  <pic:spPr>
                    <a:xfrm>
                      <a:off x="0" y="0"/>
                      <a:ext cx="5039995" cy="1786255"/>
                    </a:xfrm>
                    <a:prstGeom prst="rect">
                      <a:avLst/>
                    </a:prstGeom>
                  </pic:spPr>
                </pic:pic>
              </a:graphicData>
            </a:graphic>
          </wp:inline>
        </w:drawing>
      </w:r>
    </w:p>
    <w:p>
      <w:pPr>
        <w:pStyle w:val="14"/>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pP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SEQ 图 \* ARABIC \s 2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2</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 钻前工程施工过程及主要环境影响示意图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1）道路工程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新建进场道路，道路路基宽度4.5m，路面宽度4.0m，</w:t>
      </w:r>
      <w:r>
        <w:rPr>
          <w:rFonts w:hint="eastAsia" w:cs="Times New Roman"/>
          <w:color w:val="000000" w:themeColor="text1"/>
          <w:highlight w:val="none"/>
          <w:lang w:eastAsia="zh-CN"/>
          <w14:textFill>
            <w14:solidFill>
              <w14:schemeClr w14:val="tx1"/>
            </w14:solidFill>
          </w14:textFill>
        </w:rPr>
        <w:t>长度约100m</w:t>
      </w:r>
      <w:r>
        <w:rPr>
          <w:rFonts w:cs="Times New Roman"/>
          <w:color w:val="000000" w:themeColor="text1"/>
          <w:highlight w:val="none"/>
          <w14:textFill>
            <w14:solidFill>
              <w14:schemeClr w14:val="tx1"/>
            </w14:solidFill>
          </w14:textFill>
        </w:rPr>
        <w:t>，采用20cm厚6%水泥稳定碎石，新建0.4m宽道路排水沟，采用浆砌石修筑。</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2）井场平整及硬化</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井场平整：按照钻井工程的总平面布置完成场地平整，新建</w:t>
      </w:r>
      <w:r>
        <w:rPr>
          <w:rFonts w:hint="eastAsia" w:cs="Times New Roman"/>
          <w:color w:val="000000" w:themeColor="text1"/>
          <w:highlight w:val="none"/>
          <w:lang w:eastAsia="zh-CN"/>
          <w14:textFill>
            <w14:solidFill>
              <w14:schemeClr w14:val="tx1"/>
            </w14:solidFill>
          </w14:textFill>
        </w:rPr>
        <w:t>井场长117m</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宽53m</w:t>
      </w:r>
      <w:r>
        <w:rPr>
          <w:rFonts w:cs="Times New Roman"/>
          <w:color w:val="000000" w:themeColor="text1"/>
          <w:highlight w:val="none"/>
          <w14:textFill>
            <w14:solidFill>
              <w14:schemeClr w14:val="tx1"/>
            </w14:solidFill>
          </w14:textFill>
        </w:rPr>
        <w:t>，场地清表0.3m厚。</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硬化区域：除井架基础、方井、厕所不硬化外，其余地方全部硬化，采用C20混凝土硬化，厚度0.2m；</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场基结构基层为压实厚度400mm毛石，面层为压实厚度100mm碎石（已硬化）；</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泥浆车道（长35m×宽3.5m）在基层上浇注200mm厚C20混凝土，泥浆材料台80m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在基层上浇筑C15混凝土厚200mm，见</w:t>
      </w:r>
      <w:r>
        <w:rPr>
          <w:rFonts w:hint="default" w:cs="Times New Roman"/>
          <w:color w:val="000000" w:themeColor="text1"/>
          <w:highlight w:val="none"/>
          <w:lang w:val="en-US"/>
          <w14:textFill>
            <w14:solidFill>
              <w14:schemeClr w14:val="tx1"/>
            </w14:solidFill>
          </w14:textFill>
        </w:rPr>
        <w:fldChar w:fldCharType="begin"/>
      </w:r>
      <w:r>
        <w:rPr>
          <w:rFonts w:hint="default" w:cs="Times New Roman"/>
          <w:color w:val="000000" w:themeColor="text1"/>
          <w:highlight w:val="none"/>
          <w:lang w:val="en-US"/>
          <w14:textFill>
            <w14:solidFill>
              <w14:schemeClr w14:val="tx1"/>
            </w14:solidFill>
          </w14:textFill>
        </w:rPr>
        <w:instrText xml:space="preserve"> REF _Ref142597382 \h </w:instrText>
      </w:r>
      <w:r>
        <w:rPr>
          <w:rFonts w:hint="default" w:cs="Times New Roman"/>
          <w:color w:val="000000" w:themeColor="text1"/>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3</w:t>
      </w:r>
      <w:r>
        <w:rPr>
          <w:rFonts w:hint="default" w:cs="Times New Roman"/>
          <w:color w:val="000000" w:themeColor="text1"/>
          <w:highlight w:val="none"/>
          <w:lang w:val="en-US"/>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039995" cy="1477645"/>
            <wp:effectExtent l="0" t="0" r="8255" b="8255"/>
            <wp:docPr id="141" name="图片 141" descr="井场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井场硬化"/>
                    <pic:cNvPicPr>
                      <a:picLocks noChangeAspect="1" noChangeArrowheads="1"/>
                    </pic:cNvPicPr>
                  </pic:nvPicPr>
                  <pic:blipFill>
                    <a:blip r:embed="rId17">
                      <a:extLst>
                        <a:ext uri="{28A0092B-C50C-407E-A947-70E740481C1C}">
                          <a14:useLocalDpi xmlns:a14="http://schemas.microsoft.com/office/drawing/2010/main" val="0"/>
                        </a:ext>
                      </a:extLst>
                    </a:blip>
                    <a:srcRect l="-1540" t="77849" r="2420" b="1460"/>
                    <a:stretch>
                      <a:fillRect/>
                    </a:stretch>
                  </pic:blipFill>
                  <pic:spPr>
                    <a:xfrm>
                      <a:off x="0" y="0"/>
                      <a:ext cx="5039995" cy="1477645"/>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SEQ 图 \* ARABIC \s 2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井场</w:t>
      </w:r>
      <w:r>
        <w:rPr>
          <w:rFonts w:hint="eastAsia"/>
          <w:color w:val="000000" w:themeColor="text1"/>
          <w:highlight w:val="none"/>
          <w14:textFill>
            <w14:solidFill>
              <w14:schemeClr w14:val="tx1"/>
            </w14:solidFill>
          </w14:textFill>
        </w:rPr>
        <w:t>场基结构图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3）井场建设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本项目井场为新建，井场基础采用C20混凝土基础，基础厚度1200mm，基础置于天然地基持力层上，地基承载力不小于0.15MPa，基础下先浇筑C15垫层厚度100mm，其设计结构图如下</w:t>
      </w:r>
      <w:r>
        <w:rPr>
          <w:rFonts w:hint="default" w:cs="Times New Roman"/>
          <w:color w:val="000000" w:themeColor="text1"/>
          <w:highlight w:val="none"/>
          <w:lang w:val="en-US"/>
          <w14:textFill>
            <w14:solidFill>
              <w14:schemeClr w14:val="tx1"/>
            </w14:solidFill>
          </w14:textFill>
        </w:rPr>
        <w:fldChar w:fldCharType="begin"/>
      </w:r>
      <w:r>
        <w:rPr>
          <w:rFonts w:hint="default" w:cs="Times New Roman"/>
          <w:color w:val="000000" w:themeColor="text1"/>
          <w:highlight w:val="none"/>
          <w:lang w:val="en-US"/>
          <w14:textFill>
            <w14:solidFill>
              <w14:schemeClr w14:val="tx1"/>
            </w14:solidFill>
          </w14:textFill>
        </w:rPr>
        <w:instrText xml:space="preserve"> REF _Ref10964 \h </w:instrText>
      </w:r>
      <w:r>
        <w:rPr>
          <w:rFonts w:hint="default" w:cs="Times New Roman"/>
          <w:color w:val="000000" w:themeColor="text1"/>
          <w:highlight w:val="none"/>
          <w:lang w:val="en-US"/>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 xml:space="preserve">图 </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STYLEREF 2 \s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-4</w:t>
      </w:r>
      <w:r>
        <w:rPr>
          <w:rFonts w:hint="default" w:cs="Times New Roman"/>
          <w:color w:val="000000" w:themeColor="text1"/>
          <w:highlight w:val="none"/>
          <w:lang w:val="en-US"/>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5" o:spt="75" type="#_x0000_t75" style="height:107.15pt;width:195.05pt;" o:ole="t" filled="f" o:preferrelative="t" stroked="f" coordsize="21600,21600">
            <v:path/>
            <v:fill on="f" focussize="0,0"/>
            <v:stroke on="f" joinstyle="miter"/>
            <v:imagedata r:id="rId19" cropleft="32204f" croptop="45407f" cropright="15532f" cropbottom="5124f" o:title=""/>
            <o:lock v:ext="edit" aspectratio="t"/>
            <w10:wrap type="none"/>
            <w10:anchorlock/>
          </v:shape>
          <o:OLEObject Type="Embed" ProgID="AutoCAD.Drawing.18" ShapeID="_x0000_i1025" DrawAspect="Content" ObjectID="_1468075725" r:id="rId18">
            <o:LockedField>false</o:LockedField>
          </o:OLEObject>
        </w:object>
      </w:r>
      <w:r>
        <w:rPr>
          <w:color w:val="000000" w:themeColor="text1"/>
          <w:highlight w:val="none"/>
          <w:lang w:eastAsia="zh-CN"/>
          <w14:textFill>
            <w14:solidFill>
              <w14:schemeClr w14:val="tx1"/>
            </w14:solidFill>
          </w14:textFill>
        </w:rPr>
        <w:drawing>
          <wp:inline distT="0" distB="0" distL="0" distR="0">
            <wp:extent cx="2614930" cy="133477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0" cstate="print">
                      <a:extLst>
                        <a:ext uri="{28A0092B-C50C-407E-A947-70E740481C1C}">
                          <a14:useLocalDpi xmlns:a14="http://schemas.microsoft.com/office/drawing/2010/main" val="0"/>
                        </a:ext>
                      </a:extLst>
                    </a:blip>
                    <a:srcRect l="48778" t="26443" r="20851" b="28958"/>
                    <a:stretch>
                      <a:fillRect/>
                    </a:stretch>
                  </pic:blipFill>
                  <pic:spPr>
                    <a:xfrm>
                      <a:off x="0" y="0"/>
                      <a:ext cx="2639776" cy="1347817"/>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144" w:name="_Ref10964"/>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SEQ 图 \* ARABIC \s 2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4</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bookmarkEnd w:id="144"/>
      <w:r>
        <w:rPr>
          <w:rFonts w:hint="eastAsia"/>
          <w:color w:val="000000" w:themeColor="text1"/>
          <w:highlight w:val="none"/>
          <w:lang w:eastAsia="zh-CN"/>
          <w14:textFill>
            <w14:solidFill>
              <w14:schemeClr w14:val="tx1"/>
            </w14:solidFill>
          </w14:textFill>
        </w:rPr>
        <w:t>井场</w:t>
      </w:r>
      <w:r>
        <w:rPr>
          <w:rFonts w:hint="eastAsia"/>
          <w:color w:val="000000" w:themeColor="text1"/>
          <w:highlight w:val="none"/>
          <w14:textFill>
            <w14:solidFill>
              <w14:schemeClr w14:val="tx1"/>
            </w14:solidFill>
          </w14:textFill>
        </w:rPr>
        <w:t>基础设计结构图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4）清污分流</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本项目井场采用雨污分流设计，</w:t>
      </w:r>
      <w:r>
        <w:rPr>
          <w:rFonts w:hint="eastAsia" w:cs="Times New Roman"/>
          <w:color w:val="000000" w:themeColor="text1"/>
          <w:highlight w:val="none"/>
          <w14:textFill>
            <w14:solidFill>
              <w14:schemeClr w14:val="tx1"/>
            </w14:solidFill>
          </w14:textFill>
        </w:rPr>
        <w:t>新建</w:t>
      </w:r>
      <w:r>
        <w:rPr>
          <w:rFonts w:hint="eastAsia"/>
          <w:color w:val="000000" w:themeColor="text1"/>
          <w:szCs w:val="21"/>
          <w:highlight w:val="none"/>
          <w14:textFill>
            <w14:solidFill>
              <w14:schemeClr w14:val="tx1"/>
            </w14:solidFill>
          </w14:textFill>
        </w:rPr>
        <w:t>排水沟</w:t>
      </w:r>
      <w:r>
        <w:rPr>
          <w:rFonts w:hint="eastAsia"/>
          <w:color w:val="000000" w:themeColor="text1"/>
          <w:highlight w:val="none"/>
          <w14:textFill>
            <w14:solidFill>
              <w14:schemeClr w14:val="tx1"/>
            </w14:solidFill>
          </w14:textFill>
        </w:rPr>
        <w:t>C30钢筋混凝土盖板排水沟</w:t>
      </w:r>
      <w:r>
        <w:rPr>
          <w:rFonts w:hint="eastAsia"/>
          <w:color w:val="000000" w:themeColor="text1"/>
          <w:highlight w:val="none"/>
          <w:lang w:val="en-US" w:eastAsia="zh-CN"/>
          <w14:textFill>
            <w14:solidFill>
              <w14:schemeClr w14:val="tx1"/>
            </w14:solidFill>
          </w14:textFill>
        </w:rPr>
        <w:t>340</w:t>
      </w:r>
      <w:r>
        <w:rPr>
          <w:rFonts w:hint="eastAsia"/>
          <w:color w:val="000000" w:themeColor="text1"/>
          <w:highlight w:val="none"/>
          <w14:textFill>
            <w14:solidFill>
              <w14:schemeClr w14:val="tx1"/>
            </w14:solidFill>
          </w14:textFill>
        </w:rPr>
        <w:t>m，净宽均为0.5m，平均深度0.7m，沟底坡度0.3%。同时</w:t>
      </w:r>
      <w:r>
        <w:rPr>
          <w:rFonts w:cs="Times New Roman"/>
          <w:color w:val="000000" w:themeColor="text1"/>
          <w:highlight w:val="none"/>
          <w14:textFill>
            <w14:solidFill>
              <w14:schemeClr w14:val="tx1"/>
            </w14:solidFill>
          </w14:textFill>
        </w:rPr>
        <w:t>沿设备基础新建0.35m宽环状排污沟350m，放坡坡度i=0.5%。污水沟放坡开始位置可根据现场做适当调整，但必须满足正常放坡和无倒流。为满足钻井期间污水不渗入井场，井场内泥浆循环系统区域和清洁生产操作平台区域设置排污沟，离污水罐或放喷池较近区域设置净空0.5m×0.5m×0.5m的集污坑（共计4个），若场内雨水被污染流入外环沟，则需封闭沟渠由作业队伍从集水坑抽汲至废水罐或放喷池，集污坑体宽度12cm，底板浇筑10cmC15混凝土。井场排水沟结构图见</w:t>
      </w:r>
      <w:r>
        <w:rPr>
          <w:rFonts w:hint="default" w:cs="Times New Roman"/>
          <w:color w:val="000000" w:themeColor="text1"/>
          <w:highlight w:val="none"/>
          <w:lang w:val="en-US"/>
          <w14:textFill>
            <w14:solidFill>
              <w14:schemeClr w14:val="tx1"/>
            </w14:solidFill>
          </w14:textFill>
        </w:rPr>
        <w:fldChar w:fldCharType="begin"/>
      </w:r>
      <w:r>
        <w:rPr>
          <w:rFonts w:hint="default" w:cs="Times New Roman"/>
          <w:color w:val="000000" w:themeColor="text1"/>
          <w:highlight w:val="none"/>
          <w:lang w:val="en-US"/>
          <w14:textFill>
            <w14:solidFill>
              <w14:schemeClr w14:val="tx1"/>
            </w14:solidFill>
          </w14:textFill>
        </w:rPr>
        <w:instrText xml:space="preserve"> REF _Ref11046 \h </w:instrText>
      </w:r>
      <w:r>
        <w:rPr>
          <w:rFonts w:hint="default" w:cs="Times New Roman"/>
          <w:color w:val="000000" w:themeColor="text1"/>
          <w:highlight w:val="none"/>
          <w:lang w:val="en-US"/>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 xml:space="preserve">图 </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STYLEREF 2 \s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-5</w:t>
      </w:r>
      <w:r>
        <w:rPr>
          <w:rFonts w:hint="default" w:cs="Times New Roman"/>
          <w:color w:val="000000" w:themeColor="text1"/>
          <w:highlight w:val="none"/>
          <w:lang w:val="en-US"/>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keepNext/>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3244215</wp:posOffset>
                </wp:positionH>
                <wp:positionV relativeFrom="paragraph">
                  <wp:posOffset>1135380</wp:posOffset>
                </wp:positionV>
                <wp:extent cx="250825" cy="125095"/>
                <wp:effectExtent l="0" t="0" r="0" b="8255"/>
                <wp:wrapNone/>
                <wp:docPr id="21" name="文本框 21"/>
                <wp:cNvGraphicFramePr/>
                <a:graphic xmlns:a="http://schemas.openxmlformats.org/drawingml/2006/main">
                  <a:graphicData uri="http://schemas.microsoft.com/office/word/2010/wordprocessingShape">
                    <wps:wsp>
                      <wps:cNvSpPr txBox="1"/>
                      <wps:spPr bwMode="auto">
                        <a:xfrm>
                          <a:off x="0" y="0"/>
                          <a:ext cx="250723" cy="125362"/>
                        </a:xfrm>
                        <a:prstGeom prst="rect">
                          <a:avLst/>
                        </a:prstGeom>
                        <a:solidFill>
                          <a:srgbClr val="FFFFFF"/>
                        </a:solidFill>
                        <a:ln w="9525">
                          <a:noFill/>
                          <a:miter lim="800000"/>
                        </a:ln>
                      </wps:spPr>
                      <wps:txbx>
                        <w:txbxContent>
                          <w:p>
                            <w:pPr>
                              <w:ind w:firstLine="360"/>
                              <w:rPr>
                                <w:sz w:val="18"/>
                                <w:szCs w:val="18"/>
                              </w:rPr>
                            </w:pPr>
                            <w:r>
                              <w:rPr>
                                <w:sz w:val="18"/>
                                <w:szCs w:val="18"/>
                              </w:rPr>
                              <w:t>350</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55.45pt;margin-top:89.4pt;height:9.85pt;width:19.75pt;z-index:251664384;mso-width-relative:page;mso-height-relative:page;" fillcolor="#FFFFFF" filled="t" stroked="f" coordsize="21600,21600" o:gfxdata="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Ey2x3ZAAAACwEAAA8AAAAAAAAAAQAgAAAAIgAAAGRycy9kb3ducmV2LnhtbFBLAQIU&#10;ABQAAAAIAIdO4kCJ96eJZAIAALEEAAAOAAAAAAAAAAEAIAAAACgBAABkcnMvZTJvRG9jLnhtbFBL&#10;BQYAAAAABgAGAFkBAAD+BQAAAAA=&#10;">
                <v:fill on="t" focussize="0,0"/>
                <v:stroke on="f" miterlimit="8" joinstyle="miter"/>
                <v:imagedata o:title=""/>
                <o:lock v:ext="edit" aspectratio="f"/>
                <v:textbox inset="0mm,0mm,0mm,0mm">
                  <w:txbxContent>
                    <w:p>
                      <w:pPr>
                        <w:ind w:firstLine="360"/>
                        <w:rPr>
                          <w:sz w:val="18"/>
                          <w:szCs w:val="18"/>
                        </w:rPr>
                      </w:pPr>
                      <w:r>
                        <w:rPr>
                          <w:sz w:val="18"/>
                          <w:szCs w:val="18"/>
                        </w:rPr>
                        <w:t>350</w:t>
                      </w:r>
                    </w:p>
                  </w:txbxContent>
                </v:textbox>
              </v:shape>
            </w:pict>
          </mc:Fallback>
        </mc:AlternateConten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1423035</wp:posOffset>
                </wp:positionH>
                <wp:positionV relativeFrom="paragraph">
                  <wp:posOffset>1157605</wp:posOffset>
                </wp:positionV>
                <wp:extent cx="250825" cy="125095"/>
                <wp:effectExtent l="0" t="0" r="0" b="8255"/>
                <wp:wrapNone/>
                <wp:docPr id="20" name="文本框 20"/>
                <wp:cNvGraphicFramePr/>
                <a:graphic xmlns:a="http://schemas.openxmlformats.org/drawingml/2006/main">
                  <a:graphicData uri="http://schemas.microsoft.com/office/word/2010/wordprocessingShape">
                    <wps:wsp>
                      <wps:cNvSpPr txBox="1"/>
                      <wps:spPr bwMode="auto">
                        <a:xfrm>
                          <a:off x="0" y="0"/>
                          <a:ext cx="250723" cy="125362"/>
                        </a:xfrm>
                        <a:prstGeom prst="rect">
                          <a:avLst/>
                        </a:prstGeom>
                        <a:solidFill>
                          <a:srgbClr val="FFFFFF"/>
                        </a:solidFill>
                        <a:ln w="9525">
                          <a:noFill/>
                          <a:miter lim="800000"/>
                        </a:ln>
                      </wps:spPr>
                      <wps:txbx>
                        <w:txbxContent>
                          <w:p>
                            <w:pPr>
                              <w:ind w:firstLine="300"/>
                              <w:rPr>
                                <w:sz w:val="15"/>
                                <w:szCs w:val="15"/>
                              </w:rPr>
                            </w:pPr>
                            <w:r>
                              <w:rPr>
                                <w:sz w:val="15"/>
                                <w:szCs w:val="15"/>
                              </w:rPr>
                              <w:t>350</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12.05pt;margin-top:91.15pt;height:9.85pt;width:19.75pt;z-index:251663360;mso-width-relative:page;mso-height-relative:page;" fillcolor="#FFFFFF" filled="t" stroked="f" coordsize="21600,21600" o:gfxdata="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O8xjdgAAAALAQAADwAAAAAAAAABACAAAAAiAAAAZHJzL2Rvd25yZXYueG1sUEsBAhQA&#10;FAAAAAgAh07iQGbKdX1kAgAAsQQAAA4AAAAAAAAAAQAgAAAAJwEAAGRycy9lMm9Eb2MueG1sUEsF&#10;BgAAAAAGAAYAWQEAAP0FAAAAAA==&#10;">
                <v:fill on="t" focussize="0,0"/>
                <v:stroke on="f" miterlimit="8" joinstyle="miter"/>
                <v:imagedata o:title=""/>
                <o:lock v:ext="edit" aspectratio="f"/>
                <v:textbox inset="0mm,0mm,0mm,0mm">
                  <w:txbxContent>
                    <w:p>
                      <w:pPr>
                        <w:ind w:firstLine="300"/>
                        <w:rPr>
                          <w:sz w:val="15"/>
                          <w:szCs w:val="15"/>
                        </w:rPr>
                      </w:pPr>
                      <w:r>
                        <w:rPr>
                          <w:sz w:val="15"/>
                          <w:szCs w:val="15"/>
                        </w:rPr>
                        <w:t>350</w:t>
                      </w:r>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2007235" cy="167449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1">
                      <a:extLst>
                        <a:ext uri="{28A0092B-C50C-407E-A947-70E740481C1C}">
                          <a14:useLocalDpi xmlns:a14="http://schemas.microsoft.com/office/drawing/2010/main" val="0"/>
                        </a:ext>
                      </a:extLst>
                    </a:blip>
                    <a:srcRect t="22746" r="60754" b="-15460"/>
                    <a:stretch>
                      <a:fillRect/>
                    </a:stretch>
                  </pic:blipFill>
                  <pic:spPr>
                    <a:xfrm>
                      <a:off x="0" y="0"/>
                      <a:ext cx="2007235" cy="1674495"/>
                    </a:xfrm>
                    <a:prstGeom prst="rect">
                      <a:avLst/>
                    </a:prstGeom>
                    <a:noFill/>
                    <a:ln>
                      <a:noFill/>
                    </a:ln>
                  </pic:spPr>
                </pic:pic>
              </a:graphicData>
            </a:graphic>
          </wp:inline>
        </w:drawing>
      </w:r>
      <w:r>
        <w:rPr>
          <w:color w:val="000000" w:themeColor="text1"/>
          <w:highlight w:val="none"/>
          <w:lang w:eastAsia="zh-CN"/>
          <w14:textFill>
            <w14:solidFill>
              <w14:schemeClr w14:val="tx1"/>
            </w14:solidFill>
          </w14:textFill>
        </w:rPr>
        <w:drawing>
          <wp:inline distT="0" distB="0" distL="0" distR="0">
            <wp:extent cx="2731135" cy="1674495"/>
            <wp:effectExtent l="0" t="0" r="0" b="190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2" cstate="print">
                      <a:extLst>
                        <a:ext uri="{28A0092B-C50C-407E-A947-70E740481C1C}">
                          <a14:useLocalDpi xmlns:a14="http://schemas.microsoft.com/office/drawing/2010/main" val="0"/>
                        </a:ext>
                      </a:extLst>
                    </a:blip>
                    <a:srcRect l="31598" t="43660" r="46407" b="20622"/>
                    <a:stretch>
                      <a:fillRect/>
                    </a:stretch>
                  </pic:blipFill>
                  <pic:spPr>
                    <a:xfrm>
                      <a:off x="0" y="0"/>
                      <a:ext cx="2731135" cy="1674495"/>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145" w:name="_Ref11046"/>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SEQ 图 \* ARABIC \s 2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5</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bookmarkEnd w:id="145"/>
      <w:r>
        <w:rPr>
          <w:rFonts w:hint="eastAsia"/>
          <w:color w:val="000000" w:themeColor="text1"/>
          <w:highlight w:val="none"/>
          <w:lang w:eastAsia="zh-CN"/>
          <w14:textFill>
            <w14:solidFill>
              <w14:schemeClr w14:val="tx1"/>
            </w14:solidFill>
          </w14:textFill>
        </w:rPr>
        <w:t>井场</w:t>
      </w:r>
      <w:r>
        <w:rPr>
          <w:rFonts w:hint="eastAsia"/>
          <w:color w:val="000000" w:themeColor="text1"/>
          <w:highlight w:val="none"/>
          <w14:textFill>
            <w14:solidFill>
              <w14:schemeClr w14:val="tx1"/>
            </w14:solidFill>
          </w14:textFill>
        </w:rPr>
        <w:t>排水沟结构图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5）清洁生产操作平台区</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清洁生产操作平台区占地面积约310m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，采用</w:t>
      </w:r>
      <w:r>
        <w:rPr>
          <w:rFonts w:cs="Times New Roman"/>
          <w:bCs/>
          <w:color w:val="000000" w:themeColor="text1"/>
          <w:highlight w:val="none"/>
          <w14:textFill>
            <w14:solidFill>
              <w14:schemeClr w14:val="tx1"/>
            </w14:solidFill>
          </w14:textFill>
        </w:rPr>
        <w:t>10cm厚C25钢筋混凝土垫层+30cmC25钢筋混凝土面层+2cm厚1：3水泥砂浆抹面+聚乙烯丙纶防渗层。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设置40m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废水罐4个，20m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岩屑固化罐4个，3m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岩屑收集罐8个，</w:t>
      </w:r>
      <w:r>
        <w:rPr>
          <w:rFonts w:hint="eastAsia" w:cs="Times New Roman"/>
          <w:color w:val="000000" w:themeColor="text1"/>
          <w:highlight w:val="none"/>
          <w:lang w:val="en-US" w:eastAsia="zh-CN"/>
          <w14:textFill>
            <w14:solidFill>
              <w14:schemeClr w14:val="tx1"/>
            </w14:solidFill>
          </w14:textFill>
        </w:rPr>
        <w:t>材料区</w:t>
      </w:r>
      <w:r>
        <w:rPr>
          <w:rFonts w:cs="Times New Roman"/>
          <w:color w:val="000000" w:themeColor="text1"/>
          <w:highlight w:val="none"/>
          <w14:textFill>
            <w14:solidFill>
              <w14:schemeClr w14:val="tx1"/>
            </w14:solidFill>
          </w14:textFill>
        </w:rPr>
        <w:t>1处。</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6）放喷池</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依托放喷池1座</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位于井场东北侧，</w:t>
      </w:r>
      <w:r>
        <w:rPr>
          <w:rFonts w:cs="Times New Roman"/>
          <w:color w:val="000000" w:themeColor="text1"/>
          <w:szCs w:val="24"/>
          <w:highlight w:val="none"/>
          <w14:textFill>
            <w14:solidFill>
              <w14:schemeClr w14:val="tx1"/>
            </w14:solidFill>
          </w14:textFill>
        </w:rPr>
        <w:t>尺寸</w:t>
      </w:r>
      <w:r>
        <w:rPr>
          <w:rFonts w:hint="eastAsia" w:cs="Times New Roman"/>
          <w:color w:val="000000" w:themeColor="text1"/>
          <w:szCs w:val="24"/>
          <w:highlight w:val="none"/>
          <w14:textFill>
            <w14:solidFill>
              <w14:schemeClr w14:val="tx1"/>
            </w14:solidFill>
          </w14:textFill>
        </w:rPr>
        <w:t>均</w:t>
      </w:r>
      <w:r>
        <w:rPr>
          <w:rFonts w:cs="Times New Roman"/>
          <w:color w:val="000000" w:themeColor="text1"/>
          <w:szCs w:val="24"/>
          <w:highlight w:val="none"/>
          <w14:textFill>
            <w14:solidFill>
              <w14:schemeClr w14:val="tx1"/>
            </w14:solidFill>
          </w14:textFill>
        </w:rPr>
        <w:t>为10m×20m×1.5m，容积为300m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，用于测试放喷，池内重点防渗；用于测试放喷，池内重点防渗。</w:t>
      </w:r>
      <w:r>
        <w:rPr>
          <w:rFonts w:cs="Times New Roman"/>
          <w:color w:val="000000" w:themeColor="text1"/>
          <w:highlight w:val="none"/>
          <w14:textFill>
            <w14:solidFill>
              <w14:schemeClr w14:val="tx1"/>
            </w14:solidFill>
          </w14:textFill>
        </w:rPr>
        <w:t>放喷管使用双四通、二条放喷管线，放喷池具体结构图见</w:t>
      </w:r>
      <w:r>
        <w:rPr>
          <w:rFonts w:hint="default" w:cs="Times New Roman"/>
          <w:color w:val="000000" w:themeColor="text1"/>
          <w:highlight w:val="none"/>
          <w:lang w:val="en-US"/>
          <w14:textFill>
            <w14:solidFill>
              <w14:schemeClr w14:val="tx1"/>
            </w14:solidFill>
          </w14:textFill>
        </w:rPr>
        <w:fldChar w:fldCharType="begin"/>
      </w:r>
      <w:r>
        <w:rPr>
          <w:rFonts w:hint="default" w:cs="Times New Roman"/>
          <w:color w:val="000000" w:themeColor="text1"/>
          <w:highlight w:val="none"/>
          <w:lang w:val="en-US"/>
          <w14:textFill>
            <w14:solidFill>
              <w14:schemeClr w14:val="tx1"/>
            </w14:solidFill>
          </w14:textFill>
        </w:rPr>
        <w:instrText xml:space="preserve"> REF _Ref11130 \h </w:instrText>
      </w:r>
      <w:r>
        <w:rPr>
          <w:rFonts w:hint="default" w:cs="Times New Roman"/>
          <w:color w:val="000000" w:themeColor="text1"/>
          <w:highlight w:val="none"/>
          <w:lang w:val="en-US"/>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 xml:space="preserve">图 </w:t>
      </w:r>
      <w:r>
        <w:rPr>
          <w:rFonts w:hint="eastAsia" w:cs="Times New Roman"/>
          <w:color w:val="000000" w:themeColor="text1"/>
          <w:highlight w:val="none"/>
          <w:lang w:val="en-US" w:eastAsia="zh-CN"/>
          <w14:textFill>
            <w14:solidFill>
              <w14:schemeClr w14:val="tx1"/>
            </w14:solidFill>
          </w14:textFill>
        </w:rPr>
        <w:fldChar w:fldCharType="begin"/>
      </w:r>
      <w:r>
        <w:rPr>
          <w:rFonts w:hint="eastAsia" w:cs="Times New Roman"/>
          <w:color w:val="000000" w:themeColor="text1"/>
          <w:highlight w:val="none"/>
          <w:lang w:val="en-US" w:eastAsia="zh-CN"/>
          <w14:textFill>
            <w14:solidFill>
              <w14:schemeClr w14:val="tx1"/>
            </w14:solidFill>
          </w14:textFill>
        </w:rPr>
        <w:instrText xml:space="preserve"> STYLEREF 2 \s </w:instrText>
      </w:r>
      <w:r>
        <w:rPr>
          <w:rFonts w:hint="eastAsia" w:cs="Times New Roman"/>
          <w:color w:val="000000" w:themeColor="text1"/>
          <w:highlight w:val="none"/>
          <w:lang w:val="en-US" w:eastAsia="zh-CN"/>
          <w14:textFill>
            <w14:solidFill>
              <w14:schemeClr w14:val="tx1"/>
            </w14:solidFill>
          </w14:textFill>
        </w:rPr>
        <w:fldChar w:fldCharType="separate"/>
      </w:r>
      <w:r>
        <w:rPr>
          <w:rFonts w:hint="eastAsia"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fldChar w:fldCharType="end"/>
      </w:r>
      <w:r>
        <w:rPr>
          <w:rFonts w:hint="eastAsia" w:cs="Times New Roman"/>
          <w:color w:val="000000" w:themeColor="text1"/>
          <w:highlight w:val="none"/>
          <w:lang w:val="en-US" w:eastAsia="zh-CN"/>
          <w14:textFill>
            <w14:solidFill>
              <w14:schemeClr w14:val="tx1"/>
            </w14:solidFill>
          </w14:textFill>
        </w:rPr>
        <w:t>-6</w:t>
      </w:r>
      <w:r>
        <w:rPr>
          <w:rFonts w:hint="default" w:cs="Times New Roman"/>
          <w:color w:val="000000" w:themeColor="text1"/>
          <w:highlight w:val="none"/>
          <w:lang w:val="en-US"/>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163"/>
        <w:keepNex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172.15pt;width:396.8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bookmarkStart w:id="146" w:name="_Ref11130"/>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bookmarkEnd w:id="146"/>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 xml:space="preserve">图 </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STYLEREF 2 \s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3.3</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begin"/>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instrText xml:space="preserve"> SEQ 图 \* ARABIC \s 2 </w:instrTex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separate"/>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t>6</w:t>
      </w:r>
      <w:r>
        <w:rPr>
          <w:rFonts w:hint="eastAsia" w:ascii="Times New Roman" w:hAnsi="Times New Roman" w:eastAsia="黑体" w:cs="Times New Roman"/>
          <w:color w:val="000000" w:themeColor="text1"/>
          <w:kern w:val="2"/>
          <w:sz w:val="21"/>
          <w:szCs w:val="28"/>
          <w:highlight w:val="none"/>
          <w:lang w:val="en-US" w:eastAsia="zh-CN" w:bidi="ar-SA"/>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井场</w:t>
      </w:r>
      <w:r>
        <w:rPr>
          <w:rFonts w:hint="eastAsia"/>
          <w:color w:val="000000" w:themeColor="text1"/>
          <w:highlight w:val="none"/>
          <w14:textFill>
            <w14:solidFill>
              <w14:schemeClr w14:val="tx1"/>
            </w14:solidFill>
          </w14:textFill>
        </w:rPr>
        <w:t>放喷池结构图</w:t>
      </w:r>
    </w:p>
    <w:p>
      <w:pPr>
        <w:overflowPunct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7）分区防渗</w:t>
      </w:r>
    </w:p>
    <w:p>
      <w:pPr>
        <w:overflowPunct w:val="0"/>
        <w:ind w:firstLine="480"/>
        <w:rPr>
          <w:rFonts w:cs="Times New Roman"/>
          <w:color w:val="000000" w:themeColor="text1"/>
          <w:highlight w:val="none"/>
          <w14:textFill>
            <w14:solidFill>
              <w14:schemeClr w14:val="tx1"/>
            </w14:solidFill>
          </w14:textFill>
        </w:rPr>
      </w:pPr>
      <w:bookmarkStart w:id="147" w:name="_Hlk56241817"/>
      <w:r>
        <w:rPr>
          <w:rFonts w:cs="Times New Roman"/>
          <w:color w:val="000000" w:themeColor="text1"/>
          <w:highlight w:val="none"/>
          <w14:textFill>
            <w14:solidFill>
              <w14:schemeClr w14:val="tx1"/>
            </w14:solidFill>
          </w14:textFill>
        </w:rPr>
        <w:t>本项目井场内除放喷池</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清水池</w:t>
      </w:r>
      <w:r>
        <w:rPr>
          <w:rFonts w:cs="Times New Roman"/>
          <w:color w:val="000000" w:themeColor="text1"/>
          <w:highlight w:val="none"/>
          <w14:textFill>
            <w14:solidFill>
              <w14:schemeClr w14:val="tx1"/>
            </w14:solidFill>
          </w14:textFill>
        </w:rPr>
        <w:t>外，主要存水和泥浆设备均为罐体，设置于防渗基础上，四周修建防渗沟，能有效防止废水、泥浆都撒漏进入外环境。</w:t>
      </w:r>
      <w:bookmarkEnd w:id="147"/>
      <w:r>
        <w:rPr>
          <w:rFonts w:hint="eastAsia" w:cs="Times New Roman"/>
          <w:color w:val="000000" w:themeColor="text1"/>
          <w:highlight w:val="none"/>
          <w:lang w:eastAsia="zh-CN"/>
          <w14:textFill>
            <w14:solidFill>
              <w14:schemeClr w14:val="tx1"/>
            </w14:solidFill>
          </w14:textFill>
        </w:rPr>
        <w:t>场地内</w:t>
      </w:r>
      <w:r>
        <w:rPr>
          <w:rFonts w:cs="Times New Roman"/>
          <w:color w:val="000000" w:themeColor="text1"/>
          <w:szCs w:val="24"/>
          <w:highlight w:val="none"/>
          <w14:textFill>
            <w14:solidFill>
              <w14:schemeClr w14:val="tx1"/>
            </w14:solidFill>
          </w14:textFill>
        </w:rPr>
        <w:t>方井、泥浆循环系统区域、泥浆不落地系统区域（含油桶堆放区）、泥浆储备罐区、循环罐区、柴油罐区、放喷池、危险废物暂存场所（若使用油基岩屑则设置）等采取重点防渗措施；井架基础、发电机房、钻井固废暂存区、</w:t>
      </w:r>
      <w:r>
        <w:rPr>
          <w:rFonts w:hint="eastAsia" w:cs="Times New Roman"/>
          <w:color w:val="000000" w:themeColor="text1"/>
          <w:szCs w:val="24"/>
          <w:highlight w:val="none"/>
          <w:lang w:val="en-US" w:eastAsia="zh-CN"/>
          <w14:textFill>
            <w14:solidFill>
              <w14:schemeClr w14:val="tx1"/>
            </w14:solidFill>
          </w14:textFill>
        </w:rPr>
        <w:t>清水池、</w:t>
      </w:r>
      <w:r>
        <w:rPr>
          <w:rFonts w:cs="Times New Roman"/>
          <w:color w:val="000000" w:themeColor="text1"/>
          <w:szCs w:val="24"/>
          <w:highlight w:val="none"/>
          <w14:textFill>
            <w14:solidFill>
              <w14:schemeClr w14:val="tx1"/>
            </w14:solidFill>
          </w14:textFill>
        </w:rPr>
        <w:t>材料棚、雨、污分流区域以及厕所等区域采取一般防渗措施；其他区域等采取简单防渗措施。</w:t>
      </w:r>
    </w:p>
    <w:p>
      <w:pPr>
        <w:overflowPunct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8）设备设施的搬运及安装</w:t>
      </w:r>
    </w:p>
    <w:p>
      <w:pPr>
        <w:overflowPunct w:val="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用汽车将钻井设备和泥浆罐、泥浆不落地装置等设施运至进场并安装，通常2</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5天安装完毕。</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（2）钻前工程产污环节分析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1）生态影响</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本项目为新建，施工期</w:t>
      </w:r>
      <w:r>
        <w:rPr>
          <w:rFonts w:hint="eastAsia" w:cs="Times New Roman"/>
          <w:bCs/>
          <w:color w:val="000000" w:themeColor="text1"/>
          <w:szCs w:val="24"/>
          <w:highlight w:val="none"/>
          <w:lang w:val="en-US" w:eastAsia="zh-CN"/>
          <w14:textFill>
            <w14:solidFill>
              <w14:schemeClr w14:val="tx1"/>
            </w14:solidFill>
          </w14:textFill>
        </w:rPr>
        <w:t>新增</w:t>
      </w:r>
      <w:r>
        <w:rPr>
          <w:rFonts w:cs="Times New Roman"/>
          <w:bCs/>
          <w:color w:val="000000" w:themeColor="text1"/>
          <w:szCs w:val="24"/>
          <w:highlight w:val="none"/>
          <w14:textFill>
            <w14:solidFill>
              <w14:schemeClr w14:val="tx1"/>
            </w14:solidFill>
          </w14:textFill>
        </w:rPr>
        <w:t>临时占地</w:t>
      </w:r>
      <w:r>
        <w:rPr>
          <w:rFonts w:hint="eastAsia" w:cs="Times New Roman"/>
          <w:bCs/>
          <w:color w:val="000000" w:themeColor="text1"/>
          <w:szCs w:val="24"/>
          <w:highlight w:val="none"/>
          <w:lang w:val="en-US" w:eastAsia="zh-CN"/>
          <w14:textFill>
            <w14:solidFill>
              <w14:schemeClr w14:val="tx1"/>
            </w14:solidFill>
          </w14:textFill>
        </w:rPr>
        <w:t>面积小</w:t>
      </w:r>
      <w:r>
        <w:rPr>
          <w:rFonts w:cs="Times New Roman"/>
          <w:bCs/>
          <w:color w:val="000000" w:themeColor="text1"/>
          <w:szCs w:val="24"/>
          <w:highlight w:val="none"/>
          <w14:textFill>
            <w14:solidFill>
              <w14:schemeClr w14:val="tx1"/>
            </w14:solidFill>
          </w14:textFill>
        </w:rPr>
        <w:t>，主要占用</w:t>
      </w:r>
      <w:r>
        <w:rPr>
          <w:rFonts w:hint="eastAsia" w:cs="Times New Roman"/>
          <w:bCs/>
          <w:color w:val="000000" w:themeColor="text1"/>
          <w:szCs w:val="24"/>
          <w:highlight w:val="none"/>
          <w:lang w:val="en-US" w:eastAsia="zh-CN"/>
          <w14:textFill>
            <w14:solidFill>
              <w14:schemeClr w14:val="tx1"/>
            </w14:solidFill>
          </w14:textFill>
        </w:rPr>
        <w:t>旱地、水田</w:t>
      </w:r>
      <w:r>
        <w:rPr>
          <w:rFonts w:cs="Times New Roman"/>
          <w:bCs/>
          <w:color w:val="000000" w:themeColor="text1"/>
          <w:szCs w:val="24"/>
          <w:highlight w:val="none"/>
          <w14:textFill>
            <w14:solidFill>
              <w14:schemeClr w14:val="tx1"/>
            </w14:solidFill>
          </w14:textFill>
        </w:rPr>
        <w:t>，改变土地使用功能，将造成地表裸露，形成水土流失。</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2）污染影响</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钻前工程污染物有机械废气和施工扬尘、生活污水、施工噪声和生活垃圾。</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钻井工程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工程是本项目施工期最主要的施工活动之一，主要包括钻井、固井、完井阶段。钻井工程以网电为动力（备用柴油发电机），通过钻机、转盘，带动钻头切削地层，同时由泥浆泵经钻杆向井内注入高压泥浆，冲刷井底，将切削下的岩屑不断带至地面，整个过程循环进行，直至目的井深；钻井中途需要停钻，以便起下钻具更换钻头、下套管、固井、替换洗井液和检修设备；当钻井钻至目的层位后即可进入完井阶段，完井阶段采用的是衬管完井（备用裸眼），然后再进行压裂作业，以实现储层改造。钻井作业24小时连续作业。</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（1）钻井工程工艺流程简述</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本项目钻井方式为泥浆钻井方式，采用水基泥浆钻井，钻井工艺流程及产污环节见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_Ref142597391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7</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ind w:firstLine="480"/>
        <w:jc w:val="center"/>
        <w:rPr>
          <w:rFonts w:cs="Times New Roman"/>
          <w:color w:val="000000" w:themeColor="text1"/>
          <w:szCs w:val="24"/>
          <w:highlight w:val="none"/>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5663565</wp:posOffset>
                </wp:positionH>
                <wp:positionV relativeFrom="paragraph">
                  <wp:posOffset>3060065</wp:posOffset>
                </wp:positionV>
                <wp:extent cx="3105150" cy="1158240"/>
                <wp:effectExtent l="5080" t="4445" r="13970" b="10795"/>
                <wp:wrapNone/>
                <wp:docPr id="95" name="文本框 95"/>
                <wp:cNvGraphicFramePr/>
                <a:graphic xmlns:a="http://schemas.openxmlformats.org/drawingml/2006/main">
                  <a:graphicData uri="http://schemas.microsoft.com/office/word/2010/wordprocessingShape">
                    <wps:wsp>
                      <wps:cNvSpPr txBox="1"/>
                      <wps:spPr bwMode="auto">
                        <a:xfrm>
                          <a:off x="0" y="0"/>
                          <a:ext cx="3105150" cy="1158240"/>
                        </a:xfrm>
                        <a:prstGeom prst="rect">
                          <a:avLst/>
                        </a:prstGeom>
                        <a:solidFill>
                          <a:schemeClr val="accent1">
                            <a:lumMod val="40000"/>
                            <a:lumOff val="60000"/>
                          </a:schemeClr>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ascii="宋体" w:hAnsi="宋体" w:cs="宋体"/>
                                <w:color w:val="000000" w:themeColor="text1"/>
                                <w:sz w:val="21"/>
                                <w:szCs w:val="21"/>
                                <w14:textFill>
                                  <w14:solidFill>
                                    <w14:schemeClr w14:val="tx1"/>
                                  </w14:solidFill>
                                </w14:textFill>
                              </w:rPr>
                            </w:pPr>
                            <w:r>
                              <w:rPr>
                                <w:rFonts w:hint="eastAsia" w:ascii="宋体" w:hAnsi="宋体" w:cs="宋体"/>
                                <w:sz w:val="21"/>
                                <w:szCs w:val="21"/>
                              </w:rPr>
                              <w:t>水基钻井固废：</w:t>
                            </w:r>
                            <w:r>
                              <w:rPr>
                                <w:rFonts w:ascii="宋体" w:hAnsi="宋体" w:cs="宋体"/>
                                <w:color w:val="000000" w:themeColor="text1"/>
                                <w:sz w:val="21"/>
                                <w:szCs w:val="21"/>
                                <w14:textFill>
                                  <w14:solidFill>
                                    <w14:schemeClr w14:val="tx1"/>
                                  </w14:solidFill>
                                </w14:textFill>
                              </w:rPr>
                              <w:t>按照达市环办发〔2021〕24号文件要求，</w:t>
                            </w:r>
                            <w:r>
                              <w:rPr>
                                <w:rFonts w:hint="eastAsia" w:ascii="宋体" w:hAnsi="宋体" w:cs="宋体"/>
                                <w:color w:val="000000" w:themeColor="text1"/>
                                <w:sz w:val="21"/>
                                <w:szCs w:val="21"/>
                                <w14:textFill>
                                  <w14:solidFill>
                                    <w14:schemeClr w14:val="tx1"/>
                                  </w14:solidFill>
                                </w14:textFill>
                              </w:rPr>
                              <w:t>近交给依法取得生态环境部门关于利用和处置相关工业固体废物项目环评批复、具有处理处置相应固体废物能力并配套建设有废气、废水、固废等污染物治理设施的单位进行资源化利用；</w:t>
                            </w:r>
                          </w:p>
                          <w:p>
                            <w:pPr>
                              <w:spacing w:line="240" w:lineRule="auto"/>
                              <w:ind w:left="0" w:leftChars="0" w:firstLine="0" w:firstLineChars="0"/>
                              <w:jc w:val="left"/>
                              <w:rPr>
                                <w:sz w:val="21"/>
                                <w:szCs w:val="21"/>
                              </w:rPr>
                            </w:pPr>
                            <w:r>
                              <w:rPr>
                                <w:rFonts w:hint="eastAsia" w:ascii="宋体" w:hAnsi="宋体" w:cs="宋体"/>
                                <w:sz w:val="21"/>
                                <w:szCs w:val="21"/>
                              </w:rPr>
                              <w:t>油基钻井固废：</w:t>
                            </w:r>
                            <w:r>
                              <w:rPr>
                                <w:rFonts w:hint="eastAsia" w:ascii="宋体" w:hAnsi="宋体" w:cs="宋体"/>
                                <w:color w:val="000000" w:themeColor="text1"/>
                                <w:sz w:val="21"/>
                                <w:szCs w:val="21"/>
                                <w14:textFill>
                                  <w14:solidFill>
                                    <w14:schemeClr w14:val="tx1"/>
                                  </w14:solidFill>
                                </w14:textFill>
                              </w:rPr>
                              <w:t>委托有资质单位处置</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445.95pt;margin-top:240.95pt;height:91.2pt;width:244.5pt;z-index:251665408;v-text-anchor:middle;mso-width-relative:page;mso-height-relative:page;" fillcolor="#B4C7E7 [1300]" filled="t" stroked="t" coordsize="21600,21600" o:gfxdata="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6aRBNtkAAAAMAQAA&#10;DwAAAAAAAAABACAAAAAiAAAAZHJzL2Rvd25yZXYueG1sUEsBAhQAFAAAAAgAh07iQKTj6WmKAgAA&#10;FwUAAA4AAAAAAAAAAQAgAAAAKAEAAGRycy9lMm9Eb2MueG1sUEsFBgAAAAAGAAYAWQEAACQGAAAA&#10;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ascii="宋体" w:hAnsi="宋体" w:cs="宋体"/>
                          <w:color w:val="000000" w:themeColor="text1"/>
                          <w:sz w:val="21"/>
                          <w:szCs w:val="21"/>
                          <w14:textFill>
                            <w14:solidFill>
                              <w14:schemeClr w14:val="tx1"/>
                            </w14:solidFill>
                          </w14:textFill>
                        </w:rPr>
                      </w:pPr>
                      <w:r>
                        <w:rPr>
                          <w:rFonts w:hint="eastAsia" w:ascii="宋体" w:hAnsi="宋体" w:cs="宋体"/>
                          <w:sz w:val="21"/>
                          <w:szCs w:val="21"/>
                        </w:rPr>
                        <w:t>水基钻井固废：</w:t>
                      </w:r>
                      <w:r>
                        <w:rPr>
                          <w:rFonts w:ascii="宋体" w:hAnsi="宋体" w:cs="宋体"/>
                          <w:color w:val="000000" w:themeColor="text1"/>
                          <w:sz w:val="21"/>
                          <w:szCs w:val="21"/>
                          <w14:textFill>
                            <w14:solidFill>
                              <w14:schemeClr w14:val="tx1"/>
                            </w14:solidFill>
                          </w14:textFill>
                        </w:rPr>
                        <w:t>按照达市环办发〔2021〕24号文件要求，</w:t>
                      </w:r>
                      <w:r>
                        <w:rPr>
                          <w:rFonts w:hint="eastAsia" w:ascii="宋体" w:hAnsi="宋体" w:cs="宋体"/>
                          <w:color w:val="000000" w:themeColor="text1"/>
                          <w:sz w:val="21"/>
                          <w:szCs w:val="21"/>
                          <w14:textFill>
                            <w14:solidFill>
                              <w14:schemeClr w14:val="tx1"/>
                            </w14:solidFill>
                          </w14:textFill>
                        </w:rPr>
                        <w:t>近交给依法取得生态环境部门关于利用和处置相关工业固体废物项目环评批复、具有处理处置相应固体废物能力并配套建设有废气、废水、固废等污染物治理设施的单位进行资源化利用；</w:t>
                      </w:r>
                    </w:p>
                    <w:p>
                      <w:pPr>
                        <w:spacing w:line="240" w:lineRule="auto"/>
                        <w:ind w:left="0" w:leftChars="0" w:firstLine="0" w:firstLineChars="0"/>
                        <w:jc w:val="left"/>
                        <w:rPr>
                          <w:sz w:val="21"/>
                          <w:szCs w:val="21"/>
                        </w:rPr>
                      </w:pPr>
                      <w:r>
                        <w:rPr>
                          <w:rFonts w:hint="eastAsia" w:ascii="宋体" w:hAnsi="宋体" w:cs="宋体"/>
                          <w:sz w:val="21"/>
                          <w:szCs w:val="21"/>
                        </w:rPr>
                        <w:t>油基钻井固废：</w:t>
                      </w:r>
                      <w:r>
                        <w:rPr>
                          <w:rFonts w:hint="eastAsia" w:ascii="宋体" w:hAnsi="宋体" w:cs="宋体"/>
                          <w:color w:val="000000" w:themeColor="text1"/>
                          <w:sz w:val="21"/>
                          <w:szCs w:val="21"/>
                          <w14:textFill>
                            <w14:solidFill>
                              <w14:schemeClr w14:val="tx1"/>
                            </w14:solidFill>
                          </w14:textFill>
                        </w:rPr>
                        <w:t>委托有资质单位处置</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4258945</wp:posOffset>
                </wp:positionH>
                <wp:positionV relativeFrom="paragraph">
                  <wp:posOffset>3745865</wp:posOffset>
                </wp:positionV>
                <wp:extent cx="6985" cy="328930"/>
                <wp:effectExtent l="36195" t="0" r="33020" b="6350"/>
                <wp:wrapNone/>
                <wp:docPr id="46" name="直接箭头连接符 46"/>
                <wp:cNvGraphicFramePr/>
                <a:graphic xmlns:a="http://schemas.openxmlformats.org/drawingml/2006/main">
                  <a:graphicData uri="http://schemas.microsoft.com/office/word/2010/wordprocessingShape">
                    <wps:wsp>
                      <wps:cNvCnPr/>
                      <wps:spPr>
                        <a:xfrm flipH="1">
                          <a:off x="5977890" y="4737100"/>
                          <a:ext cx="6985" cy="32893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5.35pt;margin-top:294.95pt;height:25.9pt;width:0.55pt;z-index:251669504;mso-width-relative:page;mso-height-relative:page;" filled="f" stroked="t" coordsize="21600,21600" o:gfxdata="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sDZdgA&#10;AAALAQAADwAAAAAAAAABACAAAAAiAAAAZHJzL2Rvd25yZXYueG1sUEsBAhQAFAAAAAgAh07iQAQH&#10;KV8fAgAA/AMAAA4AAAAAAAAAAQAgAAAAJwEAAGRycy9lMm9Eb2MueG1sUEsFBgAAAAAGAAYAWQEA&#10;ALgFAAAAAA==&#10;">
                <v:fill on="f" focussize="0,0"/>
                <v:stroke weight="1pt" color="#000000 [3213]" miterlimit="8" joinstyle="miter" endarrow="block"/>
                <v:imagedata o:title=""/>
                <o:lock v:ext="edit" aspectratio="f"/>
              </v:shape>
            </w:pict>
          </mc:Fallback>
        </mc:AlternateConten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3571875</wp:posOffset>
                </wp:positionH>
                <wp:positionV relativeFrom="paragraph">
                  <wp:posOffset>3436620</wp:posOffset>
                </wp:positionV>
                <wp:extent cx="1481455" cy="296545"/>
                <wp:effectExtent l="4445" t="4445" r="19050" b="22860"/>
                <wp:wrapNone/>
                <wp:docPr id="91926" name="文本框 91926"/>
                <wp:cNvGraphicFramePr/>
                <a:graphic xmlns:a="http://schemas.openxmlformats.org/drawingml/2006/main">
                  <a:graphicData uri="http://schemas.microsoft.com/office/word/2010/wordprocessingShape">
                    <wps:wsp>
                      <wps:cNvSpPr txBox="1"/>
                      <wps:spPr bwMode="auto">
                        <a:xfrm>
                          <a:off x="0" y="0"/>
                          <a:ext cx="1481455" cy="296545"/>
                        </a:xfrm>
                        <a:prstGeom prst="rect">
                          <a:avLst/>
                        </a:prstGeom>
                        <a:solidFill>
                          <a:schemeClr val="accent1">
                            <a:lumMod val="40000"/>
                            <a:lumOff val="60000"/>
                          </a:schemeClr>
                        </a:solidFill>
                        <a:ln w="9525">
                          <a:solidFill>
                            <a:srgbClr val="000000"/>
                          </a:solidFill>
                          <a:miter lim="800000"/>
                        </a:ln>
                      </wps:spPr>
                      <wps:txbx>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赵家坝污水处理站</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81.25pt;margin-top:270.6pt;height:23.35pt;width:116.65pt;z-index:251662336;v-text-anchor:middle;mso-width-relative:page;mso-height-relative:page;" fillcolor="#B4C7E7 [1300]" filled="t" stroked="t" coordsize="21600,21600" o:gfxdata="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Vl5t7aAAAA&#10;CwEAAA8AAAAAAAAAAQAgAAAAIgAAAGRycy9kb3ducmV2LnhtbFBLAQIUABQAAAAIAIdO4kAmQG0s&#10;jQIAABwFAAAOAAAAAAAAAAEAIAAAACkBAABkcnMvZTJvRG9jLnhtbFBLBQYAAAAABgAGAFkBAAAo&#10;BgAAAAA=&#10;">
                <v:fill on="t" focussize="0,0"/>
                <v:stroke color="#000000" miterlimit="8" joinstyle="miter"/>
                <v:imagedata o:title=""/>
                <o:lock v:ext="edit" aspectratio="f"/>
                <v:textbox inset="0mm,0mm,0mm,0mm">
                  <w:txbxContent>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赵家坝污水处理站</w:t>
                      </w:r>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8687435" cy="3858260"/>
            <wp:effectExtent l="0" t="0" r="0" b="8890"/>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707422" cy="3867119"/>
                    </a:xfrm>
                    <a:prstGeom prst="rect">
                      <a:avLst/>
                    </a:prstGeom>
                    <a:noFill/>
                    <a:ln>
                      <a:noFill/>
                    </a:ln>
                  </pic:spPr>
                </pic:pic>
              </a:graphicData>
            </a:graphic>
          </wp:inline>
        </w:drawing>
      </w:r>
    </w:p>
    <w:p>
      <w:pPr>
        <w:pStyle w:val="163"/>
        <w:rPr>
          <w:rFonts w:hint="eastAsia"/>
          <w:color w:val="000000" w:themeColor="text1"/>
          <w:highlight w:val="none"/>
          <w14:textFill>
            <w14:solidFill>
              <w14:schemeClr w14:val="tx1"/>
            </w14:solidFill>
          </w14:textFill>
        </w:rPr>
      </w:pPr>
      <w:bookmarkStart w:id="148" w:name="_Ref142597391"/>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3506470</wp:posOffset>
                </wp:positionH>
                <wp:positionV relativeFrom="paragraph">
                  <wp:posOffset>222885</wp:posOffset>
                </wp:positionV>
                <wp:extent cx="1492250" cy="295910"/>
                <wp:effectExtent l="4445" t="4445" r="8255" b="23495"/>
                <wp:wrapNone/>
                <wp:docPr id="45" name="文本框 45"/>
                <wp:cNvGraphicFramePr/>
                <a:graphic xmlns:a="http://schemas.openxmlformats.org/drawingml/2006/main">
                  <a:graphicData uri="http://schemas.microsoft.com/office/word/2010/wordprocessingShape">
                    <wps:wsp>
                      <wps:cNvSpPr txBox="1"/>
                      <wps:spPr bwMode="auto">
                        <a:xfrm>
                          <a:off x="0" y="0"/>
                          <a:ext cx="1492250" cy="295910"/>
                        </a:xfrm>
                        <a:prstGeom prst="rect">
                          <a:avLst/>
                        </a:prstGeom>
                        <a:solidFill>
                          <a:schemeClr val="accent1">
                            <a:lumMod val="40000"/>
                            <a:lumOff val="60000"/>
                          </a:schemeClr>
                        </a:solidFill>
                        <a:ln w="9525">
                          <a:solidFill>
                            <a:srgbClr val="000000"/>
                          </a:solidFill>
                          <a:miter lim="800000"/>
                        </a:ln>
                      </wps:spPr>
                      <wps:txbx>
                        <w:txbxContent>
                          <w:p>
                            <w:pPr>
                              <w:spacing w:line="240" w:lineRule="auto"/>
                              <w:ind w:firstLine="0" w:firstLineChars="0"/>
                              <w:jc w:val="center"/>
                              <w:rPr>
                                <w:sz w:val="21"/>
                                <w:szCs w:val="21"/>
                              </w:rPr>
                            </w:pPr>
                            <w:r>
                              <w:rPr>
                                <w:rFonts w:hint="eastAsia"/>
                                <w:sz w:val="21"/>
                                <w:szCs w:val="21"/>
                                <w:lang w:val="en-US" w:eastAsia="zh-CN"/>
                              </w:rPr>
                              <w:t>普光3</w:t>
                            </w:r>
                            <w:r>
                              <w:rPr>
                                <w:rFonts w:hint="eastAsia"/>
                                <w:sz w:val="21"/>
                                <w:szCs w:val="21"/>
                              </w:rPr>
                              <w:t>井回注站回注</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76.1pt;margin-top:17.55pt;height:23.3pt;width:117.5pt;z-index:251668480;v-text-anchor:middle;mso-width-relative:page;mso-height-relative:page;" fillcolor="#B4C7E7 [1300]" filled="t" stroked="t" coordsize="21600,21600" o:gfxdata="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2C7952AAAAAkBAAAP&#10;AAAAAAAAAAEAIAAAACIAAABkcnMvZG93bnJldi54bWxQSwECFAAUAAAACACHTuJA9bh83ooCAAAW&#10;BQAADgAAAAAAAAABACAAAAAnAQAAZHJzL2Uyb0RvYy54bWxQSwUGAAAAAAYABgBZAQAAIwYAAAAA&#10;">
                <v:fill on="t" focussize="0,0"/>
                <v:stroke color="#000000" miterlimit="8"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val="en-US" w:eastAsia="zh-CN"/>
                        </w:rPr>
                        <w:t>普光3</w:t>
                      </w:r>
                      <w:r>
                        <w:rPr>
                          <w:rFonts w:hint="eastAsia"/>
                          <w:sz w:val="21"/>
                          <w:szCs w:val="21"/>
                        </w:rPr>
                        <w:t>井回注站回注</w:t>
                      </w:r>
                    </w:p>
                  </w:txbxContent>
                </v:textbox>
              </v:shape>
            </w:pict>
          </mc:Fallback>
        </mc:AlternateContent>
      </w:r>
    </w:p>
    <w:p>
      <w:pPr>
        <w:pStyle w:val="163"/>
        <w:rPr>
          <w:rFonts w:hint="eastAsia"/>
          <w:color w:val="000000" w:themeColor="text1"/>
          <w:highlight w:val="none"/>
          <w14:textFill>
            <w14:solidFill>
              <w14:schemeClr w14:val="tx1"/>
            </w14:solidFill>
          </w14:textFill>
        </w:rPr>
      </w:pPr>
    </w:p>
    <w:p>
      <w:pPr>
        <w:pStyle w:val="163"/>
        <w:rPr>
          <w:rFonts w:hint="eastAsia"/>
          <w:color w:val="000000" w:themeColor="text1"/>
          <w:highlight w:val="none"/>
          <w14:textFill>
            <w14:solidFill>
              <w14:schemeClr w14:val="tx1"/>
            </w14:solidFill>
          </w14:textFill>
        </w:rPr>
      </w:pP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14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钻井工程工艺流程及产污环节图</w:t>
      </w:r>
    </w:p>
    <w:p>
      <w:pPr>
        <w:ind w:firstLine="480"/>
        <w:jc w:val="center"/>
        <w:rPr>
          <w:rFonts w:cs="Times New Roman"/>
          <w:color w:val="000000" w:themeColor="text1"/>
          <w:szCs w:val="24"/>
          <w:highlight w:val="none"/>
          <w14:textFill>
            <w14:solidFill>
              <w14:schemeClr w14:val="tx1"/>
            </w14:solidFill>
          </w14:textFill>
        </w:rPr>
        <w:sectPr>
          <w:pgSz w:w="16840" w:h="11910" w:orient="landscape"/>
          <w:pgMar w:top="1800" w:right="1440" w:bottom="1800" w:left="1440" w:header="964" w:footer="964" w:gutter="0"/>
          <w:pgBorders>
            <w:top w:val="none" w:sz="0" w:space="0"/>
            <w:left w:val="none" w:sz="0" w:space="0"/>
            <w:bottom w:val="none" w:sz="0" w:space="0"/>
            <w:right w:val="none" w:sz="0" w:space="0"/>
          </w:pgBorders>
          <w:cols w:space="720" w:num="1"/>
          <w:docGrid w:linePitch="326" w:charSpace="0"/>
        </w:sectPr>
      </w:pP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1）钻井</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采用常规钻井工艺，单钻机钻井，钻井工程作业正常情况下以网电为动力，停电等非正常情况下以柴油机为动力，通过钻机、转盘，带动钻杆切削地层，同时用泥浆泵经钻杆向井内注入高压泥浆，冲刷井底，将切削下的岩屑不断带至地面，整个过程循环进行，使井不断加深，直至目的井深。钻井中途会停钻，以起下钻具更换钻头、下套管、固井、替换洗井液、设备检修等。钻井工艺设备组成示意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_Ref142597382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8</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rFonts w:eastAsia="黑体"/>
          <w:color w:val="000000" w:themeColor="text1"/>
          <w:highlight w:val="none"/>
          <w:lang w:eastAsia="zh-CN"/>
          <w14:textFill>
            <w14:solidFill>
              <w14:schemeClr w14:val="tx1"/>
            </w14:solidFill>
          </w14:textFill>
        </w:rPr>
        <w:drawing>
          <wp:inline distT="0" distB="0" distL="0" distR="0">
            <wp:extent cx="3776345" cy="5029835"/>
            <wp:effectExtent l="0" t="0" r="14605" b="18415"/>
            <wp:docPr id="1631" name="图片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1631"/>
                    <pic:cNvPicPr>
                      <a:picLocks noChangeAspect="1" noChangeArrowheads="1"/>
                    </pic:cNvPicPr>
                  </pic:nvPicPr>
                  <pic:blipFill>
                    <a:blip r:embed="rId26">
                      <a:extLst>
                        <a:ext uri="{28A0092B-C50C-407E-A947-70E740481C1C}">
                          <a14:useLocalDpi xmlns:a14="http://schemas.microsoft.com/office/drawing/2010/main" val="0"/>
                        </a:ext>
                      </a:extLst>
                    </a:blip>
                    <a:srcRect l="22397"/>
                    <a:stretch>
                      <a:fillRect/>
                    </a:stretch>
                  </pic:blipFill>
                  <pic:spPr>
                    <a:xfrm>
                      <a:off x="0" y="0"/>
                      <a:ext cx="3776345" cy="5029835"/>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149" w:name="_Ref142597382"/>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bookmarkEnd w:id="14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钻井工艺设备组成示意图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2）钻井液循环系统</w:t>
      </w:r>
    </w:p>
    <w:p>
      <w:pPr>
        <w:ind w:firstLine="480"/>
        <w:rPr>
          <w:rFonts w:cs="Times New Roman"/>
          <w:color w:val="000000" w:themeColor="text1"/>
          <w:highlight w:val="none"/>
          <w14:textFill>
            <w14:solidFill>
              <w14:schemeClr w14:val="tx1"/>
            </w14:solidFill>
          </w14:textFill>
        </w:rPr>
      </w:pPr>
      <w:bookmarkStart w:id="150" w:name="_Hlk90917264"/>
      <w:r>
        <w:rPr>
          <w:rFonts w:cs="Times New Roman"/>
          <w:color w:val="000000" w:themeColor="text1"/>
          <w:highlight w:val="none"/>
          <w14:textFill>
            <w14:solidFill>
              <w14:schemeClr w14:val="tx1"/>
            </w14:solidFill>
          </w14:textFill>
        </w:rPr>
        <w:t>钻井泥浆系统是钻井工程的核心部分，钻井泥浆分为可生物降解、水基、油基三种，清洁性能依次减弱。本工程采用的钻井泥浆为水基钻井泥浆</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仅</w:t>
      </w:r>
      <w:r>
        <w:rPr>
          <w:rFonts w:hint="eastAsia" w:cs="Times New Roman"/>
          <w:color w:val="000000" w:themeColor="text1"/>
          <w:highlight w:val="none"/>
          <w14:textFill>
            <w14:solidFill>
              <w14:schemeClr w14:val="tx1"/>
            </w14:solidFill>
          </w14:textFill>
        </w:rPr>
        <w:t>三</w:t>
      </w:r>
      <w:r>
        <w:rPr>
          <w:rFonts w:cs="Times New Roman"/>
          <w:color w:val="000000" w:themeColor="text1"/>
          <w:highlight w:val="none"/>
          <w14:textFill>
            <w14:solidFill>
              <w14:schemeClr w14:val="tx1"/>
            </w14:solidFill>
          </w14:textFill>
        </w:rPr>
        <w:t>开段会转为油基钻井</w:t>
      </w:r>
      <w:r>
        <w:rPr>
          <w:rFonts w:hint="eastAsia" w:cs="Times New Roman"/>
          <w:color w:val="000000" w:themeColor="text1"/>
          <w:highlight w:val="none"/>
          <w14:textFill>
            <w14:solidFill>
              <w14:schemeClr w14:val="tx1"/>
            </w14:solidFill>
          </w14:textFill>
        </w:rPr>
        <w:t>），不</w:t>
      </w:r>
      <w:r>
        <w:rPr>
          <w:rFonts w:cs="Times New Roman"/>
          <w:color w:val="000000" w:themeColor="text1"/>
          <w:highlight w:val="none"/>
          <w14:textFill>
            <w14:solidFill>
              <w14:schemeClr w14:val="tx1"/>
            </w14:solidFill>
          </w14:textFill>
        </w:rPr>
        <w:t>含重金属物质。泥浆循环系统主要包括钻井液振动筛、真空除气器、除砂器、除泥器，除砂除泥一体机、液气分离器、搅拌器、砂泵、泥浆罐等石油钻井固控设备及成套泥浆循环系统，泥浆循环系统，适用于油井、水井钻探中泥浆循环作业。箱体外壳均用钢板压制成型，外形美观，强度高。</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钻井泥浆泵经钻杆向井内注入高压钻井泥浆，通过钻头挤入井底，冲刷井底，将钻头切削下的岩屑不断地带至地面，通过泥浆循环系统实现泥浆与岩屑的分离，回收泥浆进入泥浆罐再利用。</w:t>
      </w:r>
      <w:bookmarkStart w:id="151" w:name="_Hlk150183604"/>
      <w:r>
        <w:rPr>
          <w:rFonts w:hint="eastAsia" w:cs="Times New Roman"/>
          <w:color w:val="000000" w:themeColor="text1"/>
          <w:highlight w:val="none"/>
          <w14:textFill>
            <w14:solidFill>
              <w14:schemeClr w14:val="tx1"/>
            </w14:solidFill>
          </w14:textFill>
        </w:rPr>
        <w:t>本项目钻井方式选用</w:t>
      </w:r>
      <w:r>
        <w:rPr>
          <w:rFonts w:hint="eastAsia" w:cs="Times New Roman"/>
          <w:color w:val="000000" w:themeColor="text1"/>
          <w:highlight w:val="none"/>
          <w:lang w:val="en-US" w:eastAsia="zh-CN"/>
          <w14:textFill>
            <w14:solidFill>
              <w14:schemeClr w14:val="tx1"/>
            </w14:solidFill>
          </w14:textFill>
        </w:rPr>
        <w:t>水基</w:t>
      </w:r>
      <w:r>
        <w:rPr>
          <w:rFonts w:hint="eastAsia" w:cs="Times New Roman"/>
          <w:color w:val="000000" w:themeColor="text1"/>
          <w:highlight w:val="none"/>
          <w14:textFill>
            <w14:solidFill>
              <w14:schemeClr w14:val="tx1"/>
            </w14:solidFill>
          </w14:textFill>
        </w:rPr>
        <w:t>钻井液体系，导管采用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cs="Times New Roman"/>
          <w:color w:val="000000" w:themeColor="text1"/>
          <w:highlight w:val="none"/>
          <w14:textFill>
            <w14:solidFill>
              <w14:schemeClr w14:val="tx1"/>
            </w14:solidFill>
          </w14:textFill>
        </w:rPr>
        <w:t>钻进</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一开采用</w:t>
      </w:r>
      <w:r>
        <w:rPr>
          <w:rFonts w:hint="eastAsia" w:cs="Times New Roman"/>
          <w:color w:val="000000" w:themeColor="text1"/>
          <w:highlight w:val="none"/>
          <w:lang w:eastAsia="zh-CN"/>
          <w14:textFill>
            <w14:solidFill>
              <w14:schemeClr w14:val="tx1"/>
            </w14:solidFill>
          </w14:textFill>
        </w:rPr>
        <w:t>***钻井液</w:t>
      </w:r>
      <w:r>
        <w:rPr>
          <w:rFonts w:cs="Times New Roman"/>
          <w:color w:val="000000" w:themeColor="text1"/>
          <w:highlight w:val="none"/>
          <w14:textFill>
            <w14:solidFill>
              <w14:schemeClr w14:val="tx1"/>
            </w14:solidFill>
          </w14:textFill>
        </w:rPr>
        <w:t>体系，二开采用</w:t>
      </w:r>
      <w:r>
        <w:rPr>
          <w:rFonts w:hint="eastAsia" w:cs="Times New Roman"/>
          <w:color w:val="000000" w:themeColor="text1"/>
          <w:highlight w:val="none"/>
          <w:lang w:eastAsia="zh-CN"/>
          <w14:textFill>
            <w14:solidFill>
              <w14:schemeClr w14:val="tx1"/>
            </w14:solidFill>
          </w14:textFill>
        </w:rPr>
        <w:t>***钻井液</w:t>
      </w:r>
      <w:r>
        <w:rPr>
          <w:rFonts w:hint="eastAsia" w:cs="Times New Roman"/>
          <w:color w:val="000000" w:themeColor="text1"/>
          <w:highlight w:val="none"/>
          <w14:textFill>
            <w14:solidFill>
              <w14:schemeClr w14:val="tx1"/>
            </w14:solidFill>
          </w14:textFill>
        </w:rPr>
        <w:t>体系</w:t>
      </w:r>
      <w:r>
        <w:rPr>
          <w:rFonts w:cs="Times New Roman"/>
          <w:color w:val="000000" w:themeColor="text1"/>
          <w:highlight w:val="none"/>
          <w14:textFill>
            <w14:solidFill>
              <w14:schemeClr w14:val="tx1"/>
            </w14:solidFill>
          </w14:textFill>
        </w:rPr>
        <w:t>，三开采用</w:t>
      </w:r>
      <w:bookmarkEnd w:id="151"/>
      <w:r>
        <w:rPr>
          <w:rFonts w:hint="eastAsia" w:cs="Times New Roman"/>
          <w:color w:val="000000" w:themeColor="text1"/>
          <w:highlight w:val="none"/>
          <w:lang w:eastAsia="zh-CN"/>
          <w14:textFill>
            <w14:solidFill>
              <w14:schemeClr w14:val="tx1"/>
            </w14:solidFill>
          </w14:textFill>
        </w:rPr>
        <w:t>油基钻井</w:t>
      </w:r>
      <w:r>
        <w:rPr>
          <w:rFonts w:cs="Times New Roman"/>
          <w:color w:val="000000" w:themeColor="text1"/>
          <w:highlight w:val="none"/>
          <w14:textFill>
            <w14:solidFill>
              <w14:schemeClr w14:val="tx1"/>
            </w14:solidFill>
          </w14:textFill>
        </w:rPr>
        <w:t>，有利于降低作业成本，减少对地层污染。钻井过程严格按照中国石油化工股份有限公司中原油田普光分公司钻井作业指导书进行，强化泥浆的循环利用率。完井后泥浆循环系统中产生的合格泥浆暂存在泥浆储备罐内，用于区域内其他井水基泥浆配置。钻井过程中产生的废弃泥浆通过现场泥浆不落地工艺进行固液分离，回收上清液用于泥浆配置，剩余废水定期由罐车拉运至</w:t>
      </w:r>
      <w:r>
        <w:rPr>
          <w:rFonts w:hint="eastAsia" w:cs="Times New Roman"/>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highlight w:val="none"/>
          <w14:textFill>
            <w14:solidFill>
              <w14:schemeClr w14:val="tx1"/>
            </w14:solidFill>
          </w14:textFill>
        </w:rPr>
        <w:t>管输至</w:t>
      </w:r>
      <w:r>
        <w:rPr>
          <w:rFonts w:hint="eastAsia" w:cs="Times New Roman"/>
          <w:color w:val="000000" w:themeColor="text1"/>
          <w:highlight w:val="none"/>
          <w:lang w:eastAsia="zh-CN"/>
          <w14:textFill>
            <w14:solidFill>
              <w14:schemeClr w14:val="tx1"/>
            </w14:solidFill>
          </w14:textFill>
        </w:rPr>
        <w:t>普光3井回注站</w:t>
      </w:r>
      <w:r>
        <w:rPr>
          <w:rFonts w:cs="Times New Roman"/>
          <w:color w:val="000000" w:themeColor="text1"/>
          <w:highlight w:val="none"/>
          <w14:textFill>
            <w14:solidFill>
              <w14:schemeClr w14:val="tx1"/>
            </w14:solidFill>
          </w14:textFill>
        </w:rPr>
        <w:t>回注，不外排；水基钻井固废及时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000000" w:themeColor="text1"/>
          <w:highlight w:val="none"/>
          <w:lang w:val="en-US" w:eastAsia="zh-CN"/>
          <w14:textFill>
            <w14:solidFill>
              <w14:schemeClr w14:val="tx1"/>
            </w14:solidFill>
          </w14:textFill>
        </w:rPr>
        <w:t>三开采用油基泥浆钻井后，对钻井固废暂存区进行改造防渗处理，</w:t>
      </w:r>
      <w:r>
        <w:rPr>
          <w:rFonts w:cs="Times New Roman"/>
          <w:color w:val="000000" w:themeColor="text1"/>
          <w:highlight w:val="none"/>
          <w14:textFill>
            <w14:solidFill>
              <w14:schemeClr w14:val="tx1"/>
            </w14:solidFill>
          </w14:textFill>
        </w:rPr>
        <w:t>危险废物暂存场所</w:t>
      </w:r>
      <w:r>
        <w:rPr>
          <w:rFonts w:hint="eastAsia" w:cs="Times New Roman"/>
          <w:color w:val="000000" w:themeColor="text1"/>
          <w:highlight w:val="none"/>
          <w:lang w:val="en-US" w:eastAsia="zh-CN"/>
          <w14:textFill>
            <w14:solidFill>
              <w14:schemeClr w14:val="tx1"/>
            </w14:solidFill>
          </w14:textFill>
        </w:rPr>
        <w:t>面积不小于</w:t>
      </w:r>
      <w:r>
        <w:rPr>
          <w:rFonts w:cs="Times New Roman"/>
          <w:color w:val="000000" w:themeColor="text1"/>
          <w:highlight w:val="none"/>
          <w14:textFill>
            <w14:solidFill>
              <w14:schemeClr w14:val="tx1"/>
            </w14:solidFill>
          </w14:textFill>
        </w:rPr>
        <w:t>60m</w:t>
      </w:r>
      <w:r>
        <w:rPr>
          <w:rFonts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vertAlign w:val="baseline"/>
          <w:lang w:eastAsia="zh-CN"/>
          <w14:textFill>
            <w14:solidFill>
              <w14:schemeClr w14:val="tx1"/>
            </w14:solidFill>
          </w14:textFill>
        </w:rPr>
        <w:t>，</w:t>
      </w:r>
      <w:r>
        <w:rPr>
          <w:rFonts w:cs="Times New Roman"/>
          <w:color w:val="000000" w:themeColor="text1"/>
          <w:highlight w:val="none"/>
          <w14:textFill>
            <w14:solidFill>
              <w14:schemeClr w14:val="tx1"/>
            </w14:solidFill>
          </w14:textFill>
        </w:rPr>
        <w:t>油基钻井废泥浆、岩屑暂存于新建的60m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危险废物暂存场所（采取必要的防风、防晒、防雨、防漏、防渗、防腐以及其他环境污染防治措施，不得露天堆放危险废物），泥浆和油基钻井岩屑</w:t>
      </w:r>
      <w:r>
        <w:rPr>
          <w:rFonts w:hint="eastAsia" w:cs="Times New Roman"/>
          <w:color w:val="000000" w:themeColor="text1"/>
          <w:highlight w:val="none"/>
          <w:lang w:eastAsia="zh-CN"/>
          <w14:textFill>
            <w14:solidFill>
              <w14:schemeClr w14:val="tx1"/>
            </w14:solidFill>
          </w14:textFill>
        </w:rPr>
        <w:t>及时</w:t>
      </w:r>
      <w:r>
        <w:rPr>
          <w:rFonts w:cs="Times New Roman"/>
          <w:color w:val="000000" w:themeColor="text1"/>
          <w:highlight w:val="none"/>
          <w14:textFill>
            <w14:solidFill>
              <w14:schemeClr w14:val="tx1"/>
            </w14:solidFill>
          </w14:textFill>
        </w:rPr>
        <w:t>交由有资质的单位处置。</w:t>
      </w:r>
      <w:bookmarkEnd w:id="150"/>
      <w:r>
        <w:rPr>
          <w:rFonts w:hint="eastAsia" w:cs="Times New Roman"/>
          <w:color w:val="000000" w:themeColor="text1"/>
          <w:highlight w:val="none"/>
          <w:lang w:val="en-US" w:eastAsia="zh-CN"/>
          <w14:textFill>
            <w14:solidFill>
              <w14:schemeClr w14:val="tx1"/>
            </w14:solidFill>
          </w14:textFill>
        </w:rPr>
        <w:t>本次环评要求，</w:t>
      </w:r>
      <w:r>
        <w:rPr>
          <w:rFonts w:cs="Times New Roman"/>
          <w:color w:val="000000" w:themeColor="text1"/>
          <w:highlight w:val="none"/>
          <w14:textFill>
            <w14:solidFill>
              <w14:schemeClr w14:val="tx1"/>
            </w14:solidFill>
          </w14:textFill>
        </w:rPr>
        <w:t>危险废物暂存场所</w:t>
      </w:r>
      <w:r>
        <w:rPr>
          <w:rFonts w:hint="eastAsia" w:cs="Times New Roman"/>
          <w:color w:val="000000" w:themeColor="text1"/>
          <w:highlight w:val="none"/>
          <w:lang w:val="en-US" w:eastAsia="zh-CN"/>
          <w14:textFill>
            <w14:solidFill>
              <w14:schemeClr w14:val="tx1"/>
            </w14:solidFill>
          </w14:textFill>
        </w:rPr>
        <w:t>应按照</w:t>
      </w:r>
      <w:r>
        <w:rPr>
          <w:rFonts w:hint="eastAsia" w:ascii="Times New Roman" w:hAnsi="Times New Roman"/>
          <w:bCs/>
          <w:color w:val="000000" w:themeColor="text1"/>
          <w:sz w:val="24"/>
          <w:highlight w:val="none"/>
          <w:lang w:eastAsia="zh-CN"/>
          <w14:textFill>
            <w14:solidFill>
              <w14:schemeClr w14:val="tx1"/>
            </w14:solidFill>
          </w14:textFill>
        </w:rPr>
        <w:t>《危险废物贮存污染控制标准》（GB18597-2023）中贮存场进行</w:t>
      </w:r>
      <w:r>
        <w:rPr>
          <w:rFonts w:hint="eastAsia"/>
          <w:bCs/>
          <w:color w:val="000000" w:themeColor="text1"/>
          <w:sz w:val="24"/>
          <w:highlight w:val="none"/>
          <w:lang w:val="en-US" w:eastAsia="zh-CN"/>
          <w14:textFill>
            <w14:solidFill>
              <w14:schemeClr w14:val="tx1"/>
            </w14:solidFill>
          </w14:textFill>
        </w:rPr>
        <w:t>建设管理，在</w:t>
      </w:r>
      <w:r>
        <w:rPr>
          <w:rFonts w:cs="Times New Roman"/>
          <w:color w:val="000000" w:themeColor="text1"/>
          <w:highlight w:val="none"/>
          <w14:textFill>
            <w14:solidFill>
              <w14:schemeClr w14:val="tx1"/>
            </w14:solidFill>
          </w14:textFill>
        </w:rPr>
        <w:t>危险废物暂存场所</w:t>
      </w:r>
      <w:r>
        <w:rPr>
          <w:rFonts w:hint="eastAsia" w:cs="Times New Roman"/>
          <w:color w:val="000000" w:themeColor="text1"/>
          <w:highlight w:val="none"/>
          <w:lang w:val="en-US" w:eastAsia="zh-CN"/>
          <w14:textFill>
            <w14:solidFill>
              <w14:schemeClr w14:val="tx1"/>
            </w14:solidFill>
          </w14:textFill>
        </w:rPr>
        <w:t>建成后方可开始使用油基泥浆钻井。</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w:t>
      </w:r>
      <w:r>
        <w:rPr>
          <w:rFonts w:hint="eastAsia" w:cs="Times New Roman"/>
          <w:color w:val="000000" w:themeColor="text1"/>
          <w:highlight w:val="none"/>
          <w14:textFill>
            <w14:solidFill>
              <w14:schemeClr w14:val="tx1"/>
            </w14:solidFill>
          </w14:textFill>
        </w:rPr>
        <w:t>清洁化操作工艺</w:t>
      </w:r>
    </w:p>
    <w:p>
      <w:pPr>
        <w:ind w:firstLine="480"/>
        <w:rPr>
          <w:rFonts w:cs="Times New Roman"/>
          <w:color w:val="000000" w:themeColor="text1"/>
          <w:highlight w:val="none"/>
          <w14:textFill>
            <w14:solidFill>
              <w14:schemeClr w14:val="tx1"/>
            </w14:solidFill>
          </w14:textFill>
        </w:rPr>
      </w:pPr>
      <w:bookmarkStart w:id="152" w:name="_Hlk107412190"/>
      <w:r>
        <w:rPr>
          <w:rFonts w:hint="eastAsia" w:cs="Times New Roman"/>
          <w:color w:val="000000" w:themeColor="text1"/>
          <w:highlight w:val="none"/>
          <w14:textFill>
            <w14:solidFill>
              <w14:schemeClr w14:val="tx1"/>
            </w14:solidFill>
          </w14:textFill>
        </w:rPr>
        <w:t>由于钻井工程按照清洁化生产方案组织钻井施工，实施的清洁生产分为收集、处理系统两部分，主要对钻井过程产生的废泥浆及岩屑实时处理、设备冲洗废水实时处理和场地雨水收集处理排放，</w:t>
      </w:r>
      <w:r>
        <w:rPr>
          <w:rFonts w:cs="Times New Roman"/>
          <w:color w:val="000000" w:themeColor="text1"/>
          <w:highlight w:val="none"/>
          <w14:textFill>
            <w14:solidFill>
              <w14:schemeClr w14:val="tx1"/>
            </w14:solidFill>
          </w14:textFill>
        </w:rPr>
        <w:t>随钻不落地处置工艺流程图</w:t>
      </w:r>
      <w:bookmarkEnd w:id="152"/>
      <w:r>
        <w:rPr>
          <w:rFonts w:cs="Times New Roman"/>
          <w:color w:val="000000" w:themeColor="text1"/>
          <w:highlight w:val="none"/>
          <w14:textFill>
            <w14:solidFill>
              <w14:schemeClr w14:val="tx1"/>
            </w14:solidFill>
          </w14:textFill>
        </w:rPr>
        <w:t>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_Ref142906909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9</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4951095" cy="2962910"/>
            <wp:effectExtent l="0" t="0" r="190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954187" cy="2964762"/>
                    </a:xfrm>
                    <a:prstGeom prst="rect">
                      <a:avLst/>
                    </a:prstGeom>
                  </pic:spPr>
                </pic:pic>
              </a:graphicData>
            </a:graphic>
          </wp:inline>
        </w:drawing>
      </w:r>
    </w:p>
    <w:p>
      <w:pPr>
        <w:pStyle w:val="163"/>
        <w:rPr>
          <w:color w:val="000000" w:themeColor="text1"/>
          <w:highlight w:val="none"/>
          <w14:textFill>
            <w14:solidFill>
              <w14:schemeClr w14:val="tx1"/>
            </w14:solidFill>
          </w14:textFill>
        </w:rPr>
      </w:pPr>
      <w:bookmarkStart w:id="153" w:name="_Ref142906909"/>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bookmarkEnd w:id="15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随钻不落地处置工艺（清洁化操作）流程图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随钻不落地处理工艺含泥浆不落地装置一套，占地面积310m</w:t>
      </w:r>
      <w:r>
        <w:rPr>
          <w:rFonts w:hint="eastAsia"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。主要包含40m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废水罐4个；20m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岩屑固化罐4个；3m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岩屑收集罐8个；</w:t>
      </w:r>
      <w:r>
        <w:rPr>
          <w:rFonts w:hint="eastAsia" w:cs="Times New Roman"/>
          <w:color w:val="000000" w:themeColor="text1"/>
          <w:highlight w:val="none"/>
          <w:lang w:val="en-US" w:eastAsia="zh-CN"/>
          <w14:textFill>
            <w14:solidFill>
              <w14:schemeClr w14:val="tx1"/>
            </w14:solidFill>
          </w14:textFill>
        </w:rPr>
        <w:t>材料</w:t>
      </w:r>
      <w:r>
        <w:rPr>
          <w:rFonts w:cs="Times New Roman"/>
          <w:color w:val="000000" w:themeColor="text1"/>
          <w:highlight w:val="none"/>
          <w14:textFill>
            <w14:solidFill>
              <w14:schemeClr w14:val="tx1"/>
            </w14:solidFill>
          </w14:textFill>
        </w:rPr>
        <w:t>区。</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①泥浆循环及岩屑处理清洁生产方案</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在清水及水基泥浆钻井过程中，仅泥浆参与钻井循环带动钻头不断钻进地层，井下岩屑也随钻井泥浆一并返排地面，返排泥浆经钻井泥浆循环系统自带的振动筛分、除砂分离后分离成三部分：</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A可循环利用钻井泥浆：直接再次进入泥浆循环系统，重复利用于钻井作业，减少钻井泥浆的调配量；</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B废泥浆：泥浆循环系统分离产生的废泥浆（失效泥浆），通过螺旋输送装置输送进收集罐，收集后叉车转运至井场旁的清洁生产操作平台再次进行脱水处理，脱水产生的废水经固化操作平台内的废水处理罐混凝沉淀处理后，上清液重复利用于钻井泥浆现场调配生产用水，下部沉淀污泥和脱水后的泥浆由叉车转运至固化罐进行固化后，就近交给依法取得生态环境部门关于利用和处置相关工业固体废物项目环评批复、具有处理处置相应固体废物能力并配套建设有废气、废水、固废等污染物治理设施的单位进行资源化利用；</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C钻井岩屑：振动筛分分离产生的岩屑离由螺旋输送装置输送进岩屑收集罐，收集后叉车转运至井场旁的清洁生产操作平台固化罐进行固化。岩屑经固化罐进行固化后，前期</w:t>
      </w:r>
      <w:r>
        <w:rPr>
          <w:rFonts w:hint="eastAsia" w:cs="Times New Roman"/>
          <w:color w:val="000000" w:themeColor="text1"/>
          <w:highlight w:val="none"/>
          <w:lang w:val="en-US" w:eastAsia="zh-CN"/>
          <w14:textFill>
            <w14:solidFill>
              <w14:schemeClr w14:val="tx1"/>
            </w14:solidFill>
          </w14:textFill>
        </w:rPr>
        <w:t>水基</w:t>
      </w:r>
      <w:r>
        <w:rPr>
          <w:rFonts w:hint="eastAsia" w:cs="Times New Roman"/>
          <w:color w:val="000000" w:themeColor="text1"/>
          <w:highlight w:val="none"/>
          <w14:textFill>
            <w14:solidFill>
              <w14:schemeClr w14:val="tx1"/>
            </w14:solidFill>
          </w14:textFill>
        </w:rPr>
        <w:t>钻井产生的水基岩屑就近交给依法取得生态环境部门关于利用和处置相关工业固体废物项目环评批复、具有处理处置相应固体废物能力并配套建设有废气、废水、固废等污染物治理设施的单位进行资源化利用。油基泥浆钻井过程中，油基泥浆钻井阶段产生的含油岩屑经振动筛分离产生的岩屑由钢体收集桶收集后叉车转运至清洁生产操作平台内的岩屑存放区采用岩屑罐（刚体罐）暂存，定期交由有危废处理资质单位处理。</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水基泥浆、岩屑固化工艺：泥浆、岩屑通过机械设备进行脱水。固化剂包括传统固化剂、聚合氯化铝、石灰等不含Fe、Mg离子的碱性药剂。固液分离后含水率小于等于60%的固相转运至岩屑堆放区暂存，定期就近交给依法取得生态环境部门关于利用和处置相关工业固体废物项目环评批复、具有处理处置相应固体废物能力并配套建设有废气、废水、固废等污染物治理设施的单位进行资源化利用，含水率高于60%的部分则再次进行固化处理，直至含水率降低至60%以下。固化预处理使用一般水基钻屑固化剂，处置过程中应控制Ca离子的掺入，包括硅酸盐水泥或含Ca离子为主的固化剂，使用此类药剂时，其与水基钻屑质量比应控制在4%以内。分离出的液相导入其它暂存罐收集，达到回用要求的液相抽至井队配浆罐回用，达不到回用要求的液相暂存于暂存罐，外运处置。钻井废弃物通过上述脱水工艺处理后，固相含水率≤60%，转运外委处置。</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②油基泥浆循环及岩屑处理清洁生产方案</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油基钻井作业：本项目三开段可能采用油基钻井液钻井，钻井过程中以钻井液作为载体将岩屑带至地面，返排钻井液与岩屑混合物经钻井液循环处理系统固液分离实现钻井液的循环利用，分离的固相（钻井岩屑）进入油基钻井液清洁化生产随钻处理系统处理。油基钻井液清洁化生产随钻处理系统由收集油基钻井液钻井污染物清洁生产随钻处理系统单元、输送装置（螺旋输送机）、脱油装置（油基岩屑和废弃油基钻井泥浆甩干机1套）三部分组成，实现对油基岩屑和废弃油基钻井泥浆和钻井废水等污染物的随钻处理。</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清洁生产随钻处理系统工艺步骤：钻井液循环处理系统分离的油基钻井岩屑（振动筛和除砂器、除泥器分离的岩屑）收集后通过螺旋输送机送入油基岩屑和废弃油基钻井泥浆甩干机处理，甩干后的干岩屑通过岩屑收集罐和储存罐收集，暂存在清洁化操作平台，及时交有资质单位外运处置，甩干机分离后的液体钻井液进入钻井液循环系统重新用于钻井。</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清洁生产随钻处理系统分离后的油基岩屑和废弃油基钻井泥浆，转移至清洁化操作平台岩屑堆放区（按危废贮存场地采取防渗、防扩散、防流失措施）暂存，及时交由危废处置资质单位妥善处置。</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4）测井、取心、录井</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测井是把利用电、磁、声、热、核等物理原理制造的各种测井仪器，由测井电缆下入井内，使地面电测仪可沿着井筒连续记录随深度变化的各种参数。通过表示这类参数的曲线，来识别地下的岩层，如油、气、水层、煤层、金属矿床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取心是在钻井过程中使用特殊的取心工具把地下岩石成块地取到地面上来，这种成块的岩石叫做岩心，通过它可以测定岩石的各种性质，直观地研究地下</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和岩石沉积环境，了解其中的流体性质等。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录井是根据</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"http://baike.baidu.com/view/1231512.htm" \t "_blank" </w:instrText>
      </w:r>
      <w:r>
        <w:rPr>
          <w:color w:val="000000" w:themeColor="text1"/>
          <w:highlight w:val="none"/>
          <w14:textFill>
            <w14:solidFill>
              <w14:schemeClr w14:val="tx1"/>
            </w14:solidFill>
          </w14:textFill>
        </w:rPr>
        <w:fldChar w:fldCharType="separate"/>
      </w:r>
      <w:r>
        <w:rPr>
          <w:rFonts w:cs="Times New Roman"/>
          <w:color w:val="000000" w:themeColor="text1"/>
          <w:szCs w:val="24"/>
          <w:highlight w:val="none"/>
          <w14:textFill>
            <w14:solidFill>
              <w14:schemeClr w14:val="tx1"/>
            </w14:solidFill>
          </w14:textFill>
        </w:rPr>
        <w:t>测井</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数据、现场录井数据及综合分析化验数据进行岩性解释、归位，确定含油、气、水产状。</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测井、取心、录井主要就是取样分析地质等情况，该过程基本不涉及污染物。</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5）固井作业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固井是钻井达到预定深度后，下入套管并注入水泥浆，封固套管和井壁之间的环形空间的作业。固井的主要目的是封隔疏松的易塌、易漏地层；封隔油、气、水层，防止互相窜漏。固井作业的主要设备有水泥车、下灰罐车、混合漏斗和其他附属设备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固井是钻井过程中的重要作业，最上面的固井是</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"http://baike.baidu.com/view/2376304.htm" \t "_blank" </w:instrText>
      </w:r>
      <w:r>
        <w:rPr>
          <w:color w:val="000000" w:themeColor="text1"/>
          <w:highlight w:val="none"/>
          <w14:textFill>
            <w14:solidFill>
              <w14:schemeClr w14:val="tx1"/>
            </w14:solidFill>
          </w14:textFill>
        </w:rPr>
        <w:fldChar w:fldCharType="separate"/>
      </w:r>
      <w:r>
        <w:rPr>
          <w:rFonts w:cs="Times New Roman"/>
          <w:color w:val="000000" w:themeColor="text1"/>
          <w:szCs w:val="24"/>
          <w:highlight w:val="none"/>
          <w14:textFill>
            <w14:solidFill>
              <w14:schemeClr w14:val="tx1"/>
            </w14:solidFill>
          </w14:textFill>
        </w:rPr>
        <w:t>表层套管</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固井，它起的是</w:t>
      </w:r>
      <w:r>
        <w:rPr>
          <w:rFonts w:ascii="宋体" w:hAnsi="宋体" w:cs="Times New Roman"/>
          <w:color w:val="000000" w:themeColor="text1"/>
          <w:szCs w:val="24"/>
          <w:highlight w:val="none"/>
          <w14:textFill>
            <w14:solidFill>
              <w14:schemeClr w14:val="tx1"/>
            </w14:solidFill>
          </w14:textFill>
        </w:rPr>
        <w:t>“泥浆通路，油气门户”</w:t>
      </w:r>
      <w:r>
        <w:rPr>
          <w:rFonts w:cs="Times New Roman"/>
          <w:color w:val="000000" w:themeColor="text1"/>
          <w:szCs w:val="24"/>
          <w:highlight w:val="none"/>
          <w14:textFill>
            <w14:solidFill>
              <w14:schemeClr w14:val="tx1"/>
            </w14:solidFill>
          </w14:textFill>
        </w:rPr>
        <w:t>的作用。在下一次开钻之前，表层套管上要装防喷器预防井喷。防喷器之上要装泥浆导管，是</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"http://baike.baidu.com/view/94622.htm" \t "_blank" </w:instrText>
      </w:r>
      <w:r>
        <w:rPr>
          <w:color w:val="000000" w:themeColor="text1"/>
          <w:highlight w:val="none"/>
          <w14:textFill>
            <w14:solidFill>
              <w14:schemeClr w14:val="tx1"/>
            </w14:solidFill>
          </w14:textFill>
        </w:rPr>
        <w:fldChar w:fldCharType="separate"/>
      </w:r>
      <w:r>
        <w:rPr>
          <w:rFonts w:cs="Times New Roman"/>
          <w:color w:val="000000" w:themeColor="text1"/>
          <w:szCs w:val="24"/>
          <w:highlight w:val="none"/>
          <w14:textFill>
            <w14:solidFill>
              <w14:schemeClr w14:val="tx1"/>
            </w14:solidFill>
          </w14:textFill>
        </w:rPr>
        <w:t>钻井液</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返回泥浆池的通路。钻井过程中往往要下技术套管固井，它</w:t>
      </w:r>
      <w:r>
        <w:rPr>
          <w:rFonts w:hint="eastAsia" w:ascii="宋体" w:hAnsi="宋体" w:eastAsia="宋体" w:cs="宋体"/>
          <w:color w:val="000000" w:themeColor="text1"/>
          <w:szCs w:val="24"/>
          <w:highlight w:val="none"/>
          <w14:textFill>
            <w14:solidFill>
              <w14:schemeClr w14:val="tx1"/>
            </w14:solidFill>
          </w14:textFill>
        </w:rPr>
        <w:t>起的是“巩固后方，安全探路”的作用。和公路的隧道、煤矿中的巷道一样，钻井过程中也会遇到井塌、高压和不稳定的地层，同时也是为了在向前“探路”中遇险有个退路，起到“救助”的作用</w:t>
      </w:r>
      <w:r>
        <w:rPr>
          <w:rFonts w:cs="Times New Roman"/>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固井主要是注入水泥，基本无污染物产生，固井过程分为三步如下：</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下套管：套管有不同的尺寸和钢级。根据用途、地层预测压力和套管下入深度设计套管的强度，确定套管的使用壁厚，钢级和丝扣类型。套管与钻杆不同，是一次性下入的管材，没有加厚部分，长度没有严格规定。为保证固井质量和顺利地下入套管，要做套管柱的结构设计。</w:t>
      </w:r>
      <w:bookmarkStart w:id="154" w:name="4_2"/>
      <w:bookmarkEnd w:id="154"/>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注水泥：是套管下入井后的关键工序，其作用是将套管和井壁的环形空间封固起来，以封隔油气水层，使套管成为油气通向井中的通道。</w:t>
      </w:r>
      <w:bookmarkStart w:id="155" w:name="4_3"/>
      <w:bookmarkEnd w:id="155"/>
      <w:bookmarkStart w:id="156" w:name="4_5"/>
      <w:bookmarkEnd w:id="156"/>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井口安装和套管试压，下套管注水泥之后，在水泥凝固期间就要安装井口。表层套管的顶端要安套管头的壳体。各层套管的顶端都挂在套管头内，套管头主要用来支撑技术套管和油层套管的重量，这对</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"http://baike.baidu.com/view/2326697.htm" \t "_blank" </w:instrText>
      </w:r>
      <w:r>
        <w:rPr>
          <w:color w:val="000000" w:themeColor="text1"/>
          <w:highlight w:val="none"/>
          <w14:textFill>
            <w14:solidFill>
              <w14:schemeClr w14:val="tx1"/>
            </w14:solidFill>
          </w14:textFill>
        </w:rPr>
        <w:fldChar w:fldCharType="separate"/>
      </w:r>
      <w:r>
        <w:rPr>
          <w:rFonts w:cs="Times New Roman"/>
          <w:color w:val="000000" w:themeColor="text1"/>
          <w:szCs w:val="24"/>
          <w:highlight w:val="none"/>
          <w14:textFill>
            <w14:solidFill>
              <w14:schemeClr w14:val="tx1"/>
            </w14:solidFill>
          </w14:textFill>
        </w:rPr>
        <w:t>固井水泥</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未返至地面尤为重要。套管头还用来密封套管间的环形空间，防止压力互窜。套管头还是防喷器、油管头的过渡连接。陆地上使用的套管头上还有两个侧口，可以进行补挤水泥、监控井况、注平衡液等作业。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套管试压是检查固井质量的重要组成部分。安装好套管头和接好防喷器及防喷管线后，要做套管头密封的耐压力检查，和与防喷器联接的密封试压。探套管内水泥塞后要做套管柱的压力检验，钻穿套管鞋5～10m后（表层套管）要做地层压裂试验。固井后要用声波检测固井质量。固井质量的全部指标合格后，才能进入到下一个作业程序。</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（2）钻完井工程产污环节分析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钻井期间主要的环境影响因素是备用柴油机运行产生的废气，钻井、起下钻和固井作业等产生的钻井废水，机械设备运转时产生的噪声，以及钻井固废、废弃泥浆、废油</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废含油手套和抹布</w:t>
      </w:r>
      <w:r>
        <w:rPr>
          <w:rFonts w:cs="Times New Roman"/>
          <w:bCs/>
          <w:color w:val="000000" w:themeColor="text1"/>
          <w:szCs w:val="24"/>
          <w:highlight w:val="none"/>
          <w14:textFill>
            <w14:solidFill>
              <w14:schemeClr w14:val="tx1"/>
            </w14:solidFill>
          </w14:textFill>
        </w:rPr>
        <w:t>等固体废物。</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储层改造工程</w:t>
      </w:r>
    </w:p>
    <w:p>
      <w:pPr>
        <w:ind w:firstLine="48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w:t>
      </w:r>
      <w:r>
        <w:rPr>
          <w:rFonts w:hint="eastAsia" w:ascii="Times New Roman" w:hAnsi="Times New Roman" w:cs="Times New Roman"/>
          <w:b/>
          <w:bCs/>
          <w:color w:val="000000" w:themeColor="text1"/>
          <w:highlight w:val="none"/>
          <w:lang w:val="en-US" w:eastAsia="zh-CN"/>
          <w14:textFill>
            <w14:solidFill>
              <w14:schemeClr w14:val="tx1"/>
            </w14:solidFill>
          </w14:textFill>
        </w:rPr>
        <w:t>储层改造</w:t>
      </w:r>
      <w:r>
        <w:rPr>
          <w:rFonts w:hint="default" w:ascii="Times New Roman" w:hAnsi="Times New Roman" w:cs="Times New Roman"/>
          <w:b/>
          <w:bCs/>
          <w:color w:val="000000" w:themeColor="text1"/>
          <w:highlight w:val="none"/>
          <w14:textFill>
            <w14:solidFill>
              <w14:schemeClr w14:val="tx1"/>
            </w14:solidFill>
          </w14:textFill>
        </w:rPr>
        <w:t>工程工艺流程简述</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w:t>
      </w:r>
      <w:r>
        <w:rPr>
          <w:rFonts w:hint="eastAsia" w:cs="Times New Roman"/>
          <w:color w:val="000000" w:themeColor="text1"/>
          <w:szCs w:val="24"/>
          <w:highlight w:val="none"/>
          <w14:textFill>
            <w14:solidFill>
              <w14:schemeClr w14:val="tx1"/>
            </w14:solidFill>
          </w14:textFill>
        </w:rPr>
        <w:t>一口</w:t>
      </w:r>
      <w:r>
        <w:rPr>
          <w:rFonts w:cs="Times New Roman"/>
          <w:color w:val="000000" w:themeColor="text1"/>
          <w:szCs w:val="24"/>
          <w:highlight w:val="none"/>
          <w14:textFill>
            <w14:solidFill>
              <w14:schemeClr w14:val="tx1"/>
            </w14:solidFill>
          </w14:textFill>
        </w:rPr>
        <w:t>井完钻后</w:t>
      </w:r>
      <w:r>
        <w:rPr>
          <w:rFonts w:hint="eastAsia" w:cs="Times New Roman"/>
          <w:color w:val="000000" w:themeColor="text1"/>
          <w:szCs w:val="24"/>
          <w:highlight w:val="none"/>
          <w14:textFill>
            <w14:solidFill>
              <w14:schemeClr w14:val="tx1"/>
            </w14:solidFill>
          </w14:textFill>
        </w:rPr>
        <w:t>进行</w:t>
      </w:r>
      <w:r>
        <w:rPr>
          <w:rFonts w:cs="Times New Roman"/>
          <w:color w:val="000000" w:themeColor="text1"/>
          <w:szCs w:val="24"/>
          <w:highlight w:val="none"/>
          <w14:textFill>
            <w14:solidFill>
              <w14:schemeClr w14:val="tx1"/>
            </w14:solidFill>
          </w14:textFill>
        </w:rPr>
        <w:t>完井测试，按照本项目钻井设计，钻井中途不测试，仅在钻至目的层时测试放喷求产。完井作业包括洗井、射孔、压裂、测试放喷等过程。其中酸化压裂和测试放喷是最主要工序，也是主要产生污染物排放的工艺环节。</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洗井作业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当钻至目的层后，首先是进行洗井作业，采用碱水进行洗井作业，洗井作业首先在井筒内下入洗井管柱，洗井液由井筒注入清洗井壁，清洗后通过位于井底的返液口经洗井管柱返回地面。该环节的主要污染物为返回地面的洗井废水。</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射孔作业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洗净作业完成后，将进行射孔作业，射孔完井是指下入油层套管封固产层后再用射孔弹将套管、水泥环、部分产层射穿，形成油气流通通道。射穿产层后油气井的生产能力受产层压力、产层性质和射孔参数及质量影响。</w:t>
      </w:r>
      <w:r>
        <w:rPr>
          <w:rFonts w:ascii="Times New Roman" w:hAnsi="Times New Roman"/>
          <w:color w:val="000000" w:themeColor="text1"/>
          <w:sz w:val="24"/>
          <w:highlight w:val="none"/>
          <w:lang w:eastAsia="zh-CN"/>
          <w14:textFill>
            <w14:solidFill>
              <w14:schemeClr w14:val="tx1"/>
            </w14:solidFill>
          </w14:textFill>
        </w:rPr>
        <w:t>首段设计采用连续油管射孔，后续采用泵送</w:t>
      </w:r>
      <w:r>
        <w:rPr>
          <w:rFonts w:hint="eastAsia"/>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lang w:eastAsia="zh-CN"/>
          <w14:textFill>
            <w14:solidFill>
              <w14:schemeClr w14:val="tx1"/>
            </w14:solidFill>
          </w14:textFill>
        </w:rPr>
        <w:t>联作工艺。</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下完井管柱</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lang w:eastAsia="zh-CN"/>
          <w14:textFill>
            <w14:solidFill>
              <w14:schemeClr w14:val="tx1"/>
            </w14:solidFill>
          </w14:textFill>
        </w:rPr>
        <w:t>连油扫塞后，采用不压井作业模式，带压下入生产管柱。</w:t>
      </w:r>
    </w:p>
    <w:p>
      <w:pPr>
        <w:ind w:firstLine="480"/>
        <w:rPr>
          <w:rFonts w:cs="Times New Roman"/>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④</w:t>
      </w:r>
      <w:r>
        <w:rPr>
          <w:rFonts w:cs="Times New Roman"/>
          <w:color w:val="000000" w:themeColor="text1"/>
          <w:sz w:val="24"/>
          <w:szCs w:val="24"/>
          <w:highlight w:val="none"/>
          <w14:textFill>
            <w14:solidFill>
              <w14:schemeClr w14:val="tx1"/>
            </w14:solidFill>
          </w14:textFill>
        </w:rPr>
        <w:t>压裂作业</w:t>
      </w:r>
    </w:p>
    <w:p>
      <w:pPr>
        <w:ind w:firstLine="480"/>
        <w:rPr>
          <w:rFonts w:cs="Times New Roman"/>
          <w:color w:val="000000" w:themeColor="text1"/>
          <w:sz w:val="24"/>
          <w:szCs w:val="24"/>
          <w:highlight w:val="none"/>
          <w14:textFill>
            <w14:solidFill>
              <w14:schemeClr w14:val="tx1"/>
            </w14:solidFill>
          </w14:textFill>
        </w:rPr>
      </w:pPr>
      <w:r>
        <w:rPr>
          <w:rFonts w:cs="Times New Roman"/>
          <w:color w:val="000000" w:themeColor="text1"/>
          <w:sz w:val="24"/>
          <w:szCs w:val="24"/>
          <w:highlight w:val="none"/>
          <w14:textFill>
            <w14:solidFill>
              <w14:schemeClr w14:val="tx1"/>
            </w14:solidFill>
          </w14:textFill>
        </w:rPr>
        <w:t>压裂是指在井筒中形成高压迫使地层形成裂缝的施工过程。本项目</w:t>
      </w:r>
      <w:r>
        <w:rPr>
          <w:rFonts w:cs="Times New Roman"/>
          <w:color w:val="000000" w:themeColor="text1"/>
          <w:sz w:val="24"/>
          <w:szCs w:val="24"/>
          <w:highlight w:val="none"/>
          <w:lang w:eastAsia="zh-CN"/>
          <w14:textFill>
            <w14:solidFill>
              <w14:schemeClr w14:val="tx1"/>
            </w14:solidFill>
          </w14:textFill>
        </w:rPr>
        <w:t>采</w:t>
      </w:r>
      <w:r>
        <w:rPr>
          <w:rFonts w:hint="eastAsia" w:ascii="宋体" w:hAnsi="宋体" w:eastAsia="宋体" w:cs="宋体"/>
          <w:color w:val="000000" w:themeColor="text1"/>
          <w:sz w:val="24"/>
          <w:szCs w:val="24"/>
          <w:highlight w:val="none"/>
          <w:lang w:eastAsia="zh-CN"/>
          <w14:textFill>
            <w14:solidFill>
              <w14:schemeClr w14:val="tx1"/>
            </w14:solidFill>
          </w14:textFill>
        </w:rPr>
        <w:t>用</w:t>
      </w:r>
      <w:r>
        <w:rPr>
          <w:rFonts w:hint="eastAsia" w:ascii="宋体" w:hAnsi="宋体" w:cs="宋体"/>
          <w:color w:val="000000" w:themeColor="text1"/>
          <w:sz w:val="24"/>
          <w:szCs w:val="24"/>
          <w:highlight w:val="none"/>
          <w:lang w:eastAsia="zh-CN"/>
          <w14:textFill>
            <w14:solidFill>
              <w14:schemeClr w14:val="tx1"/>
            </w14:solidFill>
          </w14:textFill>
        </w:rPr>
        <w:t>桥塞分段、***体积压裂工艺</w:t>
      </w:r>
      <w:r>
        <w:rPr>
          <w:rFonts w:cs="Times New Roman"/>
          <w:color w:val="000000" w:themeColor="text1"/>
          <w:sz w:val="24"/>
          <w:szCs w:val="24"/>
          <w:highlight w:val="none"/>
          <w:lang w:eastAsia="zh-CN"/>
          <w14:textFill>
            <w14:solidFill>
              <w14:schemeClr w14:val="tx1"/>
            </w14:solidFill>
          </w14:textFill>
        </w:rPr>
        <w:t>模式，</w:t>
      </w:r>
      <w:r>
        <w:rPr>
          <w:rFonts w:cs="Times New Roman"/>
          <w:color w:val="000000" w:themeColor="text1"/>
          <w:sz w:val="24"/>
          <w:szCs w:val="24"/>
          <w:highlight w:val="none"/>
          <w14:textFill>
            <w14:solidFill>
              <w14:schemeClr w14:val="tx1"/>
            </w14:solidFill>
          </w14:textFill>
        </w:rPr>
        <w:t>形成具有一定几何尺寸和导流能力的人工裂缝，以达到增产的目的。</w:t>
      </w:r>
    </w:p>
    <w:p>
      <w:pPr>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压裂作业在白天进行，压裂液泵入时间约2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3小时，参与作业的压裂车8台（4用4备），压裂液的主要原料是清水、稀盐酸及一些外加剂如硼砂等。受压力作用，压裂过程会产生压裂返排液，返排周期为3天～5天。</w:t>
      </w:r>
    </w:p>
    <w:p>
      <w:pPr>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该环节产生的污染物主要为压裂作业设备产生的噪声及返排出的压裂液。压裂作业过程及压裂液使用流程见</w:t>
      </w: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 REF _Ref142597368 \h  \* MERGEFORMAT </w:instrText>
      </w:r>
      <w:r>
        <w:rPr>
          <w:rFonts w:hint="default" w:ascii="Times New Roman" w:hAnsi="Times New Roman"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cs="Times New Roman"/>
          <w:color w:val="000000" w:themeColor="text1"/>
          <w:sz w:val="24"/>
          <w:szCs w:val="24"/>
          <w:highlight w:val="none"/>
          <w14:textFill>
            <w14:solidFill>
              <w14:schemeClr w14:val="tx1"/>
            </w14:solidFill>
          </w14:textFill>
        </w:rPr>
        <w:t>图</w:t>
      </w:r>
      <w:r>
        <w:rPr>
          <w:rFonts w:hint="default" w:ascii="Times New Roman" w:hAnsi="Times New Roman"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cs="Times New Roman"/>
          <w:color w:val="000000" w:themeColor="text1"/>
          <w:sz w:val="24"/>
          <w:szCs w:val="24"/>
          <w:highlight w:val="none"/>
          <w14:textFill>
            <w14:solidFill>
              <w14:schemeClr w14:val="tx1"/>
            </w14:solidFill>
          </w14:textFill>
        </w:rPr>
        <w:instrText xml:space="preserve"> STYLEREF</w:instrText>
      </w:r>
      <w:r>
        <w:rPr>
          <w:rFonts w:hint="eastAsia"/>
          <w:color w:val="000000" w:themeColor="text1"/>
          <w:highlight w:val="none"/>
          <w14:textFill>
            <w14:solidFill>
              <w14:schemeClr w14:val="tx1"/>
            </w14:solidFill>
          </w14:textFill>
        </w:rPr>
        <w:instrText xml:space="preserve">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color w:val="000000" w:themeColor="text1"/>
          <w:sz w:val="24"/>
          <w:szCs w:val="24"/>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045710" cy="1852295"/>
            <wp:effectExtent l="0" t="0" r="2540" b="0"/>
            <wp:docPr id="1623" name="图片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16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55575" cy="1856060"/>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157" w:name="_Ref142597368"/>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bookmarkEnd w:id="15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压裂作业示意图</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⑤</w:t>
      </w:r>
      <w:r>
        <w:rPr>
          <w:rFonts w:cs="Times New Roman"/>
          <w:color w:val="000000" w:themeColor="text1"/>
          <w:highlight w:val="none"/>
          <w14:textFill>
            <w14:solidFill>
              <w14:schemeClr w14:val="tx1"/>
            </w14:solidFill>
          </w14:textFill>
        </w:rPr>
        <w:t>测试放喷</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天然气测试放喷前需换装井口接测试管线，井内天然气经该管线，通过专用产量测试仪器测定天然气产量及气质。为了测试安全和减轻对环境的污染，点火烧掉测试放喷的天然气，测试放喷燃烧筒一般为高度1m的地面火炬，</w:t>
      </w:r>
      <w:r>
        <w:rPr>
          <w:rFonts w:hint="eastAsia" w:cs="Times New Roman"/>
          <w:color w:val="000000" w:themeColor="text1"/>
          <w:highlight w:val="none"/>
          <w:lang w:eastAsia="zh-CN"/>
          <w14:textFill>
            <w14:solidFill>
              <w14:schemeClr w14:val="tx1"/>
            </w14:solidFill>
          </w14:textFill>
        </w:rPr>
        <w:t>放喷池</w:t>
      </w:r>
      <w:r>
        <w:rPr>
          <w:rFonts w:cs="Times New Roman"/>
          <w:color w:val="000000" w:themeColor="text1"/>
          <w:highlight w:val="none"/>
          <w14:textFill>
            <w14:solidFill>
              <w14:schemeClr w14:val="tx1"/>
            </w14:solidFill>
          </w14:textFill>
        </w:rPr>
        <w:t>内放喷，</w:t>
      </w:r>
      <w:r>
        <w:rPr>
          <w:rFonts w:hint="eastAsia" w:cs="Times New Roman"/>
          <w:color w:val="000000" w:themeColor="text1"/>
          <w:highlight w:val="none"/>
          <w:lang w:eastAsia="zh-CN"/>
          <w14:textFill>
            <w14:solidFill>
              <w14:schemeClr w14:val="tx1"/>
            </w14:solidFill>
          </w14:textFill>
        </w:rPr>
        <w:t>放喷池</w:t>
      </w:r>
      <w:r>
        <w:rPr>
          <w:rFonts w:cs="Times New Roman"/>
          <w:color w:val="000000" w:themeColor="text1"/>
          <w:highlight w:val="none"/>
          <w14:textFill>
            <w14:solidFill>
              <w14:schemeClr w14:val="tx1"/>
            </w14:solidFill>
          </w14:textFill>
        </w:rPr>
        <w:t>设有耐火砖挡墙减轻热辐射影响。出于安全操作和有利于燃烧废气污染物大气扩散考虑，测试放喷一般在白天进行。</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⑥</w:t>
      </w:r>
      <w:r>
        <w:rPr>
          <w:rFonts w:cs="Times New Roman"/>
          <w:color w:val="000000" w:themeColor="text1"/>
          <w:highlight w:val="none"/>
          <w14:textFill>
            <w14:solidFill>
              <w14:schemeClr w14:val="tx1"/>
            </w14:solidFill>
          </w14:textFill>
        </w:rPr>
        <w:t>完井搬迁及恢复</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测试结果若表明气井有工业试采的价值，则在井口装上采气装置</w:t>
      </w:r>
      <w:r>
        <w:rPr>
          <w:rFonts w:hint="eastAsia" w:cs="Times New Roman"/>
          <w:color w:val="000000" w:themeColor="text1"/>
          <w:highlight w:val="none"/>
          <w14:textFill>
            <w14:solidFill>
              <w14:schemeClr w14:val="tx1"/>
            </w14:solidFill>
          </w14:textFill>
        </w:rPr>
        <w:t>试</w:t>
      </w:r>
      <w:r>
        <w:rPr>
          <w:rFonts w:cs="Times New Roman"/>
          <w:color w:val="000000" w:themeColor="text1"/>
          <w:highlight w:val="none"/>
          <w14:textFill>
            <w14:solidFill>
              <w14:schemeClr w14:val="tx1"/>
            </w14:solidFill>
          </w14:textFill>
        </w:rPr>
        <w:t>采气，其余设备将拆除搬迁，对基础进行拆除，场地进行平整，并对井场废弃物进行无害化治理。若不产天然气或所产气量无工业试采价值且确定无后续开发计划后，则将井口用水泥封固后搬迁。</w:t>
      </w:r>
      <w:r>
        <w:rPr>
          <w:rFonts w:hint="eastAsia" w:cs="Times New Roman"/>
          <w:color w:val="000000" w:themeColor="text1"/>
          <w:highlight w:val="none"/>
          <w14:textFill>
            <w14:solidFill>
              <w14:schemeClr w14:val="tx1"/>
            </w14:solidFill>
          </w14:textFill>
        </w:rPr>
        <w:t>在</w:t>
      </w:r>
      <w:r>
        <w:rPr>
          <w:rFonts w:cs="Times New Roman"/>
          <w:color w:val="000000" w:themeColor="text1"/>
          <w:highlight w:val="none"/>
          <w14:textFill>
            <w14:solidFill>
              <w14:schemeClr w14:val="tx1"/>
            </w14:solidFill>
          </w14:textFill>
        </w:rPr>
        <w:t>搬迁前钻后污染物应得到妥善处理，做到工完、料净、场地清，放弃的井场应尽可能地恢复其原来的土地利用状况或者按土地承包人的意愿转换土地用途。此过程对环境基本无影响。</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建设单位依法办理环保手续并按照钻井井场环保标准进行验收，验收合格方可交井，并对后续可能出现的环保问题负责。</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w:t>
      </w:r>
      <w:r>
        <w:rPr>
          <w:rFonts w:hint="eastAsia" w:cs="Times New Roman"/>
          <w:b/>
          <w:color w:val="000000" w:themeColor="text1"/>
          <w:szCs w:val="24"/>
          <w:highlight w:val="none"/>
          <w:lang w:val="en-US" w:eastAsia="zh-CN"/>
          <w14:textFill>
            <w14:solidFill>
              <w14:schemeClr w14:val="tx1"/>
            </w14:solidFill>
          </w14:textFill>
        </w:rPr>
        <w:t>储层改造工程产污环节分析</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储层改造工程</w:t>
      </w:r>
      <w:r>
        <w:rPr>
          <w:rFonts w:cs="Times New Roman"/>
          <w:bCs/>
          <w:color w:val="000000" w:themeColor="text1"/>
          <w:szCs w:val="24"/>
          <w:highlight w:val="none"/>
          <w14:textFill>
            <w14:solidFill>
              <w14:schemeClr w14:val="tx1"/>
            </w14:solidFill>
          </w14:textFill>
        </w:rPr>
        <w:t>主要污染为压裂过程中会产生噪声、施工人员生活垃圾和生活污水，测试放喷阶段的污染物主要是压裂返排液、天然气点火产生的废气、气流噪声以及热辐射影响。</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油气集输工程</w:t>
      </w:r>
    </w:p>
    <w:p>
      <w:pPr>
        <w:ind w:firstLine="480"/>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1、试采站建设</w:t>
      </w:r>
    </w:p>
    <w:p>
      <w:pPr>
        <w:ind w:firstLine="480"/>
        <w:rPr>
          <w:rFonts w:cs="Times New Roman"/>
          <w:bCs/>
          <w:color w:val="000000" w:themeColor="text1"/>
          <w:szCs w:val="24"/>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w:t>
      </w:r>
      <w:r>
        <w:rPr>
          <w:rFonts w:cs="Times New Roman"/>
          <w:color w:val="000000" w:themeColor="text1"/>
          <w:szCs w:val="24"/>
          <w:highlight w:val="none"/>
          <w14:textFill>
            <w14:solidFill>
              <w14:schemeClr w14:val="tx1"/>
            </w14:solidFill>
          </w14:textFill>
        </w:rPr>
        <w:t>完毕后，通过测试并获得天然气产量后，</w:t>
      </w:r>
      <w:r>
        <w:rPr>
          <w:rFonts w:hint="eastAsia"/>
          <w:color w:val="000000" w:themeColor="text1"/>
          <w:highlight w:val="none"/>
          <w14:textFill>
            <w14:solidFill>
              <w14:schemeClr w14:val="tx1"/>
            </w14:solidFill>
          </w14:textFill>
        </w:rPr>
        <w:t>本次</w:t>
      </w:r>
      <w:r>
        <w:rPr>
          <w:rFonts w:hint="eastAsia" w:cs="Times New Roman"/>
          <w:color w:val="000000" w:themeColor="text1"/>
          <w:szCs w:val="24"/>
          <w:highlight w:val="none"/>
          <w14:textFill>
            <w14:solidFill>
              <w14:schemeClr w14:val="tx1"/>
            </w14:solidFill>
          </w14:textFill>
        </w:rPr>
        <w:t>新建</w:t>
      </w:r>
      <w:r>
        <w:rPr>
          <w:rFonts w:hint="eastAsia" w:cs="Times New Roman"/>
          <w:color w:val="000000" w:themeColor="text1"/>
          <w:szCs w:val="24"/>
          <w:highlight w:val="none"/>
          <w:lang w:eastAsia="zh-CN"/>
          <w14:textFill>
            <w14:solidFill>
              <w14:schemeClr w14:val="tx1"/>
            </w14:solidFill>
          </w14:textFill>
        </w:rPr>
        <w:t>雷页1试验井组</w:t>
      </w:r>
      <w:r>
        <w:rPr>
          <w:rFonts w:hint="eastAsia" w:cs="Times New Roman"/>
          <w:color w:val="000000" w:themeColor="text1"/>
          <w:szCs w:val="24"/>
          <w:highlight w:val="none"/>
          <w:lang w:val="en-US" w:eastAsia="zh-CN"/>
          <w14:textFill>
            <w14:solidFill>
              <w14:schemeClr w14:val="tx1"/>
            </w14:solidFill>
          </w14:textFill>
        </w:rPr>
        <w:t>试采站</w:t>
      </w:r>
      <w:r>
        <w:rPr>
          <w:rFonts w:hint="eastAsia" w:cs="Times New Roman"/>
          <w:color w:val="000000" w:themeColor="text1"/>
          <w:szCs w:val="24"/>
          <w:highlight w:val="none"/>
          <w14:textFill>
            <w14:solidFill>
              <w14:schemeClr w14:val="tx1"/>
            </w14:solidFill>
          </w14:textFill>
        </w:rPr>
        <w:t>1座，采气树来气经</w:t>
      </w:r>
      <w:r>
        <w:rPr>
          <w:rFonts w:hint="eastAsia"/>
          <w:color w:val="000000" w:themeColor="text1"/>
          <w:sz w:val="24"/>
          <w:highlight w:val="none"/>
          <w:lang w:eastAsia="zh-CN"/>
          <w14:textFill>
            <w14:solidFill>
              <w14:schemeClr w14:val="tx1"/>
            </w14:solidFill>
          </w14:textFill>
        </w:rPr>
        <w:t>站采用除砂、加热节流、单井气液计量、气液两相分离、三甘醇脱水、原料</w:t>
      </w:r>
      <w:r>
        <w:rPr>
          <w:rFonts w:ascii="Times New Roman" w:hAnsi="Times New Roman"/>
          <w:color w:val="000000" w:themeColor="text1"/>
          <w:sz w:val="24"/>
          <w:highlight w:val="none"/>
          <w:lang w:eastAsia="zh-CN"/>
          <w14:textFill>
            <w14:solidFill>
              <w14:schemeClr w14:val="tx1"/>
            </w14:solidFill>
          </w14:textFill>
        </w:rPr>
        <w:t>，实现气井产物</w:t>
      </w:r>
      <w:r>
        <w:rPr>
          <w:rFonts w:hint="eastAsia"/>
          <w:color w:val="000000" w:themeColor="text1"/>
          <w:sz w:val="24"/>
          <w:highlight w:val="none"/>
          <w:lang w:val="en-US" w:eastAsia="zh-CN"/>
          <w14:textFill>
            <w14:solidFill>
              <w14:schemeClr w14:val="tx1"/>
            </w14:solidFill>
          </w14:textFill>
        </w:rPr>
        <w:t>分离、</w:t>
      </w:r>
      <w:r>
        <w:rPr>
          <w:rFonts w:ascii="Times New Roman" w:hAnsi="Times New Roman"/>
          <w:color w:val="000000" w:themeColor="text1"/>
          <w:sz w:val="24"/>
          <w:highlight w:val="none"/>
          <w:lang w:eastAsia="zh-CN"/>
          <w14:textFill>
            <w14:solidFill>
              <w14:schemeClr w14:val="tx1"/>
            </w14:solidFill>
          </w14:textFill>
        </w:rPr>
        <w:t>计量及天然气外输和污水等进行分类回收处置功能</w:t>
      </w:r>
      <w:r>
        <w:rPr>
          <w:rFonts w:hint="eastAsia"/>
          <w:color w:val="000000" w:themeColor="text1"/>
          <w:sz w:val="24"/>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配套建设自控、电力、结构等设施</w:t>
      </w:r>
      <w:r>
        <w:rPr>
          <w:rFonts w:hint="eastAsia"/>
          <w:color w:val="000000" w:themeColor="text1"/>
          <w:highlight w:val="none"/>
          <w14:textFill>
            <w14:solidFill>
              <w14:schemeClr w14:val="tx1"/>
            </w14:solidFill>
          </w14:textFill>
        </w:rPr>
        <w:t>。</w:t>
      </w:r>
    </w:p>
    <w:p>
      <w:pPr>
        <w:ind w:firstLine="482"/>
        <w:rPr>
          <w:rFonts w:cs="Times New Roman"/>
          <w:bCs/>
          <w:color w:val="000000" w:themeColor="text1"/>
          <w:szCs w:val="24"/>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（1）站场工程工艺流程简述</w:t>
      </w:r>
    </w:p>
    <w:p>
      <w:pPr>
        <w:ind w:firstLine="480"/>
        <w:rPr>
          <w:rFonts w:cs="Times New Roman"/>
          <w:bCs/>
          <w:color w:val="000000" w:themeColor="text1"/>
          <w:szCs w:val="24"/>
          <w:highlight w:val="none"/>
          <w:lang w:eastAsia="zh-CN"/>
          <w14:textFill>
            <w14:solidFill>
              <w14:schemeClr w14:val="tx1"/>
            </w14:solidFill>
          </w14:textFill>
        </w:rPr>
      </w:pPr>
      <w:r>
        <w:rPr>
          <w:rFonts w:cs="Times New Roman"/>
          <w:bCs/>
          <w:color w:val="000000" w:themeColor="text1"/>
          <w:szCs w:val="24"/>
          <w:highlight w:val="none"/>
          <w:lang w:eastAsia="zh-CN"/>
          <w14:textFill>
            <w14:solidFill>
              <w14:schemeClr w14:val="tx1"/>
            </w14:solidFill>
          </w14:textFill>
        </w:rPr>
        <w:t>试采站站场工程施工工艺如下：场地平整→基础施工→设备安装→地面恢复。施工过程中先采用推土机、挖掘机对场地进行平整，修建（维修）截排水沟，然后对场地进行夯实，敷设管道等。最后采用石子、碎石等对场地进行硬化，安装集气设备。本项目</w:t>
      </w:r>
      <w:r>
        <w:rPr>
          <w:rFonts w:hint="eastAsia" w:cs="Times New Roman"/>
          <w:bCs/>
          <w:color w:val="000000" w:themeColor="text1"/>
          <w:szCs w:val="24"/>
          <w:highlight w:val="none"/>
          <w:lang w:val="en-US" w:eastAsia="zh-CN"/>
          <w14:textFill>
            <w14:solidFill>
              <w14:schemeClr w14:val="tx1"/>
            </w14:solidFill>
          </w14:textFill>
        </w:rPr>
        <w:t>试采井站</w:t>
      </w:r>
      <w:r>
        <w:rPr>
          <w:rFonts w:cs="Times New Roman"/>
          <w:bCs/>
          <w:color w:val="000000" w:themeColor="text1"/>
          <w:szCs w:val="24"/>
          <w:highlight w:val="none"/>
          <w:lang w:eastAsia="zh-CN"/>
          <w14:textFill>
            <w14:solidFill>
              <w14:schemeClr w14:val="tx1"/>
            </w14:solidFill>
          </w14:textFill>
        </w:rPr>
        <w:t>依托</w:t>
      </w:r>
      <w:r>
        <w:rPr>
          <w:rFonts w:hint="eastAsia" w:cs="Times New Roman"/>
          <w:bCs/>
          <w:color w:val="000000" w:themeColor="text1"/>
          <w:szCs w:val="24"/>
          <w:highlight w:val="none"/>
          <w:lang w:val="en-US" w:eastAsia="zh-CN"/>
          <w14:textFill>
            <w14:solidFill>
              <w14:schemeClr w14:val="tx1"/>
            </w14:solidFill>
          </w14:textFill>
        </w:rPr>
        <w:t>施工期已建设的钻井井场建设</w:t>
      </w:r>
      <w:r>
        <w:rPr>
          <w:rFonts w:cs="Times New Roman"/>
          <w:bCs/>
          <w:color w:val="000000" w:themeColor="text1"/>
          <w:szCs w:val="24"/>
          <w:highlight w:val="none"/>
          <w:lang w:eastAsia="zh-CN"/>
          <w14:textFill>
            <w14:solidFill>
              <w14:schemeClr w14:val="tx1"/>
            </w14:solidFill>
          </w14:textFill>
        </w:rPr>
        <w:t>，场地均已平整，只需进行设备安装。</w:t>
      </w:r>
    </w:p>
    <w:p>
      <w:pPr>
        <w:pStyle w:val="50"/>
        <w:ind w:left="0" w:leftChars="0" w:firstLine="0" w:firstLineChars="0"/>
        <w:jc w:val="center"/>
        <w:rPr>
          <w:color w:val="000000" w:themeColor="text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1817370</wp:posOffset>
                </wp:positionH>
                <wp:positionV relativeFrom="paragraph">
                  <wp:posOffset>213995</wp:posOffset>
                </wp:positionV>
                <wp:extent cx="698500" cy="295910"/>
                <wp:effectExtent l="4445" t="4445" r="20955" b="23495"/>
                <wp:wrapNone/>
                <wp:docPr id="61" name="文本框 61"/>
                <wp:cNvGraphicFramePr/>
                <a:graphic xmlns:a="http://schemas.openxmlformats.org/drawingml/2006/main">
                  <a:graphicData uri="http://schemas.microsoft.com/office/word/2010/wordprocessingShape">
                    <wps:wsp>
                      <wps:cNvSpPr txBox="1"/>
                      <wps:spPr>
                        <a:xfrm>
                          <a:off x="3002915" y="1149350"/>
                          <a:ext cx="698500" cy="29591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仪表室、临时办公室建设</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143.1pt;margin-top:16.85pt;height:23.3pt;width:55pt;z-index:251710464;v-text-anchor:middle;mso-width-relative:page;mso-height-relative:page;" fillcolor="#FFFFFF" filled="t" stroked="t" coordsize="21600,21600" o:gfxdata="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ytXwdYAAAAJAQAADwAAAAAAAAABACAAAAAiAAAAZHJzL2Rvd25yZXYueG1s&#10;UEsBAhQAFAAAAAgAh07iQP3EHv1sAgAA2gQAAA4AAAAAAAAAAQAgAAAAJQEAAGRycy9lMm9Eb2Mu&#10;eG1sUEsFBgAAAAAGAAYAWQEAAAMGA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仪表室、临时办公室建设</w:t>
                      </w:r>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5219700" cy="1706880"/>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9"/>
                    <a:stretch>
                      <a:fillRect/>
                    </a:stretch>
                  </pic:blipFill>
                  <pic:spPr>
                    <a:xfrm>
                      <a:off x="0" y="0"/>
                      <a:ext cx="5220000" cy="1707324"/>
                    </a:xfrm>
                    <a:prstGeom prst="rect">
                      <a:avLst/>
                    </a:prstGeom>
                  </pic:spPr>
                </pic:pic>
              </a:graphicData>
            </a:graphic>
          </wp:inline>
        </w:drawing>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color w:val="000000" w:themeColor="text1"/>
          <w:highlight w:val="none"/>
          <w:lang w:eastAsia="zh-CN"/>
          <w14:textFill>
            <w14:solidFill>
              <w14:schemeClr w14:val="tx1"/>
            </w14:solidFill>
          </w14:textFill>
        </w:rPr>
        <w:t>井站施工期工艺流程</w:t>
      </w:r>
      <w:r>
        <w:rPr>
          <w:rFonts w:hint="eastAsia"/>
          <w:color w:val="000000" w:themeColor="text1"/>
          <w:highlight w:val="none"/>
          <w:lang w:eastAsia="zh-CN"/>
          <w14:textFill>
            <w14:solidFill>
              <w14:schemeClr w14:val="tx1"/>
            </w14:solidFill>
          </w14:textFill>
        </w:rPr>
        <w:t>及产污节点</w:t>
      </w:r>
      <w:r>
        <w:rPr>
          <w:color w:val="000000" w:themeColor="text1"/>
          <w:highlight w:val="none"/>
          <w:lang w:eastAsia="zh-CN"/>
          <w14:textFill>
            <w14:solidFill>
              <w14:schemeClr w14:val="tx1"/>
            </w14:solidFill>
          </w14:textFill>
        </w:rPr>
        <w:t>图</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（2）站场工程产污环节分析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站场建设过程产生扬尘、机械设备噪声、施工队生活污水、混凝土搅拌废水、生活垃圾及建筑垃圾</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废弃焊条和废材料桶</w:t>
      </w:r>
      <w:r>
        <w:rPr>
          <w:rFonts w:cs="Times New Roman"/>
          <w:bCs/>
          <w:color w:val="000000" w:themeColor="text1"/>
          <w:szCs w:val="24"/>
          <w:highlight w:val="none"/>
          <w14:textFill>
            <w14:solidFill>
              <w14:schemeClr w14:val="tx1"/>
            </w14:solidFill>
          </w14:textFill>
        </w:rPr>
        <w:t>等。这些污染贯穿整个施工过程，但站场部分施工量小，施工时间较短，污染物产生量少。</w:t>
      </w:r>
    </w:p>
    <w:p>
      <w:pPr>
        <w:ind w:firstLine="480"/>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2、集输管线</w:t>
      </w:r>
    </w:p>
    <w:p>
      <w:pPr>
        <w:ind w:firstLine="480"/>
        <w:rPr>
          <w:rFonts w:cs="Times New Roman"/>
          <w:b/>
          <w:bCs/>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本项目将</w:t>
      </w:r>
      <w:r>
        <w:rPr>
          <w:rFonts w:hint="eastAsia" w:ascii="Times New Roman" w:hAnsi="Times New Roman"/>
          <w:color w:val="000000" w:themeColor="text1"/>
          <w:highlight w:val="none"/>
          <w14:textFill>
            <w14:solidFill>
              <w14:schemeClr w14:val="tx1"/>
            </w14:solidFill>
          </w14:textFill>
        </w:rPr>
        <w:t>新建</w:t>
      </w:r>
      <w:r>
        <w:rPr>
          <w:rFonts w:hint="eastAsia" w:cs="Times New Roman"/>
          <w:color w:val="000000" w:themeColor="text1"/>
          <w:szCs w:val="24"/>
          <w:highlight w:val="none"/>
          <w:lang w:eastAsia="zh-CN"/>
          <w14:textFill>
            <w14:solidFill>
              <w14:schemeClr w14:val="tx1"/>
            </w14:solidFill>
          </w14:textFill>
        </w:rPr>
        <w:t>雷页1试验井组</w:t>
      </w:r>
      <w:r>
        <w:rPr>
          <w:rFonts w:hint="eastAsia" w:cs="Times New Roman"/>
          <w:color w:val="000000" w:themeColor="text1"/>
          <w:szCs w:val="24"/>
          <w:highlight w:val="none"/>
          <w:lang w:val="en-US" w:eastAsia="zh-CN"/>
          <w14:textFill>
            <w14:solidFill>
              <w14:schemeClr w14:val="tx1"/>
            </w14:solidFill>
          </w14:textFill>
        </w:rPr>
        <w:t>试采站</w:t>
      </w:r>
      <w:r>
        <w:rPr>
          <w:rFonts w:hint="eastAsia" w:ascii="Times New Roman" w:hAnsi="Times New Roman"/>
          <w:color w:val="000000" w:themeColor="text1"/>
          <w:highlight w:val="none"/>
          <w14:textFill>
            <w14:solidFill>
              <w14:schemeClr w14:val="tx1"/>
            </w14:solidFill>
          </w14:textFill>
        </w:rPr>
        <w:t>至</w:t>
      </w:r>
      <w:r>
        <w:rPr>
          <w:rFonts w:hint="eastAsia"/>
          <w:color w:val="000000" w:themeColor="text1"/>
          <w:highlight w:val="none"/>
          <w:lang w:eastAsia="zh-CN"/>
          <w14:textFill>
            <w14:solidFill>
              <w14:schemeClr w14:val="tx1"/>
            </w14:solidFill>
          </w14:textFill>
        </w:rPr>
        <w:t>雷页1试采站</w:t>
      </w:r>
      <w:r>
        <w:rPr>
          <w:rFonts w:hint="eastAsia" w:ascii="Times New Roman" w:hAnsi="Times New Roman"/>
          <w:color w:val="000000" w:themeColor="text1"/>
          <w:highlight w:val="none"/>
          <w14:textFill>
            <w14:solidFill>
              <w14:schemeClr w14:val="tx1"/>
            </w14:solidFill>
          </w14:textFill>
        </w:rPr>
        <w:t>输气管线1条</w:t>
      </w:r>
      <w:r>
        <w:rPr>
          <w:rFonts w:hint="eastAsia" w:ascii="Times New Roman" w:hAnsi="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管道长度140m，管线规格DN65，材质为Q345，设计压力6.9MPa，埋深1.2m</w:t>
      </w:r>
      <w:r>
        <w:rPr>
          <w:rFonts w:hint="eastAsia" w:cs="Times New Roman"/>
          <w:color w:val="000000" w:themeColor="text1"/>
          <w:szCs w:val="32"/>
          <w:highlight w:val="none"/>
          <w14:textFill>
            <w14:solidFill>
              <w14:schemeClr w14:val="tx1"/>
            </w14:solidFill>
          </w14:textFill>
        </w:rPr>
        <w:t>。</w:t>
      </w:r>
    </w:p>
    <w:p>
      <w:pPr>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集输管线施工流程及产污节点</w:t>
      </w:r>
    </w:p>
    <w:p>
      <w:pPr>
        <w:ind w:firstLine="480"/>
        <w:rPr>
          <w:rFonts w:hint="eastAsia"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本项目管线距离短，</w:t>
      </w:r>
      <w:r>
        <w:rPr>
          <w:rFonts w:hint="eastAsia" w:cs="Times New Roman"/>
          <w:bCs/>
          <w:color w:val="000000" w:themeColor="text1"/>
          <w:highlight w:val="none"/>
          <w:lang w:val="en-US" w:eastAsia="zh-CN"/>
          <w14:textFill>
            <w14:solidFill>
              <w14:schemeClr w14:val="tx1"/>
            </w14:solidFill>
          </w14:textFill>
        </w:rPr>
        <w:t>仅为井场至试采站的较短集输管道，管线沿途无河流、公路等穿越。因此，集输管线沿途不设置施工便道、施工场地等，也</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不单独设置堆管场</w:t>
      </w:r>
      <w:r>
        <w:rPr>
          <w:rFonts w:hint="eastAsia" w:cs="Times New Roman"/>
          <w:bCs/>
          <w:color w:val="000000" w:themeColor="text1"/>
          <w:highlight w:val="none"/>
          <w:lang w:val="en-US" w:eastAsia="zh-CN"/>
          <w14:textFill>
            <w14:solidFill>
              <w14:schemeClr w14:val="tx1"/>
            </w14:solidFill>
          </w14:textFill>
        </w:rPr>
        <w:t>、穿越施工场地等。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本工程管线施工首先进行作业线路、场地的清理，</w:t>
      </w:r>
      <w:r>
        <w:rPr>
          <w:rFonts w:hint="eastAsia" w:cs="Times New Roman"/>
          <w:color w:val="000000" w:themeColor="text1"/>
          <w:highlight w:val="none"/>
          <w:lang w:val="en-US" w:eastAsia="zh-CN"/>
          <w14:textFill>
            <w14:solidFill>
              <w14:schemeClr w14:val="tx1"/>
            </w14:solidFill>
          </w14:textFill>
        </w:rPr>
        <w:t>本项目管线主要沿现有道路铺设</w:t>
      </w:r>
      <w:r>
        <w:rPr>
          <w:rFonts w:cs="Times New Roman"/>
          <w:color w:val="000000" w:themeColor="text1"/>
          <w:highlight w:val="none"/>
          <w14:textFill>
            <w14:solidFill>
              <w14:schemeClr w14:val="tx1"/>
            </w14:solidFill>
          </w14:textFill>
        </w:rPr>
        <w:t>，按照施工规范，将运至施工现场的钢管进行焊接、接口防腐，然后</w:t>
      </w:r>
      <w:r>
        <w:rPr>
          <w:rFonts w:hint="eastAsia" w:cs="Times New Roman"/>
          <w:color w:val="000000" w:themeColor="text1"/>
          <w:highlight w:val="none"/>
          <w:lang w:val="en-US" w:eastAsia="zh-CN"/>
          <w14:textFill>
            <w14:solidFill>
              <w14:schemeClr w14:val="tx1"/>
            </w14:solidFill>
          </w14:textFill>
        </w:rPr>
        <w:t>沿地面铺设</w:t>
      </w:r>
      <w:r>
        <w:rPr>
          <w:rFonts w:cs="Times New Roman"/>
          <w:color w:val="000000" w:themeColor="text1"/>
          <w:highlight w:val="none"/>
          <w14:textFill>
            <w14:solidFill>
              <w14:schemeClr w14:val="tx1"/>
            </w14:solidFill>
          </w14:textFill>
        </w:rPr>
        <w:t>，然后对管道进行试压，清理作业现场，恢复地貌、恢复植被。管线施工作业流程及产污节点见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_Ref139747095 \h  \* MERGEFORMAT </w:instrText>
      </w:r>
      <w:r>
        <w:rPr>
          <w:rFonts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12</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1160145</wp:posOffset>
                </wp:positionH>
                <wp:positionV relativeFrom="paragraph">
                  <wp:posOffset>1459230</wp:posOffset>
                </wp:positionV>
                <wp:extent cx="499745" cy="0"/>
                <wp:effectExtent l="0" t="6350" r="5080" b="7620"/>
                <wp:wrapNone/>
                <wp:docPr id="234" name="直接连接符 234"/>
                <wp:cNvGraphicFramePr/>
                <a:graphic xmlns:a="http://schemas.openxmlformats.org/drawingml/2006/main">
                  <a:graphicData uri="http://schemas.microsoft.com/office/word/2010/wordprocessingShape">
                    <wps:wsp>
                      <wps:cNvCnPr/>
                      <wps:spPr>
                        <a:xfrm flipH="1">
                          <a:off x="0" y="0"/>
                          <a:ext cx="499745" cy="0"/>
                        </a:xfrm>
                        <a:prstGeom prst="line">
                          <a:avLst/>
                        </a:prstGeom>
                        <a:ln>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91.35pt;margin-top:114.9pt;height:0pt;width:39.35pt;z-index:251717632;mso-width-relative:page;mso-height-relative:page;" filled="f" stroked="t" coordsize="21600,21600" o:gfxdata="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w89NNYAAAALAQAADwAAAAAAAAABACAAAAAiAAAAZHJzL2Rvd25yZXYueG1sUEsBAhQAFAAA&#10;AAgAh07iQDwsOyTxAQAAvgMAAA4AAAAAAAAAAQAgAAAAJQEAAGRycy9lMm9Eb2MueG1sUEsFBgAA&#10;AAAGAAYAWQEAAIgFAAAAAA==&#10;">
                <v:fill on="f" focussize="0,0"/>
                <v:stroke weight="1pt" color="#FF0000 [3204]" miterlimit="8" joinstyle="miter" dashstyle="dash"/>
                <v:imagedata o:title=""/>
                <o:lock v:ext="edit" aspectratio="f"/>
              </v:lin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3017520</wp:posOffset>
                </wp:positionH>
                <wp:positionV relativeFrom="paragraph">
                  <wp:posOffset>1459230</wp:posOffset>
                </wp:positionV>
                <wp:extent cx="785495" cy="0"/>
                <wp:effectExtent l="0" t="6350" r="5080" b="7620"/>
                <wp:wrapNone/>
                <wp:docPr id="233" name="直接连接符 233"/>
                <wp:cNvGraphicFramePr/>
                <a:graphic xmlns:a="http://schemas.openxmlformats.org/drawingml/2006/main">
                  <a:graphicData uri="http://schemas.microsoft.com/office/word/2010/wordprocessingShape">
                    <wps:wsp>
                      <wps:cNvCnPr/>
                      <wps:spPr>
                        <a:xfrm flipH="1">
                          <a:off x="4065270" y="2373630"/>
                          <a:ext cx="785495" cy="0"/>
                        </a:xfrm>
                        <a:prstGeom prst="line">
                          <a:avLst/>
                        </a:prstGeom>
                        <a:ln>
                          <a:solidFill>
                            <a:srgbClr val="FF0000"/>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37.6pt;margin-top:114.9pt;height:0pt;width:61.85pt;z-index:251716608;mso-width-relative:page;mso-height-relative:page;" filled="f" stroked="t" coordsize="21600,21600" o:gfxdata="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ZQiR1wAAAAsBAAAPAAAAAAAAAAEAIAAAACIAAABkcnMvZG93bnJl&#10;di54bWxQSwECFAAUAAAACACHTuJAZAv28/4BAADKAwAADgAAAAAAAAABACAAAAAmAQAAZHJzL2Uy&#10;b0RvYy54bWxQSwUGAAAAAAYABgBZAQAAlgUAAAAA&#10;">
                <v:fill on="f" focussize="0,0"/>
                <v:stroke weight="1pt" color="#FF0000 [3204]" miterlimit="8" joinstyle="miter" dashstyle="dash"/>
                <v:imagedata o:title=""/>
                <o:lock v:ext="edit" aspectratio="f"/>
              </v:lin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1659890</wp:posOffset>
                </wp:positionH>
                <wp:positionV relativeFrom="paragraph">
                  <wp:posOffset>1304290</wp:posOffset>
                </wp:positionV>
                <wp:extent cx="1262380" cy="422910"/>
                <wp:effectExtent l="4445" t="4445" r="9525" b="10795"/>
                <wp:wrapNone/>
                <wp:docPr id="232" name="文本框 232"/>
                <wp:cNvGraphicFramePr/>
                <a:graphic xmlns:a="http://schemas.openxmlformats.org/drawingml/2006/main">
                  <a:graphicData uri="http://schemas.microsoft.com/office/word/2010/wordprocessingShape">
                    <wps:wsp>
                      <wps:cNvSpPr txBox="1"/>
                      <wps:spPr>
                        <a:xfrm>
                          <a:off x="2802890" y="2218690"/>
                          <a:ext cx="1262380" cy="42291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sz w:val="20"/>
                                <w:szCs w:val="20"/>
                                <w:lang w:val="en-US" w:eastAsia="zh-CN"/>
                              </w:rPr>
                            </w:pPr>
                            <w:r>
                              <w:rPr>
                                <w:rFonts w:hint="eastAsia" w:ascii="Times New Roman" w:hAnsi="Times New Roman" w:eastAsia="宋体"/>
                                <w:sz w:val="20"/>
                                <w:szCs w:val="20"/>
                                <w:lang w:val="en-US" w:eastAsia="zh-CN"/>
                              </w:rPr>
                              <w:t>管线占地平整、</w:t>
                            </w:r>
                          </w:p>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sz w:val="20"/>
                                <w:szCs w:val="20"/>
                                <w:lang w:val="en-US" w:eastAsia="zh-CN"/>
                              </w:rPr>
                            </w:pPr>
                            <w:r>
                              <w:rPr>
                                <w:rFonts w:hint="eastAsia" w:ascii="Times New Roman" w:hAnsi="Times New Roman" w:eastAsia="宋体"/>
                                <w:sz w:val="20"/>
                                <w:szCs w:val="20"/>
                                <w:lang w:val="en-US" w:eastAsia="zh-CN"/>
                              </w:rPr>
                              <w:t>压实</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30.7pt;margin-top:102.7pt;height:33.3pt;width:99.4pt;z-index:251715584;mso-width-relative:page;mso-height-relative:page;" fillcolor="#FFFFFF" filled="t" stroked="t" coordsize="21600,21600" o:gfxdata="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mrTIF2QAAAAsBAAAPAAAAAAAAAAEAIAAAACIAAABkcnMv&#10;ZG93bnJldi54bWxQSwECFAAUAAAACACHTuJA2WRYQ3QCAADrBAAADgAAAAAAAAABACAAAAAoAQAA&#10;ZHJzL2Uyb0RvYy54bWxQSwUGAAAAAAYABgBZAQAADgY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sz w:val="20"/>
                          <w:szCs w:val="20"/>
                          <w:lang w:val="en-US" w:eastAsia="zh-CN"/>
                        </w:rPr>
                      </w:pPr>
                      <w:r>
                        <w:rPr>
                          <w:rFonts w:hint="eastAsia" w:ascii="Times New Roman" w:hAnsi="Times New Roman" w:eastAsia="宋体"/>
                          <w:sz w:val="20"/>
                          <w:szCs w:val="20"/>
                          <w:lang w:val="en-US" w:eastAsia="zh-CN"/>
                        </w:rPr>
                        <w:t>管线占地平整、</w:t>
                      </w:r>
                    </w:p>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sz w:val="20"/>
                          <w:szCs w:val="20"/>
                          <w:lang w:val="en-US" w:eastAsia="zh-CN"/>
                        </w:rPr>
                      </w:pPr>
                      <w:r>
                        <w:rPr>
                          <w:rFonts w:hint="eastAsia" w:ascii="Times New Roman" w:hAnsi="Times New Roman" w:eastAsia="宋体"/>
                          <w:sz w:val="20"/>
                          <w:szCs w:val="20"/>
                          <w:lang w:val="en-US" w:eastAsia="zh-CN"/>
                        </w:rPr>
                        <w:t>压实</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1142365</wp:posOffset>
                </wp:positionH>
                <wp:positionV relativeFrom="paragraph">
                  <wp:posOffset>1185545</wp:posOffset>
                </wp:positionV>
                <wp:extent cx="2619375" cy="672465"/>
                <wp:effectExtent l="0" t="0" r="0" b="3810"/>
                <wp:wrapNone/>
                <wp:docPr id="231" name="文本框 231"/>
                <wp:cNvGraphicFramePr/>
                <a:graphic xmlns:a="http://schemas.openxmlformats.org/drawingml/2006/main">
                  <a:graphicData uri="http://schemas.microsoft.com/office/word/2010/wordprocessingShape">
                    <wps:wsp>
                      <wps:cNvSpPr txBox="1"/>
                      <wps:spPr>
                        <a:xfrm>
                          <a:off x="2285365" y="2099945"/>
                          <a:ext cx="2619375" cy="672465"/>
                        </a:xfrm>
                        <a:prstGeom prst="rect">
                          <a:avLst/>
                        </a:prstGeom>
                        <a:solidFill>
                          <a:srgbClr val="FFFFFF"/>
                        </a:solidFill>
                        <a:ln w="9525">
                          <a:noFill/>
                          <a:miter lim="800000"/>
                        </a:ln>
                      </wps:spPr>
                      <wps:txbx>
                        <w:txbxContent>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89.95pt;margin-top:93.35pt;height:52.95pt;width:206.25pt;z-index:251714560;mso-width-relative:page;mso-height-relative:page;" fillcolor="#FFFFFF" filled="t" stroked="f" coordsize="21600,21600" o:gfxdata="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DlM4TYAAAACwEAAA8AAAAAAAAAAQAgAAAAIgAAAGRycy9kb3du&#10;cmV2LnhtbFBLAQIUABQAAAAIAIdO4kA06fN5cQIAAMIEAAAOAAAAAAAAAAEAIAAAACcBAABkcnMv&#10;ZTJvRG9jLnhtbFBLBQYAAAAABgAGAFkBAAAKBgAAAAA=&#10;">
                <v:fill on="t" focussize="0,0"/>
                <v:stroke on="f" miterlimit="8" joinstyle="miter"/>
                <v:imagedata o:title=""/>
                <o:lock v:ext="edit" aspectratio="f"/>
                <v:textbox>
                  <w:txbxContent>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4934585" cy="4363720"/>
            <wp:effectExtent l="0" t="0" r="18415" b="17780"/>
            <wp:docPr id="137000946" name="图片 13700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46" name="图片 1370009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34585" cy="4363720"/>
                    </a:xfrm>
                    <a:prstGeom prst="rect">
                      <a:avLst/>
                    </a:prstGeom>
                    <a:noFill/>
                    <a:ln>
                      <a:noFill/>
                    </a:ln>
                  </pic:spPr>
                </pic:pic>
              </a:graphicData>
            </a:graphic>
          </wp:inline>
        </w:drawing>
      </w:r>
      <w:r>
        <w:rPr>
          <w:color w:val="000000" w:themeColor="text1"/>
          <w:sz w:val="29"/>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1160780</wp:posOffset>
                </wp:positionH>
                <wp:positionV relativeFrom="paragraph">
                  <wp:posOffset>1348740</wp:posOffset>
                </wp:positionV>
                <wp:extent cx="980440" cy="219075"/>
                <wp:effectExtent l="4445" t="5080" r="5715" b="4445"/>
                <wp:wrapNone/>
                <wp:docPr id="71" name="文本框 71"/>
                <wp:cNvGraphicFramePr/>
                <a:graphic xmlns:a="http://schemas.openxmlformats.org/drawingml/2006/main">
                  <a:graphicData uri="http://schemas.microsoft.com/office/word/2010/wordprocessingShape">
                    <wps:wsp>
                      <wps:cNvSpPr txBox="1"/>
                      <wps:spPr>
                        <a:xfrm>
                          <a:off x="2426970" y="2272665"/>
                          <a:ext cx="980440" cy="21907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管线占地平整、压实</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91.4pt;margin-top:106.2pt;height:17.25pt;width:77.2pt;z-index:251711488;mso-width-relative:page;mso-height-relative:page;" fillcolor="#FFFFFF" filled="t" stroked="t" coordsize="21600,21600" o:gfxdata="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m5kltoAAAALAQAADwAAAAAAAAABACAAAAAiAAAAZHJzL2Rvd25y&#10;ZXYueG1sUEsBAhQAFAAAAAgAh07iQIcCbZRuAgAA4AQAAA4AAAAAAAAAAQAgAAAAKQEAAGRycy9l&#10;Mm9Eb2MueG1sUEsFBgAAAAAGAAYAWQEAAAkGA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管线占地平整、压实</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1693545</wp:posOffset>
                </wp:positionH>
                <wp:positionV relativeFrom="paragraph">
                  <wp:posOffset>2539365</wp:posOffset>
                </wp:positionV>
                <wp:extent cx="1342390" cy="219075"/>
                <wp:effectExtent l="4445" t="5080" r="5715" b="4445"/>
                <wp:wrapNone/>
                <wp:docPr id="161" name="文本框 161"/>
                <wp:cNvGraphicFramePr/>
                <a:graphic xmlns:a="http://schemas.openxmlformats.org/drawingml/2006/main">
                  <a:graphicData uri="http://schemas.microsoft.com/office/word/2010/wordprocessingShape">
                    <wps:wsp>
                      <wps:cNvSpPr txBox="1"/>
                      <wps:spPr>
                        <a:xfrm>
                          <a:off x="0" y="0"/>
                          <a:ext cx="1342390" cy="21907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cs="宋体"/>
                                <w:b w:val="0"/>
                                <w:bCs w:val="0"/>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管道铺设</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33.35pt;margin-top:199.95pt;height:17.25pt;width:105.7pt;z-index:251712512;mso-width-relative:page;mso-height-relative:page;" fillcolor="#FFFFFF" filled="t" stroked="t" coordsize="21600,21600" o:gfxdata="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xgh6twAAAALAQAADwAAAAAAAAABACAAAAAiAAAAZHJzL2Rvd25yZXYueG1sUEsB&#10;AhQAFAAAAAgAh07iQGx6X1ZjAgAA1wQAAA4AAAAAAAAAAQAgAAAAKwEAAGRycy9lMm9Eb2MueG1s&#10;UEsFBgAAAAAGAAYAWQEAAAAGA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宋体" w:hAnsi="宋体" w:eastAsia="宋体" w:cs="宋体"/>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cs="宋体"/>
                          <w:b w:val="0"/>
                          <w:bCs w:val="0"/>
                          <w:color w:val="000000" w:themeColor="text1"/>
                          <w:sz w:val="16"/>
                          <w:szCs w:val="1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管道铺设</w:t>
                      </w:r>
                    </w:p>
                  </w:txbxContent>
                </v:textbox>
              </v:shape>
            </w:pict>
          </mc:Fallback>
        </mc:AlternateContent>
      </w:r>
    </w:p>
    <w:p>
      <w:pPr>
        <w:pStyle w:val="163"/>
        <w:rPr>
          <w:color w:val="000000" w:themeColor="text1"/>
          <w:highlight w:val="none"/>
          <w14:textFill>
            <w14:solidFill>
              <w14:schemeClr w14:val="tx1"/>
            </w14:solidFill>
          </w14:textFill>
        </w:rPr>
      </w:pPr>
      <w:bookmarkStart w:id="158" w:name="_Ref139747095"/>
      <w:r>
        <w:rPr>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图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bookmarkEnd w:id="158"/>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地面</w:t>
      </w:r>
      <w:r>
        <w:rPr>
          <w:color w:val="000000" w:themeColor="text1"/>
          <w:highlight w:val="none"/>
          <w14:textFill>
            <w14:solidFill>
              <w14:schemeClr w14:val="tx1"/>
            </w14:solidFill>
          </w14:textFill>
        </w:rPr>
        <w:t>管线施工作业流程及产污节点图</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1）敷设形式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输气管道根据地形、地质、水文地质及气候条件的不同，采用不同敷设形式。主要敷设形式及适应条件见下表。</w:t>
      </w:r>
    </w:p>
    <w:p>
      <w:pPr>
        <w:pStyle w:val="201"/>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输气管道主要敷设形式及适应条件</w:t>
      </w:r>
    </w:p>
    <w:tbl>
      <w:tblPr>
        <w:tblStyle w:val="60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89"/>
        <w:gridCol w:w="1384"/>
        <w:gridCol w:w="6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384"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敷设形式</w:t>
            </w:r>
          </w:p>
        </w:tc>
        <w:tc>
          <w:tcPr>
            <w:tcW w:w="6247"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适应条件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p>
        </w:tc>
        <w:tc>
          <w:tcPr>
            <w:tcW w:w="1384"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地下敷设</w:t>
            </w:r>
          </w:p>
        </w:tc>
        <w:tc>
          <w:tcPr>
            <w:tcW w:w="6247"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我国输气管道基本上采用地下敷设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w:t>
            </w:r>
          </w:p>
        </w:tc>
        <w:tc>
          <w:tcPr>
            <w:tcW w:w="1384"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半地下敷设</w:t>
            </w:r>
          </w:p>
        </w:tc>
        <w:tc>
          <w:tcPr>
            <w:tcW w:w="6247"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适用于局部低洼处和管沟形成困难或费用高的连续坚硬岩石地段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3</w:t>
            </w:r>
          </w:p>
        </w:tc>
        <w:tc>
          <w:tcPr>
            <w:tcW w:w="1384"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地上敷设（土堤埋设）</w:t>
            </w:r>
          </w:p>
        </w:tc>
        <w:tc>
          <w:tcPr>
            <w:tcW w:w="6247"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适用于局部低洼、窄而深的小型沟壑、非农业区地下水位较高和沼泽地区地段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89"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w:t>
            </w:r>
          </w:p>
        </w:tc>
        <w:tc>
          <w:tcPr>
            <w:tcW w:w="1384"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管架敷设</w:t>
            </w:r>
          </w:p>
        </w:tc>
        <w:tc>
          <w:tcPr>
            <w:tcW w:w="6247" w:type="dxa"/>
            <w:vAlign w:val="center"/>
          </w:tcPr>
          <w:p>
            <w:pPr>
              <w:pStyle w:val="295"/>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适用于以上敷设形式不宜采用的地区。</w:t>
            </w:r>
          </w:p>
        </w:tc>
      </w:tr>
    </w:tbl>
    <w:p>
      <w:pPr>
        <w:spacing w:before="120" w:beforeLines="50"/>
        <w:ind w:firstLine="48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本项目集输管线通过的地区主要为二、三级地区，根据当地地形、地质等条件，</w:t>
      </w:r>
      <w:r>
        <w:rPr>
          <w:rFonts w:hint="eastAsia"/>
          <w:color w:val="000000" w:themeColor="text1"/>
          <w:highlight w:val="none"/>
          <w:lang w:val="en-US" w:eastAsia="zh-CN"/>
          <w14:textFill>
            <w14:solidFill>
              <w14:schemeClr w14:val="tx1"/>
            </w14:solidFill>
          </w14:textFill>
        </w:rPr>
        <w:t>由于本项目管线距离很短，仅在试采期临时使用，采用地下敷设方式</w:t>
      </w:r>
      <w:r>
        <w:rPr>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本工程山区地段一般达不到弹性敷设的条件，应采用热煨弯头改变管道走向</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试采结束后，根据实际情况若要继续开采，则输气管线按照《输气管道工程设计规范》（GB50251）等要求完善建设方式，若涉及输水管线则参考《给水排水工程管道结构设计规范》（GB50251）等要求完善建设方式，并另行办理相应环保手续。</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b/>
          <w:bCs/>
          <w:color w:val="000000" w:themeColor="text1"/>
          <w:highlight w:val="none"/>
          <w14:textFill>
            <w14:solidFill>
              <w14:schemeClr w14:val="tx1"/>
            </w14:solidFill>
          </w14:textFill>
        </w:rPr>
        <w:t>）施工方案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本项目的施工方式以人工为主，机械为辅。尽量地利用机械进行运管、堆管、抬管、吊管、组焊等。同时本项目采用分段开挖分段施工的方式。</w:t>
      </w:r>
    </w:p>
    <w:p>
      <w:pPr>
        <w:ind w:firstLine="482"/>
        <w:rPr>
          <w:rFonts w:hint="eastAsia" w:eastAsia="宋体"/>
          <w:b/>
          <w:bCs/>
          <w:color w:val="000000" w:themeColor="text1"/>
          <w:highlight w:val="none"/>
          <w:lang w:val="en-US" w:eastAsia="zh-CN"/>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①</w:t>
      </w:r>
      <w:r>
        <w:rPr>
          <w:b/>
          <w:bCs/>
          <w:color w:val="000000" w:themeColor="text1"/>
          <w:highlight w:val="none"/>
          <w14:textFill>
            <w14:solidFill>
              <w14:schemeClr w14:val="tx1"/>
            </w14:solidFill>
          </w14:textFill>
        </w:rPr>
        <w:t>施工作业带</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管道施工前，首先要对施工作业带进行清理和平整，以便施工人员、车辆和机械通行，然后才能进行</w:t>
      </w:r>
      <w:r>
        <w:rPr>
          <w:rFonts w:hint="eastAsia" w:cs="Times New Roman"/>
          <w:color w:val="000000" w:themeColor="text1"/>
          <w:highlight w:val="none"/>
          <w:lang w:val="en-US" w:eastAsia="zh-CN"/>
          <w14:textFill>
            <w14:solidFill>
              <w14:schemeClr w14:val="tx1"/>
            </w14:solidFill>
          </w14:textFill>
        </w:rPr>
        <w:t>管线沿线平整和压实</w:t>
      </w:r>
      <w:r>
        <w:rPr>
          <w:rFonts w:cs="Times New Roman"/>
          <w:color w:val="000000" w:themeColor="text1"/>
          <w:highlight w:val="none"/>
          <w14:textFill>
            <w14:solidFill>
              <w14:schemeClr w14:val="tx1"/>
            </w14:solidFill>
          </w14:textFill>
        </w:rPr>
        <w:t>作业。本工程沿线所经地区主要为低山、丘陵区，管线基本</w:t>
      </w:r>
      <w:r>
        <w:rPr>
          <w:rFonts w:hint="eastAsia" w:cs="Times New Roman"/>
          <w:color w:val="000000" w:themeColor="text1"/>
          <w:highlight w:val="none"/>
          <w:lang w:val="en-US" w:eastAsia="zh-CN"/>
          <w14:textFill>
            <w14:solidFill>
              <w14:schemeClr w14:val="tx1"/>
            </w14:solidFill>
          </w14:textFill>
        </w:rPr>
        <w:t>沿道路两侧</w:t>
      </w:r>
      <w:r>
        <w:rPr>
          <w:rFonts w:cs="Times New Roman"/>
          <w:color w:val="000000" w:themeColor="text1"/>
          <w:highlight w:val="none"/>
          <w14:textFill>
            <w14:solidFill>
              <w14:schemeClr w14:val="tx1"/>
            </w14:solidFill>
          </w14:textFill>
        </w:rPr>
        <w:t>穿行于旱地、经济作物和林地等区域，管道通过经济作物区时，为减少管道施工对经济作物的损坏，施工作业带宽度应尽量缩窄，宜采用沟下组焊方式减小施工作业带宽度，</w:t>
      </w:r>
      <w:r>
        <w:rPr>
          <w:rFonts w:hint="eastAsia" w:cs="Times New Roman"/>
          <w:color w:val="000000" w:themeColor="text1"/>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施工作业带宽度宜</w:t>
      </w:r>
      <w:r>
        <w:rPr>
          <w:rFonts w:hint="eastAsia" w:cs="Times New Roman"/>
          <w:color w:val="000000" w:themeColor="text1"/>
          <w:highlight w:val="none"/>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8</w:t>
      </w:r>
      <w:r>
        <w:rPr>
          <w:rFonts w:cs="Times New Roman"/>
          <w:color w:val="000000" w:themeColor="text1"/>
          <w:highlight w:val="none"/>
          <w14:textFill>
            <w14:solidFill>
              <w14:schemeClr w14:val="tx1"/>
            </w14:solidFill>
          </w14:textFill>
        </w:rPr>
        <w:t>m。按有关法规对管道施工作业带只进行临时性使用土地，施工完毕后应立即还耕复种，并恢复原地貌。</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清理施工作业带对生态环境的影响主要表现为：在施工作业带范围内，用推土机和挖掘机进行扫线清理时，不但会破坏施工作业带范围内的原生植被、次生植被以及人工植被，而且还会对土壤造成扰动，使土壤的结构、组成及理化特性等发生变化，进而影响农作物的生长，造成农业生产减产。</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施工中采用后退式扫线作业，整个施工作业带范围内的土壤和植被会受到扰动或破坏，尤其是在</w:t>
      </w:r>
      <w:r>
        <w:rPr>
          <w:rFonts w:hint="eastAsia"/>
          <w:color w:val="000000" w:themeColor="text1"/>
          <w:highlight w:val="none"/>
          <w:lang w:val="en-US" w:eastAsia="zh-CN"/>
          <w14:textFill>
            <w14:solidFill>
              <w14:schemeClr w14:val="tx1"/>
            </w14:solidFill>
          </w14:textFill>
        </w:rPr>
        <w:t>管线</w:t>
      </w:r>
      <w:r>
        <w:rPr>
          <w:color w:val="000000" w:themeColor="text1"/>
          <w:highlight w:val="none"/>
          <w14:textFill>
            <w14:solidFill>
              <w14:schemeClr w14:val="tx1"/>
            </w14:solidFill>
          </w14:textFill>
        </w:rPr>
        <w:t>两侧4m范围内的植被破坏严重；</w:t>
      </w:r>
      <w:r>
        <w:rPr>
          <w:rFonts w:hint="eastAsia"/>
          <w:color w:val="000000" w:themeColor="text1"/>
          <w:highlight w:val="none"/>
          <w:lang w:val="en-US" w:eastAsia="zh-CN"/>
          <w14:textFill>
            <w14:solidFill>
              <w14:schemeClr w14:val="tx1"/>
            </w14:solidFill>
          </w14:textFill>
        </w:rPr>
        <w:t>同时管线区临时占地的压实作业将</w:t>
      </w:r>
      <w:r>
        <w:rPr>
          <w:color w:val="000000" w:themeColor="text1"/>
          <w:highlight w:val="none"/>
          <w14:textFill>
            <w14:solidFill>
              <w14:schemeClr w14:val="tx1"/>
            </w14:solidFill>
          </w14:textFill>
        </w:rPr>
        <w:t>造成的土壤的结构、组成及理化特性等发生变化，进而影响土壤的侵蚀状况、植被的恢复、农作物的生长发育等。</w:t>
      </w:r>
    </w:p>
    <w:p>
      <w:pPr>
        <w:ind w:firstLine="482"/>
        <w:rPr>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②</w:t>
      </w:r>
      <w:r>
        <w:rPr>
          <w:rFonts w:hint="eastAsia" w:ascii="宋体" w:hAnsi="宋体"/>
          <w:b/>
          <w:bCs/>
          <w:color w:val="000000" w:themeColor="text1"/>
          <w:highlight w:val="none"/>
          <w:lang w:val="en-US" w:eastAsia="zh-CN"/>
          <w14:textFill>
            <w14:solidFill>
              <w14:schemeClr w14:val="tx1"/>
            </w14:solidFill>
          </w14:textFill>
        </w:rPr>
        <w:t>管线沿线平整和压实</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本工程管道</w:t>
      </w:r>
      <w:r>
        <w:rPr>
          <w:rFonts w:hint="eastAsia" w:cs="Times New Roman"/>
          <w:color w:val="000000" w:themeColor="text1"/>
          <w:highlight w:val="none"/>
          <w:lang w:val="en-US" w:eastAsia="zh-CN"/>
          <w14:textFill>
            <w14:solidFill>
              <w14:schemeClr w14:val="tx1"/>
            </w14:solidFill>
          </w14:textFill>
        </w:rPr>
        <w:t>沿线平整和压实</w:t>
      </w:r>
      <w:r>
        <w:rPr>
          <w:rFonts w:cs="Times New Roman"/>
          <w:color w:val="000000" w:themeColor="text1"/>
          <w:highlight w:val="none"/>
          <w14:textFill>
            <w14:solidFill>
              <w14:schemeClr w14:val="tx1"/>
            </w14:solidFill>
          </w14:textFill>
        </w:rPr>
        <w:t>施工采用机械与人工相结合的方法</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由于本项目集输管线通过的地区主要为二、三级地区，</w:t>
      </w:r>
      <w:r>
        <w:rPr>
          <w:rFonts w:hint="eastAsia" w:cs="Times New Roman"/>
          <w:color w:val="000000" w:themeColor="text1"/>
          <w:highlight w:val="none"/>
          <w:lang w:val="en-US" w:eastAsia="zh-CN"/>
          <w14:textFill>
            <w14:solidFill>
              <w14:schemeClr w14:val="tx1"/>
            </w14:solidFill>
          </w14:textFill>
        </w:rPr>
        <w:t>主要沿道路两侧敷设</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占地平整压实以人工为主、</w:t>
      </w:r>
      <w:r>
        <w:rPr>
          <w:rFonts w:cs="Times New Roman"/>
          <w:color w:val="000000" w:themeColor="text1"/>
          <w:highlight w:val="none"/>
          <w14:textFill>
            <w14:solidFill>
              <w14:schemeClr w14:val="tx1"/>
            </w14:solidFill>
          </w14:textFill>
        </w:rPr>
        <w:t>机械为辅。</w:t>
      </w:r>
      <w:r>
        <w:rPr>
          <w:rFonts w:hint="eastAsia" w:cs="Times New Roman"/>
          <w:color w:val="000000" w:themeColor="text1"/>
          <w:highlight w:val="none"/>
          <w:lang w:val="en-US" w:eastAsia="zh-CN"/>
          <w14:textFill>
            <w14:solidFill>
              <w14:schemeClr w14:val="tx1"/>
            </w14:solidFill>
          </w14:textFill>
        </w:rPr>
        <w:t>管线沿线占地不进行表土剥离，应尽量对沿线占地压实处理，确保管线沿线基础稳定</w:t>
      </w:r>
      <w:r>
        <w:rPr>
          <w:rFonts w:cs="Times New Roman"/>
          <w:color w:val="000000" w:themeColor="text1"/>
          <w:highlight w:val="none"/>
          <w14:textFill>
            <w14:solidFill>
              <w14:schemeClr w14:val="tx1"/>
            </w14:solidFill>
          </w14:textFill>
        </w:rPr>
        <w:t>。</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③</w:t>
      </w:r>
      <w:r>
        <w:rPr>
          <w:b/>
          <w:bCs/>
          <w:color w:val="000000" w:themeColor="text1"/>
          <w:highlight w:val="none"/>
          <w14:textFill>
            <w14:solidFill>
              <w14:schemeClr w14:val="tx1"/>
            </w14:solidFill>
          </w14:textFill>
        </w:rPr>
        <w:t>管道焊接</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采用氩电联焊。一般管段采用沟上焊接，大中型沟溪等施工困难地段管段采用沟下焊接。若环境温度低于-5℃时，应采取有效的措施以防止焊缝冷速过快，环境湿度应小于90%RH，若环境风速大于5m/s，应采取有效防风措施。焊接工艺按照《钢质管道焊接及验收》（GB/T 31032-2014）、《油气长输管道工程施工及验收规范》（GB50369-2014）等相关规定、规范要求执行。</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所有管道环焊缝均应进行100%射线检测，在热处理完成后应进行100%超声检测，对于不能进行超声检测的环焊缝，可选用射线、磁粉、渗透检测方法之一代替。热处理前后的角焊缝应进行100%磁粉或100%渗透检测。</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④管线</w:t>
      </w:r>
      <w:r>
        <w:rPr>
          <w:b/>
          <w:bCs/>
          <w:color w:val="000000" w:themeColor="text1"/>
          <w:highlight w:val="none"/>
          <w14:textFill>
            <w14:solidFill>
              <w14:schemeClr w14:val="tx1"/>
            </w14:solidFill>
          </w14:textFill>
        </w:rPr>
        <w:t>综合布置</w:t>
      </w:r>
    </w:p>
    <w:p>
      <w:pPr>
        <w:ind w:firstLine="480"/>
        <w:rPr>
          <w:rFonts w:hint="default" w:eastAsia="宋体" w:cs="Times New Roman"/>
          <w:color w:val="000000" w:themeColor="text1"/>
          <w:highlight w:val="none"/>
          <w:lang w:val="en-US" w:eastAsia="zh-CN"/>
          <w14:textFill>
            <w14:solidFill>
              <w14:schemeClr w14:val="tx1"/>
            </w14:solidFill>
          </w14:textFill>
        </w:rPr>
      </w:pPr>
      <w:r>
        <w:rPr>
          <w:rFonts w:cs="Times New Roman"/>
          <w:color w:val="000000" w:themeColor="text1"/>
          <w:highlight w:val="none"/>
          <w14:textFill>
            <w14:solidFill>
              <w14:schemeClr w14:val="tx1"/>
            </w14:solidFill>
          </w14:textFill>
        </w:rPr>
        <w:t>根据《输气管道工程设计规范》（GB50251-2015），同沟敷设的并行管道，间距应满足施工及维护需求且嘴角净距不应小于0.5m，输气管道与其他管道交叉时，垂直净距不应小于0.3m，当小于0.3m时，两管间交叉处应设置坚固的绝缘隔离物，交叉点两侧各延伸10m以上的管段，应确保管道防腐层无缺陷。</w:t>
      </w:r>
      <w:r>
        <w:rPr>
          <w:rFonts w:hint="eastAsia" w:cs="Times New Roman"/>
          <w:color w:val="000000" w:themeColor="text1"/>
          <w:highlight w:val="none"/>
          <w:lang w:val="en-US" w:eastAsia="zh-CN"/>
          <w14:textFill>
            <w14:solidFill>
              <w14:schemeClr w14:val="tx1"/>
            </w14:solidFill>
          </w14:textFill>
        </w:rPr>
        <w:t>本项目输气管道与输水管道严格按照</w:t>
      </w:r>
      <w:r>
        <w:rPr>
          <w:rFonts w:cs="Times New Roman"/>
          <w:color w:val="000000" w:themeColor="text1"/>
          <w:highlight w:val="none"/>
          <w14:textFill>
            <w14:solidFill>
              <w14:schemeClr w14:val="tx1"/>
            </w14:solidFill>
          </w14:textFill>
        </w:rPr>
        <w:t>《输气管道工程设计规范》（GB50251-2015）</w:t>
      </w:r>
      <w:r>
        <w:rPr>
          <w:rFonts w:hint="eastAsia" w:cs="Times New Roman"/>
          <w:color w:val="000000" w:themeColor="text1"/>
          <w:highlight w:val="none"/>
          <w:lang w:val="en-US" w:eastAsia="zh-CN"/>
          <w14:textFill>
            <w14:solidFill>
              <w14:schemeClr w14:val="tx1"/>
            </w14:solidFill>
          </w14:textFill>
        </w:rPr>
        <w:t>布置，间距不小于0.5m。</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⑤</w:t>
      </w:r>
      <w:r>
        <w:rPr>
          <w:b/>
          <w:bCs/>
          <w:color w:val="000000" w:themeColor="text1"/>
          <w:highlight w:val="none"/>
          <w14:textFill>
            <w14:solidFill>
              <w14:schemeClr w14:val="tx1"/>
            </w14:solidFill>
          </w14:textFill>
        </w:rPr>
        <w:t>清管、试压、干燥、置换</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本项目管线的清管、试压及干燥等需严格按照《油气长输管道工程施工及验收规范》（GB50369-2014）及本工程相关要求执行。</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管道投产前清管、测径、试压的一般程序：管段清管→管段测径→管段试压→管段连头→站间管段清管、测径。</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管道应在下沟后进行分段清管、测径和分段试压。如果投产前要求进行站间试压时，管道投产前还应进行站间试压。清管排放口不得设在人口居住稠密区、公共设施集中区。清管排放应符合环保要求。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为了确保试压的安全，采用清水进行强度试压。水压试验的供水水源洁净、无腐蚀性。管道沿线的试压段划分由各标段的施工单位根据地形、管道沿线的地区等级划分、水源等条件而综合确定。试压前施工单位应制定相应试压施工方案和应急预案，作好相应安全试压准备工作，报建设单位和监理单位批准后进行。</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a.管道清管</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管道安装完毕后，采用清管球（器）进行清管，清管介质采用压缩空气，吹扫时设立吹扫口，吹扫口应在放散条件好的开阔地带，末端固定，吹扫口流速＞20m/s，直到管内无污物排出为合格。</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分段清管应设临时清管器收发装置，清管器接收装置应选择在地势较高且50m范围内没有建筑物和人口分布的区域内，并应设警示标志。清管选用复合式清管器，清管球充水后直径过盈量应为管内径的5%</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8%。清管时的最大压力不得超过管材最小屈服强度的30%。清管器应适用于管线弯管的曲率半径。</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b.管道试压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吹扫结束后，必须对新安装管线设备进行强度试验和严密性试验，站外管道应执行《油气田集输管道施工规范》（GB50819-2013）中的有关规定。施工期管线试压分段进行，为节约用水，避免水资源的浪费，部分试压用水过滤后可重复使用。</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c.干燥</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本项目工程选用干空气干燥法对管道进行干燥。采用干空气干燥法可在管道末端配置水露点分析仪，干燥后排出气体水露点应连续4小时比管道输送条件下最低环境温度低5℃、变化幅度不大于3℃为合格。</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管道干燥结束后，如果没有立即投入运行，宜充入干燥氮气，保持内压大于0.12~0.15MPa（绝压）干燥状态下的密封，防止外界湿气</w:t>
      </w:r>
      <w:r>
        <w:rPr>
          <w:rFonts w:hint="eastAsia" w:cs="Times New Roman"/>
          <w:color w:val="000000" w:themeColor="text1"/>
          <w:highlight w:val="none"/>
          <w:lang w:eastAsia="zh-CN"/>
          <w14:textFill>
            <w14:solidFill>
              <w14:schemeClr w14:val="tx1"/>
            </w14:solidFill>
          </w14:textFill>
        </w:rPr>
        <w:t>重</w:t>
      </w:r>
      <w:r>
        <w:rPr>
          <w:rFonts w:cs="Times New Roman"/>
          <w:color w:val="000000" w:themeColor="text1"/>
          <w:highlight w:val="none"/>
          <w14:textFill>
            <w14:solidFill>
              <w14:schemeClr w14:val="tx1"/>
            </w14:solidFill>
          </w14:textFill>
        </w:rPr>
        <w:t>新进入管道，否则应重新进行干燥。</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d.置换</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管道内空气的置换在强度试验、严密性试压、吹扫清管、干燥合格后进行。应采用低压氮气或其他无腐蚀、无毒害性的惰性气体作为介质，站间进行全线置换。氮气注入被置换管道的温度不应低于5</w:t>
      </w:r>
      <w:r>
        <w:rPr>
          <w:rFonts w:cs="Times New Roman"/>
          <w:color w:val="000000" w:themeColor="text1"/>
          <w:highlight w:val="none"/>
          <w:lang w:eastAsia="ja-JP"/>
          <w14:textFill>
            <w14:solidFill>
              <w14:schemeClr w14:val="tx1"/>
            </w14:solidFill>
          </w14:textFill>
        </w:rPr>
        <w:t>℃</w:t>
      </w:r>
      <w:r>
        <w:rPr>
          <w:rFonts w:cs="Times New Roman"/>
          <w:color w:val="000000" w:themeColor="text1"/>
          <w:highlight w:val="none"/>
          <w14:textFill>
            <w14:solidFill>
              <w14:schemeClr w14:val="tx1"/>
            </w14:solidFill>
          </w14:textFill>
        </w:rPr>
        <w:t>，置换过程中管道内气体流速不应大于5m/s，同时，置换管道末端、阀室及站场应配备气体含量检测设备，当置换管道末端放空管口气体含氧量不大于2%，并持续不小于5min即可认为置换合格。</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⑦</w:t>
      </w:r>
      <w:r>
        <w:rPr>
          <w:b/>
          <w:bCs/>
          <w:color w:val="000000" w:themeColor="text1"/>
          <w:highlight w:val="none"/>
          <w14:textFill>
            <w14:solidFill>
              <w14:schemeClr w14:val="tx1"/>
            </w14:solidFill>
          </w14:textFill>
        </w:rPr>
        <w:t>投运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管道管理单位应根据《天然气管道运行规范》（SY/T5922-2012）相关规定制定投运方案及相应的安全应急预案，经相关部门审查通过后实施。</w:t>
      </w:r>
    </w:p>
    <w:p>
      <w:pPr>
        <w:ind w:firstLine="482"/>
        <w:rPr>
          <w:rFonts w:cs="Times New Roman"/>
          <w:b/>
          <w:bCs/>
          <w:color w:val="000000" w:themeColor="text1"/>
          <w:kern w:val="0"/>
          <w:szCs w:val="20"/>
          <w:highlight w:val="none"/>
          <w14:textFill>
            <w14:solidFill>
              <w14:schemeClr w14:val="tx1"/>
            </w14:solidFill>
          </w14:textFill>
        </w:rPr>
      </w:pPr>
      <w:r>
        <w:rPr>
          <w:rFonts w:cs="Times New Roman"/>
          <w:b/>
          <w:bCs/>
          <w:color w:val="000000" w:themeColor="text1"/>
          <w:kern w:val="0"/>
          <w:szCs w:val="20"/>
          <w:highlight w:val="none"/>
          <w14:textFill>
            <w14:solidFill>
              <w14:schemeClr w14:val="tx1"/>
            </w14:solidFill>
          </w14:textFill>
        </w:rPr>
        <w:t>清管、探伤、试压合格及氮气置换完成后进行集输工程，本项目</w:t>
      </w:r>
      <w:r>
        <w:rPr>
          <w:rFonts w:hint="eastAsia" w:cs="Times New Roman"/>
          <w:b/>
          <w:bCs/>
          <w:color w:val="000000" w:themeColor="text1"/>
          <w:kern w:val="0"/>
          <w:szCs w:val="20"/>
          <w:highlight w:val="none"/>
          <w:lang w:val="en-US" w:eastAsia="zh-CN"/>
          <w14:textFill>
            <w14:solidFill>
              <w14:schemeClr w14:val="tx1"/>
            </w14:solidFill>
          </w14:textFill>
        </w:rPr>
        <w:t>管线</w:t>
      </w:r>
      <w:r>
        <w:rPr>
          <w:rFonts w:cs="Times New Roman"/>
          <w:b/>
          <w:bCs/>
          <w:color w:val="000000" w:themeColor="text1"/>
          <w:kern w:val="0"/>
          <w:szCs w:val="20"/>
          <w:highlight w:val="none"/>
          <w14:textFill>
            <w14:solidFill>
              <w14:schemeClr w14:val="tx1"/>
            </w14:solidFill>
          </w14:textFill>
        </w:rPr>
        <w:t>施工期间不设施工营地。</w:t>
      </w:r>
      <w:r>
        <w:rPr>
          <w:rFonts w:hint="eastAsia" w:cs="Times New Roman"/>
          <w:b/>
          <w:bCs/>
          <w:color w:val="000000" w:themeColor="text1"/>
          <w:kern w:val="0"/>
          <w:szCs w:val="20"/>
          <w:highlight w:val="none"/>
          <w14:textFill>
            <w14:solidFill>
              <w14:schemeClr w14:val="tx1"/>
            </w14:solidFill>
          </w14:textFill>
        </w:rPr>
        <w:t>其中</w:t>
      </w:r>
      <w:r>
        <w:rPr>
          <w:rFonts w:cs="Times New Roman"/>
          <w:b/>
          <w:bCs/>
          <w:color w:val="000000" w:themeColor="text1"/>
          <w:kern w:val="0"/>
          <w:szCs w:val="20"/>
          <w:highlight w:val="none"/>
          <w14:textFill>
            <w14:solidFill>
              <w14:schemeClr w14:val="tx1"/>
            </w14:solidFill>
          </w14:textFill>
        </w:rPr>
        <w:t>采用的X射线探伤不属于本次评价内容，按照相关要求另行完善环保手续</w:t>
      </w:r>
      <w:r>
        <w:rPr>
          <w:rFonts w:hint="eastAsia" w:cs="Times New Roman"/>
          <w:b/>
          <w:bCs/>
          <w:color w:val="000000" w:themeColor="text1"/>
          <w:kern w:val="0"/>
          <w:szCs w:val="20"/>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159" w:name="3.3.2营运期污染源"/>
      <w:bookmarkEnd w:id="159"/>
      <w:bookmarkStart w:id="160" w:name="_Toc120173109"/>
      <w:r>
        <w:rPr>
          <w:color w:val="000000" w:themeColor="text1"/>
          <w:highlight w:val="none"/>
          <w:lang w:eastAsia="zh-CN"/>
          <w14:textFill>
            <w14:solidFill>
              <w14:schemeClr w14:val="tx1"/>
            </w14:solidFill>
          </w14:textFill>
        </w:rPr>
        <w:t>试采期工程分析</w:t>
      </w:r>
      <w:bookmarkEnd w:id="160"/>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如钻井完毕并通过测试获得天然气，则进行地面建设工程，</w:t>
      </w:r>
      <w:r>
        <w:rPr>
          <w:rFonts w:ascii="Times New Roman" w:hAnsi="Times New Roman"/>
          <w:bCs/>
          <w:color w:val="000000" w:themeColor="text1"/>
          <w:sz w:val="24"/>
          <w:szCs w:val="24"/>
          <w:highlight w:val="none"/>
          <w:lang w:eastAsia="zh-CN"/>
          <w14:textFill>
            <w14:solidFill>
              <w14:schemeClr w14:val="tx1"/>
            </w14:solidFill>
          </w14:textFill>
        </w:rPr>
        <w:t>本项目</w:t>
      </w:r>
      <w:r>
        <w:rPr>
          <w:rFonts w:hint="eastAsia"/>
          <w:bCs/>
          <w:color w:val="000000" w:themeColor="text1"/>
          <w:sz w:val="24"/>
          <w:szCs w:val="24"/>
          <w:highlight w:val="none"/>
          <w:lang w:eastAsia="zh-CN"/>
          <w14:textFill>
            <w14:solidFill>
              <w14:schemeClr w14:val="tx1"/>
            </w14:solidFill>
          </w14:textFill>
        </w:rPr>
        <w:t>将进行试采生产</w:t>
      </w:r>
      <w:r>
        <w:rPr>
          <w:rFonts w:ascii="Times New Roman" w:hAnsi="Times New Roman"/>
          <w:bCs/>
          <w:color w:val="000000" w:themeColor="text1"/>
          <w:sz w:val="24"/>
          <w:szCs w:val="24"/>
          <w:highlight w:val="none"/>
          <w:lang w:eastAsia="zh-CN"/>
          <w14:textFill>
            <w14:solidFill>
              <w14:schemeClr w14:val="tx1"/>
            </w14:solidFill>
          </w14:textFill>
        </w:rPr>
        <w:t>，若无工业产能且无后续开发计划，则井口采用水泥浆封井，井口焊上钢板和阀门，井站</w:t>
      </w:r>
      <w:r>
        <w:rPr>
          <w:rFonts w:hint="eastAsia"/>
          <w:bCs/>
          <w:color w:val="000000" w:themeColor="text1"/>
          <w:sz w:val="24"/>
          <w:szCs w:val="24"/>
          <w:highlight w:val="none"/>
          <w:lang w:eastAsia="zh-CN"/>
          <w14:textFill>
            <w14:solidFill>
              <w14:schemeClr w14:val="tx1"/>
            </w14:solidFill>
          </w14:textFill>
        </w:rPr>
        <w:t>其他装置</w:t>
      </w:r>
      <w:r>
        <w:rPr>
          <w:rFonts w:ascii="Times New Roman" w:hAnsi="Times New Roman"/>
          <w:bCs/>
          <w:color w:val="000000" w:themeColor="text1"/>
          <w:sz w:val="24"/>
          <w:szCs w:val="24"/>
          <w:highlight w:val="none"/>
          <w:lang w:eastAsia="zh-CN"/>
          <w14:textFill>
            <w14:solidFill>
              <w14:schemeClr w14:val="tx1"/>
            </w14:solidFill>
          </w14:textFill>
        </w:rPr>
        <w:t>、房屋搬迁，井口设立标志。</w:t>
      </w:r>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1、采气试采工艺流程</w: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1026795</wp:posOffset>
                </wp:positionH>
                <wp:positionV relativeFrom="paragraph">
                  <wp:posOffset>1430020</wp:posOffset>
                </wp:positionV>
                <wp:extent cx="828040" cy="247650"/>
                <wp:effectExtent l="0" t="0" r="635" b="0"/>
                <wp:wrapNone/>
                <wp:docPr id="245" name="文本框 245"/>
                <wp:cNvGraphicFramePr/>
                <a:graphic xmlns:a="http://schemas.openxmlformats.org/drawingml/2006/main">
                  <a:graphicData uri="http://schemas.microsoft.com/office/word/2010/wordprocessingShape">
                    <wps:wsp>
                      <wps:cNvSpPr txBox="1"/>
                      <wps:spPr>
                        <a:xfrm>
                          <a:off x="0" y="0"/>
                          <a:ext cx="828040" cy="247650"/>
                        </a:xfrm>
                        <a:prstGeom prst="rect">
                          <a:avLst/>
                        </a:prstGeom>
                        <a:solidFill>
                          <a:srgbClr val="FFFFFF"/>
                        </a:solidFill>
                        <a:ln w="9525">
                          <a:noFill/>
                          <a:miter lim="800000"/>
                        </a:ln>
                      </wps:spPr>
                      <wps:txbx>
                        <w:txbxContent>
                          <w:p>
                            <w:pPr>
                              <w:ind w:left="0" w:leftChars="0" w:firstLine="0" w:firstLineChars="0"/>
                              <w:rPr>
                                <w:rFonts w:hint="default" w:eastAsia="宋体"/>
                                <w:sz w:val="15"/>
                                <w:szCs w:val="15"/>
                                <w:lang w:val="en-US" w:eastAsia="zh-CN"/>
                              </w:rPr>
                            </w:pPr>
                            <w:r>
                              <w:rPr>
                                <w:rFonts w:hint="eastAsia"/>
                                <w:sz w:val="15"/>
                                <w:szCs w:val="15"/>
                                <w:lang w:val="en-US" w:eastAsia="zh-CN"/>
                              </w:rPr>
                              <w:t>噪声、固废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80.85pt;margin-top:112.6pt;height:19.5pt;width:65.2pt;z-index:251729920;mso-width-relative:page;mso-height-relative:page;" fillcolor="#FFFFFF" filled="t" stroked="f" coordsize="21600,21600" o:gfxdata="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G7HfU2AAAAAsBAAAPAAAAAAAAAAEAIAAAACIAAABkcnMvZG93bnJldi54bWxQSwECFAAU&#10;AAAACACHTuJAi89DZGMCAAC1BAAADgAAAAAAAAABACAAAAAnAQAAZHJzL2Uyb0RvYy54bWxQSwUG&#10;AAAAAAYABgBZAQAA/AUAAAAA&#10;">
                <v:fill on="t" focussize="0,0"/>
                <v:stroke on="f" miterlimit="8" joinstyle="miter"/>
                <v:imagedata o:title=""/>
                <o:lock v:ext="edit" aspectratio="f"/>
                <v:textbox>
                  <w:txbxContent>
                    <w:p>
                      <w:pPr>
                        <w:ind w:left="0" w:leftChars="0" w:firstLine="0" w:firstLineChars="0"/>
                        <w:rPr>
                          <w:rFonts w:hint="default" w:eastAsia="宋体"/>
                          <w:sz w:val="15"/>
                          <w:szCs w:val="15"/>
                          <w:lang w:val="en-US" w:eastAsia="zh-CN"/>
                        </w:rPr>
                      </w:pPr>
                      <w:r>
                        <w:rPr>
                          <w:rFonts w:hint="eastAsia"/>
                          <w:sz w:val="15"/>
                          <w:szCs w:val="15"/>
                          <w:lang w:val="en-US" w:eastAsia="zh-CN"/>
                        </w:rPr>
                        <w:t>噪声、固废</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1536065</wp:posOffset>
                </wp:positionH>
                <wp:positionV relativeFrom="paragraph">
                  <wp:posOffset>1233170</wp:posOffset>
                </wp:positionV>
                <wp:extent cx="309880" cy="201295"/>
                <wp:effectExtent l="0" t="5080" r="4445" b="3175"/>
                <wp:wrapNone/>
                <wp:docPr id="244" name="直接箭头连接符 244"/>
                <wp:cNvGraphicFramePr/>
                <a:graphic xmlns:a="http://schemas.openxmlformats.org/drawingml/2006/main">
                  <a:graphicData uri="http://schemas.microsoft.com/office/word/2010/wordprocessingShape">
                    <wps:wsp>
                      <wps:cNvCnPr/>
                      <wps:spPr>
                        <a:xfrm flipH="1">
                          <a:off x="2679065" y="2787650"/>
                          <a:ext cx="309880" cy="2012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0.95pt;margin-top:97.1pt;height:15.85pt;width:24.4pt;z-index:251728896;mso-width-relative:page;mso-height-relative:page;" filled="f" stroked="t" coordsize="21600,21600" o:gfxdata="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Gjsh&#10;3AAAAAsBAAAPAAAAAAAAAAEAIAAAACIAAABkcnMvZG93bnJldi54bWxQSwECFAAUAAAACACHTuJA&#10;f/K49x0CAAD9AwAADgAAAAAAAAABACAAAAArAQAAZHJzL2Uyb0RvYy54bWxQSwUGAAAAAAYABgBZ&#10;AQAAugUAAAAA&#10;">
                <v:fill on="f" focussize="0,0"/>
                <v:stroke weight="1pt" color="#000000 [3213]" miterlimit="8" joinstyle="miter" endarrow="open"/>
                <v:imagedata o:title=""/>
                <o:lock v:ext="edit" aspectratio="f"/>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708025</wp:posOffset>
                </wp:positionH>
                <wp:positionV relativeFrom="paragraph">
                  <wp:posOffset>1303020</wp:posOffset>
                </wp:positionV>
                <wp:extent cx="1198245" cy="313055"/>
                <wp:effectExtent l="5080" t="5080" r="6350" b="5715"/>
                <wp:wrapNone/>
                <wp:docPr id="243" name="文本框 243"/>
                <wp:cNvGraphicFramePr/>
                <a:graphic xmlns:a="http://schemas.openxmlformats.org/drawingml/2006/main">
                  <a:graphicData uri="http://schemas.microsoft.com/office/word/2010/wordprocessingShape">
                    <wps:wsp>
                      <wps:cNvSpPr txBox="1"/>
                      <wps:spPr>
                        <a:xfrm>
                          <a:off x="0" y="0"/>
                          <a:ext cx="1198245" cy="313055"/>
                        </a:xfrm>
                        <a:prstGeom prst="rect">
                          <a:avLst/>
                        </a:prstGeom>
                        <a:solidFill>
                          <a:srgbClr val="FFFFFF"/>
                        </a:solidFill>
                        <a:ln w="9525">
                          <a:solidFill>
                            <a:schemeClr val="bg1"/>
                          </a:solidFill>
                          <a:miter lim="800000"/>
                        </a:ln>
                      </wps:spPr>
                      <wps:txbx>
                        <w:txbxContent>
                          <w:p>
                            <w:pPr>
                              <w:ind w:left="0" w:leftChars="0" w:firstLine="0" w:firstLineChars="0"/>
                              <w:jc w:val="cente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55.75pt;margin-top:102.6pt;height:24.65pt;width:94.35pt;z-index:251727872;mso-width-relative:page;mso-height-relative:page;" fillcolor="#FFFFFF" filled="t" stroked="t" coordsize="21600,21600" o:gfxdata="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q3R7rXAAAACwEAAA8AAAAAAAAAAQAgAAAAIgAAAGRycy9kb3ducmV2LnhtbFBLAQIU&#10;ABQAAAAIAIdO4kBC8d4YZgIAAN8EAAAOAAAAAAAAAAEAIAAAACYBAABkcnMvZTJvRG9jLnhtbFBL&#10;BQYAAAAABgAGAFkBAAD+BQAAAAA=&#10;">
                <v:fill on="t" focussize="0,0"/>
                <v:stroke color="#FFFFFF [3212]" miterlimit="8" joinstyle="miter"/>
                <v:imagedata o:title=""/>
                <o:lock v:ext="edit" aspectratio="f"/>
                <v:textbox>
                  <w:txbxContent>
                    <w:p>
                      <w:pPr>
                        <w:ind w:left="0" w:leftChars="0" w:firstLine="0" w:firstLineChars="0"/>
                        <w:jc w:val="center"/>
                        <w:rPr>
                          <w:rFonts w:hint="default" w:eastAsia="宋体"/>
                          <w:sz w:val="18"/>
                          <w:szCs w:val="18"/>
                          <w:lang w:val="en-US" w:eastAsia="zh-CN"/>
                        </w:rPr>
                      </w:pP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236220</wp:posOffset>
                </wp:positionH>
                <wp:positionV relativeFrom="paragraph">
                  <wp:posOffset>907415</wp:posOffset>
                </wp:positionV>
                <wp:extent cx="1052195" cy="294640"/>
                <wp:effectExtent l="5080" t="4445" r="9525" b="5715"/>
                <wp:wrapNone/>
                <wp:docPr id="242" name="文本框 242"/>
                <wp:cNvGraphicFramePr/>
                <a:graphic xmlns:a="http://schemas.openxmlformats.org/drawingml/2006/main">
                  <a:graphicData uri="http://schemas.microsoft.com/office/word/2010/wordprocessingShape">
                    <wps:wsp>
                      <wps:cNvSpPr txBox="1"/>
                      <wps:spPr>
                        <a:xfrm>
                          <a:off x="0" y="0"/>
                          <a:ext cx="1052195"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外输管线</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8.6pt;margin-top:71.45pt;height:23.2pt;width:82.85pt;z-index:251726848;mso-width-relative:page;mso-height-relative:page;" fillcolor="#FFFFFF" filled="t" stroked="t" coordsize="21600,21600" o:gfxdata="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Jo+Z2QAAAAoBAAAPAAAAAAAAAAEAIAAAACIAAABkcnMvZG93bnJldi54&#10;bWxQSwECFAAUAAAACACHTuJAGENLqmsCAADfBAAADgAAAAAAAAABACAAAAAoAQAAZHJzL2Uyb0Rv&#10;Yy54bWxQSwUGAAAAAAYABgBZAQAABQY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外输管线</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1560195</wp:posOffset>
                </wp:positionH>
                <wp:positionV relativeFrom="paragraph">
                  <wp:posOffset>911860</wp:posOffset>
                </wp:positionV>
                <wp:extent cx="1052195" cy="294640"/>
                <wp:effectExtent l="5080" t="4445" r="9525" b="5715"/>
                <wp:wrapNone/>
                <wp:docPr id="241" name="文本框 241"/>
                <wp:cNvGraphicFramePr/>
                <a:graphic xmlns:a="http://schemas.openxmlformats.org/drawingml/2006/main">
                  <a:graphicData uri="http://schemas.microsoft.com/office/word/2010/wordprocessingShape">
                    <wps:wsp>
                      <wps:cNvSpPr txBox="1"/>
                      <wps:spPr>
                        <a:xfrm>
                          <a:off x="0" y="0"/>
                          <a:ext cx="1052195"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三甘醇脱水撬</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22.85pt;margin-top:71.8pt;height:23.2pt;width:82.85pt;z-index:251725824;mso-width-relative:page;mso-height-relative:page;" fillcolor="#FFFFFF" filled="t" stroked="t" coordsize="21600,21600" o:gfxdata="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zq1vnZAAAACwEAAA8AAAAAAAAAAQAgAAAAIgAAAGRycy9kb3ducmV2Lnht&#10;bFBLAQIUABQAAAAIAIdO4kDgs18nagIAAN8EAAAOAAAAAAAAAAEAIAAAACgBAABkcnMvZTJvRG9j&#10;LnhtbFBLBQYAAAAABgAGAFkBAAAEBg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三甘醇脱水撬</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1449705</wp:posOffset>
                </wp:positionH>
                <wp:positionV relativeFrom="paragraph">
                  <wp:posOffset>1987550</wp:posOffset>
                </wp:positionV>
                <wp:extent cx="810260" cy="294640"/>
                <wp:effectExtent l="5080" t="4445" r="13335" b="5715"/>
                <wp:wrapNone/>
                <wp:docPr id="240" name="文本框 240"/>
                <wp:cNvGraphicFramePr/>
                <a:graphic xmlns:a="http://schemas.openxmlformats.org/drawingml/2006/main">
                  <a:graphicData uri="http://schemas.microsoft.com/office/word/2010/wordprocessingShape">
                    <wps:wsp>
                      <wps:cNvSpPr txBox="1"/>
                      <wps:spPr>
                        <a:xfrm>
                          <a:off x="0" y="0"/>
                          <a:ext cx="810260"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外运处置</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14.15pt;margin-top:156.5pt;height:23.2pt;width:63.8pt;z-index:251724800;mso-width-relative:page;mso-height-relative:page;" fillcolor="#FFFFFF" filled="t" stroked="t" coordsize="21600,21600" o:gfxdata="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MUR2o2gAAAAsBAAAPAAAAAAAAAAEAIAAAACIAAABkcnMvZG93bnJldi54bWxQ&#10;SwECFAAUAAAACACHTuJAUCZQh2cCAADeBAAADgAAAAAAAAABACAAAAApAQAAZHJzL2Uyb0RvYy54&#10;bWxQSwUGAAAAAAYABgBZAQAAAgY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外运处置</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2779395</wp:posOffset>
                </wp:positionH>
                <wp:positionV relativeFrom="paragraph">
                  <wp:posOffset>476885</wp:posOffset>
                </wp:positionV>
                <wp:extent cx="734060" cy="309245"/>
                <wp:effectExtent l="4445" t="4445" r="13970" b="10160"/>
                <wp:wrapNone/>
                <wp:docPr id="235" name="文本框 235"/>
                <wp:cNvGraphicFramePr/>
                <a:graphic xmlns:a="http://schemas.openxmlformats.org/drawingml/2006/main">
                  <a:graphicData uri="http://schemas.microsoft.com/office/word/2010/wordprocessingShape">
                    <wps:wsp>
                      <wps:cNvSpPr txBox="1"/>
                      <wps:spPr>
                        <a:xfrm>
                          <a:off x="3945890" y="2016125"/>
                          <a:ext cx="734060" cy="309245"/>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sz w:val="18"/>
                                <w:szCs w:val="18"/>
                                <w:lang w:val="en-US" w:eastAsia="zh-CN"/>
                              </w:rPr>
                              <w:t>除砂器撬</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18.85pt;margin-top:37.55pt;height:24.35pt;width:57.8pt;z-index:251719680;mso-width-relative:page;mso-height-relative:page;" fillcolor="#FFFFFF" filled="t" stroked="t" coordsize="21600,21600" o:gfxdata="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tf7nNkAAAAKAQAADwAAAAAAAAABACAAAAAiAAAAZHJzL2Rv&#10;d25yZXYueG1sUEsBAhQAFAAAAAgAh07iQKLBjX1yAgAA6gQAAA4AAAAAAAAAAQAgAAAAKAEAAGRy&#10;cy9lMm9Eb2MueG1sUEsFBgAAAAAGAAYAWQEAAAwGA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sz w:val="18"/>
                          <w:szCs w:val="18"/>
                          <w:lang w:val="en-US" w:eastAsia="zh-CN"/>
                        </w:rPr>
                        <w:t>除砂器撬</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2449830</wp:posOffset>
                </wp:positionH>
                <wp:positionV relativeFrom="paragraph">
                  <wp:posOffset>1350645</wp:posOffset>
                </wp:positionV>
                <wp:extent cx="1052195" cy="294640"/>
                <wp:effectExtent l="5080" t="4445" r="9525" b="5715"/>
                <wp:wrapNone/>
                <wp:docPr id="239" name="文本框 239"/>
                <wp:cNvGraphicFramePr/>
                <a:graphic xmlns:a="http://schemas.openxmlformats.org/drawingml/2006/main">
                  <a:graphicData uri="http://schemas.microsoft.com/office/word/2010/wordprocessingShape">
                    <wps:wsp>
                      <wps:cNvSpPr txBox="1"/>
                      <wps:spPr>
                        <a:xfrm>
                          <a:off x="0" y="0"/>
                          <a:ext cx="1052195"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气液分离器</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92.9pt;margin-top:106.35pt;height:23.2pt;width:82.85pt;z-index:251723776;mso-width-relative:page;mso-height-relative:page;" fillcolor="#FFFFFF" filled="t" stroked="t" coordsize="21600,21600" o:gfxdata="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gv8A3bAAAACwEAAA8AAAAAAAAAAQAgAAAAIgAAAGRycy9kb3ducmV2&#10;LnhtbFBLAQIUABQAAAAIAIdO4kCqwQ4tawIAAN8EAAAOAAAAAAAAAAEAIAAAACoBAABkcnMvZTJv&#10;RG9jLnhtbFBLBQYAAAAABgAGAFkBAAAHBg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气液分离器</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4349750</wp:posOffset>
                </wp:positionH>
                <wp:positionV relativeFrom="paragraph">
                  <wp:posOffset>1360170</wp:posOffset>
                </wp:positionV>
                <wp:extent cx="810260" cy="294640"/>
                <wp:effectExtent l="5080" t="4445" r="13335" b="5715"/>
                <wp:wrapNone/>
                <wp:docPr id="238" name="文本框 238"/>
                <wp:cNvGraphicFramePr/>
                <a:graphic xmlns:a="http://schemas.openxmlformats.org/drawingml/2006/main">
                  <a:graphicData uri="http://schemas.microsoft.com/office/word/2010/wordprocessingShape">
                    <wps:wsp>
                      <wps:cNvSpPr txBox="1"/>
                      <wps:spPr>
                        <a:xfrm>
                          <a:off x="0" y="0"/>
                          <a:ext cx="810260"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气液计量撬</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42.5pt;margin-top:107.1pt;height:23.2pt;width:63.8pt;z-index:251722752;mso-width-relative:page;mso-height-relative:page;" fillcolor="#FFFFFF" filled="t" stroked="t" coordsize="21600,21600" o:gfxdata="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ouCDLaAAAACwEAAA8AAAAAAAAAAQAgAAAAIgAAAGRycy9kb3ducmV2Lnht&#10;bFBLAQIUABQAAAAIAIdO4kDeS4zWaQIAAN4EAAAOAAAAAAAAAAEAIAAAACkBAABkcnMvZTJvRG9j&#10;LnhtbFBLBQYAAAAABgAGAFkBAAAEBg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气液计量撬</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4344670</wp:posOffset>
                </wp:positionH>
                <wp:positionV relativeFrom="paragraph">
                  <wp:posOffset>532130</wp:posOffset>
                </wp:positionV>
                <wp:extent cx="810260" cy="294640"/>
                <wp:effectExtent l="5080" t="4445" r="13335" b="5715"/>
                <wp:wrapNone/>
                <wp:docPr id="237" name="文本框 237"/>
                <wp:cNvGraphicFramePr/>
                <a:graphic xmlns:a="http://schemas.openxmlformats.org/drawingml/2006/main">
                  <a:graphicData uri="http://schemas.microsoft.com/office/word/2010/wordprocessingShape">
                    <wps:wsp>
                      <wps:cNvSpPr txBox="1"/>
                      <wps:spPr>
                        <a:xfrm>
                          <a:off x="0" y="0"/>
                          <a:ext cx="810260" cy="294640"/>
                        </a:xfrm>
                        <a:prstGeom prst="rect">
                          <a:avLst/>
                        </a:prstGeom>
                        <a:solidFill>
                          <a:srgbClr val="FFFFFF"/>
                        </a:solidFill>
                        <a:ln w="9525">
                          <a:solidFill>
                            <a:srgbClr val="000000"/>
                          </a:solidFill>
                          <a:miter lim="800000"/>
                        </a:ln>
                      </wps:spPr>
                      <wps:txb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水套炉加热</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42.1pt;margin-top:41.9pt;height:23.2pt;width:63.8pt;z-index:251721728;mso-width-relative:page;mso-height-relative:page;" fillcolor="#FFFFFF" filled="t" stroked="t" coordsize="21600,21600" o:gfxdata="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Bu3G62AAAAAoBAAAPAAAAAAAAAAEAIAAAACIAAABkcnMvZG93bnJldi54bWxQ&#10;SwECFAAUAAAACACHTuJAvXKFuWkCAADeBAAADgAAAAAAAAABACAAAAAnAQAAZHJzL2Uyb0RvYy54&#10;bWxQSwUGAAAAAAYABgBZAQAAAgYAAAAA&#10;">
                <v:fill on="t" focussize="0,0"/>
                <v:stroke color="#000000" miterlimit="8" joinstyle="miter"/>
                <v:imagedata o:title=""/>
                <o:lock v:ext="edit" aspectratio="f"/>
                <v:textbox>
                  <w:txbxContent>
                    <w:p>
                      <w:pPr>
                        <w:ind w:left="0" w:leftChars="0" w:firstLine="0" w:firstLineChars="0"/>
                        <w:jc w:val="center"/>
                        <w:rPr>
                          <w:rFonts w:hint="default" w:eastAsia="宋体"/>
                          <w:sz w:val="18"/>
                          <w:szCs w:val="18"/>
                          <w:lang w:val="en-US" w:eastAsia="zh-CN"/>
                        </w:rPr>
                      </w:pPr>
                      <w:r>
                        <w:rPr>
                          <w:rFonts w:hint="eastAsia" w:eastAsia="宋体"/>
                          <w:sz w:val="18"/>
                          <w:szCs w:val="18"/>
                          <w:lang w:val="en-US" w:eastAsia="zh-CN"/>
                        </w:rPr>
                        <w:t>水套炉加热</w:t>
                      </w:r>
                    </w:p>
                  </w:txbxContent>
                </v:textbox>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2974340</wp:posOffset>
                </wp:positionH>
                <wp:positionV relativeFrom="paragraph">
                  <wp:posOffset>62865</wp:posOffset>
                </wp:positionV>
                <wp:extent cx="828040" cy="247650"/>
                <wp:effectExtent l="0" t="0" r="635" b="0"/>
                <wp:wrapNone/>
                <wp:docPr id="236" name="文本框 236"/>
                <wp:cNvGraphicFramePr/>
                <a:graphic xmlns:a="http://schemas.openxmlformats.org/drawingml/2006/main">
                  <a:graphicData uri="http://schemas.microsoft.com/office/word/2010/wordprocessingShape">
                    <wps:wsp>
                      <wps:cNvSpPr txBox="1"/>
                      <wps:spPr>
                        <a:xfrm>
                          <a:off x="4145915" y="1611630"/>
                          <a:ext cx="828040" cy="247650"/>
                        </a:xfrm>
                        <a:prstGeom prst="rect">
                          <a:avLst/>
                        </a:prstGeom>
                        <a:solidFill>
                          <a:srgbClr val="FFFFFF"/>
                        </a:solidFill>
                        <a:ln w="9525">
                          <a:noFill/>
                          <a:miter lim="800000"/>
                        </a:ln>
                      </wps:spPr>
                      <wps:txbx>
                        <w:txbxContent>
                          <w:p>
                            <w:pPr>
                              <w:ind w:left="0" w:leftChars="0" w:firstLine="0" w:firstLineChars="0"/>
                              <w:rPr>
                                <w:rFonts w:hint="default" w:eastAsia="宋体"/>
                                <w:sz w:val="15"/>
                                <w:szCs w:val="15"/>
                                <w:lang w:val="en-US" w:eastAsia="zh-CN"/>
                              </w:rPr>
                            </w:pPr>
                            <w:r>
                              <w:rPr>
                                <w:rFonts w:hint="eastAsia"/>
                                <w:sz w:val="15"/>
                                <w:szCs w:val="15"/>
                                <w:lang w:val="en-US" w:eastAsia="zh-CN"/>
                              </w:rPr>
                              <w:t>噪声、固废</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34.2pt;margin-top:4.95pt;height:19.5pt;width:65.2pt;z-index:251720704;mso-width-relative:page;mso-height-relative:page;" fillcolor="#FFFFFF" filled="t" stroked="f" coordsize="21600,21600" o:gfxdata="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S7ypNYAAAAIAQAADwAAAAAAAAABACAAAAAiAAAAZHJzL2Rvd25y&#10;ZXYueG1sUEsBAhQAFAAAAAgAh07iQLtxNipyAgAAwQQAAA4AAAAAAAAAAQAgAAAAJQEAAGRycy9l&#10;Mm9Eb2MueG1sUEsFBgAAAAAGAAYAWQEAAAkGAAAAAA==&#10;">
                <v:fill on="t" focussize="0,0"/>
                <v:stroke on="f" miterlimit="8" joinstyle="miter"/>
                <v:imagedata o:title=""/>
                <o:lock v:ext="edit" aspectratio="f"/>
                <v:textbox>
                  <w:txbxContent>
                    <w:p>
                      <w:pPr>
                        <w:ind w:left="0" w:leftChars="0" w:firstLine="0" w:firstLineChars="0"/>
                        <w:rPr>
                          <w:rFonts w:hint="default" w:eastAsia="宋体"/>
                          <w:sz w:val="15"/>
                          <w:szCs w:val="15"/>
                          <w:lang w:val="en-US" w:eastAsia="zh-CN"/>
                        </w:rPr>
                      </w:pPr>
                      <w:r>
                        <w:rPr>
                          <w:rFonts w:hint="eastAsia"/>
                          <w:sz w:val="15"/>
                          <w:szCs w:val="15"/>
                          <w:lang w:val="en-US" w:eastAsia="zh-CN"/>
                        </w:rPr>
                        <w:t>噪声、固废</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2237740</wp:posOffset>
                </wp:positionH>
                <wp:positionV relativeFrom="paragraph">
                  <wp:posOffset>2130425</wp:posOffset>
                </wp:positionV>
                <wp:extent cx="388620" cy="0"/>
                <wp:effectExtent l="0" t="38100" r="1905" b="38100"/>
                <wp:wrapNone/>
                <wp:docPr id="401492986" name="直接箭头连接符 3"/>
                <wp:cNvGraphicFramePr/>
                <a:graphic xmlns:a="http://schemas.openxmlformats.org/drawingml/2006/main">
                  <a:graphicData uri="http://schemas.microsoft.com/office/word/2010/wordprocessingShape">
                    <wps:wsp>
                      <wps:cNvCnPr/>
                      <wps:spPr>
                        <a:xfrm flipH="1">
                          <a:off x="0" y="0"/>
                          <a:ext cx="3886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 o:spid="_x0000_s1026" o:spt="32" type="#_x0000_t32" style="position:absolute;left:0pt;flip:x;margin-left:176.2pt;margin-top:167.75pt;height:0pt;width:30.6pt;z-index:251719680;mso-width-relative:page;mso-height-relative:page;" filled="f" stroked="t" coordsize="21600,21600" o:gfxdata="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RZyFtgAAAALAQAADwAAAAAA&#10;AAABACAAAAAiAAAAZHJzL2Rvd25yZXYueG1sUEsBAhQAFAAAAAgAh07iQL/q+6oTAgAA8gMAAA4A&#10;AAAAAAAAAQAgAAAAJwEAAGRycy9lMm9Eb2MueG1sUEsFBgAAAAAGAAYAWQEAAKwFAAAAAA==&#10;">
                <v:fill on="f" focussize="0,0"/>
                <v:stroke weight="0.5pt" color="#000000 [3213]"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1755140</wp:posOffset>
                </wp:positionH>
                <wp:positionV relativeFrom="paragraph">
                  <wp:posOffset>2000885</wp:posOffset>
                </wp:positionV>
                <wp:extent cx="483235" cy="255270"/>
                <wp:effectExtent l="4445" t="4445" r="7620" b="6985"/>
                <wp:wrapNone/>
                <wp:docPr id="1759961156" name="文本框 2"/>
                <wp:cNvGraphicFramePr/>
                <a:graphic xmlns:a="http://schemas.openxmlformats.org/drawingml/2006/main">
                  <a:graphicData uri="http://schemas.microsoft.com/office/word/2010/wordprocessingShape">
                    <wps:wsp>
                      <wps:cNvSpPr txBox="1"/>
                      <wps:spPr>
                        <a:xfrm>
                          <a:off x="0" y="0"/>
                          <a:ext cx="483079" cy="255270"/>
                        </a:xfrm>
                        <a:prstGeom prst="rect">
                          <a:avLst/>
                        </a:prstGeom>
                        <a:solidFill>
                          <a:schemeClr val="lt1"/>
                        </a:solidFill>
                        <a:ln w="6350">
                          <a:solidFill>
                            <a:prstClr val="black"/>
                          </a:solidFill>
                        </a:ln>
                      </wps:spPr>
                      <wps:txbx>
                        <w:txbxContent>
                          <w:p>
                            <w:pPr>
                              <w:ind w:firstLine="0" w:firstLineChars="0"/>
                              <w:rPr>
                                <w:sz w:val="21"/>
                                <w:szCs w:val="21"/>
                              </w:rPr>
                            </w:pPr>
                            <w:r>
                              <w:rPr>
                                <w:rFonts w:hint="eastAsia"/>
                                <w:sz w:val="21"/>
                                <w:szCs w:val="21"/>
                              </w:rPr>
                              <w:t>外输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138.2pt;margin-top:157.55pt;height:20.1pt;width:38.05pt;z-index:251718656;mso-width-relative:page;mso-height-relative:page;" fillcolor="#FFFFFF [3201]" filled="t" stroked="t" coordsize="21600,21600" o:gfxdata="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sAUCc2AAAAAsBAAAPAAAAAAAAAAEAIAAAACIAAABkcnMvZG93bnJldi54bWxQSwECFAAU&#10;AAAACACHTuJA+mZPnWMCAAC/BAAADgAAAAAAAAABACAAAAAnAQAAZHJzL2Uyb0RvYy54bWxQSwUG&#10;AAAAAAYABgBZAQAA/AUAAAAA&#10;">
                <v:fill on="t" focussize="0,0"/>
                <v:stroke weight="0.5pt" color="#000000" joinstyle="round"/>
                <v:imagedata o:title=""/>
                <o:lock v:ext="edit" aspectratio="f"/>
                <v:textbox>
                  <w:txbxContent>
                    <w:p>
                      <w:pPr>
                        <w:ind w:firstLine="0" w:firstLineChars="0"/>
                        <w:rPr>
                          <w:sz w:val="21"/>
                          <w:szCs w:val="21"/>
                        </w:rPr>
                      </w:pPr>
                      <w:r>
                        <w:rPr>
                          <w:rFonts w:hint="eastAsia"/>
                          <w:sz w:val="21"/>
                          <w:szCs w:val="21"/>
                        </w:rPr>
                        <w:t>外输</w:t>
                      </w:r>
                    </w:p>
                  </w:txbxContent>
                </v:textbox>
              </v:shape>
            </w:pict>
          </mc:Fallback>
        </mc:AlternateContent>
      </w:r>
      <w:r>
        <w:rPr>
          <w:color w:val="000000" w:themeColor="text1"/>
          <w14:textFill>
            <w14:solidFill>
              <w14:schemeClr w14:val="tx1"/>
            </w14:solidFill>
          </w14:textFill>
        </w:rPr>
        <w:drawing>
          <wp:inline distT="0" distB="0" distL="0" distR="0">
            <wp:extent cx="4890770" cy="2303145"/>
            <wp:effectExtent l="0" t="0" r="5080" b="1905"/>
            <wp:docPr id="958292714" name="图片 95829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92714" name="图片 9582927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893273" cy="2304168"/>
                    </a:xfrm>
                    <a:prstGeom prst="rect">
                      <a:avLst/>
                    </a:prstGeom>
                    <a:noFill/>
                    <a:ln>
                      <a:noFill/>
                    </a:ln>
                  </pic:spPr>
                </pic:pic>
              </a:graphicData>
            </a:graphic>
          </wp:inline>
        </w:drawing>
      </w:r>
    </w:p>
    <w:p>
      <w:pPr>
        <w:pStyle w:val="607"/>
        <w:rPr>
          <w:color w:val="000000" w:themeColor="text1"/>
          <w:highlight w:val="none"/>
          <w14:textFill>
            <w14:solidFill>
              <w14:schemeClr w14:val="tx1"/>
            </w14:solidFill>
          </w14:textFill>
        </w:rPr>
      </w:pPr>
      <w:r>
        <w:rPr>
          <w:rStyle w:val="164"/>
          <w:rFonts w:ascii="Times New Roman"/>
          <w:color w:val="000000" w:themeColor="text1"/>
          <w:highlight w:val="none"/>
          <w14:textFill>
            <w14:solidFill>
              <w14:schemeClr w14:val="tx1"/>
            </w14:solidFill>
          </w14:textFill>
        </w:rPr>
        <w:t>图</w:t>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STYLEREF 2 \s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3.3</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noBreakHyphen/>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SEQ 图 \* ARABIC \s 2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15</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t xml:space="preserve"> 试采期工</w:t>
      </w:r>
      <w:r>
        <w:rPr>
          <w:rFonts w:ascii="Times New Roman"/>
          <w:color w:val="000000" w:themeColor="text1"/>
          <w:highlight w:val="none"/>
          <w14:textFill>
            <w14:solidFill>
              <w14:schemeClr w14:val="tx1"/>
            </w14:solidFill>
          </w14:textFill>
        </w:rPr>
        <w:t>艺流</w:t>
      </w:r>
      <w:r>
        <w:rPr>
          <w:rFonts w:hint="eastAsia"/>
          <w:color w:val="000000" w:themeColor="text1"/>
          <w:highlight w:val="none"/>
          <w14:textFill>
            <w14:solidFill>
              <w14:schemeClr w14:val="tx1"/>
            </w14:solidFill>
          </w14:textFill>
        </w:rPr>
        <w:t>程图</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1）试采总工艺流程</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试采期，</w:t>
      </w:r>
      <w:r>
        <w:rPr>
          <w:rFonts w:hint="eastAsia" w:cs="Times New Roman"/>
          <w:bCs/>
          <w:color w:val="000000" w:themeColor="text1"/>
          <w:szCs w:val="24"/>
          <w:highlight w:val="none"/>
          <w:lang w:eastAsia="zh-CN"/>
          <w14:textFill>
            <w14:solidFill>
              <w14:schemeClr w14:val="tx1"/>
            </w14:solidFill>
          </w14:textFill>
        </w:rPr>
        <w:t>天然气采用除砂、加热节流、单井气液计量、气液两相分离、三甘醇脱水、原料</w:t>
      </w:r>
      <w:r>
        <w:rPr>
          <w:rFonts w:cs="Times New Roman"/>
          <w:bCs/>
          <w:color w:val="000000" w:themeColor="text1"/>
          <w:szCs w:val="24"/>
          <w:highlight w:val="none"/>
          <w:lang w:eastAsia="zh-CN"/>
          <w14:textFill>
            <w14:solidFill>
              <w14:schemeClr w14:val="tx1"/>
            </w14:solidFill>
          </w14:textFill>
        </w:rPr>
        <w:t>，实现气井产物油气水分开计量及天然气外输和污水等进行分类回收处置功能</w:t>
      </w:r>
      <w:r>
        <w:rPr>
          <w:rFonts w:cs="Times New Roman"/>
          <w:bCs/>
          <w:color w:val="000000" w:themeColor="text1"/>
          <w:szCs w:val="24"/>
          <w:highlight w:val="none"/>
          <w14:textFill>
            <w14:solidFill>
              <w14:schemeClr w14:val="tx1"/>
            </w14:solidFill>
          </w14:textFill>
        </w:rPr>
        <w:t>。</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2）井口工艺</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井口采出的高压气由采气管线输至试采站，单井井口设紧急切断连锁，井口压力、温度设远传信号。</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3）加热节流工艺</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井口采出物进水套加热炉撬加热节流，节流后温度50℃左右。</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4）气液分离工艺</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加热炉节流后的采出物进入</w:t>
      </w:r>
      <w:r>
        <w:rPr>
          <w:rFonts w:hint="eastAsia"/>
          <w:color w:val="000000" w:themeColor="text1"/>
          <w:sz w:val="24"/>
          <w:highlight w:val="none"/>
          <w:lang w:eastAsia="zh-CN"/>
          <w14:textFill>
            <w14:solidFill>
              <w14:schemeClr w14:val="tx1"/>
            </w14:solidFill>
          </w14:textFill>
        </w:rPr>
        <w:t>气液计量撬</w:t>
      </w:r>
      <w:r>
        <w:rPr>
          <w:rFonts w:ascii="Times New Roman" w:hAnsi="Times New Roman"/>
          <w:color w:val="000000" w:themeColor="text1"/>
          <w:sz w:val="24"/>
          <w:highlight w:val="none"/>
          <w:lang w:eastAsia="zh-CN"/>
          <w14:textFill>
            <w14:solidFill>
              <w14:schemeClr w14:val="tx1"/>
            </w14:solidFill>
          </w14:textFill>
        </w:rPr>
        <w:t>计量后进入两相分离器进行气液分离，</w:t>
      </w:r>
      <w:r>
        <w:rPr>
          <w:rFonts w:hint="eastAsia"/>
          <w:color w:val="000000" w:themeColor="text1"/>
          <w:sz w:val="24"/>
          <w:highlight w:val="none"/>
          <w:lang w:val="en-US" w:eastAsia="zh-CN"/>
          <w14:textFill>
            <w14:solidFill>
              <w14:schemeClr w14:val="tx1"/>
            </w14:solidFill>
          </w14:textFill>
        </w:rPr>
        <w:t>分离出的气相经三甘醇脱水后</w:t>
      </w:r>
      <w:r>
        <w:rPr>
          <w:rFonts w:ascii="Times New Roman" w:hAnsi="Times New Roman"/>
          <w:color w:val="000000" w:themeColor="text1"/>
          <w:sz w:val="24"/>
          <w:highlight w:val="none"/>
          <w:lang w:eastAsia="zh-CN"/>
          <w14:textFill>
            <w14:solidFill>
              <w14:schemeClr w14:val="tx1"/>
            </w14:solidFill>
          </w14:textFill>
        </w:rPr>
        <w:t>通过</w:t>
      </w:r>
      <w:r>
        <w:rPr>
          <w:rFonts w:hint="eastAsia"/>
          <w:color w:val="000000" w:themeColor="text1"/>
          <w:sz w:val="24"/>
          <w:highlight w:val="none"/>
          <w:lang w:val="en-US" w:eastAsia="zh-CN"/>
          <w14:textFill>
            <w14:solidFill>
              <w14:schemeClr w14:val="tx1"/>
            </w14:solidFill>
          </w14:textFill>
        </w:rPr>
        <w:t>已</w:t>
      </w:r>
      <w:r>
        <w:rPr>
          <w:rFonts w:hint="eastAsia"/>
          <w:color w:val="000000" w:themeColor="text1"/>
          <w:sz w:val="24"/>
          <w:highlight w:val="none"/>
          <w:lang w:eastAsia="zh-CN"/>
          <w14:textFill>
            <w14:solidFill>
              <w14:schemeClr w14:val="tx1"/>
            </w14:solidFill>
          </w14:textFill>
        </w:rPr>
        <w:t>建集输管线</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val="en-US" w:eastAsia="zh-CN"/>
          <w14:textFill>
            <w14:solidFill>
              <w14:schemeClr w14:val="tx1"/>
            </w14:solidFill>
          </w14:textFill>
        </w:rPr>
        <w:t>魏兴站</w:t>
      </w:r>
      <w:r>
        <w:rPr>
          <w:rFonts w:hint="eastAsia"/>
          <w:color w:val="000000" w:themeColor="text1"/>
          <w:sz w:val="24"/>
          <w:highlight w:val="none"/>
          <w:lang w:eastAsia="zh-CN"/>
          <w14:textFill>
            <w14:solidFill>
              <w14:schemeClr w14:val="tx1"/>
            </w14:solidFill>
          </w14:textFill>
        </w:rPr>
        <w:t>，分离出的水进入污水罐，最终装车外运处理</w:t>
      </w:r>
      <w:r>
        <w:rPr>
          <w:rFonts w:ascii="Times New Roman" w:hAnsi="Times New Roman"/>
          <w:color w:val="000000" w:themeColor="text1"/>
          <w:sz w:val="24"/>
          <w:highlight w:val="none"/>
          <w:lang w:eastAsia="zh-CN"/>
          <w14:textFill>
            <w14:solidFill>
              <w14:schemeClr w14:val="tx1"/>
            </w14:solidFill>
          </w14:textFill>
        </w:rPr>
        <w:t>。</w:t>
      </w:r>
    </w:p>
    <w:p>
      <w:pPr>
        <w:numPr>
          <w:ilvl w:val="0"/>
          <w:numId w:val="9"/>
        </w:numPr>
        <w:adjustRightInd w:val="0"/>
        <w:snapToGrid w:val="0"/>
        <w:spacing w:line="360" w:lineRule="auto"/>
        <w:ind w:firstLine="480" w:firstLineChars="200"/>
        <w:jc w:val="both"/>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三甘醇脱水工艺</w:t>
      </w:r>
    </w:p>
    <w:p>
      <w:pPr>
        <w:numPr>
          <w:ilvl w:val="0"/>
          <w:numId w:val="0"/>
        </w:numPr>
        <w:adjustRightInd w:val="0"/>
        <w:snapToGrid w:val="0"/>
        <w:spacing w:line="360" w:lineRule="auto"/>
        <w:ind w:firstLine="480" w:firstLineChars="200"/>
        <w:jc w:val="both"/>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本项目三甘醇脱水工艺流程如下：</w:t>
      </w:r>
    </w:p>
    <w:p>
      <w:pPr>
        <w:numPr>
          <w:ilvl w:val="0"/>
          <w:numId w:val="0"/>
        </w:numPr>
        <w:adjustRightInd w:val="0"/>
        <w:snapToGrid w:val="0"/>
        <w:spacing w:line="360" w:lineRule="auto"/>
        <w:jc w:val="center"/>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706755</wp:posOffset>
                </wp:positionH>
                <wp:positionV relativeFrom="paragraph">
                  <wp:posOffset>168275</wp:posOffset>
                </wp:positionV>
                <wp:extent cx="1633220" cy="238125"/>
                <wp:effectExtent l="4445" t="4445" r="10160" b="5080"/>
                <wp:wrapNone/>
                <wp:docPr id="4" name="文本框 4"/>
                <wp:cNvGraphicFramePr/>
                <a:graphic xmlns:a="http://schemas.openxmlformats.org/drawingml/2006/main">
                  <a:graphicData uri="http://schemas.microsoft.com/office/word/2010/wordprocessingShape">
                    <wps:wsp>
                      <wps:cNvSpPr txBox="1"/>
                      <wps:spPr>
                        <a:xfrm>
                          <a:off x="1849755" y="4046855"/>
                          <a:ext cx="1633220" cy="238125"/>
                        </a:xfrm>
                        <a:prstGeom prst="rect">
                          <a:avLst/>
                        </a:prstGeom>
                        <a:solidFill>
                          <a:srgbClr val="FFFFFF"/>
                        </a:solidFill>
                        <a:ln w="9525">
                          <a:solidFill>
                            <a:schemeClr val="bg1"/>
                          </a:solidFill>
                          <a:miter lim="800000"/>
                        </a:ln>
                      </wps:spPr>
                      <wps:txbx>
                        <w:txbxContent>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55.65pt;margin-top:13.25pt;height:18.75pt;width:128.6pt;z-index:251740160;mso-width-relative:page;mso-height-relative:page;" fillcolor="#FFFFFF" filled="t" stroked="t" coordsize="21600,21600" o:gfxdata="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vFK+m1wAAAAkBAAAPAAAAAAAAAAEAIAAAACIAAABkcnMvZG93bnJldi54&#10;bWxQSwECFAAUAAAACACHTuJA9Jk2U20CAADnBAAADgAAAAAAAAABACAAAAAmAQAAZHJzL2Uyb0Rv&#10;Yy54bWxQSwUGAAAAAAYABgBZAQAABQYAAAAA&#10;">
                <v:fill on="t" focussize="0,0"/>
                <v:stroke color="#FFFFFF [3212]" miterlimit="8" joinstyle="miter"/>
                <v:imagedata o:title=""/>
                <o:lock v:ext="edit" aspectratio="f"/>
                <v:textbox>
                  <w:txbxContent>
                    <w:p/>
                  </w:txbxContent>
                </v:textbox>
              </v:shape>
            </w:pict>
          </mc:Fallback>
        </mc:AlternateContent>
      </w:r>
    </w:p>
    <w:p>
      <w:pPr>
        <w:numPr>
          <w:ilvl w:val="0"/>
          <w:numId w:val="0"/>
        </w:numPr>
        <w:adjustRightInd w:val="0"/>
        <w:snapToGrid w:val="0"/>
        <w:spacing w:line="360" w:lineRule="auto"/>
        <w:jc w:val="center"/>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863600</wp:posOffset>
                </wp:positionH>
                <wp:positionV relativeFrom="paragraph">
                  <wp:posOffset>1673860</wp:posOffset>
                </wp:positionV>
                <wp:extent cx="829945" cy="401320"/>
                <wp:effectExtent l="0" t="0" r="0" b="0"/>
                <wp:wrapNone/>
                <wp:docPr id="1" name="文本框 1"/>
                <wp:cNvGraphicFramePr/>
                <a:graphic xmlns:a="http://schemas.openxmlformats.org/drawingml/2006/main">
                  <a:graphicData uri="http://schemas.microsoft.com/office/word/2010/wordprocessingShape">
                    <wps:wsp>
                      <wps:cNvSpPr txBox="1"/>
                      <wps:spPr>
                        <a:xfrm>
                          <a:off x="1530350" y="5006340"/>
                          <a:ext cx="829945" cy="401320"/>
                        </a:xfrm>
                        <a:prstGeom prst="rect">
                          <a:avLst/>
                        </a:prstGeom>
                        <a:noFill/>
                        <a:ln w="9525">
                          <a:noFill/>
                          <a:miter lim="800000"/>
                        </a:ln>
                      </wps:spPr>
                      <wps:txbx>
                        <w:txbxContent>
                          <w:p>
                            <w:pPr>
                              <w:ind w:left="0" w:leftChars="0" w:firstLine="0" w:firstLineChars="0"/>
                              <w:rPr>
                                <w:rFonts w:hint="default" w:eastAsia="宋体"/>
                                <w:sz w:val="20"/>
                                <w:szCs w:val="18"/>
                                <w:lang w:val="en-US" w:eastAsia="zh-CN"/>
                              </w:rPr>
                            </w:pPr>
                            <w:r>
                              <w:rPr>
                                <w:rFonts w:hint="eastAsia"/>
                                <w:sz w:val="20"/>
                                <w:szCs w:val="18"/>
                                <w:lang w:val="en-US" w:eastAsia="zh-CN"/>
                              </w:rPr>
                              <w:t>上游来气</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68pt;margin-top:131.8pt;height:31.6pt;width:65.35pt;z-index:251739136;mso-width-relative:page;mso-height-relative:page;" filled="f" stroked="f" coordsize="21600,21600" o:gfxdata="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0DAQD1wAA&#10;AAsBAAAPAAAAAAAAAAEAIAAAACIAAABkcnMvZG93bnJldi54bWxQSwECFAAUAAAACACHTuJALNhJ&#10;GVgCAACUBAAADgAAAAAAAAABACAAAAAmAQAAZHJzL2Uyb0RvYy54bWxQSwUGAAAAAAYABgBZAQAA&#10;8AUAAAAA&#10;">
                <v:fill on="f" focussize="0,0"/>
                <v:stroke on="f" miterlimit="8" joinstyle="miter"/>
                <v:imagedata o:title=""/>
                <o:lock v:ext="edit" aspectratio="f"/>
                <v:textbox>
                  <w:txbxContent>
                    <w:p>
                      <w:pPr>
                        <w:ind w:left="0" w:leftChars="0" w:firstLine="0" w:firstLineChars="0"/>
                        <w:rPr>
                          <w:rFonts w:hint="default" w:eastAsia="宋体"/>
                          <w:sz w:val="20"/>
                          <w:szCs w:val="18"/>
                          <w:lang w:val="en-US" w:eastAsia="zh-CN"/>
                        </w:rPr>
                      </w:pPr>
                      <w:r>
                        <w:rPr>
                          <w:rFonts w:hint="eastAsia"/>
                          <w:sz w:val="20"/>
                          <w:szCs w:val="18"/>
                          <w:lang w:val="en-US" w:eastAsia="zh-CN"/>
                        </w:rPr>
                        <w:t>上游来气</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795020</wp:posOffset>
                </wp:positionH>
                <wp:positionV relativeFrom="paragraph">
                  <wp:posOffset>932815</wp:posOffset>
                </wp:positionV>
                <wp:extent cx="810260" cy="1653540"/>
                <wp:effectExtent l="0" t="0" r="8890" b="3810"/>
                <wp:wrapNone/>
                <wp:docPr id="2" name="文本框 2"/>
                <wp:cNvGraphicFramePr/>
                <a:graphic xmlns:a="http://schemas.openxmlformats.org/drawingml/2006/main">
                  <a:graphicData uri="http://schemas.microsoft.com/office/word/2010/wordprocessingShape">
                    <wps:wsp>
                      <wps:cNvSpPr txBox="1"/>
                      <wps:spPr>
                        <a:xfrm>
                          <a:off x="2101850" y="5074285"/>
                          <a:ext cx="810260" cy="1653540"/>
                        </a:xfrm>
                        <a:prstGeom prst="rect">
                          <a:avLst/>
                        </a:prstGeom>
                        <a:solidFill>
                          <a:srgbClr val="FFFFFF"/>
                        </a:solidFill>
                        <a:ln w="9525">
                          <a:noFill/>
                          <a:miter lim="800000"/>
                        </a:ln>
                      </wps:spPr>
                      <wps:txbx>
                        <w:txbxContent>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62.6pt;margin-top:73.45pt;height:130.2pt;width:63.8pt;z-index:251738112;mso-width-relative:page;mso-height-relative:page;" fillcolor="#FFFFFF" filled="t" stroked="f" coordsize="21600,21600" o:gfxdata="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uPB6PYAAAACwEAAA8AAAAAAAAAAQAgAAAAIgAAAGRycy9kb3du&#10;cmV2LnhtbFBLAQIUABQAAAAIAIdO4kBKWyIgcQIAAL4EAAAOAAAAAAAAAAEAIAAAACcBAABkcnMv&#10;ZTJvRG9jLnhtbFBLBQYAAAAABgAGAFkBAAAKBgAAAAA=&#10;">
                <v:fill on="t" focussize="0,0"/>
                <v:stroke on="f" miterlimit="8" joinstyle="miter"/>
                <v:imagedata o:title=""/>
                <o:lock v:ext="edit" aspectratio="f"/>
                <v:textbox>
                  <w:txbxContent>
                    <w:p/>
                  </w:txbxContent>
                </v:textbox>
              </v:shape>
            </w:pict>
          </mc:Fallback>
        </mc:AlternateContent>
      </w:r>
      <w:r>
        <w:rPr>
          <w:color w:val="000000" w:themeColor="text1"/>
          <w14:textFill>
            <w14:solidFill>
              <w14:schemeClr w14:val="tx1"/>
            </w14:solidFill>
          </w14:textFill>
        </w:rPr>
        <w:drawing>
          <wp:inline distT="0" distB="0" distL="0" distR="0">
            <wp:extent cx="3523615" cy="2536190"/>
            <wp:effectExtent l="0" t="0" r="0" b="0"/>
            <wp:docPr id="863556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56131" name="图片 1"/>
                    <pic:cNvPicPr>
                      <a:picLocks noChangeAspect="1"/>
                    </pic:cNvPicPr>
                  </pic:nvPicPr>
                  <pic:blipFill>
                    <a:blip r:embed="rId32"/>
                    <a:srcRect l="23069" t="3888" r="-139" b="264"/>
                    <a:stretch>
                      <a:fillRect/>
                    </a:stretch>
                  </pic:blipFill>
                  <pic:spPr>
                    <a:xfrm>
                      <a:off x="0" y="0"/>
                      <a:ext cx="3523615" cy="2536190"/>
                    </a:xfrm>
                    <a:prstGeom prst="rect">
                      <a:avLst/>
                    </a:prstGeom>
                  </pic:spPr>
                </pic:pic>
              </a:graphicData>
            </a:graphic>
          </wp:inline>
        </w:drawing>
      </w:r>
    </w:p>
    <w:p>
      <w:pPr>
        <w:pStyle w:val="607"/>
        <w:rPr>
          <w:color w:val="000000" w:themeColor="text1"/>
          <w:highlight w:val="none"/>
          <w14:textFill>
            <w14:solidFill>
              <w14:schemeClr w14:val="tx1"/>
            </w14:solidFill>
          </w14:textFill>
        </w:rPr>
      </w:pPr>
      <w:r>
        <w:rPr>
          <w:rStyle w:val="164"/>
          <w:rFonts w:ascii="Times New Roman"/>
          <w:color w:val="000000" w:themeColor="text1"/>
          <w:highlight w:val="none"/>
          <w14:textFill>
            <w14:solidFill>
              <w14:schemeClr w14:val="tx1"/>
            </w14:solidFill>
          </w14:textFill>
        </w:rPr>
        <w:t>图</w:t>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STYLEREF 2 \s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3.3</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noBreakHyphen/>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SEQ 图 \* ARABIC \s 2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1</w:t>
      </w:r>
      <w:r>
        <w:rPr>
          <w:rStyle w:val="164"/>
          <w:rFonts w:hint="eastAsia" w:ascii="Times New Roman"/>
          <w:color w:val="000000" w:themeColor="text1"/>
          <w:highlight w:val="none"/>
          <w:lang w:val="en-US" w:eastAsia="zh-CN"/>
          <w14:textFill>
            <w14:solidFill>
              <w14:schemeClr w14:val="tx1"/>
            </w14:solidFill>
          </w14:textFill>
        </w:rPr>
        <w:t>6</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t xml:space="preserve"> 试采期</w:t>
      </w:r>
      <w:r>
        <w:rPr>
          <w:rStyle w:val="164"/>
          <w:rFonts w:hint="eastAsia" w:ascii="Times New Roman"/>
          <w:color w:val="000000" w:themeColor="text1"/>
          <w:highlight w:val="none"/>
          <w:lang w:val="en-US" w:eastAsia="zh-CN"/>
          <w14:textFill>
            <w14:solidFill>
              <w14:schemeClr w14:val="tx1"/>
            </w14:solidFill>
          </w14:textFill>
        </w:rPr>
        <w:t>三甘醇脱水</w:t>
      </w:r>
      <w:r>
        <w:rPr>
          <w:rStyle w:val="164"/>
          <w:rFonts w:ascii="Times New Roman"/>
          <w:color w:val="000000" w:themeColor="text1"/>
          <w:highlight w:val="none"/>
          <w14:textFill>
            <w14:solidFill>
              <w14:schemeClr w14:val="tx1"/>
            </w14:solidFill>
          </w14:textFill>
        </w:rPr>
        <w:t>工</w:t>
      </w:r>
      <w:r>
        <w:rPr>
          <w:rFonts w:ascii="Times New Roman"/>
          <w:color w:val="000000" w:themeColor="text1"/>
          <w:highlight w:val="none"/>
          <w14:textFill>
            <w14:solidFill>
              <w14:schemeClr w14:val="tx1"/>
            </w14:solidFill>
          </w14:textFill>
        </w:rPr>
        <w:t>艺流</w:t>
      </w:r>
      <w:r>
        <w:rPr>
          <w:rFonts w:hint="eastAsia"/>
          <w:color w:val="000000" w:themeColor="text1"/>
          <w:highlight w:val="none"/>
          <w14:textFill>
            <w14:solidFill>
              <w14:schemeClr w14:val="tx1"/>
            </w14:solidFill>
          </w14:textFill>
        </w:rPr>
        <w:t>程图</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TEG（三甘醇）脱水流程：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料气经过滤分离器除去气体中夹带的少量液态杂质后，从TEG吸收塔下部进入。在塔内原料气自下而上与自上而下的TEG贫液逆流接触，脱除天然气中的绝大部分饱和水。脱除水分后的天然气经干气-贫液换热器与TEG贫液换热，然后进入产品气分离器，经气液分离后的天然气作为产品气经系统管网至外输。</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TEG（三甘醇）再生流程：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吸收塔下部出来的TEG富液经TEG重沸器上富液精馏柱顶换热盘管换热，然后进入TEG闪蒸罐闪蒸，闪蒸出来的闪蒸气调压后去放空系统。闪蒸后的TEG富液经过TEG过滤器除去溶液中的机械杂质和降解产物，然后经TEG贫富液换热器换热后进入到富液精馏柱中。汽提气插入贫液精馏柱下端。TEG富液与电加热重沸器来的水汽和气提气在富液精馏柱中接触，TEG富液在富液精馏柱中被提浓，然后进入到TEG重沸器中被加热至202℃左右，经贫液精馏柱二次汽提后经缓冲罐进入TEG贫富液换热器换热到80℃，经能量回收泵（该泵将TEG富液的能量转化，使TEG贫液升压）送至干气-贫液换热器，冷却至48℃左右进入吸收塔顶部，完成TEG的吸收、再生循环过程。</w:t>
      </w:r>
    </w:p>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本项目三甘醇再生过程采用电加热，</w:t>
      </w:r>
      <w:r>
        <w:rPr>
          <w:rFonts w:hint="eastAsia"/>
          <w:color w:val="000000" w:themeColor="text1"/>
          <w14:textFill>
            <w14:solidFill>
              <w14:schemeClr w14:val="tx1"/>
            </w14:solidFill>
          </w14:textFill>
        </w:rPr>
        <w:t>采用电加热装置，</w:t>
      </w:r>
      <w:r>
        <w:rPr>
          <w:color w:val="000000" w:themeColor="text1"/>
          <w14:textFill>
            <w14:solidFill>
              <w14:schemeClr w14:val="tx1"/>
            </w14:solidFill>
          </w14:textFill>
        </w:rPr>
        <w:t>运行期</w:t>
      </w:r>
      <w:r>
        <w:rPr>
          <w:rFonts w:hint="eastAsia"/>
          <w:color w:val="000000" w:themeColor="text1"/>
          <w14:textFill>
            <w14:solidFill>
              <w14:schemeClr w14:val="tx1"/>
            </w14:solidFill>
          </w14:textFill>
        </w:rPr>
        <w:t>TEG富液再生产生的废气</w:t>
      </w:r>
      <w:r>
        <w:rPr>
          <w:color w:val="000000" w:themeColor="text1"/>
          <w14:textFill>
            <w14:solidFill>
              <w14:schemeClr w14:val="tx1"/>
            </w14:solidFill>
          </w14:textFill>
        </w:rPr>
        <w:t>主要有</w:t>
      </w:r>
      <w:r>
        <w:rPr>
          <w:rFonts w:hint="eastAsia"/>
          <w:color w:val="000000" w:themeColor="text1"/>
          <w14:textFill>
            <w14:solidFill>
              <w14:schemeClr w14:val="tx1"/>
            </w14:solidFill>
          </w14:textFill>
        </w:rPr>
        <w:t>TEG富液再生产生的废气（主要为水蒸气、CO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、烃类）经废气分液罐后进入废气</w:t>
      </w:r>
      <w:r>
        <w:rPr>
          <w:rFonts w:hint="eastAsia"/>
          <w:color w:val="000000" w:themeColor="text1"/>
          <w:lang w:val="en-US" w:eastAsia="zh-CN"/>
          <w14:textFill>
            <w14:solidFill>
              <w14:schemeClr w14:val="tx1"/>
            </w14:solidFill>
          </w14:textFill>
        </w:rPr>
        <w:t>进入燃料气系统，作为水套加热炉等燃料气使用</w:t>
      </w:r>
      <w:r>
        <w:rPr>
          <w:rFonts w:hint="eastAsia"/>
          <w:color w:val="000000" w:themeColor="text1"/>
          <w14:textFill>
            <w14:solidFill>
              <w14:schemeClr w14:val="tx1"/>
            </w14:solidFill>
          </w14:textFill>
        </w:rPr>
        <w:t>。本装置设有溶液补充系统，以在生产运行过程中及时补充TEG溶液。</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w:t>
      </w:r>
      <w:r>
        <w:rPr>
          <w:rFonts w:ascii="Times New Roman" w:hAnsi="Times New Roman"/>
          <w:color w:val="000000" w:themeColor="text1"/>
          <w:sz w:val="24"/>
          <w:highlight w:val="none"/>
          <w:lang w:eastAsia="zh-CN"/>
          <w14:textFill>
            <w14:solidFill>
              <w14:schemeClr w14:val="tx1"/>
            </w14:solidFill>
          </w14:textFill>
        </w:rPr>
        <w:t>）辅助流程</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①</w:t>
      </w:r>
      <w:r>
        <w:rPr>
          <w:rFonts w:ascii="Times New Roman" w:hAnsi="Times New Roman"/>
          <w:color w:val="000000" w:themeColor="text1"/>
          <w:sz w:val="24"/>
          <w:highlight w:val="none"/>
          <w:lang w:eastAsia="zh-CN"/>
          <w14:textFill>
            <w14:solidFill>
              <w14:schemeClr w14:val="tx1"/>
            </w14:solidFill>
          </w14:textFill>
        </w:rPr>
        <w:t>燃料气流程</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试采期所需</w:t>
      </w:r>
      <w:r>
        <w:rPr>
          <w:rFonts w:hint="eastAsia" w:ascii="Times New Roman" w:hAnsi="Times New Roman"/>
          <w:color w:val="000000" w:themeColor="text1"/>
          <w:highlight w:val="none"/>
          <w:lang w:val="en-US" w:eastAsia="zh-CN"/>
          <w14:textFill>
            <w14:solidFill>
              <w14:schemeClr w14:val="tx1"/>
            </w14:solidFill>
          </w14:textFill>
        </w:rPr>
        <w:t>燃料</w:t>
      </w:r>
      <w:r>
        <w:rPr>
          <w:rFonts w:ascii="Times New Roman" w:hAnsi="Times New Roman"/>
          <w:color w:val="000000" w:themeColor="text1"/>
          <w:highlight w:val="none"/>
          <w:lang w:eastAsia="zh-CN"/>
          <w14:textFill>
            <w14:solidFill>
              <w14:schemeClr w14:val="tx1"/>
            </w14:solidFill>
          </w14:textFill>
        </w:rPr>
        <w:t>天然气为</w:t>
      </w:r>
      <w:r>
        <w:rPr>
          <w:rFonts w:hint="eastAsia" w:cs="Times New Roman"/>
          <w:color w:val="000000" w:themeColor="text1"/>
          <w:szCs w:val="24"/>
          <w:highlight w:val="none"/>
          <w:lang w:val="en-US" w:eastAsia="zh-CN"/>
          <w14:textFill>
            <w14:solidFill>
              <w14:schemeClr w14:val="tx1"/>
            </w14:solidFill>
          </w14:textFill>
        </w:rPr>
        <w:t>由试采站内井口自产的天然气经站内三甘醇脱水装置脱水后的干气供给</w:t>
      </w:r>
      <w:r>
        <w:rPr>
          <w:rFonts w:hint="eastAsia"/>
          <w:color w:val="000000" w:themeColor="text1"/>
          <w:highlight w:val="none"/>
          <w:lang w:val="en-US" w:eastAsia="zh-CN"/>
          <w14:textFill>
            <w14:solidFill>
              <w14:schemeClr w14:val="tx1"/>
            </w14:solidFill>
          </w14:textFill>
        </w:rPr>
        <w:t>，不单独建设外部燃料气供应关系</w:t>
      </w:r>
      <w:r>
        <w:rPr>
          <w:rFonts w:ascii="Times New Roman" w:hAnsi="Times New Roman"/>
          <w:color w:val="000000" w:themeColor="text1"/>
          <w:sz w:val="24"/>
          <w:highlight w:val="none"/>
          <w:lang w:eastAsia="zh-CN"/>
          <w14:textFill>
            <w14:solidFill>
              <w14:schemeClr w14:val="tx1"/>
            </w14:solidFill>
          </w14:textFill>
        </w:rPr>
        <w:t>。</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②</w:t>
      </w:r>
      <w:r>
        <w:rPr>
          <w:rFonts w:ascii="Times New Roman" w:hAnsi="Times New Roman"/>
          <w:color w:val="000000" w:themeColor="text1"/>
          <w:sz w:val="24"/>
          <w:highlight w:val="none"/>
          <w:lang w:eastAsia="zh-CN"/>
          <w14:textFill>
            <w14:solidFill>
              <w14:schemeClr w14:val="tx1"/>
            </w14:solidFill>
          </w14:textFill>
        </w:rPr>
        <w:t>放空流程</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放空流程的设置主要有：井口放空、工艺设备放空、站内外输管线放空</w:t>
      </w: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放空天然气均接</w:t>
      </w:r>
      <w:r>
        <w:rPr>
          <w:rFonts w:ascii="Times New Roman" w:hAnsi="Times New Roman"/>
          <w:color w:val="000000" w:themeColor="text1"/>
          <w:sz w:val="24"/>
          <w:highlight w:val="none"/>
          <w:lang w:eastAsia="zh-CN"/>
          <w14:textFill>
            <w14:solidFill>
              <w14:schemeClr w14:val="tx1"/>
            </w14:solidFill>
          </w14:textFill>
        </w:rPr>
        <w:t>至</w:t>
      </w:r>
      <w:r>
        <w:rPr>
          <w:rFonts w:hint="eastAsia" w:ascii="Times New Roman" w:hAnsi="Times New Roman"/>
          <w:color w:val="000000" w:themeColor="text1"/>
          <w:sz w:val="24"/>
          <w:highlight w:val="none"/>
          <w:lang w:val="en-US" w:eastAsia="zh-CN"/>
          <w14:textFill>
            <w14:solidFill>
              <w14:schemeClr w14:val="tx1"/>
            </w14:solidFill>
          </w14:textFill>
        </w:rPr>
        <w:t>1</w:t>
      </w:r>
      <w:r>
        <w:rPr>
          <w:rFonts w:ascii="Times New Roman" w:hAnsi="Times New Roman"/>
          <w:color w:val="000000" w:themeColor="text1"/>
          <w:sz w:val="24"/>
          <w:highlight w:val="none"/>
          <w:lang w:eastAsia="zh-CN"/>
          <w14:textFill>
            <w14:solidFill>
              <w14:schemeClr w14:val="tx1"/>
            </w14:solidFill>
          </w14:textFill>
        </w:rPr>
        <w:t>5m高</w:t>
      </w:r>
      <w:r>
        <w:rPr>
          <w:rFonts w:hint="eastAsia" w:ascii="Times New Roman" w:hAnsi="Times New Roman"/>
          <w:color w:val="000000" w:themeColor="text1"/>
          <w:sz w:val="24"/>
          <w:highlight w:val="none"/>
          <w:lang w:val="en-US" w:eastAsia="zh-CN"/>
          <w14:textFill>
            <w14:solidFill>
              <w14:schemeClr w14:val="tx1"/>
            </w14:solidFill>
          </w14:textFill>
        </w:rPr>
        <w:t>放空</w:t>
      </w:r>
      <w:r>
        <w:rPr>
          <w:rFonts w:ascii="Times New Roman" w:hAnsi="Times New Roman"/>
          <w:color w:val="000000" w:themeColor="text1"/>
          <w:sz w:val="24"/>
          <w:highlight w:val="none"/>
          <w:lang w:eastAsia="zh-CN"/>
          <w14:textFill>
            <w14:solidFill>
              <w14:schemeClr w14:val="tx1"/>
            </w14:solidFill>
          </w14:textFill>
        </w:rPr>
        <w:t>火炬燃烧</w:t>
      </w:r>
      <w:r>
        <w:rPr>
          <w:rFonts w:hint="eastAsia" w:ascii="Times New Roman" w:hAnsi="Times New Roman"/>
          <w:color w:val="000000" w:themeColor="text1"/>
          <w:sz w:val="24"/>
          <w:highlight w:val="none"/>
          <w:lang w:val="en-US" w:eastAsia="zh-CN"/>
          <w14:textFill>
            <w14:solidFill>
              <w14:schemeClr w14:val="tx1"/>
            </w14:solidFill>
          </w14:textFill>
        </w:rPr>
        <w:t>后</w:t>
      </w:r>
      <w:r>
        <w:rPr>
          <w:rFonts w:ascii="Times New Roman" w:hAnsi="Times New Roman"/>
          <w:color w:val="000000" w:themeColor="text1"/>
          <w:sz w:val="24"/>
          <w:highlight w:val="none"/>
          <w:lang w:eastAsia="zh-CN"/>
          <w14:textFill>
            <w14:solidFill>
              <w14:schemeClr w14:val="tx1"/>
            </w14:solidFill>
          </w14:textFill>
        </w:rPr>
        <w:t>排放。</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①</w:t>
      </w:r>
      <w:r>
        <w:rPr>
          <w:rFonts w:ascii="Times New Roman" w:hAnsi="Times New Roman"/>
          <w:color w:val="000000" w:themeColor="text1"/>
          <w:sz w:val="24"/>
          <w:highlight w:val="none"/>
          <w:lang w:eastAsia="zh-CN"/>
          <w14:textFill>
            <w14:solidFill>
              <w14:schemeClr w14:val="tx1"/>
            </w14:solidFill>
          </w14:textFill>
        </w:rPr>
        <w:t>井口放空：井口设紧急切断阀，当出现事故时可以自动或手动紧急切断，在紧急切断阀前设手动放空阀，当出现事故时，可手动放空泄压。</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②</w:t>
      </w:r>
      <w:r>
        <w:rPr>
          <w:rFonts w:ascii="Times New Roman" w:hAnsi="Times New Roman"/>
          <w:color w:val="000000" w:themeColor="text1"/>
          <w:sz w:val="24"/>
          <w:highlight w:val="none"/>
          <w:lang w:eastAsia="zh-CN"/>
          <w14:textFill>
            <w14:solidFill>
              <w14:schemeClr w14:val="tx1"/>
            </w14:solidFill>
          </w14:textFill>
        </w:rPr>
        <w:t>工艺设备放空：主要放空设备有水套炉、分离器、闪蒸罐等。设备设置手动放空及安全阀放空，能够在检修及事故状态下实现放空。</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③</w:t>
      </w:r>
      <w:r>
        <w:rPr>
          <w:rFonts w:ascii="Times New Roman" w:hAnsi="Times New Roman"/>
          <w:color w:val="000000" w:themeColor="text1"/>
          <w:sz w:val="24"/>
          <w:highlight w:val="none"/>
          <w:lang w:eastAsia="zh-CN"/>
          <w14:textFill>
            <w14:solidFill>
              <w14:schemeClr w14:val="tx1"/>
            </w14:solidFill>
          </w14:textFill>
        </w:rPr>
        <w:t>站内外输管线放空：站内外输管道设置手动放空，可满足站内管道超压时进行放空。</w:t>
      </w:r>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eastAsia" w:ascii="Times New Roman" w:hAnsi="Times New Roman" w:eastAsia="黑体" w:cs="Times New Roman"/>
          <w:b w:val="0"/>
          <w:bCs w:val="0"/>
          <w:color w:val="000000" w:themeColor="text1"/>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highlight w:val="none"/>
          <w14:textFill>
            <w14:solidFill>
              <w14:schemeClr w14:val="tx1"/>
            </w14:solidFill>
          </w14:textFill>
        </w:rPr>
        <w:t>采气试采产污环节</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eastAsia" w:cs="Times New Roman"/>
          <w:bCs/>
          <w:color w:val="000000" w:themeColor="text1"/>
          <w:szCs w:val="24"/>
          <w:highlight w:val="none"/>
          <w:lang w:eastAsia="zh-CN"/>
          <w14:textFill>
            <w14:solidFill>
              <w14:schemeClr w14:val="tx1"/>
            </w14:solidFill>
          </w14:textFill>
        </w:rPr>
        <w:t>雷页1试验井组</w:t>
      </w:r>
      <w:r>
        <w:rPr>
          <w:rFonts w:cs="Times New Roman"/>
          <w:bCs/>
          <w:color w:val="000000" w:themeColor="text1"/>
          <w:szCs w:val="24"/>
          <w:highlight w:val="none"/>
          <w14:textFill>
            <w14:solidFill>
              <w14:schemeClr w14:val="tx1"/>
            </w14:solidFill>
          </w14:textFill>
        </w:rPr>
        <w:t>正常生产时主要产生气田水以及</w:t>
      </w:r>
      <w:r>
        <w:rPr>
          <w:rFonts w:cs="Times New Roman"/>
          <w:bCs/>
          <w:color w:val="000000" w:themeColor="text1"/>
          <w:highlight w:val="none"/>
          <w14:textFill>
            <w14:solidFill>
              <w14:schemeClr w14:val="tx1"/>
            </w14:solidFill>
          </w14:textFill>
        </w:rPr>
        <w:t>非正常工况井下作业废水</w:t>
      </w:r>
      <w:r>
        <w:rPr>
          <w:rFonts w:cs="Times New Roman"/>
          <w:bCs/>
          <w:color w:val="000000" w:themeColor="text1"/>
          <w:szCs w:val="24"/>
          <w:highlight w:val="none"/>
          <w14:textFill>
            <w14:solidFill>
              <w14:schemeClr w14:val="tx1"/>
            </w14:solidFill>
          </w14:textFill>
        </w:rPr>
        <w:t>，气田水为工艺装置分离器分离出的天然气中的游离水，</w:t>
      </w:r>
      <w:r>
        <w:rPr>
          <w:rFonts w:cs="Times New Roman"/>
          <w:bCs/>
          <w:color w:val="000000" w:themeColor="text1"/>
          <w:highlight w:val="none"/>
          <w14:textFill>
            <w14:solidFill>
              <w14:schemeClr w14:val="tx1"/>
            </w14:solidFill>
          </w14:textFill>
        </w:rPr>
        <w:t>非正常工况井下作业废水</w:t>
      </w:r>
      <w:r>
        <w:rPr>
          <w:rFonts w:cs="Times New Roman"/>
          <w:bCs/>
          <w:color w:val="000000" w:themeColor="text1"/>
          <w:szCs w:val="24"/>
          <w:highlight w:val="none"/>
          <w14:textFill>
            <w14:solidFill>
              <w14:schemeClr w14:val="tx1"/>
            </w14:solidFill>
          </w14:textFill>
        </w:rPr>
        <w:t>为</w:t>
      </w:r>
      <w:r>
        <w:rPr>
          <w:rFonts w:hint="eastAsia" w:cs="Times New Roman"/>
          <w:bCs/>
          <w:color w:val="000000" w:themeColor="text1"/>
          <w:szCs w:val="24"/>
          <w:highlight w:val="none"/>
          <w:lang w:val="en-US" w:eastAsia="zh-CN"/>
          <w14:textFill>
            <w14:solidFill>
              <w14:schemeClr w14:val="tx1"/>
            </w14:solidFill>
          </w14:textFill>
        </w:rPr>
        <w:t>井下</w:t>
      </w:r>
      <w:r>
        <w:rPr>
          <w:rFonts w:cs="Times New Roman"/>
          <w:bCs/>
          <w:color w:val="000000" w:themeColor="text1"/>
          <w:highlight w:val="none"/>
          <w14:textFill>
            <w14:solidFill>
              <w14:schemeClr w14:val="tx1"/>
            </w14:solidFill>
          </w14:textFill>
        </w:rPr>
        <w:t>压裂酸化等作业</w:t>
      </w:r>
      <w:r>
        <w:rPr>
          <w:rFonts w:cs="Times New Roman"/>
          <w:bCs/>
          <w:color w:val="000000" w:themeColor="text1"/>
          <w:szCs w:val="24"/>
          <w:highlight w:val="none"/>
          <w14:textFill>
            <w14:solidFill>
              <w14:schemeClr w14:val="tx1"/>
            </w14:solidFill>
          </w14:textFill>
        </w:rPr>
        <w:t>产生的废水。</w:t>
      </w:r>
      <w:r>
        <w:rPr>
          <w:rFonts w:ascii="Times New Roman" w:hAnsi="Times New Roman"/>
          <w:bCs/>
          <w:color w:val="000000" w:themeColor="text1"/>
          <w:sz w:val="24"/>
          <w:szCs w:val="24"/>
          <w:highlight w:val="none"/>
          <w:lang w:eastAsia="zh-CN"/>
          <w14:textFill>
            <w14:solidFill>
              <w14:schemeClr w14:val="tx1"/>
            </w14:solidFill>
          </w14:textFill>
        </w:rPr>
        <w:t>试采站内水套加热炉以天然气（主要</w:t>
      </w:r>
      <w:r>
        <w:rPr>
          <w:rFonts w:hint="eastAsia" w:ascii="Times New Roman" w:hAnsi="Times New Roman"/>
          <w:bCs/>
          <w:color w:val="000000" w:themeColor="text1"/>
          <w:sz w:val="24"/>
          <w:szCs w:val="24"/>
          <w:highlight w:val="none"/>
          <w:lang w:val="en-US" w:eastAsia="zh-CN"/>
          <w14:textFill>
            <w14:solidFill>
              <w14:schemeClr w14:val="tx1"/>
            </w14:solidFill>
          </w14:textFill>
        </w:rPr>
        <w:t>由</w:t>
      </w:r>
      <w:r>
        <w:rPr>
          <w:rFonts w:hint="eastAsia" w:cs="Times New Roman"/>
          <w:color w:val="000000" w:themeColor="text1"/>
          <w:szCs w:val="24"/>
          <w:highlight w:val="none"/>
          <w:lang w:val="en-US" w:eastAsia="zh-CN"/>
          <w14:textFill>
            <w14:solidFill>
              <w14:schemeClr w14:val="tx1"/>
            </w14:solidFill>
          </w14:textFill>
        </w:rPr>
        <w:t>井口自产的天然气经站内三甘醇脱水装置脱水后的干气供给</w:t>
      </w:r>
      <w:r>
        <w:rPr>
          <w:rFonts w:ascii="Times New Roman" w:hAnsi="Times New Roman"/>
          <w:bCs/>
          <w:color w:val="000000" w:themeColor="text1"/>
          <w:sz w:val="24"/>
          <w:szCs w:val="24"/>
          <w:highlight w:val="none"/>
          <w:lang w:eastAsia="zh-CN"/>
          <w14:textFill>
            <w14:solidFill>
              <w14:schemeClr w14:val="tx1"/>
            </w14:solidFill>
          </w14:textFill>
        </w:rPr>
        <w:t>）为燃料会产生燃烧废气</w:t>
      </w:r>
      <w:r>
        <w:rPr>
          <w:rFonts w:hint="eastAsia" w:ascii="Times New Roman" w:hAnsi="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bCs/>
          <w:color w:val="000000" w:themeColor="text1"/>
          <w:sz w:val="24"/>
          <w:szCs w:val="24"/>
          <w:highlight w:val="none"/>
          <w:lang w:val="en-US" w:eastAsia="zh-CN"/>
          <w14:textFill>
            <w14:solidFill>
              <w14:schemeClr w14:val="tx1"/>
            </w14:solidFill>
          </w14:textFill>
        </w:rPr>
        <w:t>火炬系统燃烧放空天然气会产生燃烧废气</w:t>
      </w:r>
      <w:r>
        <w:rPr>
          <w:rFonts w:hint="eastAsia"/>
          <w:bCs/>
          <w:color w:val="000000" w:themeColor="text1"/>
          <w:sz w:val="24"/>
          <w:szCs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非正常放空废气</w:t>
      </w:r>
      <w:r>
        <w:rPr>
          <w:rFonts w:ascii="Times New Roman" w:hAnsi="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试采</w:t>
      </w:r>
      <w:r>
        <w:rPr>
          <w:rFonts w:cs="Times New Roman"/>
          <w:bCs/>
          <w:color w:val="000000" w:themeColor="text1"/>
          <w:szCs w:val="24"/>
          <w:highlight w:val="none"/>
          <w14:textFill>
            <w14:solidFill>
              <w14:schemeClr w14:val="tx1"/>
            </w14:solidFill>
          </w14:textFill>
        </w:rPr>
        <w:t>站设备运行时产生设备噪声；</w:t>
      </w:r>
      <w:r>
        <w:rPr>
          <w:rFonts w:hint="default" w:ascii="Times New Roman" w:hAnsi="Times New Roman" w:cs="Times New Roman"/>
          <w:color w:val="000000" w:themeColor="text1"/>
          <w:highlight w:val="none"/>
          <w14:textFill>
            <w14:solidFill>
              <w14:schemeClr w14:val="tx1"/>
            </w14:solidFill>
          </w14:textFill>
        </w:rPr>
        <w:t>本项目拟建工程内容不新增清管收发球装置，试采期无清管废渣产生</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除砂器撬产生的少量砂土杂质，定期</w:t>
      </w:r>
      <w:r>
        <w:rPr>
          <w:rFonts w:cs="Times New Roman"/>
          <w:color w:val="000000" w:themeColor="text1"/>
          <w:szCs w:val="24"/>
          <w:highlight w:val="none"/>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试采井站</w:t>
      </w:r>
      <w:r>
        <w:rPr>
          <w:rFonts w:hint="default" w:ascii="Times New Roman" w:hAnsi="Times New Roman" w:cs="Times New Roman"/>
          <w:color w:val="000000" w:themeColor="text1"/>
          <w:highlight w:val="none"/>
          <w14:textFill>
            <w14:solidFill>
              <w14:schemeClr w14:val="tx1"/>
            </w14:solidFill>
          </w14:textFill>
        </w:rPr>
        <w:t>无新增定员，无生活垃圾</w:t>
      </w:r>
      <w:r>
        <w:rPr>
          <w:rFonts w:hint="eastAsia" w:cs="Times New Roman"/>
          <w:color w:val="000000" w:themeColor="text1"/>
          <w:highlight w:val="none"/>
          <w:lang w:val="en-US" w:eastAsia="zh-CN"/>
          <w14:textFill>
            <w14:solidFill>
              <w14:schemeClr w14:val="tx1"/>
            </w14:solidFill>
          </w14:textFill>
        </w:rPr>
        <w:t>和生活污水</w:t>
      </w:r>
      <w:r>
        <w:rPr>
          <w:rFonts w:hint="default" w:ascii="Times New Roman" w:hAnsi="Times New Roman" w:cs="Times New Roman"/>
          <w:color w:val="000000" w:themeColor="text1"/>
          <w:highlight w:val="none"/>
          <w14:textFill>
            <w14:solidFill>
              <w14:schemeClr w14:val="tx1"/>
            </w14:solidFill>
          </w14:textFill>
        </w:rPr>
        <w:t>产生。</w: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1959610</wp:posOffset>
                </wp:positionH>
                <wp:positionV relativeFrom="paragraph">
                  <wp:posOffset>80645</wp:posOffset>
                </wp:positionV>
                <wp:extent cx="1399540" cy="264795"/>
                <wp:effectExtent l="4445" t="5080" r="5715" b="6350"/>
                <wp:wrapNone/>
                <wp:docPr id="83" name="文本框 83"/>
                <wp:cNvGraphicFramePr/>
                <a:graphic xmlns:a="http://schemas.openxmlformats.org/drawingml/2006/main">
                  <a:graphicData uri="http://schemas.microsoft.com/office/word/2010/wordprocessingShape">
                    <wps:wsp>
                      <wps:cNvSpPr txBox="1"/>
                      <wps:spPr>
                        <a:xfrm>
                          <a:off x="3322320" y="1009015"/>
                          <a:ext cx="1399540"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雷页1井试验井组来气</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54.3pt;margin-top:6.35pt;height:20.85pt;width:110.2pt;z-index:251680768;mso-width-relative:page;mso-height-relative:page;" fillcolor="#FFFFFF" filled="t" stroked="t" coordsize="21600,21600" o:gfxdata="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qS1WnZAAAACQEAAA8AAAAAAAAAAQAgAAAAIgAAAGRycy9kb3du&#10;cmV2LnhtbFBLAQIUABQAAAAIAIdO4kABOmlIcAIAAOEEAAAOAAAAAAAAAAEAIAAAACgBAABkcnMv&#10;ZTJvRG9jLnhtbFBLBQYAAAAABgAGAFkBAAAKBg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雷页1井试验井组来气</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2659380</wp:posOffset>
                </wp:positionH>
                <wp:positionV relativeFrom="paragraph">
                  <wp:posOffset>133985</wp:posOffset>
                </wp:positionV>
                <wp:extent cx="4445" cy="423545"/>
                <wp:effectExtent l="34290" t="0" r="37465" b="14605"/>
                <wp:wrapNone/>
                <wp:docPr id="84" name="直接箭头连接符 84"/>
                <wp:cNvGraphicFramePr/>
                <a:graphic xmlns:a="http://schemas.openxmlformats.org/drawingml/2006/main">
                  <a:graphicData uri="http://schemas.microsoft.com/office/word/2010/wordprocessingShape">
                    <wps:wsp>
                      <wps:cNvCnPr>
                        <a:stCxn id="83" idx="2"/>
                      </wps:cNvCnPr>
                      <wps:spPr>
                        <a:xfrm>
                          <a:off x="3783330" y="1315720"/>
                          <a:ext cx="4445" cy="42354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9.4pt;margin-top:10.55pt;height:33.35pt;width:0.35pt;z-index:251681792;mso-width-relative:page;mso-height-relative:page;" filled="f" stroked="t" coordsize="21600,21600" o:gfxdata="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h91/YAAAACQEAAA8AAAAAAAAAAQAgAAAAIgAAAGRycy9kb3ducmV2LnhtbFBLAQIUABQAAAAI&#10;AIdO4kDY6xY2JgIAABkEAAAOAAAAAAAAAAEAIAAAACcBAABkcnMvZTJvRG9jLnhtbFBLBQYAAAAA&#10;BgAGAFkBAAC/BQAAAAA=&#10;">
                <v:fill on="f" focussize="0,0"/>
                <v:stroke weight="1pt" color="#000000 [3213]" miterlimit="8" joinstyle="miter" endarrow="block"/>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3491865</wp:posOffset>
                </wp:positionH>
                <wp:positionV relativeFrom="paragraph">
                  <wp:posOffset>158115</wp:posOffset>
                </wp:positionV>
                <wp:extent cx="772795" cy="264795"/>
                <wp:effectExtent l="0" t="0" r="8255" b="1905"/>
                <wp:wrapNone/>
                <wp:docPr id="97" name="文本框 97"/>
                <wp:cNvGraphicFramePr/>
                <a:graphic xmlns:a="http://schemas.openxmlformats.org/drawingml/2006/main">
                  <a:graphicData uri="http://schemas.microsoft.com/office/word/2010/wordprocessingShape">
                    <wps:wsp>
                      <wps:cNvSpPr txBox="1"/>
                      <wps:spPr>
                        <a:xfrm>
                          <a:off x="0" y="0"/>
                          <a:ext cx="772795"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杂质、噪声</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74.95pt;margin-top:12.45pt;height:20.85pt;width:60.85pt;z-index:251691008;mso-width-relative:page;mso-height-relative:page;" fillcolor="#FFFFFF" filled="t" stroked="f" coordsize="21600,21600" o:gfxdata="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GQC/dgAAAAJAQAADwAAAAAAAAABACAAAAAiAAAAZHJzL2Rvd25yZXYueG1sUEsBAhQAFAAAAAgA&#10;h07iQOtgs7BeAgAAqwQAAA4AAAAAAAAAAQAgAAAAJwEAAGRycy9lMm9Eb2MueG1sUEsFBgAAAAAG&#10;AAYAWQEAAPc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杂质、噪声</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3152775</wp:posOffset>
                </wp:positionH>
                <wp:positionV relativeFrom="paragraph">
                  <wp:posOffset>86995</wp:posOffset>
                </wp:positionV>
                <wp:extent cx="329565" cy="172085"/>
                <wp:effectExtent l="0" t="48260" r="13335" b="8255"/>
                <wp:wrapNone/>
                <wp:docPr id="96" name="曲线连接符 96"/>
                <wp:cNvGraphicFramePr/>
                <a:graphic xmlns:a="http://schemas.openxmlformats.org/drawingml/2006/main">
                  <a:graphicData uri="http://schemas.microsoft.com/office/word/2010/wordprocessingShape">
                    <wps:wsp>
                      <wps:cNvCnPr/>
                      <wps:spPr>
                        <a:xfrm flipV="1">
                          <a:off x="4295775" y="1636395"/>
                          <a:ext cx="329565" cy="172085"/>
                        </a:xfrm>
                        <a:prstGeom prst="curvedConnector3">
                          <a:avLst>
                            <a:gd name="adj1" fmla="val 50096"/>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248.25pt;margin-top:6.85pt;height:13.55pt;width:25.95pt;z-index:251689984;mso-width-relative:page;mso-height-relative:page;" filled="f" stroked="t" coordsize="21600,21600" o:gfxdata="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Q7/9YAAAAJAQAADwAAAAAAAAABACAAAAAiAAAAZHJzL2Rvd25yZXYueG1sUEsB&#10;AhQAFAAAAAgAh07iQP17Nr0wAgAAIAQAAA4AAAAAAAAAAQAgAAAAJQEAAGRycy9lMm9Eb2MueG1s&#10;UEsFBgAAAAAGAAYAWQEAAMcFAAAAAA==&#10;" adj="10821">
                <v:fill on="f" focussize="0,0"/>
                <v:stroke weight="1pt" color="#4472C4 [3204]" miterlimit="8" joinstyle="miter" endarrow="open"/>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2105660</wp:posOffset>
                </wp:positionH>
                <wp:positionV relativeFrom="paragraph">
                  <wp:posOffset>126365</wp:posOffset>
                </wp:positionV>
                <wp:extent cx="1047115" cy="264795"/>
                <wp:effectExtent l="4445" t="5080" r="15240" b="15875"/>
                <wp:wrapNone/>
                <wp:docPr id="85" name="文本框 85"/>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除砂器撬</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5.8pt;margin-top:9.95pt;height:20.85pt;width:82.45pt;z-index:251682816;mso-width-relative:page;mso-height-relative:page;" fillcolor="#FFFFFF" filled="t" stroked="t" coordsize="21600,21600" o:gfxdata="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4ad81wAAAAkBAAAPAAAAAAAAAAEAIAAAACIAAABkcnMvZG93bnJldi54bWxQSwECFAAU&#10;AAAACACHTuJATrm8Z2QCAADVBAAADgAAAAAAAAABACAAAAAmAQAAZHJzL2Uyb0RvYy54bWxQSwUG&#10;AAAAAAYABgBZAQAA/AU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除砂器撬</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211455</wp:posOffset>
                </wp:positionV>
                <wp:extent cx="4445" cy="423545"/>
                <wp:effectExtent l="34290" t="0" r="37465" b="14605"/>
                <wp:wrapNone/>
                <wp:docPr id="86" name="直接箭头连接符 86"/>
                <wp:cNvGraphicFramePr/>
                <a:graphic xmlns:a="http://schemas.openxmlformats.org/drawingml/2006/main">
                  <a:graphicData uri="http://schemas.microsoft.com/office/word/2010/wordprocessingShape">
                    <wps:wsp>
                      <wps:cNvCnPr/>
                      <wps:spPr>
                        <a:xfrm>
                          <a:off x="0" y="0"/>
                          <a:ext cx="4445" cy="42354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pt;margin-top:16.65pt;height:33.35pt;width:0.35pt;z-index:251683840;mso-width-relative:page;mso-height-relative:page;" filled="f" stroked="t" coordsize="21600,21600" o:gfxdata="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RhqjXAAAACgEAAA8AAAAAAAAAAQAgAAAAIgAA&#10;AGRycy9kb3ducmV2LnhtbFBLAQIUABQAAAAIAIdO4kBcX8xpCQIAAOYDAAAOAAAAAAAAAAEAIAAA&#10;ACYBAABkcnMvZTJvRG9jLnhtbFBLBQYAAAAABgAGAFkBAAChBQAAAAA=&#10;">
                <v:fill on="f" focussize="0,0"/>
                <v:stroke weight="1pt" color="#000000 [3213]" miterlimit="8" joinstyle="miter" endarrow="block"/>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3460115</wp:posOffset>
                </wp:positionH>
                <wp:positionV relativeFrom="paragraph">
                  <wp:posOffset>73025</wp:posOffset>
                </wp:positionV>
                <wp:extent cx="652145" cy="468630"/>
                <wp:effectExtent l="0" t="0" r="5080" b="7620"/>
                <wp:wrapNone/>
                <wp:docPr id="99" name="文本框 99"/>
                <wp:cNvGraphicFramePr/>
                <a:graphic xmlns:a="http://schemas.openxmlformats.org/drawingml/2006/main">
                  <a:graphicData uri="http://schemas.microsoft.com/office/word/2010/wordprocessingShape">
                    <wps:wsp>
                      <wps:cNvSpPr txBox="1"/>
                      <wps:spPr>
                        <a:xfrm>
                          <a:off x="0" y="0"/>
                          <a:ext cx="652145" cy="468630"/>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燃烧废气</w:t>
                            </w:r>
                            <w:r>
                              <w:rPr>
                                <w:rFonts w:hint="eastAsia"/>
                                <w:color w:val="000000" w:themeColor="text1"/>
                                <w:sz w:val="18"/>
                                <w:szCs w:val="18"/>
                                <w:lang w:val="en-US" w:eastAsia="zh-CN"/>
                                <w14:textFill>
                                  <w14:solidFill>
                                    <w14:schemeClr w14:val="tx1"/>
                                  </w14:solidFill>
                                </w14:textFill>
                              </w:rPr>
                              <w:t>、噪声</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72.45pt;margin-top:5.75pt;height:36.9pt;width:51.35pt;z-index:251693056;mso-width-relative:page;mso-height-relative:page;" fillcolor="#FFFFFF" filled="t" stroked="f" coordsize="21600,21600" o:gfxdata="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t1qo2QAAAAkBAAAPAAAAAAAAAAEAIAAAACIAAABkcnMvZG93bnJldi54bWxQSwECFAAU&#10;AAAACACHTuJAWYZ5OmICAACrBAAADgAAAAAAAAABACAAAAAoAQAAZHJzL2Uyb0RvYy54bWxQSwUG&#10;AAAAAAYABgBZAQAA/AU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燃烧废气</w:t>
                      </w:r>
                      <w:r>
                        <w:rPr>
                          <w:rFonts w:hint="eastAsia"/>
                          <w:color w:val="000000" w:themeColor="text1"/>
                          <w:sz w:val="18"/>
                          <w:szCs w:val="18"/>
                          <w:lang w:val="en-US" w:eastAsia="zh-CN"/>
                          <w14:textFill>
                            <w14:solidFill>
                              <w14:schemeClr w14:val="tx1"/>
                            </w14:solidFill>
                          </w14:textFill>
                        </w:rPr>
                        <w:t>、噪声</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3121025</wp:posOffset>
                </wp:positionH>
                <wp:positionV relativeFrom="paragraph">
                  <wp:posOffset>203835</wp:posOffset>
                </wp:positionV>
                <wp:extent cx="329565" cy="172085"/>
                <wp:effectExtent l="0" t="48260" r="13335" b="8255"/>
                <wp:wrapNone/>
                <wp:docPr id="98" name="曲线连接符 98"/>
                <wp:cNvGraphicFramePr/>
                <a:graphic xmlns:a="http://schemas.openxmlformats.org/drawingml/2006/main">
                  <a:graphicData uri="http://schemas.microsoft.com/office/word/2010/wordprocessingShape">
                    <wps:wsp>
                      <wps:cNvCnPr/>
                      <wps:spPr>
                        <a:xfrm flipV="1">
                          <a:off x="0" y="0"/>
                          <a:ext cx="329565" cy="172085"/>
                        </a:xfrm>
                        <a:prstGeom prst="curvedConnector3">
                          <a:avLst>
                            <a:gd name="adj1" fmla="val 50096"/>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245.75pt;margin-top:16.05pt;height:13.55pt;width:25.95pt;z-index:251692032;mso-width-relative:page;mso-height-relative:page;" filled="f" stroked="t" coordsize="21600,21600" o:gfxdata="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hmm/1wAAAAkBAAAPAAAAAAAAAAEAIAAAACIAAABkcnMvZG93bnJldi54bWxQSwECFAAUAAAA&#10;CACHTuJAJUtFEygCAAAUBAAADgAAAAAAAAABACAAAAAmAQAAZHJzL2Uyb0RvYy54bWxQSwUGAAAA&#10;AAYABgBZAQAAwAUAAAAA&#10;" adj="10821">
                <v:fill on="f" focussize="0,0"/>
                <v:stroke weight="1pt" color="#4472C4 [3204]" miterlimit="8" joinstyle="miter" endarrow="open"/>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586740</wp:posOffset>
                </wp:positionH>
                <wp:positionV relativeFrom="paragraph">
                  <wp:posOffset>141605</wp:posOffset>
                </wp:positionV>
                <wp:extent cx="1487805" cy="764540"/>
                <wp:effectExtent l="0" t="38100" r="7620" b="6985"/>
                <wp:wrapNone/>
                <wp:docPr id="108" name="肘形连接符 108"/>
                <wp:cNvGraphicFramePr/>
                <a:graphic xmlns:a="http://schemas.openxmlformats.org/drawingml/2006/main">
                  <a:graphicData uri="http://schemas.microsoft.com/office/word/2010/wordprocessingShape">
                    <wps:wsp>
                      <wps:cNvCnPr>
                        <a:endCxn id="87" idx="1"/>
                      </wps:cNvCnPr>
                      <wps:spPr>
                        <a:xfrm flipV="1">
                          <a:off x="1777365" y="2537460"/>
                          <a:ext cx="1487805" cy="764540"/>
                        </a:xfrm>
                        <a:prstGeom prst="bentConnector3">
                          <a:avLst>
                            <a:gd name="adj1" fmla="val 40076"/>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46.2pt;margin-top:11.15pt;height:60.2pt;width:117.15pt;z-index:251696128;mso-width-relative:page;mso-height-relative:page;" filled="f" stroked="t" coordsize="21600,21600" o:gfxdata="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DMiD1wAAAAkBAAAPAAAAAAAAAAEAIAAAACIAAABk&#10;cnMvZG93bnJldi54bWxQSwECFAAUAAAACACHTuJAHjiuG0ACAABMBAAADgAAAAAAAAABACAAAAAm&#10;AQAAZHJzL2Uyb0RvYy54bWxQSwUGAAAAAAYABgBZAQAA2AUAAAAA&#10;" adj="8656">
                <v:fill on="f" focussize="0,0"/>
                <v:stroke weight="1pt" color="#000000 [3213]" miterlimit="8" joinstyle="miter" endarrow="block"/>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2074545</wp:posOffset>
                </wp:positionH>
                <wp:positionV relativeFrom="paragraph">
                  <wp:posOffset>8890</wp:posOffset>
                </wp:positionV>
                <wp:extent cx="1047115" cy="264795"/>
                <wp:effectExtent l="4445" t="5080" r="15240" b="15875"/>
                <wp:wrapNone/>
                <wp:docPr id="87" name="文本框 87"/>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加热炉</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3.35pt;margin-top:0.7pt;height:20.85pt;width:82.45pt;z-index:251684864;mso-width-relative:page;mso-height-relative:page;" fillcolor="#FFFFFF" filled="t" stroked="t" coordsize="21600,21600" o:gfxdata="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myiLdcAAAAIAQAADwAAAAAAAAABACAAAAAiAAAAZHJzL2Rvd25yZXYueG1sUEsBAhQAFAAA&#10;AAgAh07iQIf+GFtiAgAA1QQAAA4AAAAAAAAAAQAgAAAAJgEAAGRycy9lMm9Eb2MueG1sUEsFBgAA&#10;AAAGAAYAWQEAAPoFA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加热炉</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2609215</wp:posOffset>
                </wp:positionH>
                <wp:positionV relativeFrom="paragraph">
                  <wp:posOffset>84455</wp:posOffset>
                </wp:positionV>
                <wp:extent cx="4445" cy="423545"/>
                <wp:effectExtent l="34290" t="0" r="37465" b="14605"/>
                <wp:wrapNone/>
                <wp:docPr id="88" name="直接箭头连接符 88"/>
                <wp:cNvGraphicFramePr/>
                <a:graphic xmlns:a="http://schemas.openxmlformats.org/drawingml/2006/main">
                  <a:graphicData uri="http://schemas.microsoft.com/office/word/2010/wordprocessingShape">
                    <wps:wsp>
                      <wps:cNvCnPr/>
                      <wps:spPr>
                        <a:xfrm>
                          <a:off x="0" y="0"/>
                          <a:ext cx="4445" cy="42354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45pt;margin-top:6.65pt;height:33.35pt;width:0.35pt;z-index:251685888;mso-width-relative:page;mso-height-relative:page;" filled="f" stroked="t" coordsize="21600,21600" o:gfxdata="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dcAAAAJAQAADwAAAAAAAAABACAAAAAiAAAA&#10;ZHJzL2Rvd25yZXYueG1sUEsBAhQAFAAAAAgAh07iQAmaeU0IAgAA5gMAAA4AAAAAAAAAAQAgAAAA&#10;JgEAAGRycy9lMm9Eb2MueG1sUEsFBgAAAAAGAAYAWQEAAKAFAAAAAA==&#10;">
                <v:fill on="f" focussize="0,0"/>
                <v:stroke weight="1pt" color="#000000 [3213]" miterlimit="8" joinstyle="miter" endarrow="block"/>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3449320</wp:posOffset>
                </wp:positionH>
                <wp:positionV relativeFrom="paragraph">
                  <wp:posOffset>135890</wp:posOffset>
                </wp:positionV>
                <wp:extent cx="381000" cy="264795"/>
                <wp:effectExtent l="0" t="0" r="0" b="1905"/>
                <wp:wrapNone/>
                <wp:docPr id="110" name="文本框 110"/>
                <wp:cNvGraphicFramePr/>
                <a:graphic xmlns:a="http://schemas.openxmlformats.org/drawingml/2006/main">
                  <a:graphicData uri="http://schemas.microsoft.com/office/word/2010/wordprocessingShape">
                    <wps:wsp>
                      <wps:cNvSpPr txBox="1"/>
                      <wps:spPr>
                        <a:xfrm>
                          <a:off x="0" y="0"/>
                          <a:ext cx="381000"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噪声</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71.6pt;margin-top:10.7pt;height:20.85pt;width:30pt;z-index:251698176;mso-width-relative:page;mso-height-relative:page;" fillcolor="#FFFFFF" filled="t" stroked="f" coordsize="21600,21600" o:gfxdata="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1EqS9cAAAAJAQAADwAAAAAAAAABACAAAAAiAAAAZHJzL2Rvd25yZXYueG1sUEsBAhQAFAAAAAgA&#10;h07iQENnKRNfAgAArQQAAA4AAAAAAAAAAQAgAAAAJgEAAGRycy9lMm9Eb2MueG1sUEsFBgAAAAAG&#10;AAYAWQEAAPc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噪声</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-838200</wp:posOffset>
                </wp:positionH>
                <wp:positionV relativeFrom="paragraph">
                  <wp:posOffset>165100</wp:posOffset>
                </wp:positionV>
                <wp:extent cx="1047115" cy="264795"/>
                <wp:effectExtent l="0" t="0" r="635" b="1905"/>
                <wp:wrapNone/>
                <wp:docPr id="101" name="文本框 101"/>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right"/>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天然气外输</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66pt;margin-top:13pt;height:20.85pt;width:82.45pt;z-index:251695104;mso-width-relative:page;mso-height-relative:page;" fillcolor="#FFFFFF" filled="t" stroked="f" coordsize="21600,21600" o:gfxdata="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31YgTZAAAACQEAAA8AAAAAAAAAAQAgAAAAIgAAAGRycy9kb3ducmV2LnhtbFBLAQIUABQA&#10;AAAIAIdO4kBnaIDBYQIAAK4EAAAOAAAAAAAAAAEAIAAAACgBAABkcnMvZTJvRG9jLnhtbFBLBQYA&#10;AAAABgAGAFkBAAD7BQ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right"/>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天然气外输</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579120</wp:posOffset>
                </wp:positionH>
                <wp:positionV relativeFrom="paragraph">
                  <wp:posOffset>111760</wp:posOffset>
                </wp:positionV>
                <wp:extent cx="1066165" cy="264795"/>
                <wp:effectExtent l="4445" t="5080" r="5715" b="6350"/>
                <wp:wrapNone/>
                <wp:docPr id="246" name="文本框 246"/>
                <wp:cNvGraphicFramePr/>
                <a:graphic xmlns:a="http://schemas.openxmlformats.org/drawingml/2006/main">
                  <a:graphicData uri="http://schemas.microsoft.com/office/word/2010/wordprocessingShape">
                    <wps:wsp>
                      <wps:cNvSpPr txBox="1"/>
                      <wps:spPr>
                        <a:xfrm>
                          <a:off x="0" y="0"/>
                          <a:ext cx="106616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eastAsia="宋体"/>
                                <w:sz w:val="18"/>
                                <w:szCs w:val="18"/>
                                <w:lang w:val="en-US" w:eastAsia="zh-CN"/>
                              </w:rPr>
                              <w:t>三甘醇脱水撬</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45.6pt;margin-top:8.8pt;height:20.85pt;width:83.95pt;z-index:251730944;mso-width-relative:page;mso-height-relative:page;" fillcolor="#FFFFFF" filled="t" stroked="t" coordsize="21600,21600" o:gfxdata="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1CKUTZAAAACAEAAA8AAAAAAAAAAQAgAAAAIgAAAGRycy9kb3ducmV2LnhtbFBLAQIU&#10;ABQAAAAIAIdO4kCwY1WZZAIAANcEAAAOAAAAAAAAAAEAIAAAACgBAABkcnMvZTJvRG9jLnhtbFBL&#10;BQYAAAAABgAGAFkBAAD+BQ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eastAsia="宋体"/>
                          <w:sz w:val="18"/>
                          <w:szCs w:val="18"/>
                          <w:lang w:val="en-US" w:eastAsia="zh-CN"/>
                        </w:rPr>
                        <w:t>三甘醇脱水撬</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3110865</wp:posOffset>
                </wp:positionH>
                <wp:positionV relativeFrom="paragraph">
                  <wp:posOffset>55245</wp:posOffset>
                </wp:positionV>
                <wp:extent cx="329565" cy="172085"/>
                <wp:effectExtent l="0" t="48260" r="13335" b="8255"/>
                <wp:wrapNone/>
                <wp:docPr id="109" name="曲线连接符 109"/>
                <wp:cNvGraphicFramePr/>
                <a:graphic xmlns:a="http://schemas.openxmlformats.org/drawingml/2006/main">
                  <a:graphicData uri="http://schemas.microsoft.com/office/word/2010/wordprocessingShape">
                    <wps:wsp>
                      <wps:cNvCnPr/>
                      <wps:spPr>
                        <a:xfrm flipV="1">
                          <a:off x="0" y="0"/>
                          <a:ext cx="329565" cy="172085"/>
                        </a:xfrm>
                        <a:prstGeom prst="curvedConnector3">
                          <a:avLst>
                            <a:gd name="adj1" fmla="val 50096"/>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244.95pt;margin-top:4.35pt;height:13.55pt;width:25.95pt;z-index:251697152;mso-width-relative:page;mso-height-relative:page;" filled="f" stroked="t" coordsize="21600,21600" o:gfxdata="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LZOd1gAAAAgBAAAPAAAAAAAAAAEAIAAAACIAAABkcnMvZG93bnJldi54bWxQSwECFAAUAAAA&#10;CACHTuJAGhEFLikCAAAWBAAADgAAAAAAAAABACAAAAAlAQAAZHJzL2Uyb0RvYy54bWxQSwUGAAAA&#10;AAYABgBZAQAAwAUAAAAA&#10;" adj="10821">
                <v:fill on="f" focussize="0,0"/>
                <v:stroke weight="1pt" color="#4472C4 [3204]" miterlimit="8" joinstyle="miter" endarrow="open"/>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2053590</wp:posOffset>
                </wp:positionH>
                <wp:positionV relativeFrom="paragraph">
                  <wp:posOffset>82550</wp:posOffset>
                </wp:positionV>
                <wp:extent cx="1047115" cy="264795"/>
                <wp:effectExtent l="4445" t="5080" r="15240" b="15875"/>
                <wp:wrapNone/>
                <wp:docPr id="89" name="文本框 89"/>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气液分离</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1.7pt;margin-top:6.5pt;height:20.85pt;width:82.45pt;z-index:251686912;mso-width-relative:page;mso-height-relative:page;" fillcolor="#FFFFFF" filled="t" stroked="t" coordsize="21600,21600" o:gfxdata="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kMv3jYAAAACQEAAA8AAAAAAAAAAQAgAAAAIgAAAGRycy9kb3ducmV2LnhtbFBLAQIUABQA&#10;AAAIAIdO4kD4KWXsYgIAANUEAAAOAAAAAAAAAAEAIAAAACcBAABkcnMvZTJvRG9jLnhtbFBLBQYA&#10;AAAABgAGAFkBAAD7BQ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气液分离</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2626360</wp:posOffset>
                </wp:positionH>
                <wp:positionV relativeFrom="paragraph">
                  <wp:posOffset>207645</wp:posOffset>
                </wp:positionV>
                <wp:extent cx="401955" cy="264795"/>
                <wp:effectExtent l="0" t="0" r="17145" b="1905"/>
                <wp:wrapNone/>
                <wp:docPr id="122" name="文本框 122"/>
                <wp:cNvGraphicFramePr/>
                <a:graphic xmlns:a="http://schemas.openxmlformats.org/drawingml/2006/main">
                  <a:graphicData uri="http://schemas.microsoft.com/office/word/2010/wordprocessingShape">
                    <wps:wsp>
                      <wps:cNvSpPr txBox="1"/>
                      <wps:spPr>
                        <a:xfrm>
                          <a:off x="0" y="0"/>
                          <a:ext cx="401955"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气田水</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06.8pt;margin-top:16.35pt;height:20.85pt;width:31.65pt;z-index:251704320;mso-width-relative:page;mso-height-relative:page;" fillcolor="#FFFFFF" filled="t" stroked="f" coordsize="21600,21600" o:gfxdata="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mSj3tkAAAAJAQAADwAAAAAAAAABACAAAAAiAAAAZHJzL2Rvd25yZXYueG1sUEsBAhQAFAAA&#10;AAgAh07iQIga+WRgAgAArQQAAA4AAAAAAAAAAQAgAAAAKAEAAGRycy9lMm9Eb2MueG1sUEsFBgAA&#10;AAAGAAYAWQEAAPo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气田水</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2572385</wp:posOffset>
                </wp:positionH>
                <wp:positionV relativeFrom="paragraph">
                  <wp:posOffset>158750</wp:posOffset>
                </wp:positionV>
                <wp:extent cx="4445" cy="423545"/>
                <wp:effectExtent l="34290" t="0" r="37465" b="14605"/>
                <wp:wrapNone/>
                <wp:docPr id="92" name="直接箭头连接符 92"/>
                <wp:cNvGraphicFramePr/>
                <a:graphic xmlns:a="http://schemas.openxmlformats.org/drawingml/2006/main">
                  <a:graphicData uri="http://schemas.microsoft.com/office/word/2010/wordprocessingShape">
                    <wps:wsp>
                      <wps:cNvCnPr/>
                      <wps:spPr>
                        <a:xfrm>
                          <a:off x="0" y="0"/>
                          <a:ext cx="4445" cy="423545"/>
                        </a:xfrm>
                        <a:prstGeom prst="straightConnector1">
                          <a:avLst/>
                        </a:prstGeom>
                        <a:ln>
                          <a:solidFill>
                            <a:schemeClr val="accent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2.55pt;margin-top:12.5pt;height:33.35pt;width:0.35pt;z-index:251687936;mso-width-relative:page;mso-height-relative:page;" filled="f" stroked="t" coordsize="21600,21600" o:gfxdata="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j381gAAAAkBAAAPAAAAAAAAAAEAIAAA&#10;ACIAAABkcnMvZG93bnJldi54bWxQSwECFAAUAAAACACHTuJAf429kg4CAADmAwAADgAAAAAAAAAB&#10;ACAAAAAlAQAAZHJzL2Uyb0RvYy54bWxQSwUGAAAAAAYABgBZAQAApQUAAAAA&#10;">
                <v:fill on="f" focussize="0,0"/>
                <v:stroke weight="1pt" color="#4472C4 [3204]" miterlimit="8" joinstyle="miter" endarrow="block"/>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163830</wp:posOffset>
                </wp:positionH>
                <wp:positionV relativeFrom="paragraph">
                  <wp:posOffset>46355</wp:posOffset>
                </wp:positionV>
                <wp:extent cx="422910" cy="0"/>
                <wp:effectExtent l="0" t="38100" r="5715" b="38100"/>
                <wp:wrapNone/>
                <wp:docPr id="250" name="直接箭头连接符 250"/>
                <wp:cNvGraphicFramePr/>
                <a:graphic xmlns:a="http://schemas.openxmlformats.org/drawingml/2006/main">
                  <a:graphicData uri="http://schemas.microsoft.com/office/word/2010/wordprocessingShape">
                    <wps:wsp>
                      <wps:cNvCnPr/>
                      <wps:spPr>
                        <a:xfrm flipH="1">
                          <a:off x="0" y="0"/>
                          <a:ext cx="42291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9pt;margin-top:3.65pt;height:0pt;width:33.3pt;z-index:251731968;mso-width-relative:page;mso-height-relative:page;" filled="f" stroked="t" coordsize="21600,21600" o:gfxdata="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F52qdIAAAAFAQAADwAAAAAAAAABACAAAAAiAAAA&#10;ZHJzL2Rvd25yZXYueG1sUEsBAhQAFAAAAAgAh07iQOKS9pcNAgAA7wMAAA4AAAAAAAAAAQAgAAAA&#10;IQEAAGRycy9lMm9Eb2MueG1sUEsFBgAAAAAGAAYAWQEAAKAFAAAAAA==&#10;">
                <v:fill on="f" focussize="0,0"/>
                <v:stroke weight="1pt" color="#000000 [3213]" miterlimit="8" joinstyle="miter" endarrow="block"/>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1630680</wp:posOffset>
                </wp:positionH>
                <wp:positionV relativeFrom="paragraph">
                  <wp:posOffset>3175</wp:posOffset>
                </wp:positionV>
                <wp:extent cx="422910" cy="0"/>
                <wp:effectExtent l="0" t="38100" r="15240" b="38100"/>
                <wp:wrapNone/>
                <wp:docPr id="100" name="直接箭头连接符 100"/>
                <wp:cNvGraphicFramePr/>
                <a:graphic xmlns:a="http://schemas.openxmlformats.org/drawingml/2006/main">
                  <a:graphicData uri="http://schemas.microsoft.com/office/word/2010/wordprocessingShape">
                    <wps:wsp>
                      <wps:cNvCnPr/>
                      <wps:spPr>
                        <a:xfrm flipH="1">
                          <a:off x="2773680" y="3246755"/>
                          <a:ext cx="42291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8.4pt;margin-top:0.25pt;height:0pt;width:33.3pt;z-index:251694080;mso-width-relative:page;mso-height-relative:page;" filled="f" stroked="t" coordsize="21600,21600" o:gfxdata="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bVScdIAAAAFAQAADwAA&#10;AAAAAAABACAAAAAiAAAAZHJzL2Rvd25yZXYueG1sUEsBAhQAFAAAAAgAh07iQPkzhh8cAgAA+wMA&#10;AA4AAAAAAAAAAQAgAAAAIQEAAGRycy9lMm9Eb2MueG1sUEsFBgAAAAAGAAYAWQEAAK8FAAAAAA==&#10;">
                <v:fill on="f" focussize="0,0"/>
                <v:stroke weight="1pt" color="#000000 [3213]" miterlimit="8" joinstyle="miter" endarrow="block"/>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504825</wp:posOffset>
                </wp:positionH>
                <wp:positionV relativeFrom="paragraph">
                  <wp:posOffset>173355</wp:posOffset>
                </wp:positionV>
                <wp:extent cx="917575" cy="238125"/>
                <wp:effectExtent l="0" t="0" r="6350" b="0"/>
                <wp:wrapNone/>
                <wp:docPr id="255" name="文本框 255"/>
                <wp:cNvGraphicFramePr/>
                <a:graphic xmlns:a="http://schemas.openxmlformats.org/drawingml/2006/main">
                  <a:graphicData uri="http://schemas.microsoft.com/office/word/2010/wordprocessingShape">
                    <wps:wsp>
                      <wps:cNvSpPr txBox="1"/>
                      <wps:spPr>
                        <a:xfrm>
                          <a:off x="0" y="0"/>
                          <a:ext cx="917575" cy="23812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噪声、固废</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9.75pt;margin-top:13.65pt;height:18.75pt;width:72.25pt;z-index:251737088;mso-width-relative:page;mso-height-relative:page;" fillcolor="#FFFFFF" filled="t" stroked="f" coordsize="21600,21600" o:gfxdata="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04K4tgAAAAIAQAADwAAAAAAAAABACAAAAAiAAAAZHJzL2Rvd25yZXYueG1sUEsBAhQAFAAAAAgA&#10;h07iQEjJTwJeAgAArQQAAA4AAAAAAAAAAQAgAAAAJwEAAGRycy9lMm9Eb2MueG1sUEsFBgAAAAAG&#10;AAYAWQEAAPc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噪声、固废</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840740</wp:posOffset>
                </wp:positionH>
                <wp:positionV relativeFrom="paragraph">
                  <wp:posOffset>1905</wp:posOffset>
                </wp:positionV>
                <wp:extent cx="330835" cy="158750"/>
                <wp:effectExtent l="0" t="6350" r="2540" b="53975"/>
                <wp:wrapNone/>
                <wp:docPr id="256" name="曲线连接符 256"/>
                <wp:cNvGraphicFramePr/>
                <a:graphic xmlns:a="http://schemas.openxmlformats.org/drawingml/2006/main">
                  <a:graphicData uri="http://schemas.microsoft.com/office/word/2010/wordprocessingShape">
                    <wps:wsp>
                      <wps:cNvCnPr/>
                      <wps:spPr>
                        <a:xfrm rot="10800000" flipV="1">
                          <a:off x="0" y="0"/>
                          <a:ext cx="330835" cy="158750"/>
                        </a:xfrm>
                        <a:prstGeom prst="curvedConnector3">
                          <a:avLst>
                            <a:gd name="adj1" fmla="val 49904"/>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66.2pt;margin-top:0.15pt;height:12.5pt;width:26.05pt;rotation:11796480f;z-index:251736064;mso-width-relative:page;mso-height-relative:page;" filled="f" stroked="t" coordsize="21600,21600" o:gfxdata="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hogD0wAAAAcBAAAPAAAAAAAAAAEAIAAAACIAAABkcnMvZG93bnJldi54bWxQSwECFAAU&#10;AAAACACHTuJAtYLXxC8CAAAlBAAADgAAAAAAAAABACAAAAAiAQAAZHJzL2Uyb0RvYy54bWxQSwUG&#10;AAAAAAYABgBZAQAAwwUAAAAA&#10;" adj="10779">
                <v:fill on="f" focussize="0,0"/>
                <v:stroke weight="1pt" color="#4472C4 [3204]" miterlimit="8" joinstyle="miter" endarrow="open"/>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2037080</wp:posOffset>
                </wp:positionH>
                <wp:positionV relativeFrom="paragraph">
                  <wp:posOffset>167640</wp:posOffset>
                </wp:positionV>
                <wp:extent cx="1047115" cy="264795"/>
                <wp:effectExtent l="4445" t="5080" r="15240" b="15875"/>
                <wp:wrapNone/>
                <wp:docPr id="94" name="文本框 94"/>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采出水罐</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0.4pt;margin-top:13.2pt;height:20.85pt;width:82.45pt;z-index:251688960;mso-width-relative:page;mso-height-relative:page;" fillcolor="#FFFFFF" filled="t" stroked="t" coordsize="21600,21600" o:gfxdata="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cYeg2AAAAAkBAAAPAAAAAAAAAAEAIAAAACIAAABkcnMvZG93bnJldi54bWxQSwECFAAU&#10;AAAACACHTuJAg/WsCGMCAADVBAAADgAAAAAAAAABACAAAAAnAQAAZHJzL2Uyb0RvYy54bWxQSwUG&#10;AAAAAAYABgBZAQAA/AU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采出水罐</w:t>
                      </w:r>
                    </w:p>
                  </w:txbxContent>
                </v:textbox>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4258310</wp:posOffset>
                </wp:positionH>
                <wp:positionV relativeFrom="paragraph">
                  <wp:posOffset>134620</wp:posOffset>
                </wp:positionV>
                <wp:extent cx="329565" cy="172085"/>
                <wp:effectExtent l="0" t="48260" r="3810" b="8255"/>
                <wp:wrapNone/>
                <wp:docPr id="252" name="曲线连接符 252"/>
                <wp:cNvGraphicFramePr/>
                <a:graphic xmlns:a="http://schemas.openxmlformats.org/drawingml/2006/main">
                  <a:graphicData uri="http://schemas.microsoft.com/office/word/2010/wordprocessingShape">
                    <wps:wsp>
                      <wps:cNvCnPr/>
                      <wps:spPr>
                        <a:xfrm flipV="1">
                          <a:off x="0" y="0"/>
                          <a:ext cx="329565" cy="172085"/>
                        </a:xfrm>
                        <a:prstGeom prst="curvedConnector3">
                          <a:avLst>
                            <a:gd name="adj1" fmla="val 50096"/>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335.3pt;margin-top:10.6pt;height:13.55pt;width:25.95pt;z-index:251732992;mso-width-relative:page;mso-height-relative:page;" filled="f" stroked="t" coordsize="21600,21600" o:gfxdata="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DtA71gAAAAkBAAAPAAAAAAAAAAEAIAAAACIAAABkcnMvZG93bnJldi54bWxQSwECFAAUAAAA&#10;CACHTuJAjk2ZMikCAAAWBAAADgAAAAAAAAABACAAAAAlAQAAZHJzL2Uyb0RvYy54bWxQSwUGAAAA&#10;AAYABgBZAQAAwAUAAAAA&#10;" adj="10821">
                <v:fill on="f" focussize="0,0"/>
                <v:stroke weight="1pt" color="#4472C4 [3204]" miterlimit="8" joinstyle="miter" endarrow="open"/>
                <v:imagedata o:title=""/>
                <o:lock v:ext="edit" aspectratio="f"/>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4597400</wp:posOffset>
                </wp:positionH>
                <wp:positionV relativeFrom="paragraph">
                  <wp:posOffset>3810</wp:posOffset>
                </wp:positionV>
                <wp:extent cx="676275" cy="438785"/>
                <wp:effectExtent l="0" t="0" r="0" b="8890"/>
                <wp:wrapNone/>
                <wp:docPr id="251" name="文本框 251"/>
                <wp:cNvGraphicFramePr/>
                <a:graphic xmlns:a="http://schemas.openxmlformats.org/drawingml/2006/main">
                  <a:graphicData uri="http://schemas.microsoft.com/office/word/2010/wordprocessingShape">
                    <wps:wsp>
                      <wps:cNvSpPr txBox="1"/>
                      <wps:spPr>
                        <a:xfrm>
                          <a:off x="0" y="0"/>
                          <a:ext cx="676275" cy="43878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燃烧废气、噪声</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62pt;margin-top:0.3pt;height:34.55pt;width:53.25pt;z-index:251734016;mso-width-relative:page;mso-height-relative:page;" fillcolor="#FFFFFF" filled="t" stroked="f" coordsize="21600,21600" o:gfxdata="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32BxjWAAAABwEAAA8AAAAAAAAAAQAgAAAAIgAAAGRycy9kb3ducmV2LnhtbFBLAQIUABQAAAAI&#10;AIdO4kDq1181YQIAAK0EAAAOAAAAAAAAAAEAIAAAACUBAABkcnMvZTJvRG9jLnhtbFBLBQYAAAAA&#10;BgAGAFkBAAD4BQ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燃烧废气、噪声</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1748790</wp:posOffset>
                </wp:positionH>
                <wp:positionV relativeFrom="paragraph">
                  <wp:posOffset>88265</wp:posOffset>
                </wp:positionV>
                <wp:extent cx="288290" cy="451485"/>
                <wp:effectExtent l="5080" t="0" r="11430" b="5715"/>
                <wp:wrapNone/>
                <wp:docPr id="135" name="直接箭头连接符 135"/>
                <wp:cNvGraphicFramePr/>
                <a:graphic xmlns:a="http://schemas.openxmlformats.org/drawingml/2006/main">
                  <a:graphicData uri="http://schemas.microsoft.com/office/word/2010/wordprocessingShape">
                    <wps:wsp>
                      <wps:cNvCnPr/>
                      <wps:spPr>
                        <a:xfrm flipV="1">
                          <a:off x="2896870" y="4654550"/>
                          <a:ext cx="288290" cy="4514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7.7pt;margin-top:6.95pt;height:35.55pt;width:22.7pt;z-index:251709440;mso-width-relative:page;mso-height-relative:page;" filled="f" stroked="t" coordsize="21600,21600" o:gfxdata="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ZvemjY&#10;AAAACQEAAA8AAAAAAAAAAQAgAAAAIgAAAGRycy9kb3ducmV2LnhtbFBLAQIUABQAAAAIAIdO4kA3&#10;3OBpIAIAAP0DAAAOAAAAAAAAAAEAIAAAACcBAABkcnMvZTJvRG9jLnhtbFBLBQYAAAAABgAGAFkB&#10;AAC5BQAAAAA=&#10;">
                <v:fill on="f" focussize="0,0"/>
                <v:stroke weight="1pt" color="#4472C4 [3204]" miterlimit="8" joinstyle="miter" endarrow="open"/>
                <v:imagedata o:title=""/>
                <o:lock v:ext="edit" aspectratio="f"/>
              </v:shape>
            </w:pict>
          </mc:Fallback>
        </mc:AlternateContent>
      </w:r>
    </w:p>
    <w:p>
      <w:pPr>
        <w:pStyle w:val="93"/>
        <w:keepNext/>
        <w:keepLines w:val="0"/>
        <w:pageBreakBefore w:val="0"/>
        <w:widowControl/>
        <w:kinsoku/>
        <w:wordWrap/>
        <w:overflowPunct/>
        <w:topLinePunct w:val="0"/>
        <w:autoSpaceDE/>
        <w:autoSpaceDN/>
        <w:bidi w:val="0"/>
        <w:adjustRightInd w:val="0"/>
        <w:snapToGrid w:val="0"/>
        <w:textAlignment w:val="auto"/>
        <w:rPr>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2609215</wp:posOffset>
                </wp:positionH>
                <wp:positionV relativeFrom="paragraph">
                  <wp:posOffset>75565</wp:posOffset>
                </wp:positionV>
                <wp:extent cx="422275" cy="381000"/>
                <wp:effectExtent l="0" t="0" r="6350" b="0"/>
                <wp:wrapNone/>
                <wp:docPr id="116" name="文本框 116"/>
                <wp:cNvGraphicFramePr/>
                <a:graphic xmlns:a="http://schemas.openxmlformats.org/drawingml/2006/main">
                  <a:graphicData uri="http://schemas.microsoft.com/office/word/2010/wordprocessingShape">
                    <wps:wsp>
                      <wps:cNvSpPr txBox="1"/>
                      <wps:spPr>
                        <a:xfrm>
                          <a:off x="0" y="0"/>
                          <a:ext cx="422275" cy="381000"/>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罐车拉运</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05.45pt;margin-top:5.95pt;height:30pt;width:33.25pt;z-index:251702272;mso-width-relative:page;mso-height-relative:page;" fillcolor="#FFFFFF" filled="t" stroked="f" coordsize="21600,21600" o:gfxdata="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Dpuk7YAAAACQEAAA8AAAAAAAAAAQAgAAAAIgAAAGRycy9kb3ducmV2LnhtbFBLAQIUABQA&#10;AAAIAIdO4kC8Xl9VYgIAAK0EAAAOAAAAAAAAAAEAIAAAACcBAABkcnMvZTJvRG9jLnhtbFBLBQYA&#10;AAAABgAGAFkBAAD7BQ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罐车拉运</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3391535</wp:posOffset>
                </wp:positionH>
                <wp:positionV relativeFrom="paragraph">
                  <wp:posOffset>83185</wp:posOffset>
                </wp:positionV>
                <wp:extent cx="857885" cy="264795"/>
                <wp:effectExtent l="4445" t="5080" r="13970" b="15875"/>
                <wp:wrapNone/>
                <wp:docPr id="128" name="文本框 128"/>
                <wp:cNvGraphicFramePr/>
                <a:graphic xmlns:a="http://schemas.openxmlformats.org/drawingml/2006/main">
                  <a:graphicData uri="http://schemas.microsoft.com/office/word/2010/wordprocessingShape">
                    <wps:wsp>
                      <wps:cNvSpPr txBox="1"/>
                      <wps:spPr>
                        <a:xfrm>
                          <a:off x="0" y="0"/>
                          <a:ext cx="85788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放空火炬</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67.05pt;margin-top:6.55pt;height:20.85pt;width:67.55pt;z-index:251706368;mso-width-relative:page;mso-height-relative:page;" fillcolor="#FFFFFF" filled="t" stroked="t" coordsize="21600,21600" o:gfxdata="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10TML2AAAAAkBAAAPAAAAAAAAAAEAIAAAACIAAABkcnMvZG93bnJldi54bWxQSwECFAAU&#10;AAAACACHTuJACNERk2MCAADWBAAADgAAAAAAAAABACAAAAAnAQAAZHJzL2Uyb0RvYy54bWxQSwUG&#10;AAAAAAYABgBZAQAA/AU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放空火炬</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428625</wp:posOffset>
                </wp:positionH>
                <wp:positionV relativeFrom="paragraph">
                  <wp:posOffset>195580</wp:posOffset>
                </wp:positionV>
                <wp:extent cx="1320165" cy="264795"/>
                <wp:effectExtent l="0" t="0" r="13335" b="1905"/>
                <wp:wrapNone/>
                <wp:docPr id="134" name="文本框 134"/>
                <wp:cNvGraphicFramePr/>
                <a:graphic xmlns:a="http://schemas.openxmlformats.org/drawingml/2006/main">
                  <a:graphicData uri="http://schemas.microsoft.com/office/word/2010/wordprocessingShape">
                    <wps:wsp>
                      <wps:cNvSpPr txBox="1"/>
                      <wps:spPr>
                        <a:xfrm>
                          <a:off x="0" y="0"/>
                          <a:ext cx="1320165"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eastAsia="宋体"/>
                                <w:sz w:val="18"/>
                                <w:szCs w:val="18"/>
                                <w:lang w:val="en-US" w:eastAsia="zh-CN"/>
                              </w:rPr>
                            </w:pPr>
                            <w:r>
                              <w:rPr>
                                <w:rFonts w:hint="eastAsia" w:cs="Times New Roman"/>
                                <w:bCs/>
                                <w:color w:val="auto"/>
                                <w:sz w:val="18"/>
                                <w:szCs w:val="18"/>
                                <w:highlight w:val="none"/>
                                <w:lang w:val="en-US" w:eastAsia="zh-CN"/>
                              </w:rPr>
                              <w:t>非正常</w:t>
                            </w:r>
                            <w:r>
                              <w:rPr>
                                <w:rFonts w:cs="Times New Roman"/>
                                <w:bCs/>
                                <w:color w:val="auto"/>
                                <w:sz w:val="18"/>
                                <w:szCs w:val="18"/>
                                <w:highlight w:val="none"/>
                              </w:rPr>
                              <w:t>工况井下作业</w:t>
                            </w:r>
                            <w:r>
                              <w:rPr>
                                <w:rFonts w:hint="eastAsia" w:cs="Times New Roman"/>
                                <w:bCs/>
                                <w:color w:val="auto"/>
                                <w:sz w:val="18"/>
                                <w:szCs w:val="18"/>
                                <w:highlight w:val="none"/>
                                <w:lang w:val="en-US" w:eastAsia="zh-CN"/>
                              </w:rPr>
                              <w:t>废水</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33.75pt;margin-top:15.4pt;height:20.85pt;width:103.95pt;z-index:251705344;mso-width-relative:page;mso-height-relative:page;" fillcolor="#FFFFFF" filled="t" stroked="f" coordsize="21600,21600" o:gfxdata="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YQGK9gAAAAIAQAADwAAAAAAAAABACAAAAAiAAAAZHJzL2Rvd25yZXYueG1sUEsBAhQAFAAA&#10;AAgAh07iQKRbdCthAgAArgQAAA4AAAAAAAAAAQAgAAAAJwEAAGRycy9lMm9Eb2MueG1sUEsFBgAA&#10;AAAGAAYAWQEAAPo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eastAsia="宋体"/>
                          <w:sz w:val="18"/>
                          <w:szCs w:val="18"/>
                          <w:lang w:val="en-US" w:eastAsia="zh-CN"/>
                        </w:rPr>
                      </w:pPr>
                      <w:r>
                        <w:rPr>
                          <w:rFonts w:hint="eastAsia" w:cs="Times New Roman"/>
                          <w:bCs/>
                          <w:color w:val="auto"/>
                          <w:sz w:val="18"/>
                          <w:szCs w:val="18"/>
                          <w:highlight w:val="none"/>
                          <w:lang w:val="en-US" w:eastAsia="zh-CN"/>
                        </w:rPr>
                        <w:t>非正常</w:t>
                      </w:r>
                      <w:r>
                        <w:rPr>
                          <w:rFonts w:cs="Times New Roman"/>
                          <w:bCs/>
                          <w:color w:val="auto"/>
                          <w:sz w:val="18"/>
                          <w:szCs w:val="18"/>
                          <w:highlight w:val="none"/>
                        </w:rPr>
                        <w:t>工况井下作业</w:t>
                      </w:r>
                      <w:r>
                        <w:rPr>
                          <w:rFonts w:hint="eastAsia" w:cs="Times New Roman"/>
                          <w:bCs/>
                          <w:color w:val="auto"/>
                          <w:sz w:val="18"/>
                          <w:szCs w:val="18"/>
                          <w:highlight w:val="none"/>
                          <w:lang w:val="en-US" w:eastAsia="zh-CN"/>
                        </w:rPr>
                        <w:t>废水</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2551430</wp:posOffset>
                </wp:positionH>
                <wp:positionV relativeFrom="paragraph">
                  <wp:posOffset>20955</wp:posOffset>
                </wp:positionV>
                <wp:extent cx="4445" cy="423545"/>
                <wp:effectExtent l="34290" t="0" r="37465" b="14605"/>
                <wp:wrapNone/>
                <wp:docPr id="113" name="直接箭头连接符 113"/>
                <wp:cNvGraphicFramePr/>
                <a:graphic xmlns:a="http://schemas.openxmlformats.org/drawingml/2006/main">
                  <a:graphicData uri="http://schemas.microsoft.com/office/word/2010/wordprocessingShape">
                    <wps:wsp>
                      <wps:cNvCnPr/>
                      <wps:spPr>
                        <a:xfrm>
                          <a:off x="0" y="0"/>
                          <a:ext cx="4445" cy="423545"/>
                        </a:xfrm>
                        <a:prstGeom prst="straightConnector1">
                          <a:avLst/>
                        </a:prstGeom>
                        <a:ln>
                          <a:solidFill>
                            <a:schemeClr val="accent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0.9pt;margin-top:1.65pt;height:33.35pt;width:0.35pt;z-index:251699200;mso-width-relative:page;mso-height-relative:page;" filled="f" stroked="t" coordsize="21600,21600" o:gfxdata="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DmAANYAAAAIAQAADwAAAAAAAAABACAA&#10;AAAiAAAAZHJzL2Rvd25yZXYueG1sUEsBAhQAFAAAAAgAh07iQFxUQj0PAgAA6AMAAA4AAAAAAAAA&#10;AQAgAAAAJQEAAGRycy9lMm9Eb2MueG1sUEsFBgAAAAAGAAYAWQEAAKYFAAAAAA==&#10;">
                <v:fill on="f" focussize="0,0"/>
                <v:stroke weight="1pt" color="#4472C4 [3204]" miterlimit="8" joinstyle="miter" endarrow="block"/>
                <v:imagedata o:title=""/>
                <o:lock v:ext="edit" aspectratio="f"/>
              </v:shape>
            </w:pict>
          </mc:Fallback>
        </mc:AlternateContent>
      </w:r>
    </w:p>
    <w:p>
      <w:pPr>
        <w:pStyle w:val="607"/>
        <w:rPr>
          <w:rStyle w:val="164"/>
          <w:rFonts w:ascii="Times New Roman"/>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2052320</wp:posOffset>
                </wp:positionH>
                <wp:positionV relativeFrom="paragraph">
                  <wp:posOffset>260985</wp:posOffset>
                </wp:positionV>
                <wp:extent cx="1047115" cy="264795"/>
                <wp:effectExtent l="4445" t="5080" r="15240" b="15875"/>
                <wp:wrapNone/>
                <wp:docPr id="114" name="文本框 114"/>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rPr>
                                <w:rFonts w:hint="default"/>
                                <w:lang w:val="en-US" w:eastAsia="zh-CN"/>
                              </w:rPr>
                            </w:pPr>
                            <w:r>
                              <w:rPr>
                                <w:rFonts w:hint="eastAsia"/>
                                <w:sz w:val="18"/>
                                <w:szCs w:val="18"/>
                                <w:lang w:val="en-US" w:eastAsia="zh-CN"/>
                              </w:rPr>
                              <w:t>赵家坝污水站</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1.6pt;margin-top:20.55pt;height:20.85pt;width:82.45pt;z-index:251700224;mso-width-relative:page;mso-height-relative:page;" fillcolor="#FFFFFF" filled="t" stroked="t" coordsize="21600,21600" o:gfxdata="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NLjr9gAAAAJAQAADwAAAAAAAAABACAAAAAiAAAAZHJzL2Rvd25yZXYueG1sUEsBAhQA&#10;FAAAAAgAh07iQLTg+opkAgAA1wQAAA4AAAAAAAAAAQAgAAAAJwEAAGRycy9lMm9Eb2MueG1sUEsF&#10;BgAAAAAGAAYAWQEAAP0FAAAAAA==&#10;">
                <v:fill on="t" focussize="0,0"/>
                <v:stroke color="#000000" miterlimit="8" joinstyle="miter"/>
                <v:imagedata o:title=""/>
                <o:lock v:ext="edit" aspectratio="f"/>
                <v:textbox inset="0mm,1.27mm,0mm,1.27mm">
                  <w:txbxContent>
                    <w:p>
                      <w:pPr>
                        <w:rPr>
                          <w:rFonts w:hint="default"/>
                          <w:lang w:val="en-US" w:eastAsia="zh-CN"/>
                        </w:rPr>
                      </w:pPr>
                      <w:r>
                        <w:rPr>
                          <w:rFonts w:hint="eastAsia"/>
                          <w:sz w:val="18"/>
                          <w:szCs w:val="18"/>
                          <w:lang w:val="en-US" w:eastAsia="zh-CN"/>
                        </w:rPr>
                        <w:t>赵家坝污水站</w:t>
                      </w:r>
                    </w:p>
                  </w:txbxContent>
                </v:textbox>
              </v:shape>
            </w:pict>
          </mc:Fallback>
        </mc:AlternateContent>
      </w:r>
    </w:p>
    <w:p>
      <w:pPr>
        <w:pStyle w:val="607"/>
        <w:rPr>
          <w:rStyle w:val="164"/>
          <w:rFonts w:ascii="Times New Roman"/>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2593340</wp:posOffset>
                </wp:positionH>
                <wp:positionV relativeFrom="paragraph">
                  <wp:posOffset>295910</wp:posOffset>
                </wp:positionV>
                <wp:extent cx="453390" cy="259715"/>
                <wp:effectExtent l="0" t="0" r="3810" b="6985"/>
                <wp:wrapNone/>
                <wp:docPr id="254" name="文本框 254"/>
                <wp:cNvGraphicFramePr/>
                <a:graphic xmlns:a="http://schemas.openxmlformats.org/drawingml/2006/main">
                  <a:graphicData uri="http://schemas.microsoft.com/office/word/2010/wordprocessingShape">
                    <wps:wsp>
                      <wps:cNvSpPr txBox="1"/>
                      <wps:spPr>
                        <a:xfrm>
                          <a:off x="0" y="0"/>
                          <a:ext cx="453390" cy="25971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回注</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04.2pt;margin-top:23.3pt;height:20.45pt;width:35.7pt;z-index:251735040;mso-width-relative:page;mso-height-relative:page;" fillcolor="#FFFFFF" filled="t" stroked="f" coordsize="21600,21600" o:gfxdata="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nRho2AAAAAkBAAAPAAAAAAAAAAEAIAAAACIAAABkcnMvZG93bnJldi54bWxQSwECFAAUAAAA&#10;CACHTuJAImmvBGACAACtBAAADgAAAAAAAAABACAAAAAnAQAAZHJzL2Uyb0RvYy54bWxQSwUGAAAA&#10;AAYABgBZAQAA+QU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回注</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3238500</wp:posOffset>
                </wp:positionH>
                <wp:positionV relativeFrom="paragraph">
                  <wp:posOffset>3175</wp:posOffset>
                </wp:positionV>
                <wp:extent cx="622300" cy="264795"/>
                <wp:effectExtent l="0" t="0" r="6350" b="1905"/>
                <wp:wrapNone/>
                <wp:docPr id="133" name="文本框 133"/>
                <wp:cNvGraphicFramePr/>
                <a:graphic xmlns:a="http://schemas.openxmlformats.org/drawingml/2006/main">
                  <a:graphicData uri="http://schemas.microsoft.com/office/word/2010/wordprocessingShape">
                    <wps:wsp>
                      <wps:cNvSpPr txBox="1"/>
                      <wps:spPr>
                        <a:xfrm>
                          <a:off x="0" y="0"/>
                          <a:ext cx="622300" cy="264795"/>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放空天然气</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55pt;margin-top:0.25pt;height:20.85pt;width:49pt;z-index:251708416;mso-width-relative:page;mso-height-relative:page;" fillcolor="#FFFFFF" filled="t" stroked="f" coordsize="21600,21600" o:gfxdata="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6ep9YAAAAHAQAADwAAAAAAAAABACAAAAAiAAAAZHJzL2Rvd25yZXYueG1sUEsBAhQAFAAAAAgA&#10;h07iQKFbjyZgAgAArQQAAA4AAAAAAAAAAQAgAAAAJQEAAGRycy9lMm9Eb2MueG1sUEsFBgAAAAAG&#10;AAYAWQEAAPcFAAAAAA==&#10;">
                <v:fill on="t" focussize="0,0"/>
                <v:stroke on="f"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放空天然气</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2550795</wp:posOffset>
                </wp:positionH>
                <wp:positionV relativeFrom="paragraph">
                  <wp:posOffset>175895</wp:posOffset>
                </wp:positionV>
                <wp:extent cx="4445" cy="423545"/>
                <wp:effectExtent l="34290" t="0" r="37465" b="14605"/>
                <wp:wrapNone/>
                <wp:docPr id="115" name="直接箭头连接符 115"/>
                <wp:cNvGraphicFramePr/>
                <a:graphic xmlns:a="http://schemas.openxmlformats.org/drawingml/2006/main">
                  <a:graphicData uri="http://schemas.microsoft.com/office/word/2010/wordprocessingShape">
                    <wps:wsp>
                      <wps:cNvCnPr/>
                      <wps:spPr>
                        <a:xfrm>
                          <a:off x="0" y="0"/>
                          <a:ext cx="4445" cy="423545"/>
                        </a:xfrm>
                        <a:prstGeom prst="straightConnector1">
                          <a:avLst/>
                        </a:prstGeom>
                        <a:ln>
                          <a:solidFill>
                            <a:schemeClr val="accent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0.85pt;margin-top:13.85pt;height:33.35pt;width:0.35pt;z-index:251701248;mso-width-relative:page;mso-height-relative:page;" filled="f" stroked="t" coordsize="21600,21600" o:gfxdata="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SMxStcAAAAJAQAADwAAAAAAAAABACAA&#10;AAAiAAAAZHJzL2Rvd25yZXYueG1sUEsBAhQAFAAAAAgAh07iQNb+XR8OAgAA6AMAAA4AAAAAAAAA&#10;AQAgAAAAJgEAAGRycy9lMm9Eb2MueG1sUEsFBgAAAAAGAAYAWQEAAKYFAAAAAA==&#10;">
                <v:fill on="f" focussize="0,0"/>
                <v:stroke weight="1pt" color="#4472C4 [3204]" miterlimit="8" joinstyle="miter" endarrow="block"/>
                <v:imagedata o:title=""/>
                <o:lock v:ext="edit" aspectratio="f"/>
              </v:shape>
            </w:pict>
          </mc:Fallback>
        </mc:AlternateContent>
      </w:r>
    </w:p>
    <w:p>
      <w:pPr>
        <w:pStyle w:val="607"/>
        <w:rPr>
          <w:rStyle w:val="164"/>
          <w:rFonts w:ascii="Times New Roman"/>
          <w:color w:val="000000" w:themeColor="text1"/>
          <w:highlight w:val="none"/>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2037080</wp:posOffset>
                </wp:positionH>
                <wp:positionV relativeFrom="paragraph">
                  <wp:posOffset>269240</wp:posOffset>
                </wp:positionV>
                <wp:extent cx="1047115" cy="264795"/>
                <wp:effectExtent l="4445" t="5080" r="15240" b="15875"/>
                <wp:wrapNone/>
                <wp:docPr id="117" name="文本框 117"/>
                <wp:cNvGraphicFramePr/>
                <a:graphic xmlns:a="http://schemas.openxmlformats.org/drawingml/2006/main">
                  <a:graphicData uri="http://schemas.microsoft.com/office/word/2010/wordprocessingShape">
                    <wps:wsp>
                      <wps:cNvSpPr txBox="1"/>
                      <wps:spPr>
                        <a:xfrm>
                          <a:off x="0" y="0"/>
                          <a:ext cx="1047115" cy="26479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普光3回注井</w:t>
                            </w:r>
                          </w:p>
                        </w:txbxContent>
                      </wps:txbx>
                      <wps:bodyPr rot="0" spcFirstLastPara="0" vertOverflow="overflow" horzOverflow="overflow" vert="horz" wrap="square" lIns="0" tIns="45720" rIns="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60.4pt;margin-top:21.2pt;height:20.85pt;width:82.45pt;z-index:251703296;mso-width-relative:page;mso-height-relative:page;" fillcolor="#FFFFFF" filled="t" stroked="t" coordsize="21600,21600" o:gfxdata="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AW/VXZAAAACQEAAA8AAAAAAAAAAQAgAAAAIgAAAGRycy9kb3ducmV2LnhtbFBLAQIU&#10;ABQAAAAIAIdO4kBzbiUBZAIAANcEAAAOAAAAAAAAAAEAIAAAACgBAABkcnMvZTJvRG9jLnhtbFBL&#10;BQYAAAAABgAGAFkBAAD+BQAAAAA=&#10;">
                <v:fill on="t" focussize="0,0"/>
                <v:stroke color="#000000" miterlimit="8" joinstyle="miter"/>
                <v:imagedata o:title=""/>
                <o:lock v:ext="edit" aspectratio="f"/>
                <v:textbox inset="0mm,1.27mm,0mm,1.27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普光3回注井</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3117215</wp:posOffset>
                </wp:positionH>
                <wp:positionV relativeFrom="paragraph">
                  <wp:posOffset>-707390</wp:posOffset>
                </wp:positionV>
                <wp:extent cx="274320" cy="462915"/>
                <wp:effectExtent l="5715" t="0" r="5715" b="13335"/>
                <wp:wrapNone/>
                <wp:docPr id="132" name="直接箭头连接符 132"/>
                <wp:cNvGraphicFramePr/>
                <a:graphic xmlns:a="http://schemas.openxmlformats.org/drawingml/2006/main">
                  <a:graphicData uri="http://schemas.microsoft.com/office/word/2010/wordprocessingShape">
                    <wps:wsp>
                      <wps:cNvCnPr>
                        <a:endCxn id="128" idx="1"/>
                      </wps:cNvCnPr>
                      <wps:spPr>
                        <a:xfrm flipV="1">
                          <a:off x="5366385" y="5215890"/>
                          <a:ext cx="274320" cy="4629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45.45pt;margin-top:-55.7pt;height:36.45pt;width:21.6pt;z-index:251707392;mso-width-relative:page;mso-height-relative:page;" filled="f" stroked="t" coordsize="21600,21600" o:gfxdata="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v4wfbAAAADAEAAA8AAAAAAAAAAQAgAAAAIgAAAGRycy9kb3ducmV2&#10;LnhtbFBLAQIUABQAAAAIAIdO4kBYgDs5MgIAACYEAAAOAAAAAAAAAAEAIAAAACoBAABkcnMvZTJv&#10;RG9jLnhtbFBLBQYAAAAABgAGAFkBAADOBQAAAAA=&#10;">
                <v:fill on="f" focussize="0,0"/>
                <v:stroke weight="1pt" color="#4472C4 [3204]" miterlimit="8" joinstyle="miter" endarrow="open"/>
                <v:imagedata o:title=""/>
                <o:lock v:ext="edit" aspectratio="f"/>
              </v:shape>
            </w:pict>
          </mc:Fallback>
        </mc:AlternateContent>
      </w:r>
    </w:p>
    <w:p>
      <w:pPr>
        <w:pStyle w:val="607"/>
        <w:rPr>
          <w:rStyle w:val="164"/>
          <w:rFonts w:ascii="Times New Roman"/>
          <w:color w:val="000000" w:themeColor="text1"/>
          <w:highlight w:val="none"/>
          <w14:textFill>
            <w14:solidFill>
              <w14:schemeClr w14:val="tx1"/>
            </w14:solidFill>
          </w14:textFill>
        </w:rPr>
      </w:pPr>
    </w:p>
    <w:p>
      <w:pPr>
        <w:pStyle w:val="607"/>
        <w:rPr>
          <w:rFonts w:hint="eastAsia"/>
          <w:color w:val="000000" w:themeColor="text1"/>
          <w:highlight w:val="none"/>
          <w14:textFill>
            <w14:solidFill>
              <w14:schemeClr w14:val="tx1"/>
            </w14:solidFill>
          </w14:textFill>
        </w:rPr>
      </w:pPr>
      <w:r>
        <w:rPr>
          <w:rStyle w:val="164"/>
          <w:rFonts w:ascii="Times New Roman"/>
          <w:color w:val="000000" w:themeColor="text1"/>
          <w:highlight w:val="none"/>
          <w14:textFill>
            <w14:solidFill>
              <w14:schemeClr w14:val="tx1"/>
            </w14:solidFill>
          </w14:textFill>
        </w:rPr>
        <w:t>图</w:t>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STYLEREF 2 \s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3.3</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noBreakHyphen/>
      </w:r>
      <w:r>
        <w:rPr>
          <w:rStyle w:val="164"/>
          <w:rFonts w:ascii="Times New Roman"/>
          <w:color w:val="000000" w:themeColor="text1"/>
          <w:highlight w:val="none"/>
          <w14:textFill>
            <w14:solidFill>
              <w14:schemeClr w14:val="tx1"/>
            </w14:solidFill>
          </w14:textFill>
        </w:rPr>
        <w:fldChar w:fldCharType="begin"/>
      </w:r>
      <w:r>
        <w:rPr>
          <w:rStyle w:val="164"/>
          <w:rFonts w:ascii="Times New Roman"/>
          <w:color w:val="000000" w:themeColor="text1"/>
          <w:highlight w:val="none"/>
          <w14:textFill>
            <w14:solidFill>
              <w14:schemeClr w14:val="tx1"/>
            </w14:solidFill>
          </w14:textFill>
        </w:rPr>
        <w:instrText xml:space="preserve"> SEQ 图 \* ARABIC \s 2 </w:instrText>
      </w:r>
      <w:r>
        <w:rPr>
          <w:rStyle w:val="164"/>
          <w:rFonts w:ascii="Times New Roman"/>
          <w:color w:val="000000" w:themeColor="text1"/>
          <w:highlight w:val="none"/>
          <w14:textFill>
            <w14:solidFill>
              <w14:schemeClr w14:val="tx1"/>
            </w14:solidFill>
          </w14:textFill>
        </w:rPr>
        <w:fldChar w:fldCharType="separate"/>
      </w:r>
      <w:r>
        <w:rPr>
          <w:rStyle w:val="164"/>
          <w:rFonts w:ascii="Times New Roman"/>
          <w:color w:val="000000" w:themeColor="text1"/>
          <w:highlight w:val="none"/>
          <w14:textFill>
            <w14:solidFill>
              <w14:schemeClr w14:val="tx1"/>
            </w14:solidFill>
          </w14:textFill>
        </w:rPr>
        <w:t>16</w:t>
      </w:r>
      <w:r>
        <w:rPr>
          <w:rStyle w:val="164"/>
          <w:rFonts w:ascii="Times New Roman"/>
          <w:color w:val="000000" w:themeColor="text1"/>
          <w:highlight w:val="none"/>
          <w14:textFill>
            <w14:solidFill>
              <w14:schemeClr w14:val="tx1"/>
            </w14:solidFill>
          </w14:textFill>
        </w:rPr>
        <w:fldChar w:fldCharType="end"/>
      </w:r>
      <w:r>
        <w:rPr>
          <w:rStyle w:val="164"/>
          <w:rFonts w:ascii="Times New Roman"/>
          <w:color w:val="000000" w:themeColor="text1"/>
          <w:highlight w:val="none"/>
          <w14:textFill>
            <w14:solidFill>
              <w14:schemeClr w14:val="tx1"/>
            </w14:solidFill>
          </w14:textFill>
        </w:rPr>
        <w:t xml:space="preserve"> </w:t>
      </w:r>
      <w:r>
        <w:rPr>
          <w:rStyle w:val="164"/>
          <w:rFonts w:hint="eastAsia" w:ascii="Times New Roman"/>
          <w:color w:val="000000" w:themeColor="text1"/>
          <w:highlight w:val="none"/>
          <w:lang w:val="en-US" w:eastAsia="zh-CN"/>
          <w14:textFill>
            <w14:solidFill>
              <w14:schemeClr w14:val="tx1"/>
            </w14:solidFill>
          </w14:textFill>
        </w:rPr>
        <w:t xml:space="preserve"> </w:t>
      </w:r>
      <w:r>
        <w:rPr>
          <w:rStyle w:val="164"/>
          <w:rFonts w:ascii="Times New Roman"/>
          <w:color w:val="000000" w:themeColor="text1"/>
          <w:highlight w:val="none"/>
          <w14:textFill>
            <w14:solidFill>
              <w14:schemeClr w14:val="tx1"/>
            </w14:solidFill>
          </w14:textFill>
        </w:rPr>
        <w:t>试采期</w:t>
      </w:r>
      <w:r>
        <w:rPr>
          <w:rStyle w:val="164"/>
          <w:rFonts w:hint="eastAsia" w:ascii="Times New Roman"/>
          <w:color w:val="000000" w:themeColor="text1"/>
          <w:highlight w:val="none"/>
          <w:lang w:val="en-US" w:eastAsia="zh-CN"/>
          <w14:textFill>
            <w14:solidFill>
              <w14:schemeClr w14:val="tx1"/>
            </w14:solidFill>
          </w14:textFill>
        </w:rPr>
        <w:t>产污节点示意</w:t>
      </w:r>
      <w:r>
        <w:rPr>
          <w:rFonts w:hint="eastAsia"/>
          <w:color w:val="000000" w:themeColor="text1"/>
          <w:highlight w:val="none"/>
          <w14:textFill>
            <w14:solidFill>
              <w14:schemeClr w14:val="tx1"/>
            </w14:solidFill>
          </w14:textFill>
        </w:rPr>
        <w:t>图</w:t>
      </w:r>
    </w:p>
    <w:p>
      <w:pPr>
        <w:ind w:firstLine="482"/>
        <w:rPr>
          <w:rFonts w:hint="eastAsia" w:ascii="Times New Roman" w:hAnsi="Times New Roman" w:eastAsia="黑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黑体" w:cs="Times New Roman"/>
          <w:b w:val="0"/>
          <w:bCs w:val="0"/>
          <w:color w:val="000000" w:themeColor="text1"/>
          <w:highlight w:val="none"/>
          <w:lang w:val="en-US" w:eastAsia="zh-CN"/>
          <w14:textFill>
            <w14:solidFill>
              <w14:schemeClr w14:val="tx1"/>
            </w14:solidFill>
          </w14:textFill>
        </w:rPr>
        <w:t>3、集输管线</w:t>
      </w:r>
    </w:p>
    <w:p>
      <w:pPr>
        <w:ind w:firstLine="480"/>
        <w:rPr>
          <w:b/>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t>集输管线由建设单位调配人员进行巡线，不新增劳动定员，无新增生活垃圾产生。</w:t>
      </w:r>
      <w:r>
        <w:rPr>
          <w:rFonts w:ascii="Times New Roman" w:hAnsi="Times New Roman"/>
          <w:bCs/>
          <w:color w:val="000000" w:themeColor="text1"/>
          <w:sz w:val="24"/>
          <w:highlight w:val="none"/>
          <w:lang w:eastAsia="zh-CN"/>
          <w14:textFill>
            <w14:solidFill>
              <w14:schemeClr w14:val="tx1"/>
            </w14:solidFill>
          </w14:textFill>
        </w:rPr>
        <w:t>本项目外输管线较短，不设置清管装置，</w:t>
      </w:r>
      <w:r>
        <w:rPr>
          <w:rFonts w:hint="eastAsia"/>
          <w:bCs/>
          <w:color w:val="000000" w:themeColor="text1"/>
          <w:sz w:val="24"/>
          <w:highlight w:val="none"/>
          <w:lang w:val="en-US" w:eastAsia="zh-CN"/>
          <w14:textFill>
            <w14:solidFill>
              <w14:schemeClr w14:val="tx1"/>
            </w14:solidFill>
          </w14:textFill>
        </w:rPr>
        <w:t>无清管作业，</w:t>
      </w:r>
      <w:r>
        <w:rPr>
          <w:rFonts w:hint="eastAsia"/>
          <w:color w:val="000000" w:themeColor="text1"/>
          <w14:textFill>
            <w14:solidFill>
              <w14:schemeClr w14:val="tx1"/>
            </w14:solidFill>
          </w14:textFill>
        </w:rPr>
        <w:t>管网在正常工况下，无噪声、废气、废水</w:t>
      </w:r>
      <w:r>
        <w:rPr>
          <w:rFonts w:hint="eastAsia"/>
          <w:color w:val="000000" w:themeColor="text1"/>
          <w:lang w:val="en-US" w:eastAsia="zh-CN"/>
          <w14:textFill>
            <w14:solidFill>
              <w14:schemeClr w14:val="tx1"/>
            </w14:solidFill>
          </w14:textFill>
        </w:rPr>
        <w:t>和固废</w:t>
      </w:r>
      <w:r>
        <w:rPr>
          <w:rFonts w:hint="eastAsia"/>
          <w:color w:val="000000" w:themeColor="text1"/>
          <w14:textFill>
            <w14:solidFill>
              <w14:schemeClr w14:val="tx1"/>
            </w14:solidFill>
          </w14:textFill>
        </w:rPr>
        <w:t>污染物排放</w:t>
      </w:r>
      <w:r>
        <w:rPr>
          <w:color w:val="000000" w:themeColor="text1"/>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完工及试采结束</w:t>
      </w:r>
      <w:r>
        <w:rPr>
          <w:color w:val="000000" w:themeColor="text1"/>
          <w:highlight w:val="none"/>
          <w:lang w:eastAsia="zh-CN"/>
          <w14:textFill>
            <w14:solidFill>
              <w14:schemeClr w14:val="tx1"/>
            </w14:solidFill>
          </w14:textFill>
        </w:rPr>
        <w:t>后工程分析</w:t>
      </w:r>
    </w:p>
    <w:p>
      <w:pPr>
        <w:ind w:firstLine="480"/>
        <w:rPr>
          <w:rFonts w:cs="Times New Roman"/>
          <w:b/>
          <w:bCs/>
          <w:color w:val="000000" w:themeColor="text1"/>
          <w:szCs w:val="24"/>
          <w:highlight w:val="none"/>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项目试采（2年）结束后，若天然气井采气后期不具备商业开采价值时（若无进一步勘探开发计划）将按照行业规范采取闭井作业。首先，采用水泥对套管及套管壁进行固封，防止天然气串入地层；同时在射孔段上部注入水泥，形成水泥塞封隔天然气层。在井口套管头上安装丝扣法兰，其工作压力大于最上气层的地层压力，装放气阀，盖井口房，在丝扣法兰上标注井号、完井日期，并设置醒目的警示标志，加以保护，防止人为破坏和气体泄漏污染及环境风险事故。拆除地面集输流程和放喷池、清水池等，并编制闭井期土地复垦方案，对井场进行复垦（若有后续开采计划则纳入后续开采计划复垦）。通过拆除构筑物及对占地区域进行复垦，不存在遗留环境问题，不会造成持续环境影响。</w:t>
      </w:r>
      <w:r>
        <w:rPr>
          <w:rFonts w:ascii="Times New Roman" w:hAnsi="Times New Roman"/>
          <w:b/>
          <w:bCs/>
          <w:color w:val="000000" w:themeColor="text1"/>
          <w:sz w:val="24"/>
          <w:highlight w:val="none"/>
          <w:lang w:eastAsia="zh-CN"/>
          <w14:textFill>
            <w14:solidFill>
              <w14:schemeClr w14:val="tx1"/>
            </w14:solidFill>
          </w14:textFill>
        </w:rPr>
        <w:t>试采结束后，若具备开采价值，</w:t>
      </w:r>
      <w:r>
        <w:rPr>
          <w:rFonts w:cs="Times New Roman"/>
          <w:b/>
          <w:bCs/>
          <w:color w:val="000000" w:themeColor="text1"/>
          <w:szCs w:val="24"/>
          <w:highlight w:val="none"/>
          <w14:textFill>
            <w14:solidFill>
              <w14:schemeClr w14:val="tx1"/>
            </w14:solidFill>
          </w14:textFill>
        </w:rPr>
        <w:t>能够满足后期普光主体区块开发需要，则现有设施设备继续服务于普光主体区块开发，并需按照相关要求另行办理环评手续。</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（1）对拆除地面设施过程中产生的垃圾及时外运，送至指定的垃圾填埋场处理。</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（2）保留各类绿化、生态保护设施，以保持评价区生态环境功能不变。</w:t>
      </w:r>
    </w:p>
    <w:p>
      <w:pPr>
        <w:pStyle w:val="3"/>
        <w:spacing w:before="120"/>
        <w:rPr>
          <w:color w:val="000000" w:themeColor="text1"/>
          <w:highlight w:val="none"/>
          <w:lang w:eastAsia="zh-CN"/>
          <w14:textFill>
            <w14:solidFill>
              <w14:schemeClr w14:val="tx1"/>
            </w14:solidFill>
          </w14:textFill>
        </w:rPr>
      </w:pPr>
      <w:bookmarkStart w:id="161" w:name="3.4污染源源强核算"/>
      <w:bookmarkEnd w:id="161"/>
      <w:bookmarkStart w:id="162" w:name="_bookmark21"/>
      <w:bookmarkEnd w:id="162"/>
      <w:bookmarkStart w:id="163" w:name="_Toc21173"/>
      <w:r>
        <w:rPr>
          <w:color w:val="000000" w:themeColor="text1"/>
          <w:highlight w:val="none"/>
          <w:lang w:eastAsia="zh-CN"/>
          <w14:textFill>
            <w14:solidFill>
              <w14:schemeClr w14:val="tx1"/>
            </w14:solidFill>
          </w14:textFill>
        </w:rPr>
        <w:t>污染源源强核算</w:t>
      </w:r>
      <w:bookmarkEnd w:id="163"/>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164" w:name="3.4.1施工期污染源强分析"/>
      <w:bookmarkEnd w:id="164"/>
      <w:bookmarkStart w:id="165" w:name="_Toc120173112"/>
      <w:r>
        <w:rPr>
          <w:color w:val="000000" w:themeColor="text1"/>
          <w:highlight w:val="none"/>
          <w:lang w:eastAsia="zh-CN"/>
          <w14:textFill>
            <w14:solidFill>
              <w14:schemeClr w14:val="tx1"/>
            </w14:solidFill>
          </w14:textFill>
        </w:rPr>
        <w:t>施工期污染源强分析</w:t>
      </w:r>
      <w:bookmarkEnd w:id="165"/>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钻前工程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本项目钻前工程量较小，钻前工程污染源产生及治理情况如下。</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（1）废气</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钻前施工人员多为当地民工，租住在附近农户家中，不设集中生活营区，无集中生活废气排放。钻前工程大气污染物主要为施工机械尾气</w:t>
      </w:r>
      <w:r>
        <w:rPr>
          <w:rFonts w:hint="eastAsia" w:cs="Times New Roman"/>
          <w:color w:val="000000" w:themeColor="text1"/>
          <w:szCs w:val="24"/>
          <w:highlight w:val="none"/>
          <w14:textFill>
            <w14:solidFill>
              <w14:schemeClr w14:val="tx1"/>
            </w14:solidFill>
          </w14:textFill>
        </w:rPr>
        <w:t>（含</w:t>
      </w:r>
      <w:r>
        <w:rPr>
          <w:rFonts w:hint="eastAsia" w:cs="Times New Roman"/>
          <w:color w:val="000000" w:themeColor="text1"/>
          <w:highlight w:val="none"/>
          <w14:textFill>
            <w14:solidFill>
              <w14:schemeClr w14:val="tx1"/>
            </w14:solidFill>
          </w14:textFill>
        </w:rPr>
        <w:t>运输车辆尾气</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和施工粉尘，但属短期影响（钻前施工工期约30天）。施工机械尾气为燃油发电机、车辆排放尾气，主要污染物为NOx和CO，施工机械使用合格燃油、加强设备保养、运输车辆控制车速等。粉尘主要源于水泥搅拌、材料运输及使用过程中的粉尘散落以及修筑钻井场地和井场外道路的挖填方转运工程中的二次扬尘，施工现场设置围栏或部分围栏、遮盖、洒水抑尘等，减少起尘量。</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（2）废水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钻前工程的废水主要施工废水</w:t>
      </w:r>
      <w:r>
        <w:rPr>
          <w:rFonts w:cs="Times New Roman"/>
          <w:bCs/>
          <w:color w:val="000000" w:themeColor="text1"/>
          <w:szCs w:val="24"/>
          <w:highlight w:val="none"/>
          <w14:textFill>
            <w14:solidFill>
              <w14:schemeClr w14:val="tx1"/>
            </w14:solidFill>
          </w14:textFill>
        </w:rPr>
        <w:t>（主要污染物为SS）</w:t>
      </w:r>
      <w:r>
        <w:rPr>
          <w:rFonts w:cs="Times New Roman"/>
          <w:color w:val="000000" w:themeColor="text1"/>
          <w:szCs w:val="24"/>
          <w:highlight w:val="none"/>
          <w14:textFill>
            <w14:solidFill>
              <w14:schemeClr w14:val="tx1"/>
            </w14:solidFill>
          </w14:textFill>
        </w:rPr>
        <w:t>以及施工人员的生活污水（主要污染物为</w:t>
      </w:r>
      <w:r>
        <w:rPr>
          <w:rFonts w:cs="Times New Roman"/>
          <w:bCs/>
          <w:color w:val="000000" w:themeColor="text1"/>
          <w:szCs w:val="24"/>
          <w:highlight w:val="none"/>
          <w14:textFill>
            <w14:solidFill>
              <w14:schemeClr w14:val="tx1"/>
            </w14:solidFill>
          </w14:textFill>
        </w:rPr>
        <w:t>COD、SS和NH</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-N等</w:t>
      </w:r>
      <w:r>
        <w:rPr>
          <w:rFonts w:cs="Times New Roman"/>
          <w:color w:val="000000" w:themeColor="text1"/>
          <w:szCs w:val="24"/>
          <w:highlight w:val="none"/>
          <w14:textFill>
            <w14:solidFill>
              <w14:schemeClr w14:val="tx1"/>
            </w14:solidFill>
          </w14:textFill>
        </w:rPr>
        <w:t>）。钻前工程高峰时日上工人数约30人，</w:t>
      </w:r>
      <w:r>
        <w:rPr>
          <w:rFonts w:hint="default" w:ascii="Times New Roman" w:hAnsi="Times New Roman" w:cs="Times New Roman"/>
          <w:bCs/>
          <w:color w:val="000000" w:themeColor="text1"/>
          <w:highlight w:val="none"/>
          <w14:textFill>
            <w14:solidFill>
              <w14:schemeClr w14:val="tx1"/>
            </w14:solidFill>
          </w14:textFill>
        </w:rPr>
        <w:t>每人每天用水量为80L，排污系数为0.8，则钻井期间井场的生活用水量为</w:t>
      </w:r>
      <w:r>
        <w:rPr>
          <w:rFonts w:hint="eastAsia" w:cs="Times New Roman"/>
          <w:bCs/>
          <w:color w:val="000000" w:themeColor="text1"/>
          <w:highlight w:val="none"/>
          <w:lang w:val="en-US" w:eastAsia="zh-CN"/>
          <w14:textFill>
            <w14:solidFill>
              <w14:schemeClr w14:val="tx1"/>
            </w14:solidFill>
          </w14:textFill>
        </w:rPr>
        <w:t>24</w:t>
      </w:r>
      <w:r>
        <w:rPr>
          <w:rFonts w:hint="default" w:ascii="Times New Roman" w:hAnsi="Times New Roman" w:cs="Times New Roman"/>
          <w:bCs/>
          <w:color w:val="000000" w:themeColor="text1"/>
          <w:highlight w:val="none"/>
          <w14:textFill>
            <w14:solidFill>
              <w14:schemeClr w14:val="tx1"/>
            </w14:solidFill>
          </w14:textFill>
        </w:rPr>
        <w:t>00L/d，污水产生量为</w:t>
      </w:r>
      <w:r>
        <w:rPr>
          <w:rFonts w:hint="eastAsia" w:cs="Times New Roman"/>
          <w:bCs/>
          <w:color w:val="000000" w:themeColor="text1"/>
          <w:highlight w:val="none"/>
          <w:lang w:val="en-US" w:eastAsia="zh-CN"/>
          <w14:textFill>
            <w14:solidFill>
              <w14:schemeClr w14:val="tx1"/>
            </w14:solidFill>
          </w14:textFill>
        </w:rPr>
        <w:t>192</w:t>
      </w:r>
      <w:r>
        <w:rPr>
          <w:rFonts w:hint="default" w:ascii="Times New Roman" w:hAnsi="Times New Roman" w:cs="Times New Roman"/>
          <w:bCs/>
          <w:color w:val="000000" w:themeColor="text1"/>
          <w:highlight w:val="none"/>
          <w14:textFill>
            <w14:solidFill>
              <w14:schemeClr w14:val="tx1"/>
            </w14:solidFill>
          </w14:textFill>
        </w:rPr>
        <w:t>0L/d。</w:t>
      </w:r>
      <w:r>
        <w:rPr>
          <w:rFonts w:cs="Times New Roman"/>
          <w:color w:val="000000" w:themeColor="text1"/>
          <w:szCs w:val="24"/>
          <w:highlight w:val="none"/>
          <w14:textFill>
            <w14:solidFill>
              <w14:schemeClr w14:val="tx1"/>
            </w14:solidFill>
          </w14:textFill>
        </w:rPr>
        <w:t>主要为附近民工，上述人员租住在附近农户，其产生的生活污水利用农户已有的设施进行收集处置，施工现场基本不产生生活污水；钻前施工主要为土建施工，还会产生车辆清洗、砂石料</w:t>
      </w:r>
      <w:r>
        <w:rPr>
          <w:rFonts w:hint="eastAsia" w:cs="Times New Roman"/>
          <w:color w:val="000000" w:themeColor="text1"/>
          <w:szCs w:val="24"/>
          <w:highlight w:val="none"/>
          <w:lang w:eastAsia="zh-CN"/>
          <w14:textFill>
            <w14:solidFill>
              <w14:schemeClr w14:val="tx1"/>
            </w14:solidFill>
          </w14:textFill>
        </w:rPr>
        <w:t>拌和</w:t>
      </w:r>
      <w:r>
        <w:rPr>
          <w:rFonts w:cs="Times New Roman"/>
          <w:color w:val="000000" w:themeColor="text1"/>
          <w:szCs w:val="24"/>
          <w:highlight w:val="none"/>
          <w14:textFill>
            <w14:solidFill>
              <w14:schemeClr w14:val="tx1"/>
            </w14:solidFill>
          </w14:textFill>
        </w:rPr>
        <w:t>及混凝土养护、施工机具保洁废水等</w:t>
      </w:r>
      <w:r>
        <w:rPr>
          <w:rFonts w:hint="eastAsia" w:cs="Times New Roman"/>
          <w:color w:val="000000" w:themeColor="text1"/>
          <w:szCs w:val="24"/>
          <w:highlight w:val="none"/>
          <w:lang w:eastAsia="zh-CN"/>
          <w14:textFill>
            <w14:solidFill>
              <w14:schemeClr w14:val="tx1"/>
            </w14:solidFill>
          </w14:textFill>
        </w:rPr>
        <w:t>，以</w:t>
      </w:r>
      <w:r>
        <w:rPr>
          <w:rFonts w:cs="Times New Roman"/>
          <w:color w:val="000000" w:themeColor="text1"/>
          <w:szCs w:val="24"/>
          <w:highlight w:val="none"/>
          <w14:textFill>
            <w14:solidFill>
              <w14:schemeClr w14:val="tx1"/>
            </w14:solidFill>
          </w14:textFill>
        </w:rPr>
        <w:t>及道路施工遇雨水产生的地表径流，产生地点分散，产生量较小，污染因子以石油类和SS为主。本项目在施工现场设置沉淀池，施工废水经隔油沉淀处理后回用于洒水降尘和混凝土养护用水，不外排。</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（3）噪声</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钻前工程施工期的噪声主要是推土机、挖掘机、载重汽车等运行中产生的，噪声级见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_Ref142593469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。虽为短期施工，但应采取措施减少其对附近居民的影响。由于钻前施工工程量小，且为野外作业，钻前工程夜间不施工作业。</w:t>
      </w:r>
    </w:p>
    <w:p>
      <w:pPr>
        <w:pStyle w:val="201"/>
        <w:spacing w:before="120"/>
        <w:rPr>
          <w:color w:val="000000" w:themeColor="text1"/>
          <w:highlight w:val="none"/>
          <w14:textFill>
            <w14:solidFill>
              <w14:schemeClr w14:val="tx1"/>
            </w14:solidFill>
          </w14:textFill>
        </w:rPr>
      </w:pPr>
      <w:bookmarkStart w:id="166" w:name="_Ref14259346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16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主要施工机具噪声源强表</w:t>
      </w:r>
    </w:p>
    <w:tbl>
      <w:tblPr>
        <w:tblStyle w:val="52"/>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498"/>
        <w:gridCol w:w="1167"/>
        <w:gridCol w:w="2705"/>
        <w:gridCol w:w="1382"/>
        <w:gridCol w:w="948"/>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1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设备名称</w:t>
            </w:r>
          </w:p>
        </w:tc>
        <w:tc>
          <w:tcPr>
            <w:tcW w:w="270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测点距施工机具距离（m）</w:t>
            </w:r>
          </w:p>
        </w:tc>
        <w:tc>
          <w:tcPr>
            <w:tcW w:w="138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最大声级</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（dB（A））</w:t>
            </w:r>
          </w:p>
        </w:tc>
        <w:tc>
          <w:tcPr>
            <w:tcW w:w="94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运行方式</w:t>
            </w:r>
          </w:p>
        </w:tc>
        <w:tc>
          <w:tcPr>
            <w:tcW w:w="152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运行时间（h）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推土机</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85</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挖掘机</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84</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载重汽车</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82</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钻孔机</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空压机</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101</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柴油发电机</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98</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49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11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振动棒</w:t>
            </w:r>
          </w:p>
        </w:tc>
        <w:tc>
          <w:tcPr>
            <w:tcW w:w="270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38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w:t>
            </w:r>
          </w:p>
        </w:tc>
        <w:tc>
          <w:tcPr>
            <w:tcW w:w="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移动设备</w:t>
            </w:r>
          </w:p>
        </w:tc>
        <w:tc>
          <w:tcPr>
            <w:tcW w:w="152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间断，&lt;4</w:t>
            </w:r>
          </w:p>
        </w:tc>
      </w:tr>
    </w:tbl>
    <w:p>
      <w:pPr>
        <w:spacing w:before="120" w:beforeLines="50"/>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（4）固废</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场地平整挖填量基本能做到挖填平衡，固废主要有钻前工程设备基础施工开挖带来的临时弃土石方，用于场地平整，无弃方产生，本项目仅生活区临时占地为新增占地，不涉及表土剥离。施工过程中会产生少量建筑垃圾，如包装袋，废弃建筑材料等，其量小，</w:t>
      </w:r>
      <w:r>
        <w:rPr>
          <w:rFonts w:hint="eastAsia" w:cs="Times New Roman"/>
          <w:color w:val="000000" w:themeColor="text1"/>
          <w:szCs w:val="24"/>
          <w:highlight w:val="none"/>
          <w14:textFill>
            <w14:solidFill>
              <w14:schemeClr w14:val="tx1"/>
            </w14:solidFill>
          </w14:textFill>
        </w:rPr>
        <w:t>约4</w:t>
      </w:r>
      <w:r>
        <w:rPr>
          <w:rFonts w:cs="Times New Roman"/>
          <w:color w:val="000000" w:themeColor="text1"/>
          <w:szCs w:val="24"/>
          <w:highlight w:val="none"/>
          <w14:textFill>
            <w14:solidFill>
              <w14:schemeClr w14:val="tx1"/>
            </w14:solidFill>
          </w14:textFill>
        </w:rPr>
        <w:t>0</w:t>
      </w:r>
      <w:r>
        <w:rPr>
          <w:rFonts w:hint="eastAsia" w:cs="Times New Roman"/>
          <w:color w:val="000000" w:themeColor="text1"/>
          <w:szCs w:val="24"/>
          <w:highlight w:val="none"/>
          <w14:textFill>
            <w14:solidFill>
              <w14:schemeClr w14:val="tx1"/>
            </w14:solidFill>
          </w14:textFill>
        </w:rPr>
        <w:t>t</w:t>
      </w:r>
      <w:r>
        <w:rPr>
          <w:rFonts w:cs="Times New Roman"/>
          <w:color w:val="000000" w:themeColor="text1"/>
          <w:szCs w:val="24"/>
          <w:highlight w:val="none"/>
          <w14:textFill>
            <w14:solidFill>
              <w14:schemeClr w14:val="tx1"/>
            </w14:solidFill>
          </w14:textFill>
        </w:rPr>
        <w:t>，由施工队伍统一收集清运至政府指定地方。施工人员多为当地民工，租住在附近农户，无集中生活垃圾产生，其产生的生活垃圾利用附近农户现有的设施进行收集处置，无集中生活垃圾产生。</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（5）生态环境影响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拟建项目钻前工程对生态环境的主要影响因素包括场地基础开挖、土石方回填、构筑物建设等活动对土地的扰动作用。通常说来，生态影响效果主要包括改变土地利用性质、造成水土流失等。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1）土地利用性质改变</w:t>
      </w:r>
    </w:p>
    <w:p>
      <w:pPr>
        <w:ind w:firstLine="480"/>
        <w:rPr>
          <w:rFonts w:cs="Times New Roman"/>
          <w:color w:val="000000" w:themeColor="text1"/>
          <w:szCs w:val="24"/>
          <w:highlight w:val="none"/>
          <w14:textFill>
            <w14:solidFill>
              <w14:schemeClr w14:val="tx1"/>
            </w14:solidFill>
          </w14:textFill>
        </w:rPr>
      </w:pPr>
      <w:bookmarkStart w:id="167" w:name="_Hlk89347872"/>
      <w:r>
        <w:rPr>
          <w:rFonts w:cs="Times New Roman"/>
          <w:color w:val="000000" w:themeColor="text1"/>
          <w:szCs w:val="24"/>
          <w:highlight w:val="none"/>
          <w14:textFill>
            <w14:solidFill>
              <w14:schemeClr w14:val="tx1"/>
            </w14:solidFill>
          </w14:textFill>
        </w:rPr>
        <w:t>本项目为新建，钻井期涉及井场工程、生活区、</w:t>
      </w:r>
      <w:r>
        <w:rPr>
          <w:rFonts w:hint="eastAsia" w:cs="Times New Roman"/>
          <w:color w:val="000000" w:themeColor="text1"/>
          <w:szCs w:val="24"/>
          <w:highlight w:val="none"/>
          <w:lang w:val="en-US" w:eastAsia="zh-CN"/>
          <w14:textFill>
            <w14:solidFill>
              <w14:schemeClr w14:val="tx1"/>
            </w14:solidFill>
          </w14:textFill>
        </w:rPr>
        <w:t>放喷池、清水池、道路、</w:t>
      </w:r>
      <w:r>
        <w:rPr>
          <w:rFonts w:cs="Times New Roman"/>
          <w:color w:val="000000" w:themeColor="text1"/>
          <w:szCs w:val="24"/>
          <w:highlight w:val="none"/>
          <w14:textFill>
            <w14:solidFill>
              <w14:schemeClr w14:val="tx1"/>
            </w14:solidFill>
          </w14:textFill>
        </w:rPr>
        <w:t>表土堆放区等临时占地。</w:t>
      </w:r>
      <w:bookmarkEnd w:id="167"/>
      <w:r>
        <w:rPr>
          <w:rFonts w:cs="Times New Roman"/>
          <w:color w:val="000000" w:themeColor="text1"/>
          <w:szCs w:val="24"/>
          <w:highlight w:val="none"/>
          <w14:textFill>
            <w14:solidFill>
              <w14:schemeClr w14:val="tx1"/>
            </w14:solidFill>
          </w14:textFill>
        </w:rPr>
        <w:t>工程项目建设对生态环境的影响主要表现为项目占地使土地功能发生改变，即一般耕地变为工业用地，将导致粮食减产（植被生物量降低）等。本项目新增临时占地用地类型为</w:t>
      </w:r>
      <w:r>
        <w:rPr>
          <w:rFonts w:hint="eastAsia" w:cs="Times New Roman"/>
          <w:color w:val="000000" w:themeColor="text1"/>
          <w:szCs w:val="24"/>
          <w:highlight w:val="none"/>
          <w14:textFill>
            <w14:solidFill>
              <w14:schemeClr w14:val="tx1"/>
            </w14:solidFill>
          </w14:textFill>
        </w:rPr>
        <w:t>耕地、</w:t>
      </w:r>
      <w:r>
        <w:rPr>
          <w:rFonts w:cs="Times New Roman"/>
          <w:bCs/>
          <w:color w:val="000000" w:themeColor="text1"/>
          <w:szCs w:val="24"/>
          <w:highlight w:val="none"/>
          <w14:textFill>
            <w14:solidFill>
              <w14:schemeClr w14:val="tx1"/>
            </w14:solidFill>
          </w14:textFill>
        </w:rPr>
        <w:t>灌草丛</w:t>
      </w:r>
      <w:r>
        <w:rPr>
          <w:rFonts w:cs="Times New Roman"/>
          <w:color w:val="000000" w:themeColor="text1"/>
          <w:szCs w:val="24"/>
          <w:highlight w:val="none"/>
          <w14:textFill>
            <w14:solidFill>
              <w14:schemeClr w14:val="tx1"/>
            </w14:solidFill>
          </w14:textFill>
        </w:rPr>
        <w:t>等，短期内改变土地利用性质，工程结束后即对临时占用的土地进行恢复，对当地土地资源的影响较小。对于工程的占地，建设方应按国家相关法律法规办理临时用地手续。</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2）土壤侵蚀</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在进场道路、井场平整、设备基础开挖过程，将造成地面裸露，形成水土流失，导致地表原有植被破坏。</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钻井工程</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（1）废气</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1）备用柴油机/发电机废气</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highlight w:val="none"/>
          <w14:textFill>
            <w14:solidFill>
              <w14:schemeClr w14:val="tx1"/>
            </w14:solidFill>
          </w14:textFill>
        </w:rPr>
        <w:t>项目周边供电网已铺设，</w:t>
      </w:r>
      <w:r>
        <w:rPr>
          <w:rFonts w:hint="eastAsia" w:cs="Times New Roman"/>
          <w:color w:val="000000" w:themeColor="text1"/>
          <w:highlight w:val="none"/>
          <w14:textFill>
            <w14:solidFill>
              <w14:schemeClr w14:val="tx1"/>
            </w14:solidFill>
          </w14:textFill>
        </w:rPr>
        <w:t>可将网电</w:t>
      </w:r>
      <w:r>
        <w:rPr>
          <w:rFonts w:cs="Times New Roman"/>
          <w:color w:val="000000" w:themeColor="text1"/>
          <w:highlight w:val="none"/>
          <w14:textFill>
            <w14:solidFill>
              <w14:schemeClr w14:val="tx1"/>
            </w14:solidFill>
          </w14:textFill>
        </w:rPr>
        <w:t>接入井场，满足本项目钻井及试采期需求，因此本项目优先使用网电作为动力和生产生活用电，正常情况下无燃烧废气产生。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在停电或者电网供应不能满足使用时，井场</w:t>
      </w:r>
      <w:r>
        <w:rPr>
          <w:rFonts w:hint="eastAsia" w:cs="Times New Roman"/>
          <w:color w:val="000000" w:themeColor="text1"/>
          <w:highlight w:val="none"/>
          <w14:textFill>
            <w14:solidFill>
              <w14:schemeClr w14:val="tx1"/>
            </w14:solidFill>
          </w14:textFill>
        </w:rPr>
        <w:t>同时使用</w:t>
      </w:r>
      <w:r>
        <w:rPr>
          <w:rFonts w:hint="eastAsia" w:cs="Times New Roman"/>
          <w:color w:val="000000" w:themeColor="text1"/>
          <w:highlight w:val="none"/>
          <w:lang w:eastAsia="zh-CN"/>
          <w14:textFill>
            <w14:solidFill>
              <w14:schemeClr w14:val="tx1"/>
            </w14:solidFill>
          </w14:textFill>
        </w:rPr>
        <w:t>1320</w:t>
      </w:r>
      <w:r>
        <w:rPr>
          <w:rFonts w:cs="Times New Roman"/>
          <w:color w:val="000000" w:themeColor="text1"/>
          <w:highlight w:val="none"/>
          <w14:textFill>
            <w14:solidFill>
              <w14:schemeClr w14:val="tx1"/>
            </w14:solidFill>
          </w14:textFill>
        </w:rPr>
        <w:t>kW柴油动力机</w:t>
      </w:r>
      <w:r>
        <w:rPr>
          <w:rFonts w:hint="eastAsia" w:cs="Times New Roman"/>
          <w:color w:val="000000" w:themeColor="text1"/>
          <w:highlight w:val="none"/>
          <w14:textFill>
            <w14:solidFill>
              <w14:schemeClr w14:val="tx1"/>
            </w14:solidFill>
          </w14:textFill>
        </w:rPr>
        <w:t>组</w:t>
      </w:r>
      <w:r>
        <w:rPr>
          <w:rFonts w:cs="Times New Roman"/>
          <w:color w:val="000000" w:themeColor="text1"/>
          <w:highlight w:val="none"/>
          <w14:textFill>
            <w14:solidFill>
              <w14:schemeClr w14:val="tx1"/>
            </w14:solidFill>
          </w14:textFill>
        </w:rPr>
        <w:t>（2用1备）和320kW柴油发电机组（1用1备）。柴油动力机组额定油耗209g/kW·h，发电机额定油耗60g/kW·h。</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柴油发电机使用符合国六标准的轻质柴油。按照《普通柴油》（GB 252-2015）从2018年1月1日起采用柴油中硫的含量不大于10mg/kg，则SO</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排放系数为20g/t。</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柴油燃烧废气主要污染物排系数参考《社会区域类环境影响评价》工程师登记培训教材中相关排污系数，柴油机污染物排放系数为：NO</w:t>
      </w:r>
      <w:r>
        <w:rPr>
          <w:rFonts w:cs="Times New Roman"/>
          <w:color w:val="000000" w:themeColor="text1"/>
          <w:highlight w:val="none"/>
          <w:vertAlign w:val="subscript"/>
          <w14:textFill>
            <w14:solidFill>
              <w14:schemeClr w14:val="tx1"/>
            </w14:solidFill>
          </w14:textFill>
        </w:rPr>
        <w:t>x</w:t>
      </w:r>
      <w:r>
        <w:rPr>
          <w:rFonts w:cs="Times New Roman"/>
          <w:color w:val="000000" w:themeColor="text1"/>
          <w:highlight w:val="none"/>
          <w14:textFill>
            <w14:solidFill>
              <w14:schemeClr w14:val="tx1"/>
            </w14:solidFill>
          </w14:textFill>
        </w:rPr>
        <w:t>2.56g/L、烟尘0.714g/L、烟气量按20Nm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/kg计。预测项目钻井作业期间</w:t>
      </w:r>
      <w:r>
        <w:rPr>
          <w:rFonts w:hint="eastAsia" w:cs="Times New Roman"/>
          <w:color w:val="000000" w:themeColor="text1"/>
          <w:highlight w:val="none"/>
          <w:lang w:eastAsia="zh-CN"/>
          <w14:textFill>
            <w14:solidFill>
              <w14:schemeClr w14:val="tx1"/>
            </w14:solidFill>
          </w14:textFill>
        </w:rPr>
        <w:t>柴油</w:t>
      </w:r>
      <w:r>
        <w:rPr>
          <w:rFonts w:cs="Times New Roman"/>
          <w:color w:val="000000" w:themeColor="text1"/>
          <w:highlight w:val="none"/>
          <w14:textFill>
            <w14:solidFill>
              <w14:schemeClr w14:val="tx1"/>
            </w14:solidFill>
          </w14:textFill>
        </w:rPr>
        <w:t>发电机组主要污染物排放情况见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_Ref142593478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68" w:name="_Ref142593478"/>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16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钻井作业期间柴油发电机组废气污染物排放情况</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588"/>
        <w:gridCol w:w="1011"/>
        <w:gridCol w:w="870"/>
        <w:gridCol w:w="1013"/>
        <w:gridCol w:w="1300"/>
        <w:gridCol w:w="1307"/>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1588"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污染源</w:t>
            </w:r>
          </w:p>
        </w:tc>
        <w:tc>
          <w:tcPr>
            <w:tcW w:w="1011"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油耗kg/h</w:t>
            </w:r>
          </w:p>
        </w:tc>
        <w:tc>
          <w:tcPr>
            <w:tcW w:w="870"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烟气量m</w:t>
            </w:r>
            <w:r>
              <w:rPr>
                <w:rFonts w:hint="default"/>
                <w:b/>
                <w:bCs/>
                <w:snapToGrid w:val="0"/>
                <w:color w:val="000000" w:themeColor="text1"/>
                <w:szCs w:val="20"/>
                <w:highlight w:val="none"/>
                <w:vertAlign w:val="superscript"/>
                <w14:textFill>
                  <w14:solidFill>
                    <w14:schemeClr w14:val="tx1"/>
                  </w14:solidFill>
                </w14:textFill>
              </w:rPr>
              <w:t>3</w:t>
            </w:r>
            <w:r>
              <w:rPr>
                <w:rFonts w:hint="default"/>
                <w:b/>
                <w:bCs/>
                <w:snapToGrid w:val="0"/>
                <w:color w:val="000000" w:themeColor="text1"/>
                <w:szCs w:val="20"/>
                <w:highlight w:val="none"/>
                <w14:textFill>
                  <w14:solidFill>
                    <w14:schemeClr w14:val="tx1"/>
                  </w14:solidFill>
                </w14:textFill>
              </w:rPr>
              <w:t>/h</w:t>
            </w:r>
          </w:p>
        </w:tc>
        <w:tc>
          <w:tcPr>
            <w:tcW w:w="1013"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污染物名称</w:t>
            </w:r>
          </w:p>
        </w:tc>
        <w:tc>
          <w:tcPr>
            <w:tcW w:w="1300"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排放速率（kg/h）</w:t>
            </w:r>
          </w:p>
        </w:tc>
        <w:tc>
          <w:tcPr>
            <w:tcW w:w="1307"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排放浓度（mg/m</w:t>
            </w:r>
            <w:r>
              <w:rPr>
                <w:rFonts w:hint="default"/>
                <w:b/>
                <w:bCs/>
                <w:snapToGrid w:val="0"/>
                <w:color w:val="000000" w:themeColor="text1"/>
                <w:szCs w:val="20"/>
                <w:highlight w:val="none"/>
                <w:vertAlign w:val="superscript"/>
                <w14:textFill>
                  <w14:solidFill>
                    <w14:schemeClr w14:val="tx1"/>
                  </w14:solidFill>
                </w14:textFill>
              </w:rPr>
              <w:t>3</w:t>
            </w:r>
            <w:r>
              <w:rPr>
                <w:rFonts w:hint="default"/>
                <w:b/>
                <w:bCs/>
                <w:snapToGrid w:val="0"/>
                <w:color w:val="000000" w:themeColor="text1"/>
                <w:szCs w:val="20"/>
                <w:highlight w:val="none"/>
                <w14:textFill>
                  <w14:solidFill>
                    <w14:schemeClr w14:val="tx1"/>
                  </w14:solidFill>
                </w14:textFill>
              </w:rPr>
              <w:t>）</w:t>
            </w:r>
          </w:p>
        </w:tc>
        <w:tc>
          <w:tcPr>
            <w:tcW w:w="1131" w:type="dxa"/>
            <w:vAlign w:val="center"/>
          </w:tcPr>
          <w:p>
            <w:pPr>
              <w:pStyle w:val="295"/>
              <w:keepNext w:val="0"/>
              <w:keepLines w:val="0"/>
              <w:widowControl/>
              <w:suppressLineNumbers w:val="0"/>
              <w:spacing w:before="0" w:beforeAutospacing="0" w:after="0" w:afterAutospacing="0"/>
              <w:ind w:left="0" w:right="0"/>
              <w:rPr>
                <w:rFonts w:hint="default"/>
                <w:b/>
                <w:bCs/>
                <w:snapToGrid w:val="0"/>
                <w:color w:val="000000" w:themeColor="text1"/>
                <w:szCs w:val="20"/>
                <w:highlight w:val="none"/>
                <w14:textFill>
                  <w14:solidFill>
                    <w14:schemeClr w14:val="tx1"/>
                  </w14:solidFill>
                </w14:textFill>
              </w:rPr>
            </w:pPr>
            <w:r>
              <w:rPr>
                <w:rFonts w:hint="default"/>
                <w:b/>
                <w:bCs/>
                <w:snapToGrid w:val="0"/>
                <w:color w:val="000000" w:themeColor="text1"/>
                <w:szCs w:val="20"/>
                <w:highlight w:val="none"/>
                <w14:textFill>
                  <w14:solidFill>
                    <w14:schemeClr w14:val="tx1"/>
                  </w14:solidFill>
                </w14:textFill>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588" w:type="dxa"/>
            <w:vMerge w:val="restart"/>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bookmarkStart w:id="169" w:name="_Hlk332099719"/>
            <w:r>
              <w:rPr>
                <w:rFonts w:hint="default"/>
                <w:snapToGrid w:val="0"/>
                <w:color w:val="000000" w:themeColor="text1"/>
                <w:szCs w:val="20"/>
                <w:highlight w:val="none"/>
                <w14:textFill>
                  <w14:solidFill>
                    <w14:schemeClr w14:val="tx1"/>
                  </w14:solidFill>
                </w14:textFill>
              </w:rPr>
              <w:t>2台柴油动力机、1台发电机组</w:t>
            </w:r>
          </w:p>
        </w:tc>
        <w:tc>
          <w:tcPr>
            <w:tcW w:w="1011" w:type="dxa"/>
            <w:vMerge w:val="restart"/>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388</w:t>
            </w:r>
          </w:p>
        </w:tc>
        <w:tc>
          <w:tcPr>
            <w:tcW w:w="870" w:type="dxa"/>
            <w:vMerge w:val="restart"/>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7760</w:t>
            </w:r>
          </w:p>
        </w:tc>
        <w:tc>
          <w:tcPr>
            <w:tcW w:w="1013"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SO</w:t>
            </w:r>
            <w:r>
              <w:rPr>
                <w:rFonts w:hint="default"/>
                <w:snapToGrid w:val="0"/>
                <w:color w:val="000000" w:themeColor="text1"/>
                <w:szCs w:val="20"/>
                <w:highlight w:val="none"/>
                <w:vertAlign w:val="subscript"/>
                <w14:textFill>
                  <w14:solidFill>
                    <w14:schemeClr w14:val="tx1"/>
                  </w14:solidFill>
                </w14:textFill>
              </w:rPr>
              <w:t>2</w:t>
            </w:r>
          </w:p>
        </w:tc>
        <w:tc>
          <w:tcPr>
            <w:tcW w:w="13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0.008</w:t>
            </w:r>
          </w:p>
        </w:tc>
        <w:tc>
          <w:tcPr>
            <w:tcW w:w="130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113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588"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011"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870"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013"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NO</w:t>
            </w:r>
            <w:r>
              <w:rPr>
                <w:rFonts w:hint="default"/>
                <w:snapToGrid w:val="0"/>
                <w:color w:val="000000" w:themeColor="text1"/>
                <w:szCs w:val="20"/>
                <w:highlight w:val="none"/>
                <w:vertAlign w:val="subscript"/>
                <w14:textFill>
                  <w14:solidFill>
                    <w14:schemeClr w14:val="tx1"/>
                  </w14:solidFill>
                </w14:textFill>
              </w:rPr>
              <w:t>X</w:t>
            </w:r>
          </w:p>
        </w:tc>
        <w:tc>
          <w:tcPr>
            <w:tcW w:w="13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1.17</w:t>
            </w:r>
          </w:p>
        </w:tc>
        <w:tc>
          <w:tcPr>
            <w:tcW w:w="130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150</w:t>
            </w:r>
          </w:p>
        </w:tc>
        <w:tc>
          <w:tcPr>
            <w:tcW w:w="113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588"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011"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870"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013"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烟尘</w:t>
            </w:r>
          </w:p>
        </w:tc>
        <w:tc>
          <w:tcPr>
            <w:tcW w:w="13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0.33</w:t>
            </w:r>
          </w:p>
        </w:tc>
        <w:tc>
          <w:tcPr>
            <w:tcW w:w="130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41</w:t>
            </w:r>
          </w:p>
        </w:tc>
        <w:tc>
          <w:tcPr>
            <w:tcW w:w="113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6</w:t>
            </w:r>
          </w:p>
        </w:tc>
      </w:tr>
      <w:bookmarkEnd w:id="169"/>
    </w:tbl>
    <w:p>
      <w:pPr>
        <w:spacing w:before="120"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柴油发电机采用符合国家标准的优质柴油，其污染物排放满足《非道路移动机械用柴油机排气污染物排放限值及测量方法（中国第三、四阶段）》（GB20891-2014）表2规定的限值。</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2）事故放喷废气</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事故放喷是由于地层高压异常导致的，在石油天然气行业是低概率事件。事故放喷主产物是</w:t>
      </w:r>
      <w:r>
        <w:rPr>
          <w:rFonts w:hint="eastAsia" w:cs="Times New Roman"/>
          <w:color w:val="000000" w:themeColor="text1"/>
          <w:highlight w:val="none"/>
          <w:lang w:val="en-US" w:eastAsia="zh-CN"/>
          <w14:textFill>
            <w14:solidFill>
              <w14:schemeClr w14:val="tx1"/>
            </w14:solidFill>
          </w14:textFill>
        </w:rPr>
        <w:t>不</w:t>
      </w:r>
      <w:r>
        <w:rPr>
          <w:rFonts w:cs="Times New Roman"/>
          <w:color w:val="000000" w:themeColor="text1"/>
          <w:highlight w:val="none"/>
          <w14:textFill>
            <w14:solidFill>
              <w14:schemeClr w14:val="tx1"/>
            </w14:solidFill>
          </w14:textFill>
        </w:rPr>
        <w:t>含硫天然气燃烧后产生的CO</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事故放喷时间持续较短，且通过专用的放喷管线将天然气引至放喷池进行点火放喷，事故放喷时间短，属临时排放，且建设单位在发生事故放喷时制定了紧急预案，对周边居民实施临时疏散，因此事故放喷对周边人群健康基本无影响，对环境影响也较小。</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cs="Times New Roman"/>
          <w:color w:val="000000" w:themeColor="text1"/>
          <w:highlight w:val="none"/>
          <w14:textFill>
            <w14:solidFill>
              <w14:schemeClr w14:val="tx1"/>
            </w14:solidFill>
          </w14:textFill>
        </w:rPr>
        <w:t>）无组织挥发性</w:t>
      </w:r>
      <w:r>
        <w:rPr>
          <w:rFonts w:hint="eastAsia" w:cs="Times New Roman"/>
          <w:color w:val="000000" w:themeColor="text1"/>
          <w:highlight w:val="none"/>
          <w:lang w:val="en-US" w:eastAsia="zh-CN"/>
          <w14:textFill>
            <w14:solidFill>
              <w14:schemeClr w14:val="tx1"/>
            </w14:solidFill>
          </w14:textFill>
        </w:rPr>
        <w:t>有机</w:t>
      </w:r>
      <w:r>
        <w:rPr>
          <w:rFonts w:cs="Times New Roman"/>
          <w:color w:val="000000" w:themeColor="text1"/>
          <w:highlight w:val="none"/>
          <w14:textFill>
            <w14:solidFill>
              <w14:schemeClr w14:val="tx1"/>
            </w14:solidFill>
          </w14:textFill>
        </w:rPr>
        <w:t>废气</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本项目为天然气钻井及试采工程，</w:t>
      </w:r>
      <w:r>
        <w:rPr>
          <w:rFonts w:hint="eastAsia"/>
          <w:color w:val="000000" w:themeColor="text1"/>
          <w:highlight w:val="none"/>
          <w:lang w:val="en-US" w:eastAsia="zh-CN"/>
          <w14:textFill>
            <w14:solidFill>
              <w14:schemeClr w14:val="tx1"/>
            </w14:solidFill>
          </w14:textFill>
        </w:rPr>
        <w:t>遇到特殊地层可能会采用</w:t>
      </w:r>
      <w:r>
        <w:rPr>
          <w:rFonts w:hint="eastAsia" w:cs="Times New Roman"/>
          <w:color w:val="000000" w:themeColor="text1"/>
          <w:highlight w:val="none"/>
          <w:lang w:val="en-US" w:eastAsia="zh-CN"/>
          <w14:textFill>
            <w14:solidFill>
              <w14:schemeClr w14:val="tx1"/>
            </w14:solidFill>
          </w14:textFill>
        </w:rPr>
        <w:t>油基钻井时使用白油为基础钻井液，挥发性极低，油基钻井过程挥发性废气排放可忽略不计，</w:t>
      </w:r>
      <w:r>
        <w:rPr>
          <w:rFonts w:cs="Times New Roman"/>
          <w:color w:val="000000" w:themeColor="text1"/>
          <w:highlight w:val="none"/>
          <w14:textFill>
            <w14:solidFill>
              <w14:schemeClr w14:val="tx1"/>
            </w14:solidFill>
          </w14:textFill>
        </w:rPr>
        <w:t>因此，除燃油机械使用过程中产生的少量无组织挥发性有机物排放外，钻井施工过程中无组织排放源。因此，本项目无组织挥发性有机物排放量小，通过自然扩散可有效降低其影响，对周边环境影响甚微。</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（2）废水</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从项目产生的废水情况分析，包括钻井废水、初期雨水和生活污水。</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1）钻井废水</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在钻井阶段采用常规钻井工艺。钻井作业的配浆过程中会根据泥浆的不同要求加入不等量的水，这些水随钻井液进入井底协助钻井作业，在钻井液返回地面后，大部分水随泥浆进入泥浆净化系统，小部分水随钻屑进入污水罐，经固液分离后，回收上清液用于泥浆配置，剩余废水经预处理后由罐车拉运至</w:t>
      </w:r>
      <w:r>
        <w:rPr>
          <w:rFonts w:hint="eastAsia" w:cs="Times New Roman"/>
          <w:bCs/>
          <w:color w:val="000000" w:themeColor="text1"/>
          <w:szCs w:val="24"/>
          <w:highlight w:val="none"/>
          <w:lang w:eastAsia="zh-CN"/>
          <w14:textFill>
            <w14:solidFill>
              <w14:schemeClr w14:val="tx1"/>
            </w14:solidFill>
          </w14:textFill>
        </w:rPr>
        <w:t>赵家坝污水处理站</w:t>
      </w:r>
      <w:r>
        <w:rPr>
          <w:rFonts w:cs="Times New Roman"/>
          <w:bCs/>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管输至</w:t>
      </w:r>
      <w:r>
        <w:rPr>
          <w:rFonts w:hint="eastAsia" w:cs="Times New Roman"/>
          <w:bCs/>
          <w:color w:val="000000" w:themeColor="text1"/>
          <w:szCs w:val="24"/>
          <w:highlight w:val="none"/>
          <w:lang w:eastAsia="zh-CN"/>
          <w14:textFill>
            <w14:solidFill>
              <w14:schemeClr w14:val="tx1"/>
            </w14:solidFill>
          </w14:textFill>
        </w:rPr>
        <w:t>普光3井回注站</w:t>
      </w:r>
      <w:r>
        <w:rPr>
          <w:rFonts w:cs="Times New Roman"/>
          <w:bCs/>
          <w:color w:val="000000" w:themeColor="text1"/>
          <w:szCs w:val="24"/>
          <w:highlight w:val="none"/>
          <w14:textFill>
            <w14:solidFill>
              <w14:schemeClr w14:val="tx1"/>
            </w14:solidFill>
          </w14:textFill>
        </w:rPr>
        <w:t>回注，不外排。</w:t>
      </w:r>
    </w:p>
    <w:p>
      <w:pPr>
        <w:ind w:firstLine="480"/>
        <w:rPr>
          <w:rFonts w:cs="Times New Roman"/>
          <w:bCs/>
          <w:color w:val="000000" w:themeColor="text1"/>
          <w:szCs w:val="24"/>
          <w:highlight w:val="none"/>
          <w14:textFill>
            <w14:solidFill>
              <w14:schemeClr w14:val="tx1"/>
            </w14:solidFill>
          </w14:textFill>
        </w:rPr>
      </w:pPr>
      <w:bookmarkStart w:id="170" w:name="_Hlk79335272"/>
      <w:r>
        <w:rPr>
          <w:rFonts w:cs="Times New Roman"/>
          <w:bCs/>
          <w:color w:val="000000" w:themeColor="text1"/>
          <w:szCs w:val="24"/>
          <w:highlight w:val="none"/>
          <w14:textFill>
            <w14:solidFill>
              <w14:schemeClr w14:val="tx1"/>
            </w14:solidFill>
          </w14:textFill>
        </w:rPr>
        <w:t>根据普光气田钻井工程的类比分析</w:t>
      </w:r>
      <w:r>
        <w:rPr>
          <w:rFonts w:hint="eastAsia" w:cs="Times New Roman"/>
          <w:color w:val="000000" w:themeColor="text1"/>
          <w:highlight w:val="none"/>
          <w14:textFill>
            <w14:solidFill>
              <w14:schemeClr w14:val="tx1"/>
            </w14:solidFill>
          </w14:textFill>
        </w:rPr>
        <w:t>，采用相同的水基泥浆钻井工艺、钻井液循环系统和泥浆随钻不落地处理工艺的</w:t>
      </w:r>
      <w:r>
        <w:rPr>
          <w:rFonts w:cs="Times New Roman"/>
          <w:color w:val="000000" w:themeColor="text1"/>
          <w:highlight w:val="none"/>
          <w14:textFill>
            <w14:solidFill>
              <w14:schemeClr w14:val="tx1"/>
            </w14:solidFill>
          </w14:textFill>
        </w:rPr>
        <w:t>普陆5勘探评价井工程建设项目（实际井深3310m）竣工环境保护验收调查表可知其施工期钻井废水实际产生量约为611m</w:t>
      </w:r>
      <w:r>
        <w:rPr>
          <w:rFonts w:cs="Times New Roman"/>
          <w:color w:val="000000" w:themeColor="text1"/>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，每米进尺产生钻井废水量</w:t>
      </w:r>
      <w:r>
        <w:rPr>
          <w:rFonts w:hint="eastAsia" w:cs="Times New Roman"/>
          <w:bCs/>
          <w:color w:val="000000" w:themeColor="text1"/>
          <w:szCs w:val="24"/>
          <w:highlight w:val="none"/>
          <w14:textFill>
            <w14:solidFill>
              <w14:schemeClr w14:val="tx1"/>
            </w14:solidFill>
          </w14:textFill>
        </w:rPr>
        <w:t>约</w:t>
      </w:r>
      <w:r>
        <w:rPr>
          <w:rFonts w:cs="Times New Roman"/>
          <w:bCs/>
          <w:color w:val="000000" w:themeColor="text1"/>
          <w:szCs w:val="24"/>
          <w:highlight w:val="none"/>
          <w14:textFill>
            <w14:solidFill>
              <w14:schemeClr w14:val="tx1"/>
            </w14:solidFill>
          </w14:textFill>
        </w:rPr>
        <w:t>0.</w:t>
      </w:r>
      <w:r>
        <w:rPr>
          <w:rFonts w:hint="eastAsia" w:cs="Times New Roman"/>
          <w:bCs/>
          <w:color w:val="000000" w:themeColor="text1"/>
          <w:szCs w:val="24"/>
          <w:highlight w:val="none"/>
          <w14:textFill>
            <w14:solidFill>
              <w14:schemeClr w14:val="tx1"/>
            </w14:solidFill>
          </w14:textFill>
        </w:rPr>
        <w:t>185</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，同时结合周边其他已钻井废水产生数据，平均</w:t>
      </w:r>
      <w:r>
        <w:rPr>
          <w:rFonts w:cs="Times New Roman"/>
          <w:bCs/>
          <w:color w:val="000000" w:themeColor="text1"/>
          <w:szCs w:val="24"/>
          <w:highlight w:val="none"/>
          <w14:textFill>
            <w14:solidFill>
              <w14:schemeClr w14:val="tx1"/>
            </w14:solidFill>
          </w14:textFill>
        </w:rPr>
        <w:t>每米进尺产生钻井废水量</w:t>
      </w:r>
      <w:r>
        <w:rPr>
          <w:rFonts w:hint="eastAsia" w:cs="Times New Roman"/>
          <w:bCs/>
          <w:color w:val="000000" w:themeColor="text1"/>
          <w:szCs w:val="24"/>
          <w:highlight w:val="none"/>
          <w14:textFill>
            <w14:solidFill>
              <w14:schemeClr w14:val="tx1"/>
            </w14:solidFill>
          </w14:textFill>
        </w:rPr>
        <w:t>可达0.2</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。本项目</w:t>
      </w:r>
      <w:r>
        <w:rPr>
          <w:rFonts w:hint="eastAsia" w:cs="Times New Roman"/>
          <w:bCs/>
          <w:color w:val="000000" w:themeColor="text1"/>
          <w:szCs w:val="24"/>
          <w:highlight w:val="none"/>
          <w14:textFill>
            <w14:solidFill>
              <w14:schemeClr w14:val="tx1"/>
            </w14:solidFill>
          </w14:textFill>
        </w:rPr>
        <w:t>水基</w:t>
      </w:r>
      <w:r>
        <w:rPr>
          <w:rFonts w:cs="Times New Roman"/>
          <w:bCs/>
          <w:color w:val="000000" w:themeColor="text1"/>
          <w:szCs w:val="24"/>
          <w:highlight w:val="none"/>
          <w14:textFill>
            <w14:solidFill>
              <w14:schemeClr w14:val="tx1"/>
            </w14:solidFill>
          </w14:textFill>
        </w:rPr>
        <w:t>钻井</w:t>
      </w:r>
      <w:r>
        <w:rPr>
          <w:rFonts w:hint="eastAsia" w:cs="Times New Roman"/>
          <w:bCs/>
          <w:color w:val="000000" w:themeColor="text1"/>
          <w:szCs w:val="24"/>
          <w:highlight w:val="none"/>
          <w14:textFill>
            <w14:solidFill>
              <w14:schemeClr w14:val="tx1"/>
            </w14:solidFill>
          </w14:textFill>
        </w:rPr>
        <w:t>可能最大</w:t>
      </w:r>
      <w:r>
        <w:rPr>
          <w:rFonts w:cs="Times New Roman"/>
          <w:bCs/>
          <w:color w:val="000000" w:themeColor="text1"/>
          <w:szCs w:val="24"/>
          <w:highlight w:val="none"/>
          <w14:textFill>
            <w14:solidFill>
              <w14:schemeClr w14:val="tx1"/>
            </w14:solidFill>
          </w14:textFill>
        </w:rPr>
        <w:t>进尺</w:t>
      </w:r>
      <w:r>
        <w:rPr>
          <w:rFonts w:hint="eastAsia" w:cs="Times New Roman"/>
          <w:bCs/>
          <w:color w:val="000000" w:themeColor="text1"/>
          <w:szCs w:val="24"/>
          <w:highlight w:val="none"/>
          <w:lang w:val="en-US" w:eastAsia="zh-CN"/>
          <w14:textFill>
            <w14:solidFill>
              <w14:schemeClr w14:val="tx1"/>
            </w14:solidFill>
          </w14:textFill>
        </w:rPr>
        <w:t>8270</w:t>
      </w:r>
      <w:r>
        <w:rPr>
          <w:rFonts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14:textFill>
            <w14:solidFill>
              <w14:schemeClr w14:val="tx1"/>
            </w14:solidFill>
          </w14:textFill>
        </w:rPr>
        <w:t>本次评价保守按照不利考虑（全部使用水基泥浆钻井），</w:t>
      </w:r>
      <w:r>
        <w:rPr>
          <w:rFonts w:cs="Times New Roman"/>
          <w:bCs/>
          <w:color w:val="000000" w:themeColor="text1"/>
          <w:szCs w:val="24"/>
          <w:highlight w:val="none"/>
          <w14:textFill>
            <w14:solidFill>
              <w14:schemeClr w14:val="tx1"/>
            </w14:solidFill>
          </w14:textFill>
        </w:rPr>
        <w:t>每米进尺产生钻井废水量</w:t>
      </w:r>
      <w:r>
        <w:rPr>
          <w:rFonts w:hint="eastAsia" w:cs="Times New Roman"/>
          <w:bCs/>
          <w:color w:val="000000" w:themeColor="text1"/>
          <w:szCs w:val="24"/>
          <w:highlight w:val="none"/>
          <w14:textFill>
            <w14:solidFill>
              <w14:schemeClr w14:val="tx1"/>
            </w14:solidFill>
          </w14:textFill>
        </w:rPr>
        <w:t>按</w:t>
      </w:r>
      <w:r>
        <w:rPr>
          <w:rFonts w:cs="Times New Roman"/>
          <w:bCs/>
          <w:color w:val="000000" w:themeColor="text1"/>
          <w:szCs w:val="24"/>
          <w:highlight w:val="none"/>
          <w14:textFill>
            <w14:solidFill>
              <w14:schemeClr w14:val="tx1"/>
            </w14:solidFill>
          </w14:textFill>
        </w:rPr>
        <w:t>0.</w:t>
      </w:r>
      <w:r>
        <w:rPr>
          <w:rFonts w:hint="eastAsia" w:cs="Times New Roman"/>
          <w:bCs/>
          <w:color w:val="000000" w:themeColor="text1"/>
          <w:szCs w:val="24"/>
          <w:highlight w:val="none"/>
          <w14:textFill>
            <w14:solidFill>
              <w14:schemeClr w14:val="tx1"/>
            </w14:solidFill>
          </w14:textFill>
        </w:rPr>
        <w:t>2</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核算，则</w:t>
      </w:r>
      <w:r>
        <w:rPr>
          <w:rFonts w:cs="Times New Roman"/>
          <w:bCs/>
          <w:color w:val="000000" w:themeColor="text1"/>
          <w:szCs w:val="24"/>
          <w:highlight w:val="none"/>
          <w14:textFill>
            <w14:solidFill>
              <w14:schemeClr w14:val="tx1"/>
            </w14:solidFill>
          </w14:textFill>
        </w:rPr>
        <w:t>产生的钻井废水为</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w:t>
      </w:r>
    </w:p>
    <w:bookmarkEnd w:id="170"/>
    <w:p>
      <w:pPr>
        <w:ind w:firstLine="480"/>
        <w:rPr>
          <w:rFonts w:cs="Times New Roman"/>
          <w:b/>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废水为钻井废水及雨水的混合废水，其主要污染物浓度根据普光气田钻井工程污水</w:t>
      </w:r>
      <w:r>
        <w:rPr>
          <w:rFonts w:hint="eastAsia" w:cs="Times New Roman"/>
          <w:bCs/>
          <w:color w:val="000000" w:themeColor="text1"/>
          <w:szCs w:val="24"/>
          <w:highlight w:val="none"/>
          <w14:textFill>
            <w14:solidFill>
              <w14:schemeClr w14:val="tx1"/>
            </w14:solidFill>
          </w14:textFill>
        </w:rPr>
        <w:t>罐</w:t>
      </w:r>
      <w:r>
        <w:rPr>
          <w:rFonts w:cs="Times New Roman"/>
          <w:bCs/>
          <w:color w:val="000000" w:themeColor="text1"/>
          <w:szCs w:val="24"/>
          <w:highlight w:val="none"/>
          <w14:textFill>
            <w14:solidFill>
              <w14:schemeClr w14:val="tx1"/>
            </w14:solidFill>
          </w14:textFill>
        </w:rPr>
        <w:t>废水类比，钻井废水水质污染物浓度见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_Ref142593486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1" w:name="_Ref14259348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17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钻井废水综合水质污染物浓度表（单位：</w:t>
      </w:r>
      <w:r>
        <w:rPr>
          <w:color w:val="000000" w:themeColor="text1"/>
          <w:highlight w:val="none"/>
          <w14:textFill>
            <w14:solidFill>
              <w14:schemeClr w14:val="tx1"/>
            </w14:solidFill>
          </w14:textFill>
        </w:rPr>
        <w:t>mg/L，pH值无量纲）</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1824"/>
        <w:gridCol w:w="1816"/>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30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污染物名称</w:t>
            </w:r>
          </w:p>
        </w:tc>
        <w:tc>
          <w:tcPr>
            <w:tcW w:w="185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w:t>
            </w:r>
          </w:p>
        </w:tc>
        <w:tc>
          <w:tcPr>
            <w:tcW w:w="184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SS</w:t>
            </w:r>
          </w:p>
        </w:tc>
        <w:tc>
          <w:tcPr>
            <w:tcW w:w="234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3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浓度</w:t>
            </w:r>
          </w:p>
        </w:tc>
        <w:tc>
          <w:tcPr>
            <w:tcW w:w="1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8.3～12.5</w:t>
            </w:r>
          </w:p>
        </w:tc>
        <w:tc>
          <w:tcPr>
            <w:tcW w:w="184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≤7500</w:t>
            </w:r>
          </w:p>
        </w:tc>
        <w:tc>
          <w:tcPr>
            <w:tcW w:w="234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w:t>
            </w:r>
          </w:p>
        </w:tc>
      </w:tr>
    </w:tbl>
    <w:p>
      <w:pPr>
        <w:keepNext w:val="0"/>
        <w:keepLines w:val="0"/>
        <w:pageBreakBefore w:val="0"/>
        <w:widowControl w:val="0"/>
        <w:kinsoku/>
        <w:wordWrap/>
        <w:overflowPunct/>
        <w:topLinePunct w:val="0"/>
        <w:autoSpaceDE/>
        <w:autoSpaceDN/>
        <w:bidi w:val="0"/>
        <w:adjustRightInd w:val="0"/>
        <w:snapToGrid w:val="0"/>
        <w:spacing w:before="120" w:beforeLines="50"/>
        <w:ind w:firstLine="480"/>
        <w:textAlignment w:val="auto"/>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2</w:t>
      </w:r>
      <w:r>
        <w:rPr>
          <w:rFonts w:cs="Times New Roman"/>
          <w:bCs/>
          <w:color w:val="000000" w:themeColor="text1"/>
          <w:highlight w:val="none"/>
          <w14:textFill>
            <w14:solidFill>
              <w14:schemeClr w14:val="tx1"/>
            </w14:solidFill>
          </w14:textFill>
        </w:rPr>
        <w:t>）生活污水</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钻井期间，一个钻井队的员工一般为45人，每人每天用水量为80L，排污系数为0.8，则钻井期间井场的生活用水量为3600L/d，污水产生量为2880L/d。生活污水经生态厕所收集后由密闭罐车定期拉运至周边生活污水处理厂处理，环境影响较小。本项目生活污水水质情况见</w:t>
      </w:r>
      <w:r>
        <w:rPr>
          <w:rFonts w:cs="Times New Roman"/>
          <w:bCs/>
          <w:color w:val="000000" w:themeColor="text1"/>
          <w:highlight w:val="none"/>
          <w14:textFill>
            <w14:solidFill>
              <w14:schemeClr w14:val="tx1"/>
            </w14:solidFill>
          </w14:textFill>
        </w:rPr>
        <w:fldChar w:fldCharType="begin"/>
      </w:r>
      <w:r>
        <w:rPr>
          <w:rFonts w:cs="Times New Roman"/>
          <w:bCs/>
          <w:color w:val="000000" w:themeColor="text1"/>
          <w:highlight w:val="none"/>
          <w14:textFill>
            <w14:solidFill>
              <w14:schemeClr w14:val="tx1"/>
            </w14:solidFill>
          </w14:textFill>
        </w:rPr>
        <w:instrText xml:space="preserve"> REF _Ref142593497 \h  \* MERGEFORMAT </w:instrText>
      </w:r>
      <w:r>
        <w:rPr>
          <w:rFonts w:cs="Times New Roman"/>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bCs/>
          <w:color w:val="000000" w:themeColor="text1"/>
          <w:highlight w:val="none"/>
          <w14:textFill>
            <w14:solidFill>
              <w14:schemeClr w14:val="tx1"/>
            </w14:solidFill>
          </w14:textFill>
        </w:rPr>
        <w:fldChar w:fldCharType="end"/>
      </w:r>
      <w:r>
        <w:rPr>
          <w:rFonts w:cs="Times New Roman"/>
          <w:bCs/>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2" w:name="_Ref14259349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172"/>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项目生活污水水质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76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主要污染物名称</w:t>
            </w:r>
          </w:p>
        </w:tc>
        <w:tc>
          <w:tcPr>
            <w:tcW w:w="84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w:t>
            </w:r>
          </w:p>
        </w:tc>
        <w:tc>
          <w:tcPr>
            <w:tcW w:w="150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悬浮物（mg/L）</w:t>
            </w:r>
          </w:p>
        </w:tc>
        <w:tc>
          <w:tcPr>
            <w:tcW w:w="137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COD（mg/L）</w:t>
            </w:r>
          </w:p>
        </w:tc>
        <w:tc>
          <w:tcPr>
            <w:tcW w:w="137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BOD</w:t>
            </w:r>
            <w:r>
              <w:rPr>
                <w:rFonts w:hint="default"/>
                <w:b/>
                <w:bCs/>
                <w:color w:val="000000" w:themeColor="text1"/>
                <w:szCs w:val="20"/>
                <w:highlight w:val="none"/>
                <w:vertAlign w:val="subscript"/>
                <w14:textFill>
                  <w14:solidFill>
                    <w14:schemeClr w14:val="tx1"/>
                  </w14:solidFill>
                </w14:textFill>
              </w:rPr>
              <w:t>5</w:t>
            </w:r>
            <w:r>
              <w:rPr>
                <w:rFonts w:hint="default"/>
                <w:b/>
                <w:bCs/>
                <w:color w:val="000000" w:themeColor="text1"/>
                <w:szCs w:val="20"/>
                <w:highlight w:val="none"/>
                <w14:textFill>
                  <w14:solidFill>
                    <w14:schemeClr w14:val="tx1"/>
                  </w14:solidFill>
                </w14:textFill>
              </w:rPr>
              <w:t>（mg/L）</w:t>
            </w:r>
          </w:p>
        </w:tc>
        <w:tc>
          <w:tcPr>
            <w:tcW w:w="137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7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水质情况</w:t>
            </w:r>
          </w:p>
        </w:tc>
        <w:tc>
          <w:tcPr>
            <w:tcW w:w="84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7.0-9.0</w:t>
            </w:r>
          </w:p>
        </w:tc>
        <w:tc>
          <w:tcPr>
            <w:tcW w:w="15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250-300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350-400</w:t>
            </w: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200-250</w:t>
            </w: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30-40</w:t>
            </w:r>
          </w:p>
        </w:tc>
      </w:tr>
    </w:tbl>
    <w:p>
      <w:pPr>
        <w:spacing w:before="120" w:beforeLines="50"/>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cs="Times New Roman"/>
          <w:color w:val="000000" w:themeColor="text1"/>
          <w:highlight w:val="none"/>
          <w14:textFill>
            <w14:solidFill>
              <w14:schemeClr w14:val="tx1"/>
            </w14:solidFill>
          </w14:textFill>
        </w:rPr>
        <w:t>）初期雨水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其中钻井期间污水</w:t>
      </w:r>
      <w:r>
        <w:rPr>
          <w:rFonts w:hint="eastAsia" w:cs="Times New Roman"/>
          <w:color w:val="000000" w:themeColor="text1"/>
          <w:highlight w:val="none"/>
          <w14:textFill>
            <w14:solidFill>
              <w14:schemeClr w14:val="tx1"/>
            </w14:solidFill>
          </w14:textFill>
        </w:rPr>
        <w:t>罐</w:t>
      </w:r>
      <w:r>
        <w:rPr>
          <w:rFonts w:cs="Times New Roman"/>
          <w:color w:val="000000" w:themeColor="text1"/>
          <w:highlight w:val="none"/>
          <w14:textFill>
            <w14:solidFill>
              <w14:schemeClr w14:val="tx1"/>
            </w14:solidFill>
          </w14:textFill>
        </w:rPr>
        <w:t>收集的初期雨水，与钻井废水一同</w:t>
      </w:r>
      <w:r>
        <w:rPr>
          <w:rFonts w:hint="eastAsia" w:cs="Times New Roman"/>
          <w:color w:val="000000" w:themeColor="text1"/>
          <w:highlight w:val="none"/>
          <w:lang w:val="en-US" w:eastAsia="zh-CN"/>
          <w14:textFill>
            <w14:solidFill>
              <w14:schemeClr w14:val="tx1"/>
            </w14:solidFill>
          </w14:textFill>
        </w:rPr>
        <w:t>进入泥浆不落地处理装置处理后</w:t>
      </w:r>
      <w:r>
        <w:rPr>
          <w:rFonts w:cs="Times New Roman"/>
          <w:color w:val="000000" w:themeColor="text1"/>
          <w:highlight w:val="none"/>
          <w14:textFill>
            <w14:solidFill>
              <w14:schemeClr w14:val="tx1"/>
            </w14:solidFill>
          </w14:textFill>
        </w:rPr>
        <w:t>由罐车拉运至</w:t>
      </w:r>
      <w:r>
        <w:rPr>
          <w:rFonts w:hint="eastAsia" w:cs="Times New Roman"/>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highlight w:val="none"/>
          <w14:textFill>
            <w14:solidFill>
              <w14:schemeClr w14:val="tx1"/>
            </w14:solidFill>
          </w14:textFill>
        </w:rPr>
        <w:t>管输至</w:t>
      </w:r>
      <w:r>
        <w:rPr>
          <w:rFonts w:hint="eastAsia" w:cs="Times New Roman"/>
          <w:color w:val="000000" w:themeColor="text1"/>
          <w:highlight w:val="none"/>
          <w:lang w:eastAsia="zh-CN"/>
          <w14:textFill>
            <w14:solidFill>
              <w14:schemeClr w14:val="tx1"/>
            </w14:solidFill>
          </w14:textFill>
        </w:rPr>
        <w:t>普光3井回注站</w:t>
      </w:r>
      <w:r>
        <w:rPr>
          <w:rFonts w:cs="Times New Roman"/>
          <w:color w:val="000000" w:themeColor="text1"/>
          <w:highlight w:val="none"/>
          <w14:textFill>
            <w14:solidFill>
              <w14:schemeClr w14:val="tx1"/>
            </w14:solidFill>
          </w14:textFill>
        </w:rPr>
        <w:t>回注，不外排。</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井场内四周设排水边沟，井场雨水随四周排水边沟汇至排放口，排放口设监控池，初期雨水收集进入污水</w:t>
      </w:r>
      <w:r>
        <w:rPr>
          <w:rFonts w:hint="eastAsia" w:cs="Times New Roman"/>
          <w:color w:val="000000" w:themeColor="text1"/>
          <w:highlight w:val="none"/>
          <w14:textFill>
            <w14:solidFill>
              <w14:schemeClr w14:val="tx1"/>
            </w14:solidFill>
          </w14:textFill>
        </w:rPr>
        <w:t>罐</w:t>
      </w:r>
      <w:r>
        <w:rPr>
          <w:rFonts w:cs="Times New Roman"/>
          <w:color w:val="000000" w:themeColor="text1"/>
          <w:highlight w:val="none"/>
          <w14:textFill>
            <w14:solidFill>
              <w14:schemeClr w14:val="tx1"/>
            </w14:solidFill>
          </w14:textFill>
        </w:rPr>
        <w:t>处理。污水罐收集的初期雨水同钻井废水一同由罐车拉运至</w:t>
      </w:r>
      <w:r>
        <w:rPr>
          <w:rFonts w:hint="eastAsia" w:cs="Times New Roman"/>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highlight w:val="none"/>
          <w14:textFill>
            <w14:solidFill>
              <w14:schemeClr w14:val="tx1"/>
            </w14:solidFill>
          </w14:textFill>
        </w:rPr>
        <w:t>管输至</w:t>
      </w:r>
      <w:r>
        <w:rPr>
          <w:rFonts w:hint="eastAsia" w:cs="Times New Roman"/>
          <w:color w:val="000000" w:themeColor="text1"/>
          <w:highlight w:val="none"/>
          <w:lang w:eastAsia="zh-CN"/>
          <w14:textFill>
            <w14:solidFill>
              <w14:schemeClr w14:val="tx1"/>
            </w14:solidFill>
          </w14:textFill>
        </w:rPr>
        <w:t>普光3井回注站</w:t>
      </w:r>
      <w:r>
        <w:rPr>
          <w:rFonts w:cs="Times New Roman"/>
          <w:color w:val="000000" w:themeColor="text1"/>
          <w:highlight w:val="none"/>
          <w14:textFill>
            <w14:solidFill>
              <w14:schemeClr w14:val="tx1"/>
            </w14:solidFill>
          </w14:textFill>
        </w:rPr>
        <w:t>回注，不外排。</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初期雨水量按照如下</w:t>
      </w:r>
      <w:r>
        <w:rPr>
          <w:rFonts w:hint="eastAsia" w:cs="Times New Roman"/>
          <w:color w:val="000000" w:themeColor="text1"/>
          <w:highlight w:val="none"/>
          <w:lang w:eastAsia="zh-CN"/>
          <w14:textFill>
            <w14:solidFill>
              <w14:schemeClr w14:val="tx1"/>
            </w14:solidFill>
          </w14:textFill>
        </w:rPr>
        <w:t>公式</w:t>
      </w:r>
      <w:r>
        <w:rPr>
          <w:rFonts w:cs="Times New Roman"/>
          <w:color w:val="000000" w:themeColor="text1"/>
          <w:highlight w:val="none"/>
          <w14:textFill>
            <w14:solidFill>
              <w14:schemeClr w14:val="tx1"/>
            </w14:solidFill>
          </w14:textFill>
        </w:rPr>
        <w:t>计算：</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V=q×ψ×F×t×60÷1000</w:t>
      </w:r>
    </w:p>
    <w:p>
      <w:pPr>
        <w:ind w:firstLine="424" w:firstLineChars="177"/>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式中：</w:t>
      </w:r>
    </w:p>
    <w:p>
      <w:pPr>
        <w:ind w:left="566" w:leftChars="236" w:firstLine="422" w:firstLineChars="176"/>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V-初期雨水最大量，m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w:t>
      </w:r>
    </w:p>
    <w:p>
      <w:pPr>
        <w:ind w:left="566" w:leftChars="236" w:firstLine="422" w:firstLineChars="176"/>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t-降雨历时，min；</w:t>
      </w:r>
    </w:p>
    <w:p>
      <w:pPr>
        <w:ind w:left="566" w:leftChars="236" w:firstLine="422" w:firstLineChars="176"/>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ψ-径流系数，取0.85；</w:t>
      </w:r>
    </w:p>
    <w:p>
      <w:pPr>
        <w:ind w:left="566" w:leftChars="236" w:firstLine="422" w:firstLineChars="176"/>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F-汇水面积，hm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，本次计算整个施工井场内部占地面积，按6</w:t>
      </w:r>
      <w:r>
        <w:rPr>
          <w:rFonts w:hint="eastAsia" w:cs="Times New Roman"/>
          <w:color w:val="000000" w:themeColor="text1"/>
          <w:highlight w:val="none"/>
          <w:lang w:val="en-US" w:eastAsia="zh-CN"/>
          <w14:textFill>
            <w14:solidFill>
              <w14:schemeClr w14:val="tx1"/>
            </w14:solidFill>
          </w14:textFill>
        </w:rPr>
        <w:t>0</w:t>
      </w:r>
      <w:r>
        <w:rPr>
          <w:rFonts w:cs="Times New Roman"/>
          <w:color w:val="000000" w:themeColor="text1"/>
          <w:highlight w:val="none"/>
          <w14:textFill>
            <w14:solidFill>
              <w14:schemeClr w14:val="tx1"/>
            </w14:solidFill>
          </w14:textFill>
        </w:rPr>
        <w:t>00m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计，即0.6</w:t>
      </w:r>
      <w:r>
        <w:rPr>
          <w:rFonts w:hint="eastAsia" w:cs="Times New Roman"/>
          <w:color w:val="000000" w:themeColor="text1"/>
          <w:highlight w:val="none"/>
          <w:lang w:val="en-US" w:eastAsia="zh-CN"/>
          <w14:textFill>
            <w14:solidFill>
              <w14:schemeClr w14:val="tx1"/>
            </w14:solidFill>
          </w14:textFill>
        </w:rPr>
        <w:t>0</w:t>
      </w:r>
      <w:r>
        <w:rPr>
          <w:rFonts w:cs="Times New Roman"/>
          <w:color w:val="000000" w:themeColor="text1"/>
          <w:highlight w:val="none"/>
          <w14:textFill>
            <w14:solidFill>
              <w14:schemeClr w14:val="tx1"/>
            </w14:solidFill>
          </w14:textFill>
        </w:rPr>
        <w:t>hm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w:t>
      </w:r>
    </w:p>
    <w:p>
      <w:pPr>
        <w:ind w:left="566" w:leftChars="236" w:firstLine="422" w:firstLineChars="176"/>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q-设计暴雨强度，L/（s·hm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w:t>
      </w:r>
    </w:p>
    <w:p>
      <w:pPr>
        <w:ind w:firstLine="424" w:firstLineChars="177"/>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设计暴雨强度公式如下：</w:t>
      </w:r>
    </w:p>
    <w:p>
      <w:pPr>
        <w:ind w:firstLine="424" w:firstLineChars="177"/>
        <w:rPr>
          <w:rFonts w:cs="Times New Roman"/>
          <w:color w:val="000000" w:themeColor="text1"/>
          <w:highlight w:val="none"/>
          <w14:textFill>
            <w14:solidFill>
              <w14:schemeClr w14:val="tx1"/>
            </w14:solidFill>
          </w14:textFill>
        </w:rPr>
      </w:pPr>
      <m:oMathPara>
        <m:oMath>
          <m:r>
            <m:rPr/>
            <w:rPr>
              <w:rFonts w:ascii="Cambria Math" w:hAnsi="Cambria Math" w:cs="Times New Roman"/>
              <w:color w:val="000000" w:themeColor="text1"/>
              <w:highlight w:val="none"/>
              <w14:textFill>
                <w14:solidFill>
                  <w14:schemeClr w14:val="tx1"/>
                </w14:solidFill>
              </w14:textFill>
            </w:rPr>
            <m:t>q=</m:t>
          </m:r>
          <m:f>
            <m:fPr>
              <m:ctrlPr>
                <w:rPr>
                  <w:rFonts w:ascii="Cambria Math" w:hAnsi="Cambria Math" w:cs="Times New Roman"/>
                  <w:iCs/>
                  <w:color w:val="000000" w:themeColor="text1"/>
                  <w:highlight w:val="none"/>
                  <w14:textFill>
                    <w14:solidFill>
                      <w14:schemeClr w14:val="tx1"/>
                    </w14:solidFill>
                  </w14:textFill>
                </w:rPr>
              </m:ctrlPr>
            </m:fPr>
            <m:num>
              <m:r>
                <m:rPr>
                  <m:sty m:val="p"/>
                </m:rPr>
                <w:rPr>
                  <w:rFonts w:ascii="Cambria Math" w:hAnsi="Cambria Math" w:cs="Times New Roman"/>
                  <w:color w:val="000000" w:themeColor="text1"/>
                  <w:highlight w:val="none"/>
                  <w14:textFill>
                    <w14:solidFill>
                      <w14:schemeClr w14:val="tx1"/>
                    </w14:solidFill>
                  </w14:textFill>
                </w:rPr>
                <m:t>928.799（1+0.818LgP）</m:t>
              </m:r>
              <m:ctrlPr>
                <w:rPr>
                  <w:rFonts w:ascii="Cambria Math" w:hAnsi="Cambria Math" w:cs="Times New Roman"/>
                  <w:iCs/>
                  <w:color w:val="000000" w:themeColor="text1"/>
                  <w:highlight w:val="none"/>
                  <w14:textFill>
                    <w14:solidFill>
                      <w14:schemeClr w14:val="tx1"/>
                    </w14:solidFill>
                  </w14:textFill>
                </w:rPr>
              </m:ctrlPr>
            </m:num>
            <m:den>
              <m:r>
                <m:rPr>
                  <m:sty m:val="p"/>
                </m:rPr>
                <w:rPr>
                  <w:rFonts w:ascii="Cambria Math" w:hAnsi="Cambria Math" w:cs="Times New Roman"/>
                  <w:color w:val="000000" w:themeColor="text1"/>
                  <w:highlight w:val="none"/>
                  <w14:textFill>
                    <w14:solidFill>
                      <w14:schemeClr w14:val="tx1"/>
                    </w14:solidFill>
                  </w14:textFill>
                </w:rPr>
                <m:t>（t+5.788</m:t>
              </m:r>
              <m:sSup>
                <m:sSupPr>
                  <m:ctrlPr>
                    <w:rPr>
                      <w:rFonts w:ascii="Cambria Math" w:hAnsi="Cambria Math" w:cs="Times New Roman"/>
                      <w:iCs/>
                      <w:color w:val="000000" w:themeColor="text1"/>
                      <w:highlight w:val="none"/>
                      <w14:textFill>
                        <w14:solidFill>
                          <w14:schemeClr w14:val="tx1"/>
                        </w14:solidFill>
                      </w14:textFill>
                    </w:rPr>
                  </m:ctrlPr>
                </m:sSupPr>
                <m:e>
                  <m:r>
                    <m:rPr>
                      <m:sty m:val="p"/>
                    </m:rPr>
                    <w:rPr>
                      <w:rFonts w:ascii="Cambria Math" w:hAnsi="Cambria Math" w:cs="Times New Roman"/>
                      <w:color w:val="000000" w:themeColor="text1"/>
                      <w:highlight w:val="none"/>
                      <w14:textFill>
                        <w14:solidFill>
                          <w14:schemeClr w14:val="tx1"/>
                        </w14:solidFill>
                      </w14:textFill>
                    </w:rPr>
                    <m:t>）</m:t>
                  </m:r>
                  <m:ctrlPr>
                    <w:rPr>
                      <w:rFonts w:ascii="Cambria Math" w:hAnsi="Cambria Math" w:cs="Times New Roman"/>
                      <w:iCs/>
                      <w:color w:val="000000" w:themeColor="text1"/>
                      <w:highlight w:val="none"/>
                      <w14:textFill>
                        <w14:solidFill>
                          <w14:schemeClr w14:val="tx1"/>
                        </w14:solidFill>
                      </w14:textFill>
                    </w:rPr>
                  </m:ctrlPr>
                </m:e>
                <m:sup>
                  <m:r>
                    <m:rPr>
                      <m:sty m:val="p"/>
                    </m:rPr>
                    <w:rPr>
                      <w:rFonts w:ascii="Cambria Math" w:hAnsi="Cambria Math" w:cs="Times New Roman"/>
                      <w:color w:val="000000" w:themeColor="text1"/>
                      <w:highlight w:val="none"/>
                      <w14:textFill>
                        <w14:solidFill>
                          <w14:schemeClr w14:val="tx1"/>
                        </w14:solidFill>
                      </w14:textFill>
                    </w:rPr>
                    <m:t>0.565</m:t>
                  </m:r>
                  <m:ctrlPr>
                    <w:rPr>
                      <w:rFonts w:ascii="Cambria Math" w:hAnsi="Cambria Math" w:cs="Times New Roman"/>
                      <w:iCs/>
                      <w:color w:val="000000" w:themeColor="text1"/>
                      <w:highlight w:val="none"/>
                      <w14:textFill>
                        <w14:solidFill>
                          <w14:schemeClr w14:val="tx1"/>
                        </w14:solidFill>
                      </w14:textFill>
                    </w:rPr>
                  </m:ctrlPr>
                </m:sup>
              </m:sSup>
              <m:ctrlPr>
                <w:rPr>
                  <w:rFonts w:ascii="Cambria Math" w:hAnsi="Cambria Math" w:cs="Times New Roman"/>
                  <w:iCs/>
                  <w:color w:val="000000" w:themeColor="text1"/>
                  <w:highlight w:val="none"/>
                  <w14:textFill>
                    <w14:solidFill>
                      <w14:schemeClr w14:val="tx1"/>
                    </w14:solidFill>
                  </w14:textFill>
                </w:rPr>
              </m:ctrlPr>
            </m:den>
          </m:f>
        </m:oMath>
      </m:oMathPara>
    </w:p>
    <w:p>
      <w:pPr>
        <w:ind w:firstLine="424" w:firstLineChars="177"/>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式中：</w:t>
      </w:r>
    </w:p>
    <w:p>
      <w:pPr>
        <w:ind w:firstLine="1132" w:firstLineChars="472"/>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q-设计暴雨强度，L/（s·hm</w:t>
      </w:r>
      <w:r>
        <w:rPr>
          <w:rFonts w:cs="Times New Roman"/>
          <w:color w:val="000000" w:themeColor="text1"/>
          <w:highlight w:val="none"/>
          <w:vertAlign w:val="superscript"/>
          <w14:textFill>
            <w14:solidFill>
              <w14:schemeClr w14:val="tx1"/>
            </w14:solidFill>
          </w14:textFill>
        </w:rPr>
        <w:t>2</w:t>
      </w:r>
      <w:r>
        <w:rPr>
          <w:rFonts w:cs="Times New Roman"/>
          <w:color w:val="000000" w:themeColor="text1"/>
          <w:highlight w:val="none"/>
          <w14:textFill>
            <w14:solidFill>
              <w14:schemeClr w14:val="tx1"/>
            </w14:solidFill>
          </w14:textFill>
        </w:rPr>
        <w:t>）；</w:t>
      </w:r>
    </w:p>
    <w:p>
      <w:pPr>
        <w:ind w:firstLine="1132" w:firstLineChars="472"/>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p-设计暴雨重现期（年）：本次取值为2年；</w:t>
      </w:r>
    </w:p>
    <w:p>
      <w:pPr>
        <w:ind w:firstLine="1132" w:firstLineChars="472"/>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t-降雨历时（min）：取15min。</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经计算，本项目15min初期雨水产生量约为</w:t>
      </w:r>
      <w:r>
        <w:rPr>
          <w:rFonts w:hint="eastAsia" w:cs="Times New Roman"/>
          <w:color w:val="000000" w:themeColor="text1"/>
          <w:highlight w:val="none"/>
          <w:lang w:val="en-US" w:eastAsia="zh-CN"/>
          <w14:textFill>
            <w14:solidFill>
              <w14:schemeClr w14:val="tx1"/>
            </w14:solidFill>
          </w14:textFill>
        </w:rPr>
        <w:t>202.1</w:t>
      </w:r>
      <w:r>
        <w:rPr>
          <w:rFonts w:cs="Times New Roman"/>
          <w:color w:val="000000" w:themeColor="text1"/>
          <w:highlight w:val="none"/>
          <w14:textFill>
            <w14:solidFill>
              <w14:schemeClr w14:val="tx1"/>
            </w14:solidFill>
          </w14:textFill>
        </w:rPr>
        <w:t>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/次。</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井场实行雨污分流，井场外四周设排水边沟，井外雨水不得进入井场，井场内四周设内排水边，井场雨水随内排水沟汇至排放口，排放口设监控池，初期雨水收集后同钻井废水一同拉运至</w:t>
      </w:r>
      <w:r>
        <w:rPr>
          <w:rFonts w:hint="eastAsia" w:cs="Times New Roman"/>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highlight w:val="none"/>
          <w14:textFill>
            <w14:solidFill>
              <w14:schemeClr w14:val="tx1"/>
            </w14:solidFill>
          </w14:textFill>
        </w:rPr>
        <w:t>管输至</w:t>
      </w:r>
      <w:r>
        <w:rPr>
          <w:rFonts w:hint="eastAsia" w:cs="Times New Roman"/>
          <w:color w:val="000000" w:themeColor="text1"/>
          <w:highlight w:val="none"/>
          <w:lang w:eastAsia="zh-CN"/>
          <w14:textFill>
            <w14:solidFill>
              <w14:schemeClr w14:val="tx1"/>
            </w14:solidFill>
          </w14:textFill>
        </w:rPr>
        <w:t>普光3井回注站</w:t>
      </w:r>
      <w:r>
        <w:rPr>
          <w:rFonts w:cs="Times New Roman"/>
          <w:color w:val="000000" w:themeColor="text1"/>
          <w:highlight w:val="none"/>
          <w14:textFill>
            <w14:solidFill>
              <w14:schemeClr w14:val="tx1"/>
            </w14:solidFill>
          </w14:textFill>
        </w:rPr>
        <w:t>回注，不外排，后期雨水水质清洁后可直接外排。</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（3）噪声</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本项目井场噪声分布区域主要分为动力及钻台区、泥浆泵区和泥浆不落地区等，其主要噪声设备有：</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机械噪声组：包括柴油机组、发电机组、钻机、泥浆泵以及其他种机械转动所产生的噪声；</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作业噪声：包括固井作业、下套管、起下钻具、钻机气路控制系统操作时快速放气阀放气、跳钻时吊环与水龙头的撞击等所产生的噪声；</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优先使用网电，备用柴油发电机仅在供电不正常时使用，使用时间短，为偶尔间断使用，但其噪声源强大。因此对声环境影响大的主要为钻井过程中使用备用的柴油动力机、柴油发电机间断运行噪声，以及24小时钻井时钻机等设备的运行产生较大的连续性噪声，本项目钻井采用ZJ70型钻机，根据类比调查，钻井工程主要噪声源设备噪声值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_Ref142593506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6</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3" w:name="_Ref14259350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17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单井</w:t>
      </w:r>
      <w:r>
        <w:rPr>
          <w:rFonts w:hint="eastAsia"/>
          <w:color w:val="000000" w:themeColor="text1"/>
          <w:highlight w:val="none"/>
          <w14:textFill>
            <w14:solidFill>
              <w14:schemeClr w14:val="tx1"/>
            </w14:solidFill>
          </w14:textFill>
        </w:rPr>
        <w:t>钻井工程主要噪声源设备噪声值表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4"/>
        <w:gridCol w:w="1028"/>
        <w:gridCol w:w="878"/>
        <w:gridCol w:w="1107"/>
        <w:gridCol w:w="1134"/>
        <w:gridCol w:w="845"/>
        <w:gridCol w:w="856"/>
        <w:gridCol w:w="993"/>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阶</w:t>
            </w:r>
            <w:r>
              <w:rPr>
                <w:rFonts w:hint="default" w:cs="Times New Roman"/>
                <w:color w:val="000000" w:themeColor="text1"/>
                <w:kern w:val="0"/>
                <w:sz w:val="21"/>
                <w:szCs w:val="21"/>
                <w:highlight w:val="none"/>
                <w14:textFill>
                  <w14:solidFill>
                    <w14:schemeClr w14:val="tx1"/>
                  </w14:solidFill>
                </w14:textFill>
              </w:rPr>
              <w:t>时段</w:t>
            </w: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噪声设备</w:t>
            </w:r>
          </w:p>
        </w:tc>
        <w:tc>
          <w:tcPr>
            <w:tcW w:w="87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数量</w:t>
            </w:r>
          </w:p>
        </w:tc>
        <w:tc>
          <w:tcPr>
            <w:tcW w:w="110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单台源强dB（A）（1m处）</w:t>
            </w:r>
          </w:p>
        </w:tc>
        <w:tc>
          <w:tcPr>
            <w:tcW w:w="113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采取的降噪措施</w:t>
            </w:r>
          </w:p>
        </w:tc>
        <w:tc>
          <w:tcPr>
            <w:tcW w:w="84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降噪后源强</w:t>
            </w:r>
          </w:p>
        </w:tc>
        <w:tc>
          <w:tcPr>
            <w:tcW w:w="85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噪声特征</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排放时间</w:t>
            </w:r>
          </w:p>
        </w:tc>
        <w:tc>
          <w:tcPr>
            <w:tcW w:w="99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声源种类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restart"/>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网</w:t>
            </w:r>
            <w:r>
              <w:rPr>
                <w:rFonts w:hint="eastAsia" w:cs="Times New Roman"/>
                <w:color w:val="000000" w:themeColor="text1"/>
                <w:kern w:val="0"/>
                <w:sz w:val="21"/>
                <w:szCs w:val="21"/>
                <w:highlight w:val="none"/>
                <w:lang w:val="en-US" w:eastAsia="zh-CN"/>
                <w14:textFill>
                  <w14:solidFill>
                    <w14:schemeClr w14:val="tx1"/>
                  </w14:solidFill>
                </w14:textFill>
              </w:rPr>
              <w:t>网</w:t>
            </w:r>
            <w:r>
              <w:rPr>
                <w:rFonts w:hint="default" w:cs="Times New Roman"/>
                <w:color w:val="000000" w:themeColor="text1"/>
                <w:kern w:val="0"/>
                <w:sz w:val="21"/>
                <w:szCs w:val="21"/>
                <w:highlight w:val="none"/>
                <w:lang w:eastAsia="en-US"/>
                <w14:textFill>
                  <w14:solidFill>
                    <w14:schemeClr w14:val="tx1"/>
                  </w14:solidFill>
                </w14:textFill>
              </w:rPr>
              <w:t>电工况</w:t>
            </w: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钻井设备</w:t>
            </w:r>
          </w:p>
        </w:tc>
        <w:tc>
          <w:tcPr>
            <w:tcW w:w="87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1套</w:t>
            </w:r>
          </w:p>
        </w:tc>
        <w:tc>
          <w:tcPr>
            <w:tcW w:w="110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95～103</w:t>
            </w:r>
          </w:p>
        </w:tc>
        <w:tc>
          <w:tcPr>
            <w:tcW w:w="1134"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置于钻井井场内，基础安装减振垫层</w:t>
            </w:r>
            <w:r>
              <w:rPr>
                <w:rFonts w:hint="eastAsia" w:cs="Times New Roman"/>
                <w:color w:val="000000" w:themeColor="text1"/>
                <w:kern w:val="0"/>
                <w:sz w:val="21"/>
                <w:szCs w:val="21"/>
                <w:highlight w:val="none"/>
                <w14:textFill>
                  <w14:solidFill>
                    <w14:schemeClr w14:val="tx1"/>
                  </w14:solidFill>
                </w14:textFill>
              </w:rPr>
              <w:t>，泥浆泵安装消声器</w:t>
            </w:r>
          </w:p>
        </w:tc>
        <w:tc>
          <w:tcPr>
            <w:tcW w:w="84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93～98</w:t>
            </w:r>
          </w:p>
        </w:tc>
        <w:tc>
          <w:tcPr>
            <w:tcW w:w="85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昼夜连续</w:t>
            </w:r>
          </w:p>
        </w:tc>
        <w:tc>
          <w:tcPr>
            <w:tcW w:w="99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泥浆泵</w:t>
            </w:r>
          </w:p>
        </w:tc>
        <w:tc>
          <w:tcPr>
            <w:tcW w:w="87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2台</w:t>
            </w:r>
          </w:p>
        </w:tc>
        <w:tc>
          <w:tcPr>
            <w:tcW w:w="110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85～90</w:t>
            </w:r>
          </w:p>
        </w:tc>
        <w:tc>
          <w:tcPr>
            <w:tcW w:w="113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84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80～85</w:t>
            </w:r>
          </w:p>
        </w:tc>
        <w:tc>
          <w:tcPr>
            <w:tcW w:w="85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昼夜连续</w:t>
            </w:r>
          </w:p>
        </w:tc>
        <w:tc>
          <w:tcPr>
            <w:tcW w:w="99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振动筛</w:t>
            </w:r>
          </w:p>
        </w:tc>
        <w:tc>
          <w:tcPr>
            <w:tcW w:w="87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2台</w:t>
            </w:r>
          </w:p>
        </w:tc>
        <w:tc>
          <w:tcPr>
            <w:tcW w:w="110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75～85</w:t>
            </w:r>
          </w:p>
        </w:tc>
        <w:tc>
          <w:tcPr>
            <w:tcW w:w="113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84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80～85</w:t>
            </w:r>
          </w:p>
        </w:tc>
        <w:tc>
          <w:tcPr>
            <w:tcW w:w="85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昼夜连续</w:t>
            </w:r>
          </w:p>
        </w:tc>
        <w:tc>
          <w:tcPr>
            <w:tcW w:w="99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102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泥浆不落地装置</w:t>
            </w:r>
          </w:p>
        </w:tc>
        <w:tc>
          <w:tcPr>
            <w:tcW w:w="87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1套</w:t>
            </w:r>
          </w:p>
        </w:tc>
        <w:tc>
          <w:tcPr>
            <w:tcW w:w="110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85~90</w:t>
            </w:r>
          </w:p>
        </w:tc>
        <w:tc>
          <w:tcPr>
            <w:tcW w:w="113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84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80～85</w:t>
            </w:r>
          </w:p>
        </w:tc>
        <w:tc>
          <w:tcPr>
            <w:tcW w:w="85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昼夜间断</w:t>
            </w:r>
          </w:p>
        </w:tc>
        <w:tc>
          <w:tcPr>
            <w:tcW w:w="99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restart"/>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柴</w:t>
            </w:r>
            <w:r>
              <w:rPr>
                <w:rFonts w:hint="eastAsia" w:cs="Times New Roman"/>
                <w:color w:val="000000" w:themeColor="text1"/>
                <w:kern w:val="0"/>
                <w:sz w:val="21"/>
                <w:szCs w:val="21"/>
                <w:highlight w:val="none"/>
                <w:lang w:val="en-US" w:eastAsia="zh-CN"/>
                <w14:textFill>
                  <w14:solidFill>
                    <w14:schemeClr w14:val="tx1"/>
                  </w14:solidFill>
                </w14:textFill>
              </w:rPr>
              <w:t>油</w:t>
            </w:r>
            <w:r>
              <w:rPr>
                <w:rFonts w:hint="default" w:cs="Times New Roman"/>
                <w:color w:val="000000" w:themeColor="text1"/>
                <w:kern w:val="0"/>
                <w:sz w:val="21"/>
                <w:szCs w:val="21"/>
                <w:highlight w:val="none"/>
                <w14:textFill>
                  <w14:solidFill>
                    <w14:schemeClr w14:val="tx1"/>
                  </w14:solidFill>
                </w14:textFill>
              </w:rPr>
              <w:t>机</w:t>
            </w:r>
            <w:r>
              <w:rPr>
                <w:rFonts w:hint="default" w:cs="Times New Roman"/>
                <w:color w:val="000000" w:themeColor="text1"/>
                <w:kern w:val="0"/>
                <w:sz w:val="21"/>
                <w:szCs w:val="21"/>
                <w:highlight w:val="none"/>
                <w:lang w:eastAsia="en-US"/>
                <w14:textFill>
                  <w14:solidFill>
                    <w14:schemeClr w14:val="tx1"/>
                  </w14:solidFill>
                </w14:textFill>
              </w:rPr>
              <w:t>工况</w:t>
            </w: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柴油动力机</w:t>
            </w:r>
          </w:p>
        </w:tc>
        <w:tc>
          <w:tcPr>
            <w:tcW w:w="878" w:type="dxa"/>
            <w:vAlign w:val="center"/>
          </w:tcPr>
          <w:p>
            <w:pPr>
              <w:keepNext w:val="0"/>
              <w:keepLines w:val="0"/>
              <w:widowControl/>
              <w:suppressLineNumbers w:val="0"/>
              <w:spacing w:before="0" w:beforeAutospacing="0" w:after="0" w:afterAutospacing="0" w:line="240" w:lineRule="auto"/>
              <w:ind w:left="0" w:leftChars="0" w:right="0" w:rightChars="0" w:firstLine="20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2台</w:t>
            </w:r>
          </w:p>
        </w:tc>
        <w:tc>
          <w:tcPr>
            <w:tcW w:w="1107"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95～100</w:t>
            </w:r>
          </w:p>
        </w:tc>
        <w:tc>
          <w:tcPr>
            <w:tcW w:w="1134"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排气筒上自带高质量消声器的柴油机</w:t>
            </w:r>
          </w:p>
        </w:tc>
        <w:tc>
          <w:tcPr>
            <w:tcW w:w="845"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90～95</w:t>
            </w:r>
          </w:p>
        </w:tc>
        <w:tc>
          <w:tcPr>
            <w:tcW w:w="85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间断</w:t>
            </w:r>
          </w:p>
        </w:tc>
        <w:tc>
          <w:tcPr>
            <w:tcW w:w="997"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4" w:type="dxa"/>
            <w:vMerge w:val="continue"/>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cs="Times New Roman"/>
                <w:color w:val="000000" w:themeColor="text1"/>
                <w:kern w:val="0"/>
                <w:sz w:val="21"/>
                <w:szCs w:val="21"/>
                <w:highlight w:val="none"/>
                <w:lang w:eastAsia="en-US"/>
                <w14:textFill>
                  <w14:solidFill>
                    <w14:schemeClr w14:val="tx1"/>
                  </w14:solidFill>
                </w14:textFill>
              </w:rPr>
            </w:pPr>
          </w:p>
        </w:tc>
        <w:tc>
          <w:tcPr>
            <w:tcW w:w="102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柴油发电机</w:t>
            </w:r>
          </w:p>
        </w:tc>
        <w:tc>
          <w:tcPr>
            <w:tcW w:w="878"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1台</w:t>
            </w:r>
          </w:p>
        </w:tc>
        <w:tc>
          <w:tcPr>
            <w:tcW w:w="1107"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90～95</w:t>
            </w:r>
          </w:p>
        </w:tc>
        <w:tc>
          <w:tcPr>
            <w:tcW w:w="1134"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14:textFill>
                  <w14:solidFill>
                    <w14:schemeClr w14:val="tx1"/>
                  </w14:solidFill>
                </w14:textFill>
              </w:rPr>
            </w:pPr>
            <w:r>
              <w:rPr>
                <w:rFonts w:hint="default" w:cs="Times New Roman"/>
                <w:color w:val="000000" w:themeColor="text1"/>
                <w:kern w:val="0"/>
                <w:sz w:val="21"/>
                <w:szCs w:val="21"/>
                <w:highlight w:val="none"/>
                <w14:textFill>
                  <w14:solidFill>
                    <w14:schemeClr w14:val="tx1"/>
                  </w14:solidFill>
                </w14:textFill>
              </w:rPr>
              <w:t>活动板房隔声，安装减振垫层和阻尼涂料</w:t>
            </w:r>
          </w:p>
        </w:tc>
        <w:tc>
          <w:tcPr>
            <w:tcW w:w="845"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85～90</w:t>
            </w:r>
          </w:p>
        </w:tc>
        <w:tc>
          <w:tcPr>
            <w:tcW w:w="85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机械</w:t>
            </w:r>
          </w:p>
        </w:tc>
        <w:tc>
          <w:tcPr>
            <w:tcW w:w="993"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间断</w:t>
            </w:r>
          </w:p>
        </w:tc>
        <w:tc>
          <w:tcPr>
            <w:tcW w:w="997"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lang w:eastAsia="en-US"/>
                <w14:textFill>
                  <w14:solidFill>
                    <w14:schemeClr w14:val="tx1"/>
                  </w14:solidFill>
                </w14:textFill>
              </w:rPr>
            </w:pPr>
            <w:r>
              <w:rPr>
                <w:rFonts w:hint="default" w:cs="Times New Roman"/>
                <w:color w:val="000000" w:themeColor="text1"/>
                <w:kern w:val="0"/>
                <w:sz w:val="21"/>
                <w:szCs w:val="21"/>
                <w:highlight w:val="none"/>
                <w:lang w:eastAsia="en-US"/>
                <w14:textFill>
                  <w14:solidFill>
                    <w14:schemeClr w14:val="tx1"/>
                  </w14:solidFill>
                </w14:textFill>
              </w:rPr>
              <w:t>固定声源</w:t>
            </w:r>
          </w:p>
        </w:tc>
      </w:tr>
    </w:tbl>
    <w:p>
      <w:pPr>
        <w:spacing w:before="120" w:beforeLines="50"/>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（4）固废</w:t>
      </w:r>
    </w:p>
    <w:p>
      <w:pPr>
        <w:ind w:firstLine="482"/>
        <w:rPr>
          <w:rFonts w:hint="eastAsia" w:eastAsia="宋体" w:cs="Times New Roman"/>
          <w:b/>
          <w:bCs/>
          <w:color w:val="000000" w:themeColor="text1"/>
          <w:highlight w:val="none"/>
          <w:lang w:eastAsia="zh-CN"/>
          <w14:textFill>
            <w14:solidFill>
              <w14:schemeClr w14:val="tx1"/>
            </w14:solidFill>
          </w14:textFill>
        </w:rPr>
      </w:pPr>
      <w:r>
        <w:rPr>
          <w:rFonts w:cs="Times New Roman"/>
          <w:b/>
          <w:bCs/>
          <w:color w:val="000000" w:themeColor="text1"/>
          <w:highlight w:val="none"/>
          <w14:textFill>
            <w14:solidFill>
              <w14:schemeClr w14:val="tx1"/>
            </w14:solidFill>
          </w14:textFill>
        </w:rPr>
        <w:t>1）清水钻</w:t>
      </w:r>
      <w:r>
        <w:rPr>
          <w:rFonts w:hint="eastAsia" w:cs="Times New Roman"/>
          <w:b/>
          <w:bCs/>
          <w:color w:val="000000" w:themeColor="text1"/>
          <w:highlight w:val="none"/>
          <w:lang w:val="en-US" w:eastAsia="zh-CN"/>
          <w14:textFill>
            <w14:solidFill>
              <w14:schemeClr w14:val="tx1"/>
            </w14:solidFill>
          </w14:textFill>
        </w:rPr>
        <w:t>井阶段</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项目导管段使用清水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***钻井液</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钻</w:t>
      </w:r>
      <w:r>
        <w:rPr>
          <w:rFonts w:hint="eastAsia" w:cs="Times New Roman"/>
          <w:color w:val="000000" w:themeColor="text1"/>
          <w:highlight w:val="none"/>
          <w:lang w:val="en-US" w:eastAsia="zh-CN"/>
          <w14:textFill>
            <w14:solidFill>
              <w14:schemeClr w14:val="tx1"/>
            </w14:solidFill>
          </w14:textFill>
        </w:rPr>
        <w:t>井</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无废弃钻井泥浆产生，清水钻阶段主要产生</w:t>
      </w:r>
      <w:r>
        <w:rPr>
          <w:rFonts w:cs="Times New Roman"/>
          <w:color w:val="000000" w:themeColor="text1"/>
          <w:highlight w:val="none"/>
          <w14:textFill>
            <w14:solidFill>
              <w14:schemeClr w14:val="tx1"/>
            </w14:solidFill>
          </w14:textFill>
        </w:rPr>
        <w:t>清水钻岩屑产生量约</w:t>
      </w:r>
      <w:r>
        <w:rPr>
          <w:rFonts w:hint="eastAsia" w:cs="Times New Roman"/>
          <w:color w:val="000000" w:themeColor="text1"/>
          <w:highlight w:val="none"/>
          <w:lang w:eastAsia="zh-CN"/>
          <w14:textFill>
            <w14:solidFill>
              <w14:schemeClr w14:val="tx1"/>
            </w14:solidFill>
          </w14:textFill>
        </w:rPr>
        <w:t>205.51m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完井后及时就近交给依法取得生态环境部门关于利用和处置相关工业固体废物项目环评批复、具有处理处置相应固体废物能力并配套建设有废气、废水、固废等污染物治理设施的单位进行资源化利用</w:t>
      </w:r>
      <w:r>
        <w:rPr>
          <w:rFonts w:cs="Times New Roman"/>
          <w:color w:val="000000" w:themeColor="text1"/>
          <w:highlight w:val="none"/>
          <w14:textFill>
            <w14:solidFill>
              <w14:schemeClr w14:val="tx1"/>
            </w14:solidFill>
          </w14:textFill>
        </w:rPr>
        <w:t>。</w:t>
      </w:r>
    </w:p>
    <w:p>
      <w:pPr>
        <w:ind w:firstLine="482"/>
        <w:rPr>
          <w:rFonts w:hint="eastAsia" w:eastAsia="宋体" w:cs="Times New Roman"/>
          <w:b/>
          <w:bCs/>
          <w:color w:val="000000" w:themeColor="text1"/>
          <w:highlight w:val="none"/>
          <w:lang w:eastAsia="zh-CN"/>
          <w14:textFill>
            <w14:solidFill>
              <w14:schemeClr w14:val="tx1"/>
            </w14:solidFill>
          </w14:textFill>
        </w:rPr>
      </w:pPr>
      <w:r>
        <w:rPr>
          <w:rFonts w:cs="Times New Roman"/>
          <w:b/>
          <w:bCs/>
          <w:color w:val="000000" w:themeColor="text1"/>
          <w:highlight w:val="none"/>
          <w14:textFill>
            <w14:solidFill>
              <w14:schemeClr w14:val="tx1"/>
            </w14:solidFill>
          </w14:textFill>
        </w:rPr>
        <w:t>2）水基钻井</w:t>
      </w:r>
      <w:r>
        <w:rPr>
          <w:rFonts w:hint="eastAsia" w:cs="Times New Roman"/>
          <w:b/>
          <w:bCs/>
          <w:color w:val="000000" w:themeColor="text1"/>
          <w:highlight w:val="none"/>
          <w:lang w:val="en-US" w:eastAsia="zh-CN"/>
          <w14:textFill>
            <w14:solidFill>
              <w14:schemeClr w14:val="tx1"/>
            </w14:solidFill>
          </w14:textFill>
        </w:rPr>
        <w:t>阶段</w:t>
      </w:r>
    </w:p>
    <w:p>
      <w:pPr>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根据钻井液体系方案，</w:t>
      </w:r>
      <w:r>
        <w:rPr>
          <w:rFonts w:cs="Times New Roman"/>
          <w:color w:val="000000" w:themeColor="text1"/>
          <w:szCs w:val="24"/>
          <w:highlight w:val="none"/>
          <w14:textFill>
            <w14:solidFill>
              <w14:schemeClr w14:val="tx1"/>
            </w14:solidFill>
          </w14:textFill>
        </w:rPr>
        <w:t>本项目</w:t>
      </w:r>
      <w:r>
        <w:rPr>
          <w:rFonts w:hint="eastAsia" w:cs="Times New Roman"/>
          <w:color w:val="000000" w:themeColor="text1"/>
          <w:szCs w:val="24"/>
          <w:highlight w:val="none"/>
          <w:lang w:val="en-US" w:eastAsia="zh-CN"/>
          <w14:textFill>
            <w14:solidFill>
              <w14:schemeClr w14:val="tx1"/>
            </w14:solidFill>
          </w14:textFill>
        </w:rPr>
        <w:t>优先一开、二开</w:t>
      </w:r>
      <w:r>
        <w:rPr>
          <w:rFonts w:cs="Times New Roman"/>
          <w:color w:val="000000" w:themeColor="text1"/>
          <w:szCs w:val="24"/>
          <w:highlight w:val="none"/>
          <w14:textFill>
            <w14:solidFill>
              <w14:schemeClr w14:val="tx1"/>
            </w14:solidFill>
          </w14:textFill>
        </w:rPr>
        <w:t>水基钻井液</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仅</w:t>
      </w:r>
      <w:r>
        <w:rPr>
          <w:rFonts w:cs="Times New Roman"/>
          <w:color w:val="000000" w:themeColor="text1"/>
          <w:szCs w:val="24"/>
          <w:highlight w:val="none"/>
          <w14:textFill>
            <w14:solidFill>
              <w14:schemeClr w14:val="tx1"/>
            </w14:solidFill>
          </w14:textFill>
        </w:rPr>
        <w:t>三开段</w:t>
      </w:r>
      <w:r>
        <w:rPr>
          <w:rFonts w:hint="eastAsia" w:cs="Times New Roman"/>
          <w:color w:val="000000" w:themeColor="text1"/>
          <w:szCs w:val="24"/>
          <w:highlight w:val="none"/>
          <w:lang w:val="en-US" w:eastAsia="zh-CN"/>
          <w14:textFill>
            <w14:solidFill>
              <w14:schemeClr w14:val="tx1"/>
            </w14:solidFill>
          </w14:textFill>
        </w:rPr>
        <w:t>采用</w:t>
      </w:r>
      <w:r>
        <w:rPr>
          <w:rFonts w:cs="Times New Roman"/>
          <w:color w:val="000000" w:themeColor="text1"/>
          <w:szCs w:val="24"/>
          <w:highlight w:val="none"/>
          <w14:textFill>
            <w14:solidFill>
              <w14:schemeClr w14:val="tx1"/>
            </w14:solidFill>
          </w14:textFill>
        </w:rPr>
        <w:t>油基钻井</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使用较环保的白油为基础的油基泥浆</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w:t>
      </w:r>
    </w:p>
    <w:p>
      <w:pPr>
        <w:ind w:firstLine="482"/>
        <w:rPr>
          <w:rFonts w:cs="Times New Roman"/>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①</w:t>
      </w:r>
      <w:r>
        <w:rPr>
          <w:rFonts w:cs="Times New Roman"/>
          <w:b/>
          <w:bCs/>
          <w:color w:val="000000" w:themeColor="text1"/>
          <w:highlight w:val="none"/>
          <w14:textFill>
            <w14:solidFill>
              <w14:schemeClr w14:val="tx1"/>
            </w14:solidFill>
          </w14:textFill>
        </w:rPr>
        <w:t>废水基钻井泥浆：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钻井过程中产生的废钻井泥浆主要来源于：</w:t>
      </w: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被更换的不适于钻井工程和地质要求的钻井泥浆；</w:t>
      </w: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在钻井过程中，因部分性能不合格而被排放的钻井泥浆；</w:t>
      </w: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完井时和洗井时井筒内被清水替出的钻井泥浆；</w:t>
      </w: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钻井泥浆循环系统跑、冒、滴、漏而排出的钻井泥浆。主要成分为水、粘土、聚合物、碳酸钠、氢氧化钠、氯化钾、石灰石和重晶石。</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根据本项目钻井设计，项目</w:t>
      </w:r>
      <w:r>
        <w:rPr>
          <w:rFonts w:hint="eastAsia" w:cs="Times New Roman"/>
          <w:color w:val="000000" w:themeColor="text1"/>
          <w:highlight w:val="none"/>
          <w:lang w:val="en-US" w:eastAsia="zh-CN"/>
          <w14:textFill>
            <w14:solidFill>
              <w14:schemeClr w14:val="tx1"/>
            </w14:solidFill>
          </w14:textFill>
        </w:rPr>
        <w:t>水基</w:t>
      </w:r>
      <w:r>
        <w:rPr>
          <w:rFonts w:cs="Times New Roman"/>
          <w:color w:val="000000" w:themeColor="text1"/>
          <w:highlight w:val="none"/>
          <w14:textFill>
            <w14:solidFill>
              <w14:schemeClr w14:val="tx1"/>
            </w14:solidFill>
          </w14:textFill>
        </w:rPr>
        <w:t>钻井阶段钻井液总用量约为</w:t>
      </w:r>
      <w:r>
        <w:rPr>
          <w:rFonts w:hint="eastAsia" w:cs="Times New Roman"/>
          <w:color w:val="000000" w:themeColor="text1"/>
          <w:highlight w:val="none"/>
          <w:lang w:val="en-US" w:eastAsia="zh-CN"/>
          <w14:textFill>
            <w14:solidFill>
              <w14:schemeClr w14:val="tx1"/>
            </w14:solidFill>
          </w14:textFill>
        </w:rPr>
        <w:t>24</w:t>
      </w:r>
      <w:r>
        <w:rPr>
          <w:rFonts w:cs="Times New Roman"/>
          <w:color w:val="000000" w:themeColor="text1"/>
          <w:highlight w:val="none"/>
          <w14:textFill>
            <w14:solidFill>
              <w14:schemeClr w14:val="tx1"/>
            </w14:solidFill>
          </w14:textFill>
        </w:rPr>
        <w:t>00m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，根据普光气田统计数据钻井液</w:t>
      </w:r>
      <w:r>
        <w:rPr>
          <w:rFonts w:cs="Times New Roman"/>
          <w:bCs/>
          <w:color w:val="000000" w:themeColor="text1"/>
          <w:highlight w:val="none"/>
          <w14:textFill>
            <w14:solidFill>
              <w14:schemeClr w14:val="tx1"/>
            </w14:solidFill>
          </w14:textFill>
        </w:rPr>
        <w:t>循环利用率在90%以上，故本项目约产生最大废弃水基钻井泥浆</w:t>
      </w:r>
      <w:r>
        <w:rPr>
          <w:rFonts w:hint="eastAsia" w:cs="Times New Roman"/>
          <w:bCs/>
          <w:color w:val="000000" w:themeColor="text1"/>
          <w:highlight w:val="none"/>
          <w:lang w:val="en-US" w:eastAsia="zh-CN"/>
          <w14:textFill>
            <w14:solidFill>
              <w14:schemeClr w14:val="tx1"/>
            </w14:solidFill>
          </w14:textFill>
        </w:rPr>
        <w:t>24</w:t>
      </w:r>
      <w:r>
        <w:rPr>
          <w:rFonts w:hint="eastAsia" w:cs="Times New Roman"/>
          <w:bCs/>
          <w:color w:val="000000" w:themeColor="text1"/>
          <w:highlight w:val="none"/>
          <w14:textFill>
            <w14:solidFill>
              <w14:schemeClr w14:val="tx1"/>
            </w14:solidFill>
          </w14:textFill>
        </w:rPr>
        <w:t>0</w:t>
      </w:r>
      <w:r>
        <w:rPr>
          <w:rFonts w:cs="Times New Roman"/>
          <w:color w:val="000000" w:themeColor="text1"/>
          <w:highlight w:val="none"/>
          <w14:textFill>
            <w14:solidFill>
              <w14:schemeClr w14:val="tx1"/>
            </w14:solidFill>
          </w14:textFill>
        </w:rPr>
        <w:t>m</w:t>
      </w:r>
      <w:r>
        <w:rPr>
          <w:rFonts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由于其pH较高（通常超过9），含有少量有机物添加剂，根据类比其他项目废弃钻井泥浆成分，确定废弃水基钻井泥浆为第Ⅱ类一般工业固体废物。</w:t>
      </w:r>
    </w:p>
    <w:p>
      <w:pPr>
        <w:ind w:firstLine="482"/>
        <w:rPr>
          <w:rFonts w:cs="Times New Roman"/>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②</w:t>
      </w:r>
      <w:r>
        <w:rPr>
          <w:rFonts w:cs="Times New Roman"/>
          <w:b/>
          <w:bCs/>
          <w:color w:val="000000" w:themeColor="text1"/>
          <w:highlight w:val="none"/>
          <w14:textFill>
            <w14:solidFill>
              <w14:schemeClr w14:val="tx1"/>
            </w14:solidFill>
          </w14:textFill>
        </w:rPr>
        <w:t>水基钻井岩屑：</w:t>
      </w:r>
    </w:p>
    <w:p>
      <w:pPr>
        <w:widowControl/>
        <w:adjustRightInd/>
        <w:snapToGrid/>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钻井岩屑是在钻井过程中钻头</w:t>
      </w:r>
      <w:r>
        <w:rPr>
          <w:rFonts w:hint="eastAsia" w:cs="Times New Roman"/>
          <w:color w:val="000000" w:themeColor="text1"/>
          <w:kern w:val="0"/>
          <w:highlight w:val="none"/>
          <w:lang w:eastAsia="zh-CN"/>
          <w14:textFill>
            <w14:solidFill>
              <w14:schemeClr w14:val="tx1"/>
            </w14:solidFill>
          </w14:textFill>
        </w:rPr>
        <w:t>切削</w:t>
      </w:r>
      <w:r>
        <w:rPr>
          <w:rFonts w:cs="Times New Roman"/>
          <w:color w:val="000000" w:themeColor="text1"/>
          <w:kern w:val="0"/>
          <w:highlight w:val="none"/>
          <w14:textFill>
            <w14:solidFill>
              <w14:schemeClr w14:val="tx1"/>
            </w14:solidFill>
          </w14:textFill>
        </w:rPr>
        <w:t>地层岩石而产生的碎屑，并通过钻井泥浆和洗井液带出至地面。主要成分为岩石、土壤及钻井液。其产生量与井眼长度、平均井径有关。根据本项目钻井阶段各开次进尺、钻头尺寸，并取一定的容积扩大倍数（清水和水基钻井</w:t>
      </w:r>
      <w:r>
        <w:rPr>
          <w:rFonts w:hint="eastAsia" w:cs="Times New Roman"/>
          <w:color w:val="000000" w:themeColor="text1"/>
          <w:kern w:val="0"/>
          <w:highlight w:val="none"/>
          <w14:textFill>
            <w14:solidFill>
              <w14:schemeClr w14:val="tx1"/>
            </w14:solidFill>
          </w14:textFill>
        </w:rPr>
        <w:t>一般</w:t>
      </w:r>
      <w:r>
        <w:rPr>
          <w:rFonts w:cs="Times New Roman"/>
          <w:color w:val="000000" w:themeColor="text1"/>
          <w:kern w:val="0"/>
          <w:highlight w:val="none"/>
          <w14:textFill>
            <w14:solidFill>
              <w14:schemeClr w14:val="tx1"/>
            </w14:solidFill>
          </w14:textFill>
        </w:rPr>
        <w:t>取</w:t>
      </w:r>
      <w:r>
        <w:rPr>
          <w:rFonts w:hint="eastAsia" w:cs="Times New Roman"/>
          <w:color w:val="000000" w:themeColor="text1"/>
          <w:kern w:val="0"/>
          <w:highlight w:val="none"/>
          <w14:textFill>
            <w14:solidFill>
              <w14:schemeClr w14:val="tx1"/>
            </w14:solidFill>
          </w14:textFill>
        </w:rPr>
        <w:t>2.5~</w:t>
      </w:r>
      <w:r>
        <w:rPr>
          <w:rFonts w:cs="Times New Roman"/>
          <w:color w:val="000000" w:themeColor="text1"/>
          <w:kern w:val="0"/>
          <w:highlight w:val="none"/>
          <w14:textFill>
            <w14:solidFill>
              <w14:schemeClr w14:val="tx1"/>
            </w14:solidFill>
          </w14:textFill>
        </w:rPr>
        <w:t>5倍</w:t>
      </w:r>
      <w:r>
        <w:rPr>
          <w:rFonts w:hint="eastAsia" w:cs="Times New Roman"/>
          <w:color w:val="000000" w:themeColor="text1"/>
          <w:kern w:val="0"/>
          <w:highlight w:val="none"/>
          <w14:textFill>
            <w14:solidFill>
              <w14:schemeClr w14:val="tx1"/>
            </w14:solidFill>
          </w14:textFill>
        </w:rPr>
        <w:t>，油基钻井取3~6倍，本次评价保守按</w:t>
      </w:r>
      <w:r>
        <w:rPr>
          <w:rFonts w:cs="Times New Roman"/>
          <w:color w:val="000000" w:themeColor="text1"/>
          <w:kern w:val="0"/>
          <w:highlight w:val="none"/>
          <w14:textFill>
            <w14:solidFill>
              <w14:schemeClr w14:val="tx1"/>
            </w14:solidFill>
          </w14:textFill>
        </w:rPr>
        <w:t>清水和水基钻井</w:t>
      </w:r>
      <w:r>
        <w:rPr>
          <w:rFonts w:hint="eastAsia" w:cs="Times New Roman"/>
          <w:color w:val="000000" w:themeColor="text1"/>
          <w:kern w:val="0"/>
          <w:highlight w:val="none"/>
          <w14:textFill>
            <w14:solidFill>
              <w14:schemeClr w14:val="tx1"/>
            </w14:solidFill>
          </w14:textFill>
        </w:rPr>
        <w:t>一般</w:t>
      </w:r>
      <w:r>
        <w:rPr>
          <w:rFonts w:cs="Times New Roman"/>
          <w:color w:val="000000" w:themeColor="text1"/>
          <w:kern w:val="0"/>
          <w:highlight w:val="none"/>
          <w14:textFill>
            <w14:solidFill>
              <w14:schemeClr w14:val="tx1"/>
            </w14:solidFill>
          </w14:textFill>
        </w:rPr>
        <w:t>取5倍</w:t>
      </w:r>
      <w:r>
        <w:rPr>
          <w:rFonts w:hint="eastAsia" w:cs="Times New Roman"/>
          <w:color w:val="000000" w:themeColor="text1"/>
          <w:kern w:val="0"/>
          <w:highlight w:val="none"/>
          <w14:textFill>
            <w14:solidFill>
              <w14:schemeClr w14:val="tx1"/>
            </w14:solidFill>
          </w14:textFill>
        </w:rPr>
        <w:t>，油基钻井取6倍考虑</w:t>
      </w:r>
      <w:r>
        <w:rPr>
          <w:rFonts w:cs="Times New Roman"/>
          <w:color w:val="000000" w:themeColor="text1"/>
          <w:kern w:val="0"/>
          <w:highlight w:val="none"/>
          <w14:textFill>
            <w14:solidFill>
              <w14:schemeClr w14:val="tx1"/>
            </w14:solidFill>
          </w14:textFill>
        </w:rPr>
        <w:t>），本项目钻井岩屑产生量见</w:t>
      </w:r>
      <w:r>
        <w:rPr>
          <w:rFonts w:cs="Times New Roman"/>
          <w:bCs/>
          <w:color w:val="000000" w:themeColor="text1"/>
          <w:highlight w:val="none"/>
          <w14:textFill>
            <w14:solidFill>
              <w14:schemeClr w14:val="tx1"/>
            </w14:solidFill>
          </w14:textFill>
        </w:rPr>
        <w:fldChar w:fldCharType="begin"/>
      </w:r>
      <w:r>
        <w:rPr>
          <w:rFonts w:cs="Times New Roman"/>
          <w:bCs/>
          <w:color w:val="000000" w:themeColor="text1"/>
          <w:highlight w:val="none"/>
          <w14:textFill>
            <w14:solidFill>
              <w14:schemeClr w14:val="tx1"/>
            </w14:solidFill>
          </w14:textFill>
        </w:rPr>
        <w:instrText xml:space="preserve"> REF _Ref142593515 \h  \* MERGEFORMAT </w:instrText>
      </w:r>
      <w:r>
        <w:rPr>
          <w:rFonts w:cs="Times New Roman"/>
          <w:bCs/>
          <w:color w:val="000000" w:themeColor="text1"/>
          <w:highlight w:val="none"/>
          <w14:textFill>
            <w14:solidFill>
              <w14:schemeClr w14:val="tx1"/>
            </w14:solidFill>
          </w14:textFill>
        </w:rPr>
        <w:fldChar w:fldCharType="separate"/>
      </w:r>
      <w:r>
        <w:rPr>
          <w:rFonts w:hint="eastAsia" w:cs="Times New Roman"/>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3.4</w:t>
      </w:r>
      <w:r>
        <w:rPr>
          <w:rFonts w:cs="Times New Roman"/>
          <w:color w:val="000000" w:themeColor="text1"/>
          <w:highlight w:val="none"/>
          <w14:textFill>
            <w14:solidFill>
              <w14:schemeClr w14:val="tx1"/>
            </w14:solidFill>
          </w14:textFill>
        </w:rPr>
        <w:noBreakHyphen/>
      </w:r>
      <w:r>
        <w:rPr>
          <w:rFonts w:cs="Times New Roman"/>
          <w:color w:val="000000" w:themeColor="text1"/>
          <w:highlight w:val="none"/>
          <w14:textFill>
            <w14:solidFill>
              <w14:schemeClr w14:val="tx1"/>
            </w14:solidFill>
          </w14:textFill>
        </w:rPr>
        <w:t>7</w:t>
      </w:r>
      <w:r>
        <w:rPr>
          <w:rFonts w:cs="Times New Roman"/>
          <w:bCs/>
          <w:color w:val="000000" w:themeColor="text1"/>
          <w:highlight w:val="none"/>
          <w14:textFill>
            <w14:solidFill>
              <w14:schemeClr w14:val="tx1"/>
            </w14:solidFill>
          </w14:textFill>
        </w:rPr>
        <w:fldChar w:fldCharType="end"/>
      </w:r>
      <w:r>
        <w:rPr>
          <w:rFonts w:cs="Times New Roman"/>
          <w:color w:val="000000" w:themeColor="text1"/>
          <w:kern w:val="0"/>
          <w:highlight w:val="none"/>
          <w14:textFill>
            <w14:solidFill>
              <w14:schemeClr w14:val="tx1"/>
            </w14:solidFill>
          </w14:textFill>
        </w:rPr>
        <w:t>。</w:t>
      </w:r>
    </w:p>
    <w:p>
      <w:pPr>
        <w:widowControl/>
        <w:adjustRightInd/>
        <w:snapToGrid/>
        <w:ind w:firstLine="480"/>
        <w:jc w:val="left"/>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eastAsia="zh-CN"/>
          <w14:textFill>
            <w14:solidFill>
              <w14:schemeClr w14:val="tx1"/>
            </w14:solidFill>
          </w14:textFill>
        </w:rPr>
        <w:t>计算公式</w:t>
      </w:r>
      <w:r>
        <w:rPr>
          <w:rFonts w:cs="Times New Roman"/>
          <w:color w:val="000000" w:themeColor="text1"/>
          <w:kern w:val="0"/>
          <w:highlight w:val="none"/>
          <w14:textFill>
            <w14:solidFill>
              <w14:schemeClr w14:val="tx1"/>
            </w14:solidFill>
          </w14:textFill>
        </w:rPr>
        <w:t>如下：</w:t>
      </w:r>
    </w:p>
    <w:p>
      <w:pPr>
        <w:widowControl/>
        <w:adjustRightInd/>
        <w:snapToGrid/>
        <w:ind w:firstLine="420" w:firstLineChars="0"/>
        <w:jc w:val="center"/>
        <w:rPr>
          <w:rFonts w:cs="Times New Roman"/>
          <w:color w:val="000000" w:themeColor="text1"/>
          <w:kern w:val="0"/>
          <w:sz w:val="22"/>
          <w:szCs w:val="21"/>
          <w:highlight w:val="none"/>
          <w14:textFill>
            <w14:solidFill>
              <w14:schemeClr w14:val="tx1"/>
            </w14:solidFill>
          </w14:textFill>
        </w:rPr>
      </w:pPr>
      <w:r>
        <w:rPr>
          <w:rFonts w:cs="Times New Roman"/>
          <w:color w:val="000000" w:themeColor="text1"/>
          <w:kern w:val="0"/>
          <w:sz w:val="22"/>
          <w:szCs w:val="21"/>
          <w:highlight w:val="none"/>
          <w14:textFill>
            <w14:solidFill>
              <w14:schemeClr w14:val="tx1"/>
            </w14:solidFill>
          </w14:textFill>
        </w:rPr>
        <w:t>V</w:t>
      </w:r>
      <w:r>
        <w:rPr>
          <w:rFonts w:cs="Times New Roman"/>
          <w:color w:val="000000" w:themeColor="text1"/>
          <w:kern w:val="0"/>
          <w:sz w:val="22"/>
          <w:szCs w:val="21"/>
          <w:highlight w:val="none"/>
          <w:vertAlign w:val="subscript"/>
          <w14:textFill>
            <w14:solidFill>
              <w14:schemeClr w14:val="tx1"/>
            </w14:solidFill>
          </w14:textFill>
        </w:rPr>
        <w:t>清水和水基=</w:t>
      </w:r>
      <w:r>
        <w:rPr>
          <w:rFonts w:cs="Times New Roman"/>
          <w:color w:val="000000" w:themeColor="text1"/>
          <w:kern w:val="0"/>
          <w:sz w:val="22"/>
          <w:szCs w:val="21"/>
          <w:highlight w:val="none"/>
          <w:lang w:eastAsia="en-US"/>
          <w14:textFill>
            <w14:solidFill>
              <w14:schemeClr w14:val="tx1"/>
            </w14:solidFill>
          </w14:textFill>
        </w:rPr>
        <w:t>π</w:t>
      </w:r>
      <w:r>
        <w:rPr>
          <w:rFonts w:cs="Times New Roman"/>
          <w:color w:val="000000" w:themeColor="text1"/>
          <w:kern w:val="0"/>
          <w:sz w:val="22"/>
          <w:szCs w:val="21"/>
          <w:highlight w:val="none"/>
          <w14:textFill>
            <w14:solidFill>
              <w14:schemeClr w14:val="tx1"/>
            </w14:solidFill>
          </w14:textFill>
        </w:rPr>
        <w:t>*r</w:t>
      </w:r>
      <w:r>
        <w:rPr>
          <w:rFonts w:cs="Times New Roman"/>
          <w:color w:val="000000" w:themeColor="text1"/>
          <w:kern w:val="0"/>
          <w:sz w:val="22"/>
          <w:szCs w:val="21"/>
          <w:highlight w:val="none"/>
          <w:vertAlign w:val="superscript"/>
          <w14:textFill>
            <w14:solidFill>
              <w14:schemeClr w14:val="tx1"/>
            </w14:solidFill>
          </w14:textFill>
        </w:rPr>
        <w:t>2</w:t>
      </w:r>
      <w:r>
        <w:rPr>
          <w:rFonts w:cs="Times New Roman"/>
          <w:color w:val="000000" w:themeColor="text1"/>
          <w:kern w:val="0"/>
          <w:sz w:val="22"/>
          <w:szCs w:val="21"/>
          <w:highlight w:val="none"/>
          <w14:textFill>
            <w14:solidFill>
              <w14:schemeClr w14:val="tx1"/>
            </w14:solidFill>
          </w14:textFill>
        </w:rPr>
        <w:t>*d*</w:t>
      </w:r>
      <w:r>
        <w:rPr>
          <w:rFonts w:hint="eastAsia" w:cs="Times New Roman"/>
          <w:color w:val="000000" w:themeColor="text1"/>
          <w:kern w:val="0"/>
          <w:sz w:val="22"/>
          <w:szCs w:val="21"/>
          <w:highlight w:val="none"/>
          <w14:textFill>
            <w14:solidFill>
              <w14:schemeClr w14:val="tx1"/>
            </w14:solidFill>
          </w14:textFill>
        </w:rPr>
        <w:t>5</w:t>
      </w:r>
    </w:p>
    <w:p>
      <w:pPr>
        <w:widowControl/>
        <w:adjustRightInd/>
        <w:snapToGrid/>
        <w:ind w:firstLine="420" w:firstLineChars="0"/>
        <w:jc w:val="center"/>
        <w:rPr>
          <w:rFonts w:cs="Times New Roman"/>
          <w:color w:val="000000" w:themeColor="text1"/>
          <w:kern w:val="0"/>
          <w:sz w:val="22"/>
          <w:szCs w:val="21"/>
          <w:highlight w:val="none"/>
          <w14:textFill>
            <w14:solidFill>
              <w14:schemeClr w14:val="tx1"/>
            </w14:solidFill>
          </w14:textFill>
        </w:rPr>
      </w:pPr>
      <w:r>
        <w:rPr>
          <w:rFonts w:cs="Times New Roman"/>
          <w:color w:val="000000" w:themeColor="text1"/>
          <w:kern w:val="0"/>
          <w:sz w:val="22"/>
          <w:szCs w:val="21"/>
          <w:highlight w:val="none"/>
          <w14:textFill>
            <w14:solidFill>
              <w14:schemeClr w14:val="tx1"/>
            </w14:solidFill>
          </w14:textFill>
        </w:rPr>
        <w:t>V</w:t>
      </w:r>
      <w:r>
        <w:rPr>
          <w:rFonts w:cs="Times New Roman"/>
          <w:color w:val="000000" w:themeColor="text1"/>
          <w:kern w:val="0"/>
          <w:sz w:val="22"/>
          <w:szCs w:val="21"/>
          <w:highlight w:val="none"/>
          <w:vertAlign w:val="subscript"/>
          <w14:textFill>
            <w14:solidFill>
              <w14:schemeClr w14:val="tx1"/>
            </w14:solidFill>
          </w14:textFill>
        </w:rPr>
        <w:t>油基</w:t>
      </w:r>
      <w:r>
        <w:rPr>
          <w:rFonts w:cs="Times New Roman"/>
          <w:color w:val="000000" w:themeColor="text1"/>
          <w:kern w:val="0"/>
          <w:sz w:val="22"/>
          <w:szCs w:val="21"/>
          <w:highlight w:val="none"/>
          <w14:textFill>
            <w14:solidFill>
              <w14:schemeClr w14:val="tx1"/>
            </w14:solidFill>
          </w14:textFill>
        </w:rPr>
        <w:t>=</w:t>
      </w:r>
      <w:r>
        <w:rPr>
          <w:rFonts w:cs="Times New Roman"/>
          <w:color w:val="000000" w:themeColor="text1"/>
          <w:kern w:val="0"/>
          <w:sz w:val="22"/>
          <w:szCs w:val="21"/>
          <w:highlight w:val="none"/>
          <w:lang w:eastAsia="en-US"/>
          <w14:textFill>
            <w14:solidFill>
              <w14:schemeClr w14:val="tx1"/>
            </w14:solidFill>
          </w14:textFill>
        </w:rPr>
        <w:t>π</w:t>
      </w:r>
      <w:r>
        <w:rPr>
          <w:rFonts w:cs="Times New Roman"/>
          <w:color w:val="000000" w:themeColor="text1"/>
          <w:kern w:val="0"/>
          <w:sz w:val="22"/>
          <w:szCs w:val="21"/>
          <w:highlight w:val="none"/>
          <w14:textFill>
            <w14:solidFill>
              <w14:schemeClr w14:val="tx1"/>
            </w14:solidFill>
          </w14:textFill>
        </w:rPr>
        <w:t>*r</w:t>
      </w:r>
      <w:r>
        <w:rPr>
          <w:rFonts w:cs="Times New Roman"/>
          <w:color w:val="000000" w:themeColor="text1"/>
          <w:kern w:val="0"/>
          <w:sz w:val="22"/>
          <w:szCs w:val="21"/>
          <w:highlight w:val="none"/>
          <w:vertAlign w:val="superscript"/>
          <w14:textFill>
            <w14:solidFill>
              <w14:schemeClr w14:val="tx1"/>
            </w14:solidFill>
          </w14:textFill>
        </w:rPr>
        <w:t>2</w:t>
      </w:r>
      <w:r>
        <w:rPr>
          <w:rFonts w:cs="Times New Roman"/>
          <w:color w:val="000000" w:themeColor="text1"/>
          <w:kern w:val="0"/>
          <w:sz w:val="22"/>
          <w:szCs w:val="21"/>
          <w:highlight w:val="none"/>
          <w14:textFill>
            <w14:solidFill>
              <w14:schemeClr w14:val="tx1"/>
            </w14:solidFill>
          </w14:textFill>
        </w:rPr>
        <w:t>*d*</w:t>
      </w:r>
      <w:r>
        <w:rPr>
          <w:rFonts w:hint="eastAsia" w:cs="Times New Roman"/>
          <w:color w:val="000000" w:themeColor="text1"/>
          <w:kern w:val="0"/>
          <w:sz w:val="22"/>
          <w:szCs w:val="21"/>
          <w:highlight w:val="none"/>
          <w14:textFill>
            <w14:solidFill>
              <w14:schemeClr w14:val="tx1"/>
            </w14:solidFill>
          </w14:textFill>
        </w:rPr>
        <w:t>6</w:t>
      </w:r>
    </w:p>
    <w:p>
      <w:pPr>
        <w:pStyle w:val="201"/>
        <w:spacing w:before="120"/>
        <w:rPr>
          <w:rFonts w:hint="eastAsia"/>
          <w:color w:val="000000" w:themeColor="text1"/>
          <w:highlight w:val="none"/>
          <w14:textFill>
            <w14:solidFill>
              <w14:schemeClr w14:val="tx1"/>
            </w14:solidFill>
          </w14:textFill>
        </w:rPr>
      </w:pPr>
      <w:bookmarkStart w:id="174" w:name="_Ref142593515"/>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17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水基钻井期间岩屑产生量估算表</w:t>
      </w:r>
    </w:p>
    <w:tbl>
      <w:tblPr>
        <w:tblStyle w:val="5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54"/>
        <w:gridCol w:w="1425"/>
        <w:gridCol w:w="1191"/>
        <w:gridCol w:w="1191"/>
        <w:gridCol w:w="1435"/>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trPr>
        <w:tc>
          <w:tcPr>
            <w:tcW w:w="560"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井号</w:t>
            </w: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开次</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钻头尺寸</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mm</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总进尺（</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计算值（</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固废类型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restar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lang w:val="en-US"/>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雷页1-2HF井</w:t>
            </w: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导管</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660.4</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60</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102.76</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清水岩屑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一开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444.5</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1441</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1118.03</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二开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311.2</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2721</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1034.80</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三开（油基）</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215.9</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1937</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425.46</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油基岩屑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restar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雷页1-3HF井</w:t>
            </w: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导管</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660.4</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60</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102.76</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清水岩屑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一开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444.5</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1441</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1118.03</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二开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311.2</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2667</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1014.26</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三开（油基）</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215.9</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1963</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431.18</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油基岩屑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restar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合计</w:t>
            </w: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导管</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660.4</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120</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205.51</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清水岩屑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一开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444.5</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2882</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2236.07</w:t>
            </w:r>
          </w:p>
        </w:tc>
        <w:tc>
          <w:tcPr>
            <w:tcW w:w="1364" w:type="pct"/>
            <w:vMerge w:val="restar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lang w:val="en-US"/>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水基岩屑（合计4285.13m</w:t>
            </w:r>
            <w:r>
              <w:rPr>
                <w:rFonts w:hint="eastAsia" w:ascii="Times New Roman" w:hAnsi="Times New Roman" w:eastAsia="宋体" w:cs="Times New Roman"/>
                <w:color w:val="000000" w:themeColor="text1"/>
                <w:sz w:val="21"/>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二开</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311.2</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5388</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2049.06</w:t>
            </w:r>
          </w:p>
        </w:tc>
        <w:tc>
          <w:tcPr>
            <w:tcW w:w="1364"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60" w:type="pct"/>
            <w:vMerge w:val="continue"/>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p>
        </w:tc>
        <w:tc>
          <w:tcPr>
            <w:tcW w:w="835"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三开（油基）</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215.9</w:t>
            </w:r>
          </w:p>
        </w:tc>
        <w:tc>
          <w:tcPr>
            <w:tcW w:w="698"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3900</w:t>
            </w:r>
          </w:p>
        </w:tc>
        <w:tc>
          <w:tcPr>
            <w:tcW w:w="841"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856.64</w:t>
            </w:r>
          </w:p>
        </w:tc>
        <w:tc>
          <w:tcPr>
            <w:tcW w:w="1364" w:type="pct"/>
            <w:shd w:val="clear" w:color="auto" w:fill="auto"/>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4"/>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油基岩屑</w:t>
            </w:r>
          </w:p>
        </w:tc>
      </w:tr>
    </w:tbl>
    <w:p>
      <w:pPr>
        <w:pStyle w:val="20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20" w:beforeLines="50"/>
        <w:ind w:firstLine="480"/>
        <w:textAlignment w:val="auto"/>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cs="Times New Roman"/>
          <w:color w:val="000000" w:themeColor="text1"/>
          <w:kern w:val="0"/>
          <w:highlight w:val="none"/>
          <w14:textFill>
            <w14:solidFill>
              <w14:schemeClr w14:val="tx1"/>
            </w14:solidFill>
          </w14:textFill>
        </w:rPr>
        <w:t>清水岩屑产生总量约为</w:t>
      </w:r>
      <w:r>
        <w:rPr>
          <w:rFonts w:hint="eastAsia" w:cs="Times New Roman"/>
          <w:color w:val="000000" w:themeColor="text1"/>
          <w:kern w:val="0"/>
          <w:highlight w:val="none"/>
          <w:lang w:eastAsia="zh-CN"/>
          <w14:textFill>
            <w14:solidFill>
              <w14:schemeClr w14:val="tx1"/>
            </w14:solidFill>
          </w14:textFill>
        </w:rPr>
        <w:t>205.51m</w:t>
      </w:r>
      <w:r>
        <w:rPr>
          <w:rFonts w:cs="Times New Roman"/>
          <w:color w:val="000000" w:themeColor="text1"/>
          <w:kern w:val="0"/>
          <w:highlight w:val="none"/>
          <w:vertAlign w:val="superscript"/>
          <w14:textFill>
            <w14:solidFill>
              <w14:schemeClr w14:val="tx1"/>
            </w14:solidFill>
          </w14:textFill>
        </w:rPr>
        <w:t>3</w:t>
      </w:r>
      <w:r>
        <w:rPr>
          <w:rFonts w:cs="Times New Roman"/>
          <w:color w:val="000000" w:themeColor="text1"/>
          <w:kern w:val="0"/>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水基岩屑产生量约</w:t>
      </w:r>
      <w:r>
        <w:rPr>
          <w:rFonts w:hint="eastAsia" w:cs="Times New Roman"/>
          <w:color w:val="000000" w:themeColor="text1"/>
          <w:highlight w:val="none"/>
          <w:lang w:eastAsia="zh-CN"/>
          <w14:textFill>
            <w14:solidFill>
              <w14:schemeClr w14:val="tx1"/>
            </w14:solidFill>
          </w14:textFill>
        </w:rPr>
        <w:t>4285.13m</w:t>
      </w:r>
      <w:r>
        <w:rPr>
          <w:rFonts w:hint="eastAsia" w:cs="Times New Roman"/>
          <w:color w:val="000000" w:themeColor="text1"/>
          <w:highlight w:val="none"/>
          <w:vertAlign w:val="superscript"/>
          <w14:textFill>
            <w14:solidFill>
              <w14:schemeClr w14:val="tx1"/>
            </w14:solidFill>
          </w14:textFill>
        </w:rPr>
        <w:t>3</w:t>
      </w:r>
      <w:r>
        <w:rPr>
          <w:rFonts w:hint="eastAsia"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水基岩屑</w:t>
      </w:r>
      <w:r>
        <w:rPr>
          <w:rFonts w:hint="eastAsia" w:cs="Times New Roman"/>
          <w:color w:val="000000" w:themeColor="text1"/>
          <w:kern w:val="0"/>
          <w:highlight w:val="none"/>
          <w14:textFill>
            <w14:solidFill>
              <w14:schemeClr w14:val="tx1"/>
            </w14:solidFill>
          </w14:textFill>
        </w:rPr>
        <w:t>与</w:t>
      </w:r>
      <w:r>
        <w:rPr>
          <w:rFonts w:cs="Times New Roman"/>
          <w:bCs/>
          <w:color w:val="000000" w:themeColor="text1"/>
          <w:highlight w:val="none"/>
          <w14:textFill>
            <w14:solidFill>
              <w14:schemeClr w14:val="tx1"/>
            </w14:solidFill>
          </w14:textFill>
        </w:rPr>
        <w:t>废弃水基钻井泥浆</w:t>
      </w:r>
      <w:r>
        <w:rPr>
          <w:rFonts w:hint="eastAsia" w:cs="Times New Roman"/>
          <w:bCs/>
          <w:color w:val="000000" w:themeColor="text1"/>
          <w:highlight w:val="none"/>
          <w14:textFill>
            <w14:solidFill>
              <w14:schemeClr w14:val="tx1"/>
            </w14:solidFill>
          </w14:textFill>
        </w:rPr>
        <w:t>总量为</w:t>
      </w:r>
      <w:r>
        <w:rPr>
          <w:rFonts w:hint="eastAsia" w:cs="Times New Roman"/>
          <w:bCs/>
          <w:color w:val="000000" w:themeColor="text1"/>
          <w:highlight w:val="none"/>
          <w:lang w:eastAsia="zh-CN"/>
          <w14:textFill>
            <w14:solidFill>
              <w14:schemeClr w14:val="tx1"/>
            </w14:solidFill>
          </w14:textFill>
        </w:rPr>
        <w:t>4525.13m</w:t>
      </w:r>
      <w:r>
        <w:rPr>
          <w:rFonts w:cs="Times New Roman"/>
          <w:bCs/>
          <w:color w:val="000000" w:themeColor="text1"/>
          <w:highlight w:val="none"/>
          <w:vertAlign w:val="superscript"/>
          <w14:textFill>
            <w14:solidFill>
              <w14:schemeClr w14:val="tx1"/>
            </w14:solidFill>
          </w14:textFill>
        </w:rPr>
        <w:t>3</w:t>
      </w:r>
      <w:r>
        <w:rPr>
          <w:rFonts w:cs="Times New Roman"/>
          <w:color w:val="000000" w:themeColor="text1"/>
          <w:kern w:val="0"/>
          <w:highlight w:val="none"/>
          <w14:textFill>
            <w14:solidFill>
              <w14:schemeClr w14:val="tx1"/>
            </w14:solidFill>
          </w14:textFill>
        </w:rPr>
        <w:t>。</w:t>
      </w:r>
      <w:r>
        <w:rPr>
          <w:rFonts w:cs="Times New Roman"/>
          <w:color w:val="000000" w:themeColor="text1"/>
          <w:highlight w:val="none"/>
          <w14:textFill>
            <w14:solidFill>
              <w14:schemeClr w14:val="tx1"/>
            </w14:solidFill>
          </w14:textFill>
        </w:rPr>
        <w:t>根据统计资料经泥浆不落地装置处理后水基钻井固废容重约1.8t/m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，故</w:t>
      </w:r>
      <w:r>
        <w:rPr>
          <w:rFonts w:hint="eastAsia" w:cs="Times New Roman"/>
          <w:color w:val="000000" w:themeColor="text1"/>
          <w:highlight w:val="none"/>
          <w14:textFill>
            <w14:solidFill>
              <w14:schemeClr w14:val="tx1"/>
            </w14:solidFill>
          </w14:textFill>
        </w:rPr>
        <w:t>钻井</w:t>
      </w:r>
      <w:r>
        <w:rPr>
          <w:rFonts w:cs="Times New Roman"/>
          <w:color w:val="000000" w:themeColor="text1"/>
          <w:highlight w:val="none"/>
          <w14:textFill>
            <w14:solidFill>
              <w14:schemeClr w14:val="tx1"/>
            </w14:solidFill>
          </w14:textFill>
        </w:rPr>
        <w:t>岩屑和废弃泥浆产生量</w:t>
      </w:r>
      <w:r>
        <w:rPr>
          <w:rFonts w:hint="eastAsia" w:cs="Times New Roman"/>
          <w:color w:val="000000" w:themeColor="text1"/>
          <w:highlight w:val="none"/>
          <w14:textFill>
            <w14:solidFill>
              <w14:schemeClr w14:val="tx1"/>
            </w14:solidFill>
          </w14:textFill>
        </w:rPr>
        <w:t>共计</w:t>
      </w:r>
      <w:r>
        <w:rPr>
          <w:rFonts w:cs="Times New Roman"/>
          <w:color w:val="000000" w:themeColor="text1"/>
          <w:highlight w:val="none"/>
          <w14:textFill>
            <w14:solidFill>
              <w14:schemeClr w14:val="tx1"/>
            </w14:solidFill>
          </w14:textFill>
        </w:rPr>
        <w:t>约</w:t>
      </w:r>
      <w:r>
        <w:rPr>
          <w:rFonts w:hint="eastAsia" w:cs="Times New Roman"/>
          <w:color w:val="000000" w:themeColor="text1"/>
          <w:highlight w:val="none"/>
          <w:lang w:eastAsia="zh-CN"/>
          <w14:textFill>
            <w14:solidFill>
              <w14:schemeClr w14:val="tx1"/>
            </w14:solidFill>
          </w14:textFill>
        </w:rPr>
        <w:t>8145.234t，</w:t>
      </w:r>
      <w:r>
        <w:rPr>
          <w:rFonts w:cs="Times New Roman"/>
          <w:color w:val="000000" w:themeColor="text1"/>
          <w:highlight w:val="none"/>
          <w14:textFill>
            <w14:solidFill>
              <w14:schemeClr w14:val="tx1"/>
            </w14:solidFill>
          </w14:textFill>
        </w:rPr>
        <w:t>其性质为第Ⅱ类一般工业固体废物。</w:t>
      </w:r>
    </w:p>
    <w:p>
      <w:pPr>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水基钻井阶段</w:t>
      </w:r>
      <w:r>
        <w:rPr>
          <w:rFonts w:cs="Times New Roman"/>
          <w:color w:val="000000" w:themeColor="text1"/>
          <w:szCs w:val="24"/>
          <w:highlight w:val="none"/>
          <w14:textFill>
            <w14:solidFill>
              <w14:schemeClr w14:val="tx1"/>
            </w14:solidFill>
          </w14:textFill>
        </w:rPr>
        <w:t>废弃泥浆和岩屑在钻井现场经泥浆不落地工艺经脱稳-板框压滤进行固液分离后产生的固态</w:t>
      </w:r>
      <w:r>
        <w:rPr>
          <w:rFonts w:cs="Times New Roman"/>
          <w:bCs/>
          <w:color w:val="000000" w:themeColor="text1"/>
          <w:szCs w:val="24"/>
          <w:highlight w:val="none"/>
          <w14:textFill>
            <w14:solidFill>
              <w14:schemeClr w14:val="tx1"/>
            </w14:solidFill>
          </w14:textFill>
        </w:rPr>
        <w:t>钻井固废</w:t>
      </w:r>
      <w:r>
        <w:rPr>
          <w:rFonts w:cs="Times New Roman"/>
          <w:color w:val="000000" w:themeColor="text1"/>
          <w:szCs w:val="24"/>
          <w:highlight w:val="none"/>
          <w14:textFill>
            <w14:solidFill>
              <w14:schemeClr w14:val="tx1"/>
            </w14:solidFill>
          </w14:textFill>
        </w:rPr>
        <w:t>，主要成分为废钻井泥浆、岩屑、无机盐、普通有机聚合物，本项目钻井泥浆为水基钻井泥浆，不添加重金属等，不具有危险特性，依据《一般工业固体废物贮存和填埋污染控制标准》（GB18599-2020）的相关规定，本项目水基岩屑和泥浆属于第Ⅱ类一般工业固体废物，完井后及时就近交给依法取得生态环境部门关于利用和处置相关工业固体废物项目环评批复、具有处理处置相应固体废物能力并配套建设有废气、废水、固废等污染物治理设施的单位进行资源化利用。</w:t>
      </w:r>
      <w:r>
        <w:rPr>
          <w:color w:val="000000" w:themeColor="text1"/>
          <w:szCs w:val="24"/>
          <w:highlight w:val="none"/>
          <w14:textFill>
            <w14:solidFill>
              <w14:schemeClr w14:val="tx1"/>
            </w14:solidFill>
          </w14:textFill>
        </w:rPr>
        <w:t>同时对</w:t>
      </w:r>
      <w:r>
        <w:rPr>
          <w:rFonts w:hint="eastAsia"/>
          <w:color w:val="000000" w:themeColor="text1"/>
          <w:szCs w:val="24"/>
          <w:highlight w:val="none"/>
          <w14:textFill>
            <w14:solidFill>
              <w14:schemeClr w14:val="tx1"/>
            </w14:solidFill>
          </w14:textFill>
        </w:rPr>
        <w:t>钻井固废暂存区</w:t>
      </w:r>
      <w:r>
        <w:rPr>
          <w:color w:val="000000" w:themeColor="text1"/>
          <w:szCs w:val="24"/>
          <w:highlight w:val="none"/>
          <w14:textFill>
            <w14:solidFill>
              <w14:schemeClr w14:val="tx1"/>
            </w14:solidFill>
          </w14:textFill>
        </w:rPr>
        <w:t>进行防渗，设置雨棚及排水沟。通过以上措施，</w:t>
      </w:r>
      <w:r>
        <w:rPr>
          <w:color w:val="000000" w:themeColor="text1"/>
          <w:highlight w:val="none"/>
          <w14:textFill>
            <w14:solidFill>
              <w14:schemeClr w14:val="tx1"/>
            </w14:solidFill>
          </w14:textFill>
        </w:rPr>
        <w:t>水基钻井固废</w:t>
      </w:r>
      <w:r>
        <w:rPr>
          <w:color w:val="000000" w:themeColor="text1"/>
          <w:szCs w:val="24"/>
          <w:highlight w:val="none"/>
          <w14:textFill>
            <w14:solidFill>
              <w14:schemeClr w14:val="tx1"/>
            </w14:solidFill>
          </w14:textFill>
        </w:rPr>
        <w:t>全部综合利用，完钻后现场无遗留</w:t>
      </w:r>
      <w:r>
        <w:rPr>
          <w:rFonts w:cs="Times New Roman"/>
          <w:color w:val="000000" w:themeColor="text1"/>
          <w:szCs w:val="24"/>
          <w:highlight w:val="none"/>
          <w14:textFill>
            <w14:solidFill>
              <w14:schemeClr w14:val="tx1"/>
            </w14:solidFill>
          </w14:textFill>
        </w:rPr>
        <w:t>。</w:t>
      </w:r>
    </w:p>
    <w:p>
      <w:pPr>
        <w:ind w:firstLine="482"/>
        <w:rPr>
          <w:rFonts w:hint="eastAsia" w:eastAsia="宋体" w:cs="Times New Roman"/>
          <w:b/>
          <w:bCs/>
          <w:color w:val="000000" w:themeColor="text1"/>
          <w:highlight w:val="none"/>
          <w:lang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3</w:t>
      </w:r>
      <w:r>
        <w:rPr>
          <w:rFonts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油</w:t>
      </w:r>
      <w:r>
        <w:rPr>
          <w:rFonts w:cs="Times New Roman"/>
          <w:b/>
          <w:bCs/>
          <w:color w:val="000000" w:themeColor="text1"/>
          <w:highlight w:val="none"/>
          <w14:textFill>
            <w14:solidFill>
              <w14:schemeClr w14:val="tx1"/>
            </w14:solidFill>
          </w14:textFill>
        </w:rPr>
        <w:t>基钻井</w:t>
      </w:r>
      <w:r>
        <w:rPr>
          <w:rFonts w:hint="eastAsia" w:cs="Times New Roman"/>
          <w:b/>
          <w:bCs/>
          <w:color w:val="000000" w:themeColor="text1"/>
          <w:highlight w:val="none"/>
          <w:lang w:val="en-US" w:eastAsia="zh-CN"/>
          <w14:textFill>
            <w14:solidFill>
              <w14:schemeClr w14:val="tx1"/>
            </w14:solidFill>
          </w14:textFill>
        </w:rPr>
        <w:t>阶段</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cs="Times New Roman"/>
          <w:color w:val="000000" w:themeColor="text1"/>
          <w:highlight w:val="none"/>
          <w14:textFill>
            <w14:solidFill>
              <w14:schemeClr w14:val="tx1"/>
            </w14:solidFill>
          </w14:textFill>
        </w:rPr>
      </w:pPr>
      <w:r>
        <w:rPr>
          <w:rFonts w:hint="eastAsia" w:cs="Times New Roman"/>
          <w:color w:val="000000" w:themeColor="text1"/>
          <w:kern w:val="0"/>
          <w:szCs w:val="24"/>
          <w:highlight w:val="none"/>
          <w:lang w:eastAsia="zh-CN"/>
          <w14:textFill>
            <w14:solidFill>
              <w14:schemeClr w14:val="tx1"/>
            </w14:solidFill>
          </w14:textFill>
        </w:rPr>
        <w:t>本项目三开采用油基钻井液</w:t>
      </w:r>
      <w:r>
        <w:rPr>
          <w:rFonts w:cs="Times New Roman"/>
          <w:color w:val="000000" w:themeColor="text1"/>
          <w:kern w:val="0"/>
          <w:szCs w:val="24"/>
          <w:highlight w:val="none"/>
          <w14:textFill>
            <w14:solidFill>
              <w14:schemeClr w14:val="tx1"/>
            </w14:solidFill>
          </w14:textFill>
        </w:rPr>
        <w:t>，根据上述计算公式可知，油基岩屑的产生量约为</w:t>
      </w:r>
      <w:r>
        <w:rPr>
          <w:rFonts w:hint="eastAsia" w:cs="Times New Roman"/>
          <w:color w:val="000000" w:themeColor="text1"/>
          <w:kern w:val="0"/>
          <w:szCs w:val="24"/>
          <w:highlight w:val="none"/>
          <w:lang w:eastAsia="zh-CN"/>
          <w14:textFill>
            <w14:solidFill>
              <w14:schemeClr w14:val="tx1"/>
            </w14:solidFill>
          </w14:textFill>
        </w:rPr>
        <w:t>856.64m</w:t>
      </w:r>
      <w:r>
        <w:rPr>
          <w:rFonts w:cs="Times New Roman"/>
          <w:color w:val="000000" w:themeColor="text1"/>
          <w:kern w:val="0"/>
          <w:szCs w:val="24"/>
          <w:highlight w:val="none"/>
          <w:vertAlign w:val="superscript"/>
          <w14:textFill>
            <w14:solidFill>
              <w14:schemeClr w14:val="tx1"/>
            </w14:solidFill>
          </w14:textFill>
        </w:rPr>
        <w:t>3</w:t>
      </w:r>
      <w:r>
        <w:rPr>
          <w:rFonts w:hint="eastAsia" w:cs="Times New Roman"/>
          <w:bCs/>
          <w:color w:val="000000" w:themeColor="text1"/>
          <w:highlight w:val="none"/>
          <w14:textFill>
            <w14:solidFill>
              <w14:schemeClr w14:val="tx1"/>
            </w14:solidFill>
          </w14:textFill>
        </w:rPr>
        <w:t>，</w:t>
      </w:r>
      <w:r>
        <w:rPr>
          <w:rFonts w:cs="Times New Roman"/>
          <w:bCs/>
          <w:color w:val="000000" w:themeColor="text1"/>
          <w:highlight w:val="none"/>
          <w14:textFill>
            <w14:solidFill>
              <w14:schemeClr w14:val="tx1"/>
            </w14:solidFill>
          </w14:textFill>
        </w:rPr>
        <w:t>最大废弃油基钻井泥浆</w:t>
      </w:r>
      <w:r>
        <w:rPr>
          <w:rFonts w:hint="eastAsia" w:cs="Times New Roman"/>
          <w:bCs/>
          <w:color w:val="000000" w:themeColor="text1"/>
          <w:highlight w:val="none"/>
          <w:lang w:val="en-US" w:eastAsia="zh-CN"/>
          <w14:textFill>
            <w14:solidFill>
              <w14:schemeClr w14:val="tx1"/>
            </w14:solidFill>
          </w14:textFill>
        </w:rPr>
        <w:t>148.9</w:t>
      </w:r>
      <w:r>
        <w:rPr>
          <w:rFonts w:cs="Times New Roman"/>
          <w:color w:val="000000" w:themeColor="text1"/>
          <w:highlight w:val="none"/>
          <w14:textFill>
            <w14:solidFill>
              <w14:schemeClr w14:val="tx1"/>
            </w14:solidFill>
          </w14:textFill>
        </w:rPr>
        <w:t>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kern w:val="0"/>
          <w:highlight w:val="none"/>
          <w14:textFill>
            <w14:solidFill>
              <w14:schemeClr w14:val="tx1"/>
            </w14:solidFill>
          </w14:textFill>
        </w:rPr>
        <w:t>（三开段</w:t>
      </w:r>
      <w:r>
        <w:rPr>
          <w:rFonts w:cs="Times New Roman"/>
          <w:bCs/>
          <w:color w:val="000000" w:themeColor="text1"/>
          <w:kern w:val="0"/>
          <w:highlight w:val="none"/>
          <w14:textFill>
            <w14:solidFill>
              <w14:schemeClr w14:val="tx1"/>
            </w14:solidFill>
          </w14:textFill>
        </w:rPr>
        <w:t>油基钻井液最大使用量为</w:t>
      </w:r>
      <w:r>
        <w:rPr>
          <w:rFonts w:hint="eastAsia" w:cs="Times New Roman"/>
          <w:bCs/>
          <w:color w:val="000000" w:themeColor="text1"/>
          <w:kern w:val="0"/>
          <w:highlight w:val="none"/>
          <w:lang w:val="en-US" w:eastAsia="zh-CN"/>
          <w14:textFill>
            <w14:solidFill>
              <w14:schemeClr w14:val="tx1"/>
            </w14:solidFill>
          </w14:textFill>
        </w:rPr>
        <w:t>1489</w:t>
      </w:r>
      <w:r>
        <w:rPr>
          <w:rFonts w:cs="Times New Roman"/>
          <w:bCs/>
          <w:color w:val="000000" w:themeColor="text1"/>
          <w:kern w:val="0"/>
          <w:highlight w:val="none"/>
          <w14:textFill>
            <w14:solidFill>
              <w14:schemeClr w14:val="tx1"/>
            </w14:solidFill>
          </w14:textFill>
        </w:rPr>
        <w:t>m</w:t>
      </w:r>
      <w:r>
        <w:rPr>
          <w:rFonts w:cs="Times New Roman"/>
          <w:bCs/>
          <w:color w:val="000000" w:themeColor="text1"/>
          <w:kern w:val="0"/>
          <w:highlight w:val="none"/>
          <w:vertAlign w:val="superscript"/>
          <w14:textFill>
            <w14:solidFill>
              <w14:schemeClr w14:val="tx1"/>
            </w14:solidFill>
          </w14:textFill>
        </w:rPr>
        <w:t>3</w:t>
      </w:r>
      <w:r>
        <w:rPr>
          <w:rFonts w:cs="Times New Roman"/>
          <w:color w:val="000000" w:themeColor="text1"/>
          <w:kern w:val="0"/>
          <w:highlight w:val="none"/>
          <w14:textFill>
            <w14:solidFill>
              <w14:schemeClr w14:val="tx1"/>
            </w14:solidFill>
          </w14:textFill>
        </w:rPr>
        <w:t>）</w:t>
      </w:r>
      <w:r>
        <w:rPr>
          <w:rFonts w:cs="Times New Roman"/>
          <w:color w:val="000000" w:themeColor="text1"/>
          <w:highlight w:val="none"/>
          <w14:textFill>
            <w14:solidFill>
              <w14:schemeClr w14:val="tx1"/>
            </w14:solidFill>
          </w14:textFill>
        </w:rPr>
        <w:t>，则</w:t>
      </w:r>
      <w:r>
        <w:rPr>
          <w:rFonts w:hint="eastAsia" w:cs="Times New Roman"/>
          <w:color w:val="000000" w:themeColor="text1"/>
          <w:highlight w:val="none"/>
          <w:lang w:eastAsia="zh-CN"/>
          <w14:textFill>
            <w14:solidFill>
              <w14:schemeClr w14:val="tx1"/>
            </w14:solidFill>
          </w14:textFill>
        </w:rPr>
        <w:t>废弃油基钻井泥浆与油基岩屑</w:t>
      </w:r>
      <w:r>
        <w:rPr>
          <w:rFonts w:cs="Times New Roman"/>
          <w:color w:val="000000" w:themeColor="text1"/>
          <w:highlight w:val="none"/>
          <w14:textFill>
            <w14:solidFill>
              <w14:schemeClr w14:val="tx1"/>
            </w14:solidFill>
          </w14:textFill>
        </w:rPr>
        <w:t>产生量约为</w:t>
      </w:r>
      <w:r>
        <w:rPr>
          <w:rFonts w:hint="eastAsia" w:cs="Times New Roman"/>
          <w:color w:val="000000" w:themeColor="text1"/>
          <w:highlight w:val="none"/>
          <w:lang w:eastAsia="zh-CN"/>
          <w14:textFill>
            <w14:solidFill>
              <w14:schemeClr w14:val="tx1"/>
            </w14:solidFill>
          </w14:textFill>
        </w:rPr>
        <w:t>1005.54m</w:t>
      </w:r>
      <w:r>
        <w:rPr>
          <w:rFonts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根据建设单位统计资料油基钻井固废容重约1.3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1.5t/m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，本次评价保守取1.5 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，故岩屑和废弃泥浆产生量约</w:t>
      </w:r>
      <w:r>
        <w:rPr>
          <w:rFonts w:hint="eastAsia" w:cs="Times New Roman"/>
          <w:color w:val="000000" w:themeColor="text1"/>
          <w:highlight w:val="none"/>
          <w:lang w:val="en-US" w:eastAsia="zh-CN"/>
          <w14:textFill>
            <w14:solidFill>
              <w14:schemeClr w14:val="tx1"/>
            </w14:solidFill>
          </w14:textFill>
        </w:rPr>
        <w:t>1508.31</w:t>
      </w:r>
      <w:r>
        <w:rPr>
          <w:rFonts w:hint="default" w:ascii="Times New Roman" w:hAnsi="Times New Roman" w:cs="Times New Roman"/>
          <w:color w:val="000000" w:themeColor="text1"/>
          <w:highlight w:val="none"/>
          <w14:textFill>
            <w14:solidFill>
              <w14:schemeClr w14:val="tx1"/>
            </w14:solidFill>
          </w14:textFill>
        </w:rPr>
        <w:t>t。</w:t>
      </w:r>
    </w:p>
    <w:p>
      <w:pPr>
        <w:widowControl/>
        <w:ind w:firstLine="480"/>
        <w:rPr>
          <w:rFonts w:ascii="Calibri" w:hAnsi="Calibri" w:cs="Times New Roman"/>
          <w:color w:val="000000" w:themeColor="text1"/>
          <w:kern w:val="0"/>
          <w:szCs w:val="24"/>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油基钻井废泥浆、岩屑暂存于新建的</w:t>
      </w:r>
      <w:r>
        <w:rPr>
          <w:rFonts w:hint="eastAsia" w:cs="Times New Roman"/>
          <w:color w:val="000000" w:themeColor="text1"/>
          <w:kern w:val="0"/>
          <w:highlight w:val="none"/>
          <w14:textFill>
            <w14:solidFill>
              <w14:schemeClr w14:val="tx1"/>
            </w14:solidFill>
          </w14:textFill>
        </w:rPr>
        <w:t>60m</w:t>
      </w:r>
      <w:r>
        <w:rPr>
          <w:rFonts w:hint="eastAsia" w:cs="Times New Roman"/>
          <w:color w:val="000000" w:themeColor="text1"/>
          <w:kern w:val="0"/>
          <w:highlight w:val="none"/>
          <w:vertAlign w:val="superscript"/>
          <w14:textFill>
            <w14:solidFill>
              <w14:schemeClr w14:val="tx1"/>
            </w14:solidFill>
          </w14:textFill>
        </w:rPr>
        <w:t>2</w:t>
      </w:r>
      <w:r>
        <w:rPr>
          <w:rFonts w:cs="Times New Roman"/>
          <w:color w:val="000000" w:themeColor="text1"/>
          <w:kern w:val="0"/>
          <w:highlight w:val="none"/>
          <w14:textFill>
            <w14:solidFill>
              <w14:schemeClr w14:val="tx1"/>
            </w14:solidFill>
          </w14:textFill>
        </w:rPr>
        <w:t>危险废物暂存场所（采取必要的防风、防晒、防雨、防漏、防渗、防腐以及其他环境污染防治措施，不得露天堆放危险废物），</w:t>
      </w:r>
      <w:r>
        <w:rPr>
          <w:rFonts w:hint="eastAsia" w:cs="Times New Roman"/>
          <w:color w:val="000000" w:themeColor="text1"/>
          <w:kern w:val="0"/>
          <w:highlight w:val="none"/>
          <w:lang w:val="en-US" w:eastAsia="zh-CN"/>
          <w14:textFill>
            <w14:solidFill>
              <w14:schemeClr w14:val="tx1"/>
            </w14:solidFill>
          </w14:textFill>
        </w:rPr>
        <w:t>油基</w:t>
      </w:r>
      <w:r>
        <w:rPr>
          <w:rFonts w:cs="Times New Roman"/>
          <w:color w:val="000000" w:themeColor="text1"/>
          <w:kern w:val="0"/>
          <w:highlight w:val="none"/>
          <w14:textFill>
            <w14:solidFill>
              <w14:schemeClr w14:val="tx1"/>
            </w14:solidFill>
          </w14:textFill>
        </w:rPr>
        <w:t>泥浆和油基钻井岩屑及时</w:t>
      </w:r>
      <w:r>
        <w:rPr>
          <w:rFonts w:hint="eastAsia" w:cs="Times New Roman"/>
          <w:color w:val="000000" w:themeColor="text1"/>
          <w:kern w:val="0"/>
          <w:highlight w:val="none"/>
          <w14:textFill>
            <w14:solidFill>
              <w14:schemeClr w14:val="tx1"/>
            </w14:solidFill>
          </w14:textFill>
        </w:rPr>
        <w:t>收集</w:t>
      </w:r>
      <w:r>
        <w:rPr>
          <w:rFonts w:cs="Times New Roman"/>
          <w:color w:val="000000" w:themeColor="text1"/>
          <w:kern w:val="0"/>
          <w:highlight w:val="none"/>
          <w14:textFill>
            <w14:solidFill>
              <w14:schemeClr w14:val="tx1"/>
            </w14:solidFill>
          </w14:textFill>
        </w:rPr>
        <w:t>后交由有资质的单位处置。</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3）废油</w:t>
      </w:r>
      <w:r>
        <w:rPr>
          <w:rFonts w:hint="eastAsia" w:cs="Times New Roman"/>
          <w:b/>
          <w:bCs/>
          <w:color w:val="000000" w:themeColor="text1"/>
          <w:highlight w:val="none"/>
          <w:lang w:eastAsia="zh-CN"/>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含油抹布和手套等</w:t>
      </w:r>
      <w:r>
        <w:rPr>
          <w:rFonts w:cs="Times New Roman"/>
          <w:b/>
          <w:bCs/>
          <w:color w:val="000000" w:themeColor="text1"/>
          <w:highlight w:val="none"/>
          <w14:textFill>
            <w14:solidFill>
              <w14:schemeClr w14:val="tx1"/>
            </w14:solidFill>
          </w14:textFill>
        </w:rPr>
        <w:t>含油固废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钻井过程废油主要来源为：a、机械（泥浆泵、转盘、链条等）润滑废油；b、液压控制管线刺漏，如液压大钳、封井器及液压表传压管线刺漏；c、清洗、保养产生的废油，如更换柴油机零部件和</w:t>
      </w:r>
      <w:r>
        <w:rPr>
          <w:rFonts w:hint="eastAsia" w:cs="Times New Roman"/>
          <w:color w:val="000000" w:themeColor="text1"/>
          <w:highlight w:val="none"/>
          <w:lang w:eastAsia="zh-CN"/>
          <w14:textFill>
            <w14:solidFill>
              <w14:schemeClr w14:val="tx1"/>
            </w14:solidFill>
          </w14:textFill>
        </w:rPr>
        <w:t>清洗</w:t>
      </w:r>
      <w:r>
        <w:rPr>
          <w:rFonts w:cs="Times New Roman"/>
          <w:color w:val="000000" w:themeColor="text1"/>
          <w:highlight w:val="none"/>
          <w14:textFill>
            <w14:solidFill>
              <w14:schemeClr w14:val="tx1"/>
            </w14:solidFill>
          </w14:textFill>
        </w:rPr>
        <w:t>钻具、套管时产生的废油。钻井产生的废油用废油桶收集，根据类比和现场调查，单井废油产生总量约0.7m</w:t>
      </w:r>
      <w:r>
        <w:rPr>
          <w:rFonts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vertAlign w:val="baseline"/>
          <w:lang w:eastAsia="zh-CN"/>
          <w14:textFill>
            <w14:solidFill>
              <w14:schemeClr w14:val="tx1"/>
            </w14:solidFill>
          </w14:textFill>
        </w:rPr>
        <w:t>，</w:t>
      </w:r>
      <w:r>
        <w:rPr>
          <w:rFonts w:hint="eastAsia" w:cs="Times New Roman"/>
          <w:color w:val="000000" w:themeColor="text1"/>
          <w:highlight w:val="none"/>
          <w:vertAlign w:val="baseline"/>
          <w:lang w:val="en-US" w:eastAsia="zh-CN"/>
          <w14:textFill>
            <w14:solidFill>
              <w14:schemeClr w14:val="tx1"/>
            </w14:solidFill>
          </w14:textFill>
        </w:rPr>
        <w:t>本项目总产生量为1.4m</w:t>
      </w:r>
      <w:r>
        <w:rPr>
          <w:rFonts w:hint="eastAsia" w:cs="Times New Roman"/>
          <w:color w:val="000000" w:themeColor="text1"/>
          <w:highlight w:val="none"/>
          <w:vertAlign w:val="superscript"/>
          <w:lang w:val="en-US" w:eastAsia="zh-CN"/>
          <w14:textFill>
            <w14:solidFill>
              <w14:schemeClr w14:val="tx1"/>
            </w14:solidFill>
          </w14:textFill>
        </w:rPr>
        <w:t>3</w:t>
      </w:r>
      <w:r>
        <w:rPr>
          <w:rFonts w:cs="Times New Roman"/>
          <w:color w:val="000000" w:themeColor="text1"/>
          <w:highlight w:val="none"/>
          <w14:textFill>
            <w14:solidFill>
              <w14:schemeClr w14:val="tx1"/>
            </w14:solidFill>
          </w14:textFill>
        </w:rPr>
        <w:t>。</w:t>
      </w:r>
      <w:r>
        <w:rPr>
          <w:rFonts w:hint="default" w:cs="Times New Roman"/>
          <w:color w:val="000000" w:themeColor="text1"/>
          <w:highlight w:val="none"/>
          <w14:textFill>
            <w14:solidFill>
              <w14:schemeClr w14:val="tx1"/>
            </w14:solidFill>
          </w14:textFill>
        </w:rPr>
        <w:t>废油</w:t>
      </w:r>
      <w:r>
        <w:rPr>
          <w:rFonts w:hint="eastAsia" w:cs="Times New Roman"/>
          <w:color w:val="000000" w:themeColor="text1"/>
          <w:highlight w:val="none"/>
          <w:lang w:val="en-US" w:eastAsia="zh-CN"/>
          <w14:textFill>
            <w14:solidFill>
              <w14:schemeClr w14:val="tx1"/>
            </w14:solidFill>
          </w14:textFill>
        </w:rPr>
        <w:t>以及工人施工产生的废含油抹布和手套</w:t>
      </w:r>
      <w:r>
        <w:rPr>
          <w:rFonts w:hint="default" w:cs="Times New Roman"/>
          <w:color w:val="000000" w:themeColor="text1"/>
          <w:highlight w:val="none"/>
          <w14:textFill>
            <w14:solidFill>
              <w14:schemeClr w14:val="tx1"/>
            </w14:solidFill>
          </w14:textFill>
        </w:rPr>
        <w:t>由回收桶</w:t>
      </w:r>
      <w:r>
        <w:rPr>
          <w:rFonts w:hint="eastAsia" w:cs="Times New Roman"/>
          <w:color w:val="000000" w:themeColor="text1"/>
          <w:highlight w:val="none"/>
          <w:lang w:val="en-US" w:eastAsia="zh-CN"/>
          <w14:textFill>
            <w14:solidFill>
              <w14:schemeClr w14:val="tx1"/>
            </w14:solidFill>
          </w14:textFill>
        </w:rPr>
        <w:t>分类</w:t>
      </w:r>
      <w:r>
        <w:rPr>
          <w:rFonts w:hint="default" w:cs="Times New Roman"/>
          <w:color w:val="000000" w:themeColor="text1"/>
          <w:highlight w:val="none"/>
          <w14:textFill>
            <w14:solidFill>
              <w14:schemeClr w14:val="tx1"/>
            </w14:solidFill>
          </w14:textFill>
        </w:rPr>
        <w:t>收集，暂存于泥浆不落地装置区临时堆放区内，并采取防扬散、防流失、防渗漏或者其他防止污染环境的措施，</w:t>
      </w:r>
      <w:r>
        <w:rPr>
          <w:rFonts w:hint="eastAsia" w:cs="Times New Roman"/>
          <w:color w:val="000000" w:themeColor="text1"/>
          <w:highlight w:val="none"/>
          <w:lang w:val="en-US" w:eastAsia="zh-CN"/>
          <w14:textFill>
            <w14:solidFill>
              <w14:schemeClr w14:val="tx1"/>
            </w14:solidFill>
          </w14:textFill>
        </w:rPr>
        <w:t>暂存废油的废油桶</w:t>
      </w:r>
      <w:r>
        <w:rPr>
          <w:rFonts w:hint="default" w:cs="Times New Roman"/>
          <w:color w:val="000000" w:themeColor="text1"/>
          <w:highlight w:val="none"/>
          <w14:textFill>
            <w14:solidFill>
              <w14:schemeClr w14:val="tx1"/>
            </w14:solidFill>
          </w14:textFill>
        </w:rPr>
        <w:t>设置围堰或托盘</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由于钻井固废暂存区主要堆放钻井固废，钻井固废产生量和暂存量较大，难以分区暂存本项目产生的废油，同时在确定使用油基泥浆钻井前钻井固废暂存区未严格按照危废暂存场所建设，因此将</w:t>
      </w:r>
      <w:r>
        <w:rPr>
          <w:rFonts w:cs="Times New Roman"/>
          <w:color w:val="000000" w:themeColor="text1"/>
          <w:highlight w:val="none"/>
          <w14:textFill>
            <w14:solidFill>
              <w14:schemeClr w14:val="tx1"/>
            </w14:solidFill>
          </w14:textFill>
        </w:rPr>
        <w:t>废油桶暂存于</w:t>
      </w:r>
      <w:r>
        <w:rPr>
          <w:rFonts w:hint="eastAsia" w:cs="Times New Roman"/>
          <w:color w:val="000000" w:themeColor="text1"/>
          <w:highlight w:val="none"/>
          <w:lang w:val="en-US" w:eastAsia="zh-CN"/>
          <w14:textFill>
            <w14:solidFill>
              <w14:schemeClr w14:val="tx1"/>
            </w14:solidFill>
          </w14:textFill>
        </w:rPr>
        <w:t>做了重点防渗且污染防控措施完善、有足够空间的</w:t>
      </w:r>
      <w:r>
        <w:rPr>
          <w:rFonts w:cs="Times New Roman"/>
          <w:color w:val="000000" w:themeColor="text1"/>
          <w:highlight w:val="none"/>
          <w14:textFill>
            <w14:solidFill>
              <w14:schemeClr w14:val="tx1"/>
            </w14:solidFill>
          </w14:textFill>
        </w:rPr>
        <w:t>泥浆不落地装置区临时堆放区内，</w:t>
      </w:r>
      <w:r>
        <w:rPr>
          <w:rFonts w:hint="eastAsia"/>
          <w:color w:val="000000" w:themeColor="text1"/>
          <w:highlight w:val="none"/>
          <w:lang w:val="en-US" w:eastAsia="zh-CN"/>
          <w14:textFill>
            <w14:solidFill>
              <w14:schemeClr w14:val="tx1"/>
            </w14:solidFill>
          </w14:textFill>
        </w:rPr>
        <w:t>临时堆放区与其他区域分区设置，</w:t>
      </w:r>
      <w:r>
        <w:rPr>
          <w:rFonts w:cs="Times New Roman"/>
          <w:color w:val="000000" w:themeColor="text1"/>
          <w:highlight w:val="none"/>
          <w14:textFill>
            <w14:solidFill>
              <w14:schemeClr w14:val="tx1"/>
            </w14:solidFill>
          </w14:textFill>
        </w:rPr>
        <w:t>并做好</w:t>
      </w:r>
      <w:bookmarkStart w:id="175" w:name="_Hlk92724012"/>
      <w:r>
        <w:rPr>
          <w:rFonts w:hint="eastAsia" w:ascii="宋体" w:hAnsi="宋体" w:eastAsia="宋体" w:cs="宋体"/>
          <w:color w:val="000000" w:themeColor="text1"/>
          <w:kern w:val="0"/>
          <w:highlight w:val="none"/>
          <w14:textFill>
            <w14:solidFill>
              <w14:schemeClr w14:val="tx1"/>
            </w14:solidFill>
          </w14:textFill>
        </w:rPr>
        <w:t>防风、防晒、防雨、防漏、防渗、防腐以及其他环境污染防治措施</w:t>
      </w:r>
      <w:bookmarkEnd w:id="175"/>
      <w:r>
        <w:rPr>
          <w:rFonts w:cs="Times New Roman"/>
          <w:color w:val="000000" w:themeColor="text1"/>
          <w:highlight w:val="none"/>
          <w14:textFill>
            <w14:solidFill>
              <w14:schemeClr w14:val="tx1"/>
            </w14:solidFill>
          </w14:textFill>
        </w:rPr>
        <w:t>，暂存期间做好废油管理记录，通过擦拭站场设备、原料添加、放喷点火等方式回收综合利用，根据类比调查井站产生废油能在井站内全部综合利用。若因为个别特殊情况存在不能综合利用的废油，则和擦拭站场设备产生的</w:t>
      </w:r>
      <w:r>
        <w:rPr>
          <w:rFonts w:hint="eastAsia" w:cs="Times New Roman"/>
          <w:color w:val="000000" w:themeColor="text1"/>
          <w:highlight w:val="none"/>
          <w:lang w:val="en-US" w:eastAsia="zh-CN"/>
          <w14:textFill>
            <w14:solidFill>
              <w14:schemeClr w14:val="tx1"/>
            </w14:solidFill>
          </w14:textFill>
        </w:rPr>
        <w:t>含油抹布和手套</w:t>
      </w:r>
      <w:r>
        <w:rPr>
          <w:rFonts w:cs="Times New Roman"/>
          <w:color w:val="000000" w:themeColor="text1"/>
          <w:highlight w:val="none"/>
          <w14:textFill>
            <w14:solidFill>
              <w14:schemeClr w14:val="tx1"/>
            </w14:solidFill>
          </w14:textFill>
        </w:rPr>
        <w:t>其他含油固废交由有资质的单位处理。</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4）废包装材料</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本项目产生的废包装材料约为2.0t，</w:t>
      </w:r>
      <w:r>
        <w:rPr>
          <w:rFonts w:hint="eastAsia" w:cs="Times New Roman"/>
          <w:color w:val="000000" w:themeColor="text1"/>
          <w:highlight w:val="none"/>
          <w:lang w:eastAsia="zh-CN"/>
          <w14:textFill>
            <w14:solidFill>
              <w14:schemeClr w14:val="tx1"/>
            </w14:solidFill>
          </w14:textFill>
        </w:rPr>
        <w:t>集中收集后</w:t>
      </w:r>
      <w:r>
        <w:rPr>
          <w:rFonts w:cs="Times New Roman"/>
          <w:color w:val="000000" w:themeColor="text1"/>
          <w:highlight w:val="none"/>
          <w14:textFill>
            <w14:solidFill>
              <w14:schemeClr w14:val="tx1"/>
            </w14:solidFill>
          </w14:textFill>
        </w:rPr>
        <w:t>施工队自己回用部分，剩余的送当地废品回收站处理。</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5）生活垃圾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生活垃圾来源于钻井施工作业人员的生活，一个井队按45人计，每人每天产生的生活垃圾按0.5kg/d计算，则生活垃圾的产生量约为22.5kg/d。井场设置垃圾坑收集，定期按井场所在地环卫部门相关要求实施统一妥善处置。</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此外，完井搬迁时可能产生少量建筑垃圾，主要如包装袋，废弃建筑材料等，其量小，由施工队伍统一收集清运至政府指定地方</w:t>
      </w:r>
      <w:r>
        <w:rPr>
          <w:rFonts w:cs="Times New Roman"/>
          <w:color w:val="000000" w:themeColor="text1"/>
          <w:szCs w:val="24"/>
          <w:highlight w:val="none"/>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本项目钻井工程危险废物产生量见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_Ref142593522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8</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6" w:name="_Ref14259352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17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钻井工程危险废物汇总表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567"/>
        <w:gridCol w:w="709"/>
        <w:gridCol w:w="567"/>
        <w:gridCol w:w="992"/>
        <w:gridCol w:w="567"/>
        <w:gridCol w:w="709"/>
        <w:gridCol w:w="709"/>
        <w:gridCol w:w="709"/>
        <w:gridCol w:w="708"/>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名称</w:t>
            </w:r>
          </w:p>
        </w:tc>
        <w:tc>
          <w:tcPr>
            <w:tcW w:w="5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类别</w:t>
            </w:r>
          </w:p>
        </w:tc>
        <w:tc>
          <w:tcPr>
            <w:tcW w:w="7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代码</w:t>
            </w:r>
          </w:p>
        </w:tc>
        <w:tc>
          <w:tcPr>
            <w:tcW w:w="5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产生量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产生工序及装置</w:t>
            </w:r>
          </w:p>
        </w:tc>
        <w:tc>
          <w:tcPr>
            <w:tcW w:w="5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形态</w:t>
            </w:r>
          </w:p>
        </w:tc>
        <w:tc>
          <w:tcPr>
            <w:tcW w:w="7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主要成分</w:t>
            </w:r>
          </w:p>
        </w:tc>
        <w:tc>
          <w:tcPr>
            <w:tcW w:w="7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有害成分</w:t>
            </w:r>
          </w:p>
        </w:tc>
        <w:tc>
          <w:tcPr>
            <w:tcW w:w="70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产废周期</w:t>
            </w:r>
          </w:p>
        </w:tc>
        <w:tc>
          <w:tcPr>
            <w:tcW w:w="70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危险特性</w:t>
            </w:r>
          </w:p>
        </w:tc>
        <w:tc>
          <w:tcPr>
            <w:tcW w:w="142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废油</w:t>
            </w:r>
            <w:r>
              <w:rPr>
                <w:rFonts w:hint="default"/>
                <w:color w:val="000000" w:themeColor="text1"/>
                <w:szCs w:val="20"/>
                <w:highlight w:val="none"/>
                <w:lang w:eastAsia="zh-CN"/>
                <w14:textFill>
                  <w14:solidFill>
                    <w14:schemeClr w14:val="tx1"/>
                  </w14:solidFill>
                </w14:textFill>
              </w:rPr>
              <w:t>、</w:t>
            </w:r>
            <w:r>
              <w:rPr>
                <w:rFonts w:hint="default"/>
                <w:color w:val="000000" w:themeColor="text1"/>
                <w:szCs w:val="20"/>
                <w:highlight w:val="none"/>
                <w:lang w:val="en-US" w:eastAsia="zh-CN"/>
                <w14:textFill>
                  <w14:solidFill>
                    <w14:schemeClr w14:val="tx1"/>
                  </w14:solidFill>
                </w14:textFill>
              </w:rPr>
              <w:t>含油抹布和手套等</w:t>
            </w:r>
            <w:r>
              <w:rPr>
                <w:rFonts w:hint="default"/>
                <w:color w:val="000000" w:themeColor="text1"/>
                <w:szCs w:val="20"/>
                <w:highlight w:val="none"/>
                <w14:textFill>
                  <w14:solidFill>
                    <w14:schemeClr w14:val="tx1"/>
                  </w14:solidFill>
                </w14:textFill>
              </w:rPr>
              <w:t>含油固废</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HW08</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900-249-08</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1.4</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钻井机具</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半固态</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废润滑油</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润滑油</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钻井期间</w:t>
            </w:r>
          </w:p>
        </w:tc>
        <w:tc>
          <w:tcPr>
            <w:tcW w:w="70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T/I</w:t>
            </w:r>
          </w:p>
        </w:tc>
        <w:tc>
          <w:tcPr>
            <w:tcW w:w="142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废油桶</w:t>
            </w:r>
            <w:r>
              <w:rPr>
                <w:rFonts w:hint="eastAsia"/>
                <w:color w:val="000000" w:themeColor="text1"/>
                <w:szCs w:val="20"/>
                <w:highlight w:val="none"/>
                <w:lang w:val="en-US" w:eastAsia="zh-CN"/>
                <w14:textFill>
                  <w14:solidFill>
                    <w14:schemeClr w14:val="tx1"/>
                  </w14:solidFill>
                </w14:textFill>
              </w:rPr>
              <w:t>分类</w:t>
            </w:r>
            <w:r>
              <w:rPr>
                <w:rFonts w:hint="default"/>
                <w:color w:val="000000" w:themeColor="text1"/>
                <w:szCs w:val="20"/>
                <w:highlight w:val="none"/>
                <w14:textFill>
                  <w14:solidFill>
                    <w14:schemeClr w14:val="tx1"/>
                  </w14:solidFill>
                </w14:textFill>
              </w:rPr>
              <w:t>收集，暂存于泥浆不落地装置区临时堆放区内，钻井队综合利用，剩余的交由资质单位处置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0"/>
                <w:highlight w:val="none"/>
                <w14:textFill>
                  <w14:solidFill>
                    <w14:schemeClr w14:val="tx1"/>
                  </w14:solidFill>
                </w14:textFill>
              </w:rPr>
              <w:t>废</w:t>
            </w:r>
            <w:r>
              <w:rPr>
                <w:rFonts w:hint="eastAsia"/>
                <w:color w:val="000000" w:themeColor="text1"/>
                <w:kern w:val="0"/>
                <w:szCs w:val="20"/>
                <w:highlight w:val="none"/>
                <w:lang w:val="en-US" w:eastAsia="zh-CN"/>
                <w14:textFill>
                  <w14:solidFill>
                    <w14:schemeClr w14:val="tx1"/>
                  </w14:solidFill>
                </w14:textFill>
              </w:rPr>
              <w:t>弃</w:t>
            </w:r>
            <w:r>
              <w:rPr>
                <w:rFonts w:hint="default"/>
                <w:color w:val="000000" w:themeColor="text1"/>
                <w:kern w:val="0"/>
                <w:szCs w:val="20"/>
                <w:highlight w:val="none"/>
                <w14:textFill>
                  <w14:solidFill>
                    <w14:schemeClr w14:val="tx1"/>
                  </w14:solidFill>
                </w14:textFill>
              </w:rPr>
              <w:t>油基</w:t>
            </w:r>
            <w:r>
              <w:rPr>
                <w:rFonts w:hint="eastAsia"/>
                <w:color w:val="000000" w:themeColor="text1"/>
                <w:kern w:val="0"/>
                <w:szCs w:val="20"/>
                <w:highlight w:val="none"/>
                <w:lang w:val="en-US" w:eastAsia="zh-CN"/>
                <w14:textFill>
                  <w14:solidFill>
                    <w14:schemeClr w14:val="tx1"/>
                  </w14:solidFill>
                </w14:textFill>
              </w:rPr>
              <w:t>钻井</w:t>
            </w:r>
            <w:r>
              <w:rPr>
                <w:rFonts w:hint="default"/>
                <w:color w:val="000000" w:themeColor="text1"/>
                <w:kern w:val="0"/>
                <w:szCs w:val="20"/>
                <w:highlight w:val="none"/>
                <w14:textFill>
                  <w14:solidFill>
                    <w14:schemeClr w14:val="tx1"/>
                  </w14:solidFill>
                </w14:textFill>
              </w:rPr>
              <w:t>泥浆与油基岩屑</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HW08</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072-001-08</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1005.54m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三开使用油基</w:t>
            </w:r>
            <w:r>
              <w:rPr>
                <w:rFonts w:hint="eastAsia"/>
                <w:color w:val="000000" w:themeColor="text1"/>
                <w:szCs w:val="20"/>
                <w:highlight w:val="none"/>
                <w:lang w:val="en-US" w:eastAsia="zh-CN"/>
                <w14:textFill>
                  <w14:solidFill>
                    <w14:schemeClr w14:val="tx1"/>
                  </w14:solidFill>
                </w14:textFill>
              </w:rPr>
              <w:t>钻井时泥浆不落地装置</w:t>
            </w:r>
          </w:p>
        </w:tc>
        <w:tc>
          <w:tcPr>
            <w:tcW w:w="56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半固态</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w:t>
            </w:r>
          </w:p>
        </w:tc>
        <w:tc>
          <w:tcPr>
            <w:tcW w:w="70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钻井期间</w:t>
            </w:r>
          </w:p>
        </w:tc>
        <w:tc>
          <w:tcPr>
            <w:tcW w:w="70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T</w:t>
            </w:r>
          </w:p>
        </w:tc>
        <w:tc>
          <w:tcPr>
            <w:tcW w:w="142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桶装暂存于60m</w:t>
            </w:r>
            <w:r>
              <w:rPr>
                <w:rFonts w:hint="default"/>
                <w:color w:val="000000" w:themeColor="text1"/>
                <w:szCs w:val="20"/>
                <w:highlight w:val="none"/>
                <w:vertAlign w:val="superscript"/>
                <w14:textFill>
                  <w14:solidFill>
                    <w14:schemeClr w14:val="tx1"/>
                  </w14:solidFill>
                </w14:textFill>
              </w:rPr>
              <w:t>2</w:t>
            </w:r>
            <w:r>
              <w:rPr>
                <w:rFonts w:hint="default"/>
                <w:color w:val="000000" w:themeColor="text1"/>
                <w:szCs w:val="20"/>
                <w:highlight w:val="none"/>
                <w14:textFill>
                  <w14:solidFill>
                    <w14:schemeClr w14:val="tx1"/>
                  </w14:solidFill>
                </w14:textFill>
              </w:rPr>
              <w:t>危险废物暂存场所，交由资质单位处置</w:t>
            </w:r>
          </w:p>
        </w:tc>
      </w:tr>
    </w:tbl>
    <w:p>
      <w:pPr>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平台危险废物贮存场所（设施）基本情况见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_Ref142593527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9</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7" w:name="_Ref14259352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bookmarkEnd w:id="17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平台危险废物贮存场所（设施）基本情况一览表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06"/>
        <w:gridCol w:w="1450"/>
        <w:gridCol w:w="1033"/>
        <w:gridCol w:w="984"/>
        <w:gridCol w:w="813"/>
        <w:gridCol w:w="1137"/>
        <w:gridCol w:w="616"/>
        <w:gridCol w:w="600"/>
        <w:gridCol w:w="534"/>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50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45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贮存场所（设施）名称</w:t>
            </w:r>
          </w:p>
        </w:tc>
        <w:tc>
          <w:tcPr>
            <w:tcW w:w="103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危险废物名称</w:t>
            </w:r>
          </w:p>
        </w:tc>
        <w:tc>
          <w:tcPr>
            <w:tcW w:w="98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危险废物类别</w:t>
            </w:r>
          </w:p>
        </w:tc>
        <w:tc>
          <w:tcPr>
            <w:tcW w:w="81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危险废物代码</w:t>
            </w:r>
          </w:p>
        </w:tc>
        <w:tc>
          <w:tcPr>
            <w:tcW w:w="113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位置</w:t>
            </w:r>
          </w:p>
        </w:tc>
        <w:tc>
          <w:tcPr>
            <w:tcW w:w="61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占地面积</w:t>
            </w:r>
          </w:p>
        </w:tc>
        <w:tc>
          <w:tcPr>
            <w:tcW w:w="60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贮存方式</w:t>
            </w:r>
          </w:p>
        </w:tc>
        <w:tc>
          <w:tcPr>
            <w:tcW w:w="53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贮存能力</w:t>
            </w:r>
          </w:p>
        </w:tc>
        <w:tc>
          <w:tcPr>
            <w:tcW w:w="5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45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油桶</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（2个）</w:t>
            </w:r>
          </w:p>
        </w:tc>
        <w:tc>
          <w:tcPr>
            <w:tcW w:w="103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废油</w:t>
            </w:r>
          </w:p>
        </w:tc>
        <w:tc>
          <w:tcPr>
            <w:tcW w:w="98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废矿物油与含矿物油废物</w:t>
            </w:r>
          </w:p>
        </w:tc>
        <w:tc>
          <w:tcPr>
            <w:tcW w:w="81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HW08</w:t>
            </w:r>
          </w:p>
        </w:tc>
        <w:tc>
          <w:tcPr>
            <w:tcW w:w="113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泥浆不落地装置区临时堆放区内</w:t>
            </w:r>
          </w:p>
        </w:tc>
        <w:tc>
          <w:tcPr>
            <w:tcW w:w="61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约2m</w:t>
            </w:r>
            <w:r>
              <w:rPr>
                <w:rFonts w:hint="default"/>
                <w:color w:val="000000" w:themeColor="text1"/>
                <w:szCs w:val="20"/>
                <w:highlight w:val="none"/>
                <w:vertAlign w:val="superscript"/>
                <w14:textFill>
                  <w14:solidFill>
                    <w14:schemeClr w14:val="tx1"/>
                  </w14:solidFill>
                </w14:textFill>
              </w:rPr>
              <w:t>2</w:t>
            </w:r>
          </w:p>
        </w:tc>
        <w:tc>
          <w:tcPr>
            <w:tcW w:w="60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集中贮存</w:t>
            </w:r>
          </w:p>
        </w:tc>
        <w:tc>
          <w:tcPr>
            <w:tcW w:w="53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约1m</w:t>
            </w:r>
            <w:r>
              <w:rPr>
                <w:rFonts w:hint="default"/>
                <w:color w:val="000000" w:themeColor="text1"/>
                <w:szCs w:val="20"/>
                <w:highlight w:val="none"/>
                <w:vertAlign w:val="superscript"/>
                <w14:textFill>
                  <w14:solidFill>
                    <w14:schemeClr w14:val="tx1"/>
                  </w14:solidFill>
                </w14:textFill>
              </w:rPr>
              <w:t>3</w:t>
            </w:r>
          </w:p>
        </w:tc>
        <w:tc>
          <w:tcPr>
            <w:tcW w:w="5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0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45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油基岩屑吨桶（60个）</w:t>
            </w:r>
          </w:p>
        </w:tc>
        <w:tc>
          <w:tcPr>
            <w:tcW w:w="103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废弃油基钻井泥浆与油基岩屑</w:t>
            </w:r>
          </w:p>
        </w:tc>
        <w:tc>
          <w:tcPr>
            <w:tcW w:w="98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废矿物油与含矿物油废物</w:t>
            </w:r>
          </w:p>
        </w:tc>
        <w:tc>
          <w:tcPr>
            <w:tcW w:w="81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HW08</w:t>
            </w:r>
          </w:p>
        </w:tc>
        <w:tc>
          <w:tcPr>
            <w:tcW w:w="113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危险废物暂存场所</w:t>
            </w:r>
          </w:p>
        </w:tc>
        <w:tc>
          <w:tcPr>
            <w:tcW w:w="61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约60m</w:t>
            </w:r>
            <w:r>
              <w:rPr>
                <w:rFonts w:hint="default"/>
                <w:color w:val="000000" w:themeColor="text1"/>
                <w:szCs w:val="20"/>
                <w:highlight w:val="none"/>
                <w:vertAlign w:val="superscript"/>
                <w14:textFill>
                  <w14:solidFill>
                    <w14:schemeClr w14:val="tx1"/>
                  </w14:solidFill>
                </w14:textFill>
              </w:rPr>
              <w:t>2</w:t>
            </w:r>
          </w:p>
        </w:tc>
        <w:tc>
          <w:tcPr>
            <w:tcW w:w="600"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集中</w:t>
            </w:r>
            <w:r>
              <w:rPr>
                <w:rFonts w:hint="default"/>
                <w:color w:val="000000" w:themeColor="text1"/>
                <w:szCs w:val="20"/>
                <w:highlight w:val="none"/>
                <w14:textFill>
                  <w14:solidFill>
                    <w14:schemeClr w14:val="tx1"/>
                  </w14:solidFill>
                </w14:textFill>
              </w:rPr>
              <w:t>贮存</w:t>
            </w:r>
          </w:p>
        </w:tc>
        <w:tc>
          <w:tcPr>
            <w:tcW w:w="53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约60m</w:t>
            </w:r>
            <w:r>
              <w:rPr>
                <w:rFonts w:hint="default"/>
                <w:color w:val="000000" w:themeColor="text1"/>
                <w:szCs w:val="20"/>
                <w:highlight w:val="none"/>
                <w:vertAlign w:val="superscript"/>
                <w14:textFill>
                  <w14:solidFill>
                    <w14:schemeClr w14:val="tx1"/>
                  </w14:solidFill>
                </w14:textFill>
              </w:rPr>
              <w:t>3</w:t>
            </w:r>
          </w:p>
        </w:tc>
        <w:tc>
          <w:tcPr>
            <w:tcW w:w="5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3d</w:t>
            </w:r>
          </w:p>
        </w:tc>
      </w:tr>
    </w:tbl>
    <w:p>
      <w:pPr>
        <w:spacing w:before="120"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本项目固体废物产生量见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_Ref142593532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10</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8" w:name="_Ref14259353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bookmarkEnd w:id="17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钻井工程固体废物产生及处置情况一览表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0"/>
        <w:gridCol w:w="939"/>
        <w:gridCol w:w="1921"/>
        <w:gridCol w:w="939"/>
        <w:gridCol w:w="853"/>
        <w:gridCol w:w="918"/>
        <w:gridCol w:w="912"/>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固废种类</w:t>
            </w:r>
          </w:p>
        </w:tc>
        <w:tc>
          <w:tcPr>
            <w:tcW w:w="93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清水岩屑（m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192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水基钻井固废（t）</w:t>
            </w:r>
          </w:p>
        </w:tc>
        <w:tc>
          <w:tcPr>
            <w:tcW w:w="93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废包装材料（t）</w:t>
            </w:r>
          </w:p>
        </w:tc>
        <w:tc>
          <w:tcPr>
            <w:tcW w:w="853"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b/>
                <w:bCs/>
                <w:color w:val="000000" w:themeColor="text1"/>
                <w:kern w:val="2"/>
                <w:sz w:val="21"/>
                <w:szCs w:val="20"/>
                <w:highlight w:val="none"/>
                <w:lang w:val="en-US" w:eastAsia="zh-CN" w:bidi="ar-SA"/>
                <w14:textFill>
                  <w14:solidFill>
                    <w14:schemeClr w14:val="tx1"/>
                  </w14:solidFill>
                </w14:textFill>
              </w:rPr>
            </w:pPr>
            <w:r>
              <w:rPr>
                <w:rFonts w:hint="default"/>
                <w:b/>
                <w:bCs/>
                <w:color w:val="000000" w:themeColor="text1"/>
                <w:szCs w:val="20"/>
                <w:highlight w:val="none"/>
                <w14:textFill>
                  <w14:solidFill>
                    <w14:schemeClr w14:val="tx1"/>
                  </w14:solidFill>
                </w14:textFill>
              </w:rPr>
              <w:t>生活垃圾</w:t>
            </w:r>
          </w:p>
        </w:tc>
        <w:tc>
          <w:tcPr>
            <w:tcW w:w="91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废油（m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912" w:type="dxa"/>
            <w:vAlign w:val="center"/>
          </w:tcPr>
          <w:p>
            <w:pPr>
              <w:pStyle w:val="295"/>
              <w:keepNext w:val="0"/>
              <w:keepLines w:val="0"/>
              <w:widowControl/>
              <w:suppressLineNumbers w:val="0"/>
              <w:spacing w:before="0" w:beforeAutospacing="0" w:after="0" w:afterAutospacing="0"/>
              <w:ind w:left="0" w:right="0"/>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油基钻井固废</w:t>
            </w:r>
            <w:r>
              <w:rPr>
                <w:rFonts w:hint="default"/>
                <w:b/>
                <w:bCs/>
                <w:color w:val="000000" w:themeColor="text1"/>
                <w:szCs w:val="20"/>
                <w:highlight w:val="none"/>
                <w14:textFill>
                  <w14:solidFill>
                    <w14:schemeClr w14:val="tx1"/>
                  </w14:solidFill>
                </w14:textFill>
              </w:rPr>
              <w:t>（m</w:t>
            </w:r>
            <w:r>
              <w:rPr>
                <w:rFonts w:hint="default"/>
                <w:b/>
                <w:bCs/>
                <w:color w:val="000000" w:themeColor="text1"/>
                <w:szCs w:val="20"/>
                <w:highlight w:val="none"/>
                <w:vertAlign w:val="superscript"/>
                <w14:textFill>
                  <w14:solidFill>
                    <w14:schemeClr w14:val="tx1"/>
                  </w14:solidFill>
                </w14:textFill>
              </w:rPr>
              <w:t>3</w:t>
            </w:r>
            <w:r>
              <w:rPr>
                <w:rFonts w:hint="default"/>
                <w:b/>
                <w:bCs/>
                <w:color w:val="000000" w:themeColor="text1"/>
                <w:szCs w:val="20"/>
                <w:highlight w:val="none"/>
                <w14:textFill>
                  <w14:solidFill>
                    <w14:schemeClr w14:val="tx1"/>
                  </w14:solidFill>
                </w14:textFill>
              </w:rPr>
              <w:t>）</w:t>
            </w:r>
          </w:p>
        </w:tc>
        <w:tc>
          <w:tcPr>
            <w:tcW w:w="93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含油抹布和手套等</w:t>
            </w:r>
            <w:r>
              <w:rPr>
                <w:rFonts w:hint="default"/>
                <w:b/>
                <w:bCs/>
                <w:color w:val="000000" w:themeColor="text1"/>
                <w:szCs w:val="20"/>
                <w:highlight w:val="none"/>
                <w14:textFill>
                  <w14:solidFill>
                    <w14:schemeClr w14:val="tx1"/>
                  </w14:solidFill>
                </w14:textFill>
              </w:rPr>
              <w:t>其他含油固废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0"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产生量</w:t>
            </w:r>
          </w:p>
        </w:tc>
        <w:tc>
          <w:tcPr>
            <w:tcW w:w="939"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50.65</w:t>
            </w:r>
          </w:p>
        </w:tc>
        <w:tc>
          <w:tcPr>
            <w:tcW w:w="1921" w:type="dxa"/>
            <w:shd w:val="clear" w:color="auto" w:fill="auto"/>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8145.234</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853"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22.5kg/d</w:t>
            </w:r>
          </w:p>
        </w:tc>
        <w:tc>
          <w:tcPr>
            <w:tcW w:w="918"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1.4</w:t>
            </w:r>
          </w:p>
        </w:tc>
        <w:tc>
          <w:tcPr>
            <w:tcW w:w="912"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1005.54</w:t>
            </w:r>
          </w:p>
        </w:tc>
        <w:tc>
          <w:tcPr>
            <w:tcW w:w="93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0"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性质</w:t>
            </w:r>
          </w:p>
        </w:tc>
        <w:tc>
          <w:tcPr>
            <w:tcW w:w="3799" w:type="dxa"/>
            <w:gridSpan w:val="3"/>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一般固废</w:t>
            </w:r>
          </w:p>
        </w:tc>
        <w:tc>
          <w:tcPr>
            <w:tcW w:w="853"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生活垃圾</w:t>
            </w:r>
          </w:p>
        </w:tc>
        <w:tc>
          <w:tcPr>
            <w:tcW w:w="276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00"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处置措施及去向</w:t>
            </w:r>
          </w:p>
        </w:tc>
        <w:tc>
          <w:tcPr>
            <w:tcW w:w="286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经泥浆不落地工艺进行固液分离后暂存于</w:t>
            </w:r>
            <w:r>
              <w:rPr>
                <w:rFonts w:hint="eastAsia"/>
                <w:color w:val="000000" w:themeColor="text1"/>
                <w:szCs w:val="20"/>
                <w:highlight w:val="none"/>
                <w14:textFill>
                  <w14:solidFill>
                    <w14:schemeClr w14:val="tx1"/>
                  </w14:solidFill>
                </w14:textFill>
              </w:rPr>
              <w:t>钻井固废暂存区</w:t>
            </w:r>
            <w:r>
              <w:rPr>
                <w:rFonts w:hint="default"/>
                <w:color w:val="000000" w:themeColor="text1"/>
                <w:szCs w:val="20"/>
                <w:highlight w:val="none"/>
                <w14:textFill>
                  <w14:solidFill>
                    <w14:schemeClr w14:val="tx1"/>
                  </w14:solidFill>
                </w14:textFill>
              </w:rPr>
              <w:t>，定期用密闭罐车及时就近交给依法取得生态环境部门关于利用和处置相关工业固体废物项目环评批复、具有处理处置相应固体废物能力并配套建设有废气、废水、固废等污染物治理设施的单位进行资源化利用</w:t>
            </w:r>
          </w:p>
        </w:tc>
        <w:tc>
          <w:tcPr>
            <w:tcW w:w="9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集中收集后部分回用，剩余的送当地废品回收站处理</w:t>
            </w:r>
          </w:p>
        </w:tc>
        <w:tc>
          <w:tcPr>
            <w:tcW w:w="853"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集中收集，交由当地环卫部门处置</w:t>
            </w:r>
          </w:p>
        </w:tc>
        <w:tc>
          <w:tcPr>
            <w:tcW w:w="9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设置废油桶集中收集暂存于泥浆不落地装置区临时堆放区内，钻井队综合利用或交由有资质的单位处理</w:t>
            </w:r>
          </w:p>
        </w:tc>
        <w:tc>
          <w:tcPr>
            <w:tcW w:w="91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桶装暂存于60m</w:t>
            </w:r>
            <w:r>
              <w:rPr>
                <w:rFonts w:hint="default"/>
                <w:color w:val="000000" w:themeColor="text1"/>
                <w:szCs w:val="20"/>
                <w:highlight w:val="none"/>
                <w:vertAlign w:val="superscript"/>
                <w14:textFill>
                  <w14:solidFill>
                    <w14:schemeClr w14:val="tx1"/>
                  </w14:solidFill>
                </w14:textFill>
              </w:rPr>
              <w:t>2</w:t>
            </w:r>
            <w:r>
              <w:rPr>
                <w:rFonts w:hint="default"/>
                <w:color w:val="000000" w:themeColor="text1"/>
                <w:szCs w:val="20"/>
                <w:highlight w:val="none"/>
                <w14:textFill>
                  <w14:solidFill>
                    <w14:schemeClr w14:val="tx1"/>
                  </w14:solidFill>
                </w14:textFill>
              </w:rPr>
              <w:t>危险废物暂存场所，交由资质单位处置</w:t>
            </w:r>
          </w:p>
        </w:tc>
        <w:tc>
          <w:tcPr>
            <w:tcW w:w="93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设置废油桶集中收集暂存于泥浆不落地装置区临时堆放区内，</w:t>
            </w:r>
            <w:r>
              <w:rPr>
                <w:rFonts w:hint="eastAsia"/>
                <w:color w:val="000000" w:themeColor="text1"/>
                <w:szCs w:val="20"/>
                <w:highlight w:val="none"/>
                <w:lang w:val="en-US" w:eastAsia="zh-CN"/>
                <w14:textFill>
                  <w14:solidFill>
                    <w14:schemeClr w14:val="tx1"/>
                  </w14:solidFill>
                </w14:textFill>
              </w:rPr>
              <w:t>及时</w:t>
            </w:r>
            <w:r>
              <w:rPr>
                <w:rFonts w:hint="default"/>
                <w:color w:val="000000" w:themeColor="text1"/>
                <w:szCs w:val="20"/>
                <w:highlight w:val="none"/>
                <w14:textFill>
                  <w14:solidFill>
                    <w14:schemeClr w14:val="tx1"/>
                  </w14:solidFill>
                </w14:textFill>
              </w:rPr>
              <w:t>交由资质单位处置</w:t>
            </w:r>
          </w:p>
        </w:tc>
      </w:tr>
    </w:tbl>
    <w:p>
      <w:pPr>
        <w:spacing w:before="120" w:beforeLines="50"/>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（5）地下水污染</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1）地下水污染源类型分析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钻井工程对地下水环境可能造成影响的污染源主要是场地内暂存的钻井废水、泥浆、岩屑等的渗滤液以及井下钻井过程滤失的钻井泥浆和压裂过程井筒破裂漏失的压裂液。</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2）污染途径分析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钻井工程对地下水产生污染的途径主要有两种，即渗透污染和穿透污染。</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a</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渗透污染：钻井泥浆循环系统、泥浆不落地处理系统、油罐、放喷池、原辅材料堆存淋溶雨水等产生、暂存、离析或罐体、池体破裂渗露出的废水、废油通过包气带渗透到潜水含水层而污染地下水，是本项目的主要污染形式。</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b</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穿透污染：一般发生在钻井过程中的井漏和压裂过程中井筒破裂事故中，在水头压力差的作用下，将有少量钻井泥浆或压裂液滤失，并在含水层中扩散迁移，污染地下水，污染程度与所选用的钻井泥浆体系与压裂方案密切相关。</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3）地下水污染源源强分析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a：污染物渗滤液：此类废水产生于钻井废水和岩屑等固废在井场内操作区域内暂存中，所含废液经</w:t>
      </w:r>
      <w:r>
        <w:rPr>
          <w:rFonts w:hint="eastAsia" w:cs="Times New Roman"/>
          <w:bCs/>
          <w:color w:val="000000" w:themeColor="text1"/>
          <w:szCs w:val="24"/>
          <w:highlight w:val="none"/>
          <w:lang w:eastAsia="zh-CN"/>
          <w14:textFill>
            <w14:solidFill>
              <w14:schemeClr w14:val="tx1"/>
            </w14:solidFill>
          </w14:textFill>
        </w:rPr>
        <w:t>渗漏</w:t>
      </w:r>
      <w:r>
        <w:rPr>
          <w:rFonts w:cs="Times New Roman"/>
          <w:bCs/>
          <w:color w:val="000000" w:themeColor="text1"/>
          <w:szCs w:val="24"/>
          <w:highlight w:val="none"/>
          <w14:textFill>
            <w14:solidFill>
              <w14:schemeClr w14:val="tx1"/>
            </w14:solidFill>
          </w14:textFill>
        </w:rPr>
        <w:t>、离析后，向周围岩层渗入、扩散。本项目对井场分区分级防渗处理，正常工况下渗透外泄量极小。</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b：钻井滤失泥浆：此类影响产生于钻井期间的过平衡钻井阶段，钻井泥浆在压力差的作用下，渗透入井壁岩石的裂隙或孔隙中。钻井泥浆监控系统一般在地层滤失量＜3m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/h时即可发现泥浆漏失，以便及时采取堵漏措施。本项目在每段完钻后及时采用套管水泥固井，从措施上减少井筒内泥浆滤失可能。</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（6）环境风险</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存在一定的环境风险，主要表现为钻井井喷失控或泄漏的天然气导致的火灾爆炸环境风险事故，以及泄漏天然气导致的环境风险事故；此外还表现为井场罐区及放喷池池体渗漏污染地表土壤和浅层地下水；井筒内套管破损导致钻井过程中钻井泥浆漏失，进入地下水环境，污染地下水环境；存储的柴油泄漏</w:t>
      </w:r>
      <w:r>
        <w:rPr>
          <w:rFonts w:hint="eastAsia" w:cs="Times New Roman"/>
          <w:bCs/>
          <w:color w:val="000000" w:themeColor="text1"/>
          <w:szCs w:val="24"/>
          <w:highlight w:val="none"/>
          <w14:textFill>
            <w14:solidFill>
              <w14:schemeClr w14:val="tx1"/>
            </w14:solidFill>
          </w14:textFill>
        </w:rPr>
        <w:t>的</w:t>
      </w:r>
      <w:r>
        <w:rPr>
          <w:rFonts w:cs="Times New Roman"/>
          <w:bCs/>
          <w:color w:val="000000" w:themeColor="text1"/>
          <w:szCs w:val="24"/>
          <w:highlight w:val="none"/>
          <w14:textFill>
            <w14:solidFill>
              <w14:schemeClr w14:val="tx1"/>
            </w14:solidFill>
          </w14:textFill>
        </w:rPr>
        <w:t>环境风险；污染物外运处理中的运输风险等。</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储层改造</w:t>
      </w:r>
      <w:r>
        <w:rPr>
          <w:color w:val="000000" w:themeColor="text1"/>
          <w:highlight w:val="none"/>
          <w14:textFill>
            <w14:solidFill>
              <w14:schemeClr w14:val="tx1"/>
            </w14:solidFill>
          </w14:textFill>
        </w:rPr>
        <w:t>工程</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（1）废气</w:t>
      </w:r>
    </w:p>
    <w:p>
      <w:pPr>
        <w:ind w:firstLine="480"/>
        <w:rPr>
          <w:rFonts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储层改造工程产生的废气主要为</w:t>
      </w:r>
      <w:r>
        <w:rPr>
          <w:rFonts w:hint="default" w:ascii="Times New Roman" w:hAnsi="Times New Roman" w:cs="Times New Roman"/>
          <w:color w:val="000000" w:themeColor="text1"/>
          <w:szCs w:val="24"/>
          <w:highlight w:val="none"/>
          <w14:textFill>
            <w14:solidFill>
              <w14:schemeClr w14:val="tx1"/>
            </w14:solidFill>
          </w14:textFill>
        </w:rPr>
        <w:t>压裂</w:t>
      </w:r>
      <w:r>
        <w:rPr>
          <w:rFonts w:hint="eastAsia" w:cs="Times New Roman"/>
          <w:color w:val="000000" w:themeColor="text1"/>
          <w:szCs w:val="24"/>
          <w:highlight w:val="none"/>
          <w:lang w:val="en-US" w:eastAsia="zh-CN"/>
          <w14:textFill>
            <w14:solidFill>
              <w14:schemeClr w14:val="tx1"/>
            </w14:solidFill>
          </w14:textFill>
        </w:rPr>
        <w:t>作业废气</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完井测试放喷废气。</w:t>
      </w:r>
    </w:p>
    <w:p>
      <w:pPr>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4"/>
          <w:highlight w:val="none"/>
          <w14:textFill>
            <w14:solidFill>
              <w14:schemeClr w14:val="tx1"/>
            </w14:solidFill>
          </w14:textFill>
        </w:rPr>
        <w:t>）压裂作业废气</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本项目</w:t>
      </w:r>
      <w:r>
        <w:rPr>
          <w:rFonts w:hint="default" w:ascii="Times New Roman" w:hAnsi="Times New Roman" w:cs="Times New Roman"/>
          <w:color w:val="000000" w:themeColor="text1"/>
          <w:szCs w:val="24"/>
          <w:highlight w:val="none"/>
          <w14:textFill>
            <w14:solidFill>
              <w14:schemeClr w14:val="tx1"/>
            </w14:solidFill>
          </w14:textFill>
        </w:rPr>
        <w:t>压裂作业废气主要为压裂</w:t>
      </w:r>
      <w:r>
        <w:rPr>
          <w:rFonts w:hint="eastAsia" w:cs="Times New Roman"/>
          <w:color w:val="000000" w:themeColor="text1"/>
          <w:szCs w:val="24"/>
          <w:highlight w:val="none"/>
          <w:lang w:val="en-US" w:eastAsia="zh-CN"/>
          <w14:textFill>
            <w14:solidFill>
              <w14:schemeClr w14:val="tx1"/>
            </w14:solidFill>
          </w14:textFill>
        </w:rPr>
        <w:t>作业车辆、</w:t>
      </w:r>
      <w:r>
        <w:rPr>
          <w:rFonts w:hint="default" w:ascii="Times New Roman" w:hAnsi="Times New Roman" w:cs="Times New Roman"/>
          <w:color w:val="000000" w:themeColor="text1"/>
          <w:szCs w:val="24"/>
          <w:highlight w:val="none"/>
          <w14:textFill>
            <w14:solidFill>
              <w14:schemeClr w14:val="tx1"/>
            </w14:solidFill>
          </w14:textFill>
        </w:rPr>
        <w:t>施工机械</w:t>
      </w:r>
      <w:r>
        <w:rPr>
          <w:rFonts w:hint="eastAsia" w:cs="Times New Roman"/>
          <w:color w:val="000000" w:themeColor="text1"/>
          <w:szCs w:val="24"/>
          <w:highlight w:val="none"/>
          <w:lang w:val="en-US" w:eastAsia="zh-CN"/>
          <w14:textFill>
            <w14:solidFill>
              <w14:schemeClr w14:val="tx1"/>
            </w14:solidFill>
          </w14:textFill>
        </w:rPr>
        <w:t>等产生的燃料燃烧</w:t>
      </w:r>
      <w:r>
        <w:rPr>
          <w:rFonts w:hint="default" w:ascii="Times New Roman" w:hAnsi="Times New Roman" w:cs="Times New Roman"/>
          <w:color w:val="000000" w:themeColor="text1"/>
          <w:szCs w:val="24"/>
          <w:highlight w:val="none"/>
          <w14:textFill>
            <w14:solidFill>
              <w14:schemeClr w14:val="tx1"/>
            </w14:solidFill>
          </w14:textFill>
        </w:rPr>
        <w:t>尾气，主要污染物为NO</w:t>
      </w:r>
      <w:r>
        <w:rPr>
          <w:rFonts w:hint="default" w:ascii="Times New Roman" w:hAnsi="Times New Roman" w:cs="Times New Roman"/>
          <w:color w:val="000000" w:themeColor="text1"/>
          <w:szCs w:val="24"/>
          <w:highlight w:val="none"/>
          <w:vertAlign w:val="subscript"/>
          <w14:textFill>
            <w14:solidFill>
              <w14:schemeClr w14:val="tx1"/>
            </w14:solidFill>
          </w14:textFill>
        </w:rPr>
        <w:t>X</w:t>
      </w:r>
      <w:r>
        <w:rPr>
          <w:rFonts w:hint="default" w:ascii="Times New Roman" w:hAnsi="Times New Roman" w:cs="Times New Roman"/>
          <w:color w:val="000000" w:themeColor="text1"/>
          <w:szCs w:val="24"/>
          <w:highlight w:val="none"/>
          <w14:textFill>
            <w14:solidFill>
              <w14:schemeClr w14:val="tx1"/>
            </w14:solidFill>
          </w14:textFill>
        </w:rPr>
        <w:t>、烟尘及少量CO，采用合格燃油、加强设备保养减少尾气排放量。</w:t>
      </w:r>
    </w:p>
    <w:p>
      <w:pPr>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Cs w:val="24"/>
          <w:highlight w:val="none"/>
          <w14:textFill>
            <w14:solidFill>
              <w14:schemeClr w14:val="tx1"/>
            </w14:solidFill>
          </w14:textFill>
        </w:rPr>
        <w:t>）完井测试放喷废气</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测试放喷天然气经专用放喷管线引至放喷坑后点火燃烧，测试放喷时间一般昼间放喷，每次约3h，废气排放属短期排放。测试放喷的</w:t>
      </w:r>
      <w:r>
        <w:rPr>
          <w:rFonts w:hint="eastAsia" w:cs="Times New Roman"/>
          <w:color w:val="000000" w:themeColor="text1"/>
          <w:szCs w:val="24"/>
          <w:highlight w:val="none"/>
          <w:lang w:val="en-US" w:eastAsia="zh-CN"/>
          <w14:textFill>
            <w14:solidFill>
              <w14:schemeClr w14:val="tx1"/>
            </w14:solidFill>
          </w14:textFill>
        </w:rPr>
        <w:t>不</w:t>
      </w:r>
      <w:r>
        <w:rPr>
          <w:rFonts w:hint="default" w:ascii="Times New Roman" w:hAnsi="Times New Roman" w:cs="Times New Roman"/>
          <w:color w:val="000000" w:themeColor="text1"/>
          <w:szCs w:val="24"/>
          <w:highlight w:val="none"/>
          <w14:textFill>
            <w14:solidFill>
              <w14:schemeClr w14:val="tx1"/>
            </w14:solidFill>
          </w14:textFill>
        </w:rPr>
        <w:t>含硫天然气经点火燃烧，其主要污染物为CO</w:t>
      </w:r>
      <w:r>
        <w:rPr>
          <w:rFonts w:hint="default" w:ascii="Times New Roman" w:hAnsi="Times New Roman" w:cs="Times New Roman"/>
          <w:color w:val="000000" w:themeColor="text1"/>
          <w:szCs w:val="24"/>
          <w:highlight w:val="none"/>
          <w:vertAlign w:val="sub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根据建设单位提供的项目气藏地质及气藏工程资料</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本项目属于***致密气气井勘探，</w:t>
      </w:r>
      <w:r>
        <w:rPr>
          <w:rFonts w:cs="Times New Roman"/>
          <w:color w:val="000000" w:themeColor="text1"/>
          <w:szCs w:val="24"/>
          <w:highlight w:val="none"/>
          <w14:textFill>
            <w14:solidFill>
              <w14:schemeClr w14:val="tx1"/>
            </w14:solidFill>
          </w14:textFill>
        </w:rPr>
        <w:t>预测</w:t>
      </w:r>
      <w:r>
        <w:rPr>
          <w:rFonts w:hint="eastAsia" w:cs="Times New Roman"/>
          <w:color w:val="000000" w:themeColor="text1"/>
          <w:szCs w:val="24"/>
          <w:highlight w:val="none"/>
          <w:lang w:eastAsia="zh-CN"/>
          <w14:textFill>
            <w14:solidFill>
              <w14:schemeClr w14:val="tx1"/>
            </w14:solidFill>
          </w14:textFill>
        </w:rPr>
        <w:t>雷页1试验井组</w:t>
      </w:r>
      <w:r>
        <w:rPr>
          <w:rFonts w:cs="Times New Roman"/>
          <w:color w:val="000000" w:themeColor="text1"/>
          <w:szCs w:val="24"/>
          <w:highlight w:val="none"/>
          <w14:textFill>
            <w14:solidFill>
              <w14:schemeClr w14:val="tx1"/>
            </w14:solidFill>
          </w14:textFill>
        </w:rPr>
        <w:t>无阻流量</w:t>
      </w:r>
      <w:r>
        <w:rPr>
          <w:rFonts w:ascii="Times New Roman" w:hAnsi="Times New Roman"/>
          <w:color w:val="000000" w:themeColor="text1"/>
          <w:sz w:val="24"/>
          <w:szCs w:val="24"/>
          <w:highlight w:val="none"/>
          <w:lang w:eastAsia="zh-CN"/>
          <w14:textFill>
            <w14:solidFill>
              <w14:schemeClr w14:val="tx1"/>
            </w14:solidFill>
          </w14:textFill>
        </w:rPr>
        <w:t>＜20×</w:t>
      </w:r>
      <w:r>
        <w:rPr>
          <w:rFonts w:cs="Times New Roman"/>
          <w:color w:val="000000" w:themeColor="text1"/>
          <w:szCs w:val="24"/>
          <w:highlight w:val="none"/>
          <w14:textFill>
            <w14:solidFill>
              <w14:schemeClr w14:val="tx1"/>
            </w14:solidFill>
          </w14:textFill>
        </w:rPr>
        <w:t>10</w:t>
      </w:r>
      <w:r>
        <w:rPr>
          <w:rFonts w:cs="Times New Roman"/>
          <w:color w:val="000000" w:themeColor="text1"/>
          <w:szCs w:val="24"/>
          <w:highlight w:val="none"/>
          <w:vertAlign w:val="superscript"/>
          <w14:textFill>
            <w14:solidFill>
              <w14:schemeClr w14:val="tx1"/>
            </w14:solidFill>
          </w14:textFill>
        </w:rPr>
        <w:t>4</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/d。</w:t>
      </w:r>
      <w:r>
        <w:rPr>
          <w:rFonts w:hint="eastAsia" w:cs="Times New Roman"/>
          <w:color w:val="000000" w:themeColor="text1"/>
          <w:szCs w:val="24"/>
          <w:highlight w:val="none"/>
          <w:lang w:val="en-US" w:eastAsia="zh-CN"/>
          <w14:textFill>
            <w14:solidFill>
              <w14:schemeClr w14:val="tx1"/>
            </w14:solidFill>
          </w14:textFill>
        </w:rPr>
        <w:t>放喷废气在排放至</w:t>
      </w:r>
      <w:r>
        <w:rPr>
          <w:rFonts w:cs="Times New Roman"/>
          <w:color w:val="000000" w:themeColor="text1"/>
          <w:szCs w:val="24"/>
          <w:highlight w:val="none"/>
          <w14:textFill>
            <w14:solidFill>
              <w14:schemeClr w14:val="tx1"/>
            </w14:solidFill>
          </w14:textFill>
        </w:rPr>
        <w:t>放喷池内，经排气筒为高度为1m的对空短火焰燃烧器点火燃烧后排放，本项目在放喷前，建设单位会对距离井口500m范围内的居民临时撤离，并建立警戒点进行24小时警戒，严禁居民靠近，以减轻放喷废气对这些居民的影响。同时由于测试放喷时间一般约为3小时，属短期排放，不会形成长期环境影响，短期影响也可控制在周边居民健康安全限值以下，污染物排放随测试放喷的结束而停止，不会长期存在，不会影响区域环境空气功能区划。</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本项目测试放喷在昼间进行，且时间较短，</w:t>
      </w:r>
      <w:r>
        <w:rPr>
          <w:rFonts w:hint="eastAsia" w:cs="Times New Roman"/>
          <w:color w:val="000000" w:themeColor="text1"/>
          <w:szCs w:val="24"/>
          <w:highlight w:val="none"/>
          <w:lang w:val="en-US" w:eastAsia="zh-CN"/>
          <w14:textFill>
            <w14:solidFill>
              <w14:schemeClr w14:val="tx1"/>
            </w14:solidFill>
          </w14:textFill>
        </w:rPr>
        <w:t>不</w:t>
      </w:r>
      <w:r>
        <w:rPr>
          <w:rFonts w:cs="Times New Roman"/>
          <w:color w:val="000000" w:themeColor="text1"/>
          <w:szCs w:val="24"/>
          <w:highlight w:val="none"/>
          <w14:textFill>
            <w14:solidFill>
              <w14:schemeClr w14:val="tx1"/>
            </w14:solidFill>
          </w14:textFill>
        </w:rPr>
        <w:t>含硫天然气燃烧后主要污染物为CO</w:t>
      </w:r>
      <w:r>
        <w:rPr>
          <w:rFonts w:cs="Times New Roman"/>
          <w:color w:val="000000" w:themeColor="text1"/>
          <w:szCs w:val="24"/>
          <w:highlight w:val="none"/>
          <w:vertAlign w:val="subscript"/>
          <w14:textFill>
            <w14:solidFill>
              <w14:schemeClr w14:val="tx1"/>
            </w14:solidFill>
          </w14:textFill>
        </w:rPr>
        <w:t>2</w:t>
      </w:r>
      <w:r>
        <w:rPr>
          <w:rFonts w:cs="Times New Roman"/>
          <w:color w:val="000000" w:themeColor="text1"/>
          <w:szCs w:val="24"/>
          <w:highlight w:val="none"/>
          <w14:textFill>
            <w14:solidFill>
              <w14:schemeClr w14:val="tx1"/>
            </w14:solidFill>
          </w14:textFill>
        </w:rPr>
        <w:t>，污染物产生量较小，并将随测试放喷的结束而消除，对周边大气环境影响较小。</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从项目产生的废水情况分析，</w:t>
      </w:r>
      <w:r>
        <w:rPr>
          <w:rFonts w:hint="eastAsia" w:cs="Times New Roman"/>
          <w:bCs/>
          <w:color w:val="000000" w:themeColor="text1"/>
          <w:highlight w:val="none"/>
          <w:lang w:val="en-US" w:eastAsia="zh-CN"/>
          <w14:textFill>
            <w14:solidFill>
              <w14:schemeClr w14:val="tx1"/>
            </w14:solidFill>
          </w14:textFill>
        </w:rPr>
        <w:t>储层改造工程废水主要</w:t>
      </w:r>
      <w:r>
        <w:rPr>
          <w:rFonts w:hint="default" w:ascii="Times New Roman" w:hAnsi="Times New Roman" w:cs="Times New Roman"/>
          <w:bCs/>
          <w:color w:val="000000" w:themeColor="text1"/>
          <w:highlight w:val="none"/>
          <w14:textFill>
            <w14:solidFill>
              <w14:schemeClr w14:val="tx1"/>
            </w14:solidFill>
          </w14:textFill>
        </w:rPr>
        <w:t>包括洗井废水、压裂返排液和生活污水。</w:t>
      </w:r>
    </w:p>
    <w:p>
      <w:pPr>
        <w:keepNext w:val="0"/>
        <w:keepLines w:val="0"/>
        <w:pageBreakBefore w:val="0"/>
        <w:widowControl w:val="0"/>
        <w:numPr>
          <w:ilvl w:val="0"/>
          <w:numId w:val="10"/>
        </w:numPr>
        <w:kinsoku/>
        <w:wordWrap/>
        <w:overflowPunct/>
        <w:topLinePunct w:val="0"/>
        <w:autoSpaceDE/>
        <w:autoSpaceDN/>
        <w:bidi w:val="0"/>
        <w:adjustRightInd w:val="0"/>
        <w:snapToGrid w:val="0"/>
        <w:ind w:firstLine="482"/>
        <w:textAlignment w:val="auto"/>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压裂返排液</w:t>
      </w:r>
      <w:r>
        <w:rPr>
          <w:rFonts w:hint="eastAsia" w:cs="Times New Roman"/>
          <w:b/>
          <w:bCs/>
          <w:color w:val="000000" w:themeColor="text1"/>
          <w:szCs w:val="24"/>
          <w:highlight w:val="none"/>
          <w:lang w:val="en-US" w:eastAsia="zh-CN"/>
          <w14:textFill>
            <w14:solidFill>
              <w14:schemeClr w14:val="tx1"/>
            </w14:solidFill>
          </w14:textFill>
        </w:rPr>
        <w:t>及洗井废水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测试放喷与完井工程产生的作业废水主要是压裂、洗井等施工时产生的废水。</w:t>
      </w:r>
    </w:p>
    <w:p>
      <w:pPr>
        <w:ind w:firstLine="48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根据该区域已完</w:t>
      </w:r>
      <w:bookmarkStart w:id="564" w:name="_GoBack"/>
      <w:bookmarkEnd w:id="564"/>
      <w:r>
        <w:rPr>
          <w:rFonts w:ascii="Times New Roman" w:hAnsi="Times New Roman"/>
          <w:color w:val="000000" w:themeColor="text1"/>
          <w:sz w:val="24"/>
          <w:highlight w:val="none"/>
          <w:lang w:eastAsia="zh-CN"/>
          <w14:textFill>
            <w14:solidFill>
              <w14:schemeClr w14:val="tx1"/>
            </w14:solidFill>
          </w14:textFill>
        </w:rPr>
        <w:t>钻钻井工程可知，本项目洗井采用碱水，项目单井洗井废水产生约100m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，则洗井废水总产生量为</w:t>
      </w:r>
      <w:r>
        <w:rPr>
          <w:rFonts w:hint="eastAsia"/>
          <w:color w:val="000000" w:themeColor="text1"/>
          <w:sz w:val="24"/>
          <w:highlight w:val="none"/>
          <w:lang w:val="en-US" w:eastAsia="zh-CN"/>
          <w14:textFill>
            <w14:solidFill>
              <w14:schemeClr w14:val="tx1"/>
            </w14:solidFill>
          </w14:textFill>
        </w:rPr>
        <w:t>2</w:t>
      </w:r>
      <w:r>
        <w:rPr>
          <w:rFonts w:ascii="Times New Roman" w:hAnsi="Times New Roman"/>
          <w:color w:val="000000" w:themeColor="text1"/>
          <w:sz w:val="24"/>
          <w:highlight w:val="none"/>
          <w:lang w:eastAsia="zh-CN"/>
          <w14:textFill>
            <w14:solidFill>
              <w14:schemeClr w14:val="tx1"/>
            </w14:solidFill>
          </w14:textFill>
        </w:rPr>
        <w:t>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w:t>
      </w:r>
    </w:p>
    <w:p>
      <w:pPr>
        <w:ind w:firstLine="48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本项目压裂液总用量约</w:t>
      </w:r>
      <w:r>
        <w:rPr>
          <w:rFonts w:hint="eastAsia"/>
          <w:color w:val="000000" w:themeColor="text1"/>
          <w:sz w:val="24"/>
          <w:highlight w:val="none"/>
          <w:lang w:eastAsia="zh-CN"/>
          <w14:textFill>
            <w14:solidFill>
              <w14:schemeClr w14:val="tx1"/>
            </w14:solidFill>
          </w14:textFill>
        </w:rPr>
        <w:t>99630</w:t>
      </w:r>
      <w:r>
        <w:rPr>
          <w:rFonts w:ascii="Times New Roman" w:hAnsi="Times New Roman"/>
          <w:color w:val="000000" w:themeColor="text1"/>
          <w:sz w:val="24"/>
          <w:highlight w:val="none"/>
          <w:lang w:eastAsia="zh-CN"/>
          <w14:textFill>
            <w14:solidFill>
              <w14:schemeClr w14:val="tx1"/>
            </w14:solidFill>
          </w14:textFill>
        </w:rPr>
        <w:t>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，压裂液均在</w:t>
      </w:r>
      <w:r>
        <w:rPr>
          <w:rFonts w:hint="eastAsia" w:ascii="Times New Roman" w:hAnsi="Times New Roman"/>
          <w:color w:val="000000" w:themeColor="text1"/>
          <w:sz w:val="24"/>
          <w:highlight w:val="none"/>
          <w:lang w:val="en-US" w:eastAsia="zh-CN"/>
          <w14:textFill>
            <w14:solidFill>
              <w14:schemeClr w14:val="tx1"/>
            </w14:solidFill>
          </w14:textFill>
        </w:rPr>
        <w:t>现场</w:t>
      </w:r>
      <w:r>
        <w:rPr>
          <w:rFonts w:ascii="Times New Roman" w:hAnsi="Times New Roman"/>
          <w:color w:val="000000" w:themeColor="text1"/>
          <w:sz w:val="24"/>
          <w:highlight w:val="none"/>
          <w:lang w:eastAsia="zh-CN"/>
          <w14:textFill>
            <w14:solidFill>
              <w14:schemeClr w14:val="tx1"/>
            </w14:solidFill>
          </w14:textFill>
        </w:rPr>
        <w:t>配液车中配制完成，配制的压裂液进入压裂车注入井口，配制而成的压裂液不在厂区内长期暂存。根据该区域已完钻</w:t>
      </w:r>
      <w:r>
        <w:rPr>
          <w:rFonts w:hint="eastAsia"/>
          <w:color w:val="000000" w:themeColor="text1"/>
          <w:sz w:val="24"/>
          <w:highlight w:val="none"/>
          <w:lang w:val="en-US" w:eastAsia="zh-CN"/>
          <w14:textFill>
            <w14:solidFill>
              <w14:schemeClr w14:val="tx1"/>
            </w14:solidFill>
          </w14:textFill>
        </w:rPr>
        <w:t>致密</w:t>
      </w:r>
      <w:r>
        <w:rPr>
          <w:rFonts w:ascii="Times New Roman" w:hAnsi="Times New Roman"/>
          <w:color w:val="000000" w:themeColor="text1"/>
          <w:sz w:val="24"/>
          <w:highlight w:val="none"/>
          <w:lang w:eastAsia="zh-CN"/>
          <w14:textFill>
            <w14:solidFill>
              <w14:schemeClr w14:val="tx1"/>
            </w14:solidFill>
          </w14:textFill>
        </w:rPr>
        <w:t>气钻井工程可知，该区域</w:t>
      </w:r>
      <w:r>
        <w:rPr>
          <w:rFonts w:hint="eastAsia"/>
          <w:color w:val="000000" w:themeColor="text1"/>
          <w:sz w:val="24"/>
          <w:highlight w:val="none"/>
          <w:lang w:val="en-US" w:eastAsia="zh-CN"/>
          <w14:textFill>
            <w14:solidFill>
              <w14:schemeClr w14:val="tx1"/>
            </w14:solidFill>
          </w14:textFill>
        </w:rPr>
        <w:t>页岩</w:t>
      </w:r>
      <w:r>
        <w:rPr>
          <w:rFonts w:ascii="Times New Roman" w:hAnsi="Times New Roman"/>
          <w:color w:val="000000" w:themeColor="text1"/>
          <w:sz w:val="24"/>
          <w:highlight w:val="none"/>
          <w:lang w:eastAsia="zh-CN"/>
          <w14:textFill>
            <w14:solidFill>
              <w14:schemeClr w14:val="tx1"/>
            </w14:solidFill>
          </w14:textFill>
        </w:rPr>
        <w:t>气钻井工程</w:t>
      </w:r>
      <w:r>
        <w:rPr>
          <w:rFonts w:hint="eastAsia"/>
          <w:color w:val="000000" w:themeColor="text1"/>
          <w:sz w:val="24"/>
          <w:highlight w:val="none"/>
          <w:lang w:val="en-US" w:eastAsia="zh-CN"/>
          <w14:textFill>
            <w14:solidFill>
              <w14:schemeClr w14:val="tx1"/>
            </w14:solidFill>
          </w14:textFill>
        </w:rPr>
        <w:t>压裂</w:t>
      </w:r>
      <w:r>
        <w:rPr>
          <w:rFonts w:ascii="Times New Roman" w:hAnsi="Times New Roman"/>
          <w:color w:val="000000" w:themeColor="text1"/>
          <w:sz w:val="24"/>
          <w:highlight w:val="none"/>
          <w:lang w:eastAsia="zh-CN"/>
          <w14:textFill>
            <w14:solidFill>
              <w14:schemeClr w14:val="tx1"/>
            </w14:solidFill>
          </w14:textFill>
        </w:rPr>
        <w:t>液返排率约</w:t>
      </w:r>
      <w:r>
        <w:rPr>
          <w:rFonts w:hint="eastAsia"/>
          <w:color w:val="000000" w:themeColor="text1"/>
          <w:sz w:val="24"/>
          <w:highlight w:val="none"/>
          <w:lang w:eastAsia="zh-CN"/>
          <w14:textFill>
            <w14:solidFill>
              <w14:schemeClr w14:val="tx1"/>
            </w14:solidFill>
          </w14:textFill>
        </w:rPr>
        <w:t>5%~20%，</w:t>
      </w:r>
      <w:r>
        <w:rPr>
          <w:rFonts w:hint="eastAsia"/>
          <w:color w:val="000000" w:themeColor="text1"/>
          <w:sz w:val="24"/>
          <w:highlight w:val="none"/>
          <w:lang w:val="en-US" w:eastAsia="zh-CN"/>
          <w14:textFill>
            <w14:solidFill>
              <w14:schemeClr w14:val="tx1"/>
            </w14:solidFill>
          </w14:textFill>
        </w:rPr>
        <w:t>有少量达到50%~60%，</w:t>
      </w:r>
      <w:r>
        <w:rPr>
          <w:rFonts w:ascii="Times New Roman" w:hAnsi="Times New Roman"/>
          <w:color w:val="000000" w:themeColor="text1"/>
          <w:sz w:val="24"/>
          <w:highlight w:val="none"/>
          <w:lang w:eastAsia="zh-CN"/>
          <w14:textFill>
            <w14:solidFill>
              <w14:schemeClr w14:val="tx1"/>
            </w14:solidFill>
          </w14:textFill>
        </w:rPr>
        <w:t>返排率与返排时间有关，本项目保守考虑按</w:t>
      </w:r>
      <w:r>
        <w:rPr>
          <w:rFonts w:hint="eastAsia"/>
          <w:color w:val="000000" w:themeColor="text1"/>
          <w:sz w:val="24"/>
          <w:highlight w:val="none"/>
          <w:lang w:val="en-US" w:eastAsia="zh-CN"/>
          <w14:textFill>
            <w14:solidFill>
              <w14:schemeClr w14:val="tx1"/>
            </w14:solidFill>
          </w14:textFill>
        </w:rPr>
        <w:t>6</w:t>
      </w:r>
      <w:r>
        <w:rPr>
          <w:rFonts w:ascii="Times New Roman" w:hAnsi="Times New Roman"/>
          <w:color w:val="000000" w:themeColor="text1"/>
          <w:sz w:val="24"/>
          <w:highlight w:val="none"/>
          <w:lang w:eastAsia="zh-CN"/>
          <w14:textFill>
            <w14:solidFill>
              <w14:schemeClr w14:val="tx1"/>
            </w14:solidFill>
          </w14:textFill>
        </w:rPr>
        <w:t>0％计，</w:t>
      </w:r>
      <w:r>
        <w:rPr>
          <w:rFonts w:ascii="Times New Roman" w:hAnsi="Times New Roman"/>
          <w:bCs/>
          <w:color w:val="000000" w:themeColor="text1"/>
          <w:sz w:val="24"/>
          <w:highlight w:val="none"/>
          <w:lang w:eastAsia="zh-CN"/>
          <w14:textFill>
            <w14:solidFill>
              <w14:schemeClr w14:val="tx1"/>
            </w14:solidFill>
          </w14:textFill>
        </w:rPr>
        <w:t>则本项目压裂返排液总产生量为</w:t>
      </w:r>
      <w:r>
        <w:rPr>
          <w:rFonts w:hint="eastAsia"/>
          <w:bCs/>
          <w:color w:val="000000" w:themeColor="text1"/>
          <w:sz w:val="24"/>
          <w:highlight w:val="none"/>
          <w:lang w:val="en-US" w:eastAsia="zh-CN"/>
          <w14:textFill>
            <w14:solidFill>
              <w14:schemeClr w14:val="tx1"/>
            </w14:solidFill>
          </w14:textFill>
        </w:rPr>
        <w:t>59778</w:t>
      </w:r>
      <w:r>
        <w:rPr>
          <w:rFonts w:ascii="Times New Roman" w:hAnsi="Times New Roman"/>
          <w:bCs/>
          <w:color w:val="000000" w:themeColor="text1"/>
          <w:sz w:val="24"/>
          <w:highlight w:val="none"/>
          <w:lang w:eastAsia="zh-CN"/>
          <w14:textFill>
            <w14:solidFill>
              <w14:schemeClr w14:val="tx1"/>
            </w14:solidFill>
          </w14:textFill>
        </w:rPr>
        <w:t>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ascii="Times New Roman" w:hAnsi="Times New Roman"/>
          <w:bCs/>
          <w:color w:val="000000" w:themeColor="text1"/>
          <w:sz w:val="24"/>
          <w:highlight w:val="none"/>
          <w:lang w:eastAsia="zh-CN"/>
          <w14:textFill>
            <w14:solidFill>
              <w14:schemeClr w14:val="tx1"/>
            </w14:solidFill>
          </w14:textFill>
        </w:rPr>
        <w:t>，回用于其他平台压裂或回注</w:t>
      </w:r>
      <w:r>
        <w:rPr>
          <w:rFonts w:ascii="Times New Roman" w:hAnsi="Times New Roman"/>
          <w:color w:val="000000" w:themeColor="text1"/>
          <w:sz w:val="24"/>
          <w:highlight w:val="none"/>
          <w:lang w:eastAsia="zh-CN"/>
          <w14:textFill>
            <w14:solidFill>
              <w14:schemeClr w14:val="tx1"/>
            </w14:solidFill>
          </w14:textFill>
        </w:rPr>
        <w:t>。返排液排至经防腐防渗处理的放喷池、压裂液罐</w:t>
      </w:r>
      <w:r>
        <w:rPr>
          <w:rFonts w:hint="eastAsia"/>
          <w:color w:val="000000" w:themeColor="text1"/>
          <w:sz w:val="24"/>
          <w:highlight w:val="none"/>
          <w:lang w:val="en-US" w:eastAsia="zh-CN"/>
          <w14:textFill>
            <w14:solidFill>
              <w14:schemeClr w14:val="tx1"/>
            </w14:solidFill>
          </w14:textFill>
        </w:rPr>
        <w:t>中</w:t>
      </w:r>
      <w:r>
        <w:rPr>
          <w:rFonts w:ascii="Times New Roman" w:hAnsi="Times New Roman"/>
          <w:color w:val="000000" w:themeColor="text1"/>
          <w:sz w:val="24"/>
          <w:highlight w:val="none"/>
          <w:lang w:eastAsia="zh-CN"/>
          <w14:textFill>
            <w14:solidFill>
              <w14:schemeClr w14:val="tx1"/>
            </w14:solidFill>
          </w14:textFill>
        </w:rPr>
        <w:t>暂存，</w:t>
      </w:r>
      <w:r>
        <w:rPr>
          <w:rFonts w:hint="eastAsia"/>
          <w:color w:val="000000" w:themeColor="text1"/>
          <w:sz w:val="24"/>
          <w:highlight w:val="none"/>
          <w:lang w:val="en-US" w:eastAsia="zh-CN"/>
          <w14:textFill>
            <w14:solidFill>
              <w14:schemeClr w14:val="tx1"/>
            </w14:solidFill>
          </w14:textFill>
        </w:rPr>
        <w:t>预计每天返排液量控制在1600m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以内，主要依托</w:t>
      </w:r>
      <w:r>
        <w:rPr>
          <w:rFonts w:ascii="Times New Roman" w:hAnsi="Times New Roman"/>
          <w:color w:val="000000" w:themeColor="text1"/>
          <w:sz w:val="24"/>
          <w:highlight w:val="none"/>
          <w:lang w:eastAsia="zh-CN"/>
          <w14:textFill>
            <w14:solidFill>
              <w14:schemeClr w14:val="tx1"/>
            </w14:solidFill>
          </w14:textFill>
        </w:rPr>
        <w:t>压裂液罐（1600m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暂存。</w:t>
      </w:r>
      <w:r>
        <w:rPr>
          <w:rFonts w:ascii="Times New Roman" w:hAnsi="Times New Roman"/>
          <w:color w:val="000000" w:themeColor="text1"/>
          <w:sz w:val="24"/>
          <w:highlight w:val="none"/>
          <w:lang w:eastAsia="zh-CN"/>
          <w14:textFill>
            <w14:solidFill>
              <w14:schemeClr w14:val="tx1"/>
            </w14:solidFill>
          </w14:textFill>
        </w:rPr>
        <w:t>在返排期间可控制返排速率，若放喷池（300m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）、压裂液罐（1600m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）无多余容积</w:t>
      </w:r>
      <w:r>
        <w:rPr>
          <w:rFonts w:hint="eastAsia"/>
          <w:color w:val="000000" w:themeColor="text1"/>
          <w:sz w:val="24"/>
          <w:highlight w:val="none"/>
          <w:lang w:val="en-US" w:eastAsia="zh-CN"/>
          <w14:textFill>
            <w14:solidFill>
              <w14:schemeClr w14:val="tx1"/>
            </w14:solidFill>
          </w14:textFill>
        </w:rPr>
        <w:t>或周边井场暂时无法回用、</w:t>
      </w:r>
      <w:r>
        <w:rPr>
          <w:rFonts w:hint="eastAsia" w:cs="Times New Roman"/>
          <w:color w:val="000000" w:themeColor="text1"/>
          <w:highlight w:val="none"/>
          <w:lang w:eastAsia="zh-CN"/>
          <w14:textFill>
            <w14:solidFill>
              <w14:schemeClr w14:val="tx1"/>
            </w14:solidFill>
          </w14:textFill>
        </w:rPr>
        <w:t>赵家坝污水处理站</w:t>
      </w:r>
      <w:r>
        <w:rPr>
          <w:rFonts w:hint="eastAsia" w:cs="Times New Roman"/>
          <w:color w:val="000000" w:themeColor="text1"/>
          <w:highlight w:val="none"/>
          <w:lang w:val="en-US" w:eastAsia="zh-CN"/>
          <w14:textFill>
            <w14:solidFill>
              <w14:schemeClr w14:val="tx1"/>
            </w14:solidFill>
          </w14:textFill>
        </w:rPr>
        <w:t>暂时无法接收处理</w:t>
      </w:r>
      <w:r>
        <w:rPr>
          <w:rFonts w:ascii="Times New Roman" w:hAnsi="Times New Roman"/>
          <w:color w:val="000000" w:themeColor="text1"/>
          <w:sz w:val="24"/>
          <w:highlight w:val="none"/>
          <w:lang w:eastAsia="zh-CN"/>
          <w14:textFill>
            <w14:solidFill>
              <w14:schemeClr w14:val="tx1"/>
            </w14:solidFill>
          </w14:textFill>
        </w:rPr>
        <w:t>时可</w:t>
      </w:r>
      <w:r>
        <w:rPr>
          <w:rFonts w:hint="eastAsia"/>
          <w:color w:val="000000" w:themeColor="text1"/>
          <w:sz w:val="24"/>
          <w:highlight w:val="none"/>
          <w:lang w:val="en-US" w:eastAsia="zh-CN"/>
          <w14:textFill>
            <w14:solidFill>
              <w14:schemeClr w14:val="tx1"/>
            </w14:solidFill>
          </w14:textFill>
        </w:rPr>
        <w:t>临时转运至周边中石化场站设置的防渗完好、环保满足要求的储罐或水池暂存，或暂停压裂、</w:t>
      </w:r>
      <w:r>
        <w:rPr>
          <w:rFonts w:ascii="Times New Roman" w:hAnsi="Times New Roman"/>
          <w:color w:val="000000" w:themeColor="text1"/>
          <w:sz w:val="24"/>
          <w:highlight w:val="none"/>
          <w:lang w:eastAsia="zh-CN"/>
          <w14:textFill>
            <w14:solidFill>
              <w14:schemeClr w14:val="tx1"/>
            </w14:solidFill>
          </w14:textFill>
        </w:rPr>
        <w:t>返排</w:t>
      </w:r>
      <w:r>
        <w:rPr>
          <w:rFonts w:hint="eastAsia"/>
          <w:color w:val="000000" w:themeColor="text1"/>
          <w:sz w:val="24"/>
          <w:highlight w:val="none"/>
          <w:lang w:val="en-US" w:eastAsia="zh-CN"/>
          <w14:textFill>
            <w14:solidFill>
              <w14:schemeClr w14:val="tx1"/>
            </w14:solidFill>
          </w14:textFill>
        </w:rPr>
        <w:t>等</w:t>
      </w:r>
      <w:r>
        <w:rPr>
          <w:rFonts w:ascii="Times New Roman" w:hAnsi="Times New Roman"/>
          <w:color w:val="000000" w:themeColor="text1"/>
          <w:sz w:val="24"/>
          <w:highlight w:val="none"/>
          <w:lang w:eastAsia="zh-CN"/>
          <w14:textFill>
            <w14:solidFill>
              <w14:schemeClr w14:val="tx1"/>
            </w14:solidFill>
          </w14:textFill>
        </w:rPr>
        <w:t>，待放喷池、压裂液罐中压裂返排液</w:t>
      </w:r>
      <w:r>
        <w:rPr>
          <w:rFonts w:hint="eastAsia" w:ascii="Times New Roman" w:hAnsi="Times New Roman"/>
          <w:color w:val="000000" w:themeColor="text1"/>
          <w:sz w:val="24"/>
          <w:highlight w:val="none"/>
          <w:lang w:val="en-US" w:eastAsia="zh-CN"/>
          <w14:textFill>
            <w14:solidFill>
              <w14:schemeClr w14:val="tx1"/>
            </w14:solidFill>
          </w14:textFill>
        </w:rPr>
        <w:t>转运回用或回注</w:t>
      </w:r>
      <w:r>
        <w:rPr>
          <w:rFonts w:ascii="Times New Roman" w:hAnsi="Times New Roman"/>
          <w:color w:val="000000" w:themeColor="text1"/>
          <w:sz w:val="24"/>
          <w:highlight w:val="none"/>
          <w:lang w:eastAsia="zh-CN"/>
          <w14:textFill>
            <w14:solidFill>
              <w14:schemeClr w14:val="tx1"/>
            </w14:solidFill>
          </w14:textFill>
        </w:rPr>
        <w:t>后</w:t>
      </w:r>
      <w:r>
        <w:rPr>
          <w:rFonts w:hint="eastAsia"/>
          <w:color w:val="000000" w:themeColor="text1"/>
          <w:sz w:val="24"/>
          <w:highlight w:val="none"/>
          <w:lang w:val="en-US" w:eastAsia="zh-CN"/>
          <w14:textFill>
            <w14:solidFill>
              <w14:schemeClr w14:val="tx1"/>
            </w14:solidFill>
          </w14:textFill>
        </w:rPr>
        <w:t>有足够容积空间后方</w:t>
      </w:r>
      <w:r>
        <w:rPr>
          <w:rFonts w:ascii="Times New Roman" w:hAnsi="Times New Roman"/>
          <w:color w:val="000000" w:themeColor="text1"/>
          <w:sz w:val="24"/>
          <w:highlight w:val="none"/>
          <w:lang w:eastAsia="zh-CN"/>
          <w14:textFill>
            <w14:solidFill>
              <w14:schemeClr w14:val="tx1"/>
            </w14:solidFill>
          </w14:textFill>
        </w:rPr>
        <w:t>可继续</w:t>
      </w:r>
      <w:r>
        <w:rPr>
          <w:rFonts w:hint="eastAsia"/>
          <w:color w:val="000000" w:themeColor="text1"/>
          <w:sz w:val="24"/>
          <w:highlight w:val="none"/>
          <w:lang w:val="en-US" w:eastAsia="zh-CN"/>
          <w14:textFill>
            <w14:solidFill>
              <w14:schemeClr w14:val="tx1"/>
            </w14:solidFill>
          </w14:textFill>
        </w:rPr>
        <w:t>压裂、</w:t>
      </w:r>
      <w:r>
        <w:rPr>
          <w:rFonts w:ascii="Times New Roman" w:hAnsi="Times New Roman"/>
          <w:color w:val="000000" w:themeColor="text1"/>
          <w:sz w:val="24"/>
          <w:highlight w:val="none"/>
          <w:lang w:eastAsia="zh-CN"/>
          <w14:textFill>
            <w14:solidFill>
              <w14:schemeClr w14:val="tx1"/>
            </w14:solidFill>
          </w14:textFill>
        </w:rPr>
        <w:t>返排，因此在压裂返排期间</w:t>
      </w:r>
      <w:r>
        <w:rPr>
          <w:rFonts w:hint="eastAsia"/>
          <w:color w:val="000000" w:themeColor="text1"/>
          <w:sz w:val="24"/>
          <w:highlight w:val="none"/>
          <w:lang w:val="en-US" w:eastAsia="zh-CN"/>
          <w14:textFill>
            <w14:solidFill>
              <w14:schemeClr w14:val="tx1"/>
            </w14:solidFill>
          </w14:textFill>
        </w:rPr>
        <w:t>在控制好压裂、返排作业，充分利用周边储存设施的条件下，本项目设置</w:t>
      </w:r>
      <w:r>
        <w:rPr>
          <w:rFonts w:ascii="Times New Roman" w:hAnsi="Times New Roman"/>
          <w:color w:val="000000" w:themeColor="text1"/>
          <w:sz w:val="24"/>
          <w:highlight w:val="none"/>
          <w:lang w:eastAsia="zh-CN"/>
          <w14:textFill>
            <w14:solidFill>
              <w14:schemeClr w14:val="tx1"/>
            </w14:solidFill>
          </w14:textFill>
        </w:rPr>
        <w:t>放喷池、压裂液罐可满足暂存要求。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本项目压裂返排液及洗井废水临时暂存于放喷池</w:t>
      </w:r>
      <w:r>
        <w:rPr>
          <w:rFonts w:ascii="Times New Roman" w:hAnsi="Times New Roman"/>
          <w:color w:val="000000" w:themeColor="text1"/>
          <w:sz w:val="24"/>
          <w:highlight w:val="none"/>
          <w:lang w:eastAsia="zh-CN"/>
          <w14:textFill>
            <w14:solidFill>
              <w14:schemeClr w14:val="tx1"/>
            </w14:solidFill>
          </w14:textFill>
        </w:rPr>
        <w:t>、压裂液罐</w:t>
      </w:r>
      <w:r>
        <w:rPr>
          <w:rFonts w:cs="Times New Roman"/>
          <w:color w:val="000000" w:themeColor="text1"/>
          <w:highlight w:val="none"/>
          <w14:textFill>
            <w14:solidFill>
              <w14:schemeClr w14:val="tx1"/>
            </w14:solidFill>
          </w14:textFill>
        </w:rPr>
        <w:t>，优先回用于钻井工段及周边平台钻井工段，不能回用的用罐车拉运至</w:t>
      </w:r>
      <w:r>
        <w:rPr>
          <w:rFonts w:hint="eastAsia" w:cs="Times New Roman"/>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处理达标后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highlight w:val="none"/>
          <w14:textFill>
            <w14:solidFill>
              <w14:schemeClr w14:val="tx1"/>
            </w14:solidFill>
          </w14:textFill>
        </w:rPr>
        <w:t>经</w:t>
      </w:r>
      <w:r>
        <w:rPr>
          <w:rFonts w:hint="eastAsia" w:cs="Times New Roman"/>
          <w:color w:val="000000" w:themeColor="text1"/>
          <w:highlight w:val="none"/>
          <w:lang w:eastAsia="zh-CN"/>
          <w14:textFill>
            <w14:solidFill>
              <w14:schemeClr w14:val="tx1"/>
            </w14:solidFill>
          </w14:textFill>
        </w:rPr>
        <w:t>普光3井回注站回注，不外排。</w:t>
      </w:r>
      <w:r>
        <w:rPr>
          <w:rFonts w:cs="Times New Roman"/>
          <w:color w:val="000000" w:themeColor="text1"/>
          <w:highlight w:val="none"/>
          <w14:textFill>
            <w14:solidFill>
              <w14:schemeClr w14:val="tx1"/>
            </w14:solidFill>
          </w14:textFill>
        </w:rPr>
        <w:t>根据普光气田钻井工程类比调查，作业废水污染物浓度情况见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_Ref142593491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4</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79" w:name="_Ref14259349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bookmarkEnd w:id="17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压裂返排液及洗井废水污染物浓度表（单位：</w:t>
      </w:r>
      <w:r>
        <w:rPr>
          <w:color w:val="000000" w:themeColor="text1"/>
          <w:highlight w:val="none"/>
          <w14:textFill>
            <w14:solidFill>
              <w14:schemeClr w14:val="tx1"/>
            </w14:solidFill>
          </w14:textFill>
        </w:rPr>
        <w:t>mg/L）</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594"/>
        <w:gridCol w:w="1071"/>
        <w:gridCol w:w="1071"/>
        <w:gridCol w:w="1071"/>
        <w:gridCol w:w="940"/>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污染物名称</w:t>
            </w:r>
          </w:p>
        </w:tc>
        <w:tc>
          <w:tcPr>
            <w:tcW w:w="161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w:t>
            </w:r>
          </w:p>
        </w:tc>
        <w:tc>
          <w:tcPr>
            <w:tcW w:w="108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COD</w:t>
            </w:r>
          </w:p>
        </w:tc>
        <w:tc>
          <w:tcPr>
            <w:tcW w:w="108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SS</w:t>
            </w:r>
          </w:p>
        </w:tc>
        <w:tc>
          <w:tcPr>
            <w:tcW w:w="108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石油类</w:t>
            </w:r>
          </w:p>
        </w:tc>
        <w:tc>
          <w:tcPr>
            <w:tcW w:w="94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挥发酚</w:t>
            </w:r>
          </w:p>
        </w:tc>
        <w:tc>
          <w:tcPr>
            <w:tcW w:w="115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浓度</w:t>
            </w:r>
          </w:p>
        </w:tc>
        <w:tc>
          <w:tcPr>
            <w:tcW w:w="16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4～6</w:t>
            </w:r>
          </w:p>
        </w:tc>
        <w:tc>
          <w:tcPr>
            <w:tcW w:w="10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≤5000</w:t>
            </w:r>
          </w:p>
        </w:tc>
        <w:tc>
          <w:tcPr>
            <w:tcW w:w="10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≤7500</w:t>
            </w:r>
          </w:p>
        </w:tc>
        <w:tc>
          <w:tcPr>
            <w:tcW w:w="10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≤200</w:t>
            </w:r>
          </w:p>
        </w:tc>
        <w:tc>
          <w:tcPr>
            <w:tcW w:w="94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w:t>
            </w:r>
          </w:p>
        </w:tc>
        <w:tc>
          <w:tcPr>
            <w:tcW w:w="115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≤4000</w:t>
            </w:r>
          </w:p>
        </w:tc>
      </w:tr>
    </w:tbl>
    <w:p>
      <w:pPr>
        <w:spacing w:before="120" w:beforeLines="50"/>
        <w:ind w:firstLine="482"/>
        <w:rPr>
          <w:rFonts w:hint="default" w:ascii="Times New Roman" w:hAnsi="Times New Roman"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）生活污水</w:t>
      </w:r>
    </w:p>
    <w:p>
      <w:pPr>
        <w:ind w:firstLine="480"/>
        <w:rPr>
          <w:rFonts w:hint="default" w:ascii="Times New Roman" w:hAnsi="Times New Roman" w:cs="Times New Roman"/>
          <w:bCs/>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eastAsia="zh-CN"/>
          <w14:textFill>
            <w14:solidFill>
              <w14:schemeClr w14:val="tx1"/>
            </w14:solidFill>
          </w14:textFill>
        </w:rPr>
        <w:t>储层改造工程</w:t>
      </w:r>
      <w:r>
        <w:rPr>
          <w:rFonts w:hint="default" w:ascii="Times New Roman" w:hAnsi="Times New Roman" w:cs="Times New Roman"/>
          <w:bCs/>
          <w:color w:val="000000" w:themeColor="text1"/>
          <w:highlight w:val="none"/>
          <w:lang w:eastAsia="zh-CN"/>
          <w14:textFill>
            <w14:solidFill>
              <w14:schemeClr w14:val="tx1"/>
            </w14:solidFill>
          </w14:textFill>
        </w:rPr>
        <w:t>压裂作业时间约为35天，压裂作业人员40人</w:t>
      </w:r>
      <w:r>
        <w:rPr>
          <w:rFonts w:hint="default" w:ascii="Times New Roman" w:hAnsi="Times New Roman" w:cs="Times New Roman"/>
          <w:bCs/>
          <w:color w:val="000000" w:themeColor="text1"/>
          <w:highlight w:val="none"/>
          <w14:textFill>
            <w14:solidFill>
              <w14:schemeClr w14:val="tx1"/>
            </w14:solidFill>
          </w14:textFill>
        </w:rPr>
        <w:t>，每人每天用水量为80L，排污系数为0.8，则</w:t>
      </w:r>
      <w:r>
        <w:rPr>
          <w:rFonts w:hint="eastAsia" w:cs="Times New Roman"/>
          <w:bCs/>
          <w:color w:val="000000" w:themeColor="text1"/>
          <w:highlight w:val="none"/>
          <w:lang w:val="en-US" w:eastAsia="zh-CN"/>
          <w14:textFill>
            <w14:solidFill>
              <w14:schemeClr w14:val="tx1"/>
            </w14:solidFill>
          </w14:textFill>
        </w:rPr>
        <w:t>储层改造</w:t>
      </w:r>
      <w:r>
        <w:rPr>
          <w:rFonts w:hint="default" w:ascii="Times New Roman" w:hAnsi="Times New Roman" w:cs="Times New Roman"/>
          <w:bCs/>
          <w:color w:val="000000" w:themeColor="text1"/>
          <w:highlight w:val="none"/>
          <w14:textFill>
            <w14:solidFill>
              <w14:schemeClr w14:val="tx1"/>
            </w14:solidFill>
          </w14:textFill>
        </w:rPr>
        <w:t>期间井场的生活用水量为3</w:t>
      </w:r>
      <w:r>
        <w:rPr>
          <w:rFonts w:hint="eastAsia" w:cs="Times New Roman"/>
          <w:bCs/>
          <w:color w:val="000000" w:themeColor="text1"/>
          <w:highlight w:val="none"/>
          <w:lang w:val="en-US" w:eastAsia="zh-CN"/>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00L/d，污水产生量为2</w:t>
      </w:r>
      <w:r>
        <w:rPr>
          <w:rFonts w:hint="eastAsia" w:cs="Times New Roman"/>
          <w:bCs/>
          <w:color w:val="000000" w:themeColor="text1"/>
          <w:highlight w:val="none"/>
          <w:lang w:val="en-US" w:eastAsia="zh-CN"/>
          <w14:textFill>
            <w14:solidFill>
              <w14:schemeClr w14:val="tx1"/>
            </w14:solidFill>
          </w14:textFill>
        </w:rPr>
        <w:t>56</w:t>
      </w:r>
      <w:r>
        <w:rPr>
          <w:rFonts w:hint="default" w:ascii="Times New Roman" w:hAnsi="Times New Roman" w:cs="Times New Roman"/>
          <w:bCs/>
          <w:color w:val="000000" w:themeColor="text1"/>
          <w:highlight w:val="none"/>
          <w14:textFill>
            <w14:solidFill>
              <w14:schemeClr w14:val="tx1"/>
            </w14:solidFill>
          </w14:textFill>
        </w:rPr>
        <w:t>0L/d。生活污水经生态厕所收集后由密闭罐车定期拉运至周边生活污水处理厂处理，环境影响较小。本项目生活污水水质情况见</w:t>
      </w:r>
      <w:r>
        <w:rPr>
          <w:rFonts w:hint="default" w:ascii="Times New Roman" w:hAnsi="Times New Roman" w:cs="Times New Roman"/>
          <w:bCs/>
          <w:color w:val="000000" w:themeColor="text1"/>
          <w:highlight w:val="none"/>
          <w14:textFill>
            <w14:solidFill>
              <w14:schemeClr w14:val="tx1"/>
            </w14:solidFill>
          </w14:textFill>
        </w:rPr>
        <w:fldChar w:fldCharType="begin"/>
      </w:r>
      <w:r>
        <w:rPr>
          <w:rFonts w:hint="default" w:ascii="Times New Roman" w:hAnsi="Times New Roman" w:cs="Times New Roman"/>
          <w:bCs/>
          <w:color w:val="000000" w:themeColor="text1"/>
          <w:highlight w:val="none"/>
          <w14:textFill>
            <w14:solidFill>
              <w14:schemeClr w14:val="tx1"/>
            </w14:solidFill>
          </w14:textFill>
        </w:rPr>
        <w:instrText xml:space="preserve"> REF _Ref142593497 \h  \* MERGEFORMAT </w:instrText>
      </w:r>
      <w:r>
        <w:rPr>
          <w:rFonts w:hint="default" w:ascii="Times New Roman" w:hAnsi="Times New Roman" w:cs="Times New Roman"/>
          <w:bCs/>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表3.4</w:t>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bCs/>
          <w:color w:val="000000" w:themeColor="text1"/>
          <w:highlight w:val="none"/>
          <w14:textFill>
            <w14:solidFill>
              <w14:schemeClr w14:val="tx1"/>
            </w14:solidFill>
          </w14:textFill>
        </w:rPr>
        <w:fldChar w:fldCharType="end"/>
      </w:r>
      <w:r>
        <w:rPr>
          <w:rFonts w:hint="default" w:ascii="Times New Roman" w:hAnsi="Times New Roman" w:cs="Times New Roman"/>
          <w:bCs/>
          <w:color w:val="000000" w:themeColor="text1"/>
          <w:highlight w:val="none"/>
          <w14:textFill>
            <w14:solidFill>
              <w14:schemeClr w14:val="tx1"/>
            </w14:solidFill>
          </w14:textFill>
        </w:rPr>
        <w:t>。</w:t>
      </w:r>
    </w:p>
    <w:p>
      <w:pPr>
        <w:pStyle w:val="201"/>
        <w:spacing w:before="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 xml:space="preserve"> 项目生活污水水质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主要污染物名称</w:t>
            </w:r>
          </w:p>
        </w:tc>
        <w:tc>
          <w:tcPr>
            <w:tcW w:w="84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pH</w:t>
            </w:r>
          </w:p>
        </w:tc>
        <w:tc>
          <w:tcPr>
            <w:tcW w:w="150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悬浮物（mg/L）</w:t>
            </w:r>
          </w:p>
        </w:tc>
        <w:tc>
          <w:tcPr>
            <w:tcW w:w="1370"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COD（mg/L）</w:t>
            </w:r>
          </w:p>
        </w:tc>
        <w:tc>
          <w:tcPr>
            <w:tcW w:w="137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BOD</w:t>
            </w:r>
            <w:r>
              <w:rPr>
                <w:rFonts w:hint="default" w:ascii="Times New Roman" w:hAnsi="Times New Roman" w:cs="Times New Roman"/>
                <w:b/>
                <w:bCs/>
                <w:color w:val="000000" w:themeColor="text1"/>
                <w:szCs w:val="20"/>
                <w:highlight w:val="none"/>
                <w:vertAlign w:val="subscript"/>
                <w14:textFill>
                  <w14:solidFill>
                    <w14:schemeClr w14:val="tx1"/>
                  </w14:solidFill>
                </w14:textFill>
              </w:rPr>
              <w:t>5</w:t>
            </w:r>
            <w:r>
              <w:rPr>
                <w:rFonts w:hint="default" w:ascii="Times New Roman" w:hAnsi="Times New Roman" w:cs="Times New Roman"/>
                <w:b/>
                <w:bCs/>
                <w:color w:val="000000" w:themeColor="text1"/>
                <w:szCs w:val="20"/>
                <w:highlight w:val="none"/>
                <w14:textFill>
                  <w14:solidFill>
                    <w14:schemeClr w14:val="tx1"/>
                  </w14:solidFill>
                </w14:textFill>
              </w:rPr>
              <w:t>（mg/L）</w:t>
            </w:r>
          </w:p>
        </w:tc>
        <w:tc>
          <w:tcPr>
            <w:tcW w:w="137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szCs w:val="20"/>
                <w:highlight w:val="none"/>
                <w14:textFill>
                  <w14:solidFill>
                    <w14:schemeClr w14:val="tx1"/>
                  </w14:solidFill>
                </w14:textFill>
              </w:rPr>
              <w:t>氨氮（mg/L）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水质情况</w:t>
            </w:r>
          </w:p>
        </w:tc>
        <w:tc>
          <w:tcPr>
            <w:tcW w:w="84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7.0-9.0</w:t>
            </w:r>
          </w:p>
        </w:tc>
        <w:tc>
          <w:tcPr>
            <w:tcW w:w="150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250-300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350-400</w:t>
            </w:r>
          </w:p>
        </w:tc>
        <w:tc>
          <w:tcPr>
            <w:tcW w:w="137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200-250</w:t>
            </w:r>
          </w:p>
        </w:tc>
        <w:tc>
          <w:tcPr>
            <w:tcW w:w="1371"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30-40</w:t>
            </w:r>
          </w:p>
        </w:tc>
      </w:tr>
    </w:tbl>
    <w:p>
      <w:pPr>
        <w:spacing w:before="120" w:beforeLines="50"/>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（3）噪声</w:t>
      </w:r>
    </w:p>
    <w:p>
      <w:pPr>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本项目压裂作业时间短，仅在白天施工</w:t>
      </w:r>
      <w:r>
        <w:rPr>
          <w:rFonts w:hint="eastAsia"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压裂过程中噪声源主要来自于压裂泵车，单台噪声源强情况90~100dB（A）</w:t>
      </w:r>
      <w:r>
        <w:rPr>
          <w:rFonts w:hint="eastAsia"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本项目最多同时6台压裂设备同时作业</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此外，在储层改造完成后进行测试放喷时，还将有</w:t>
      </w:r>
      <w:r>
        <w:rPr>
          <w:rFonts w:hint="default" w:ascii="Times New Roman" w:hAnsi="Times New Roman" w:cs="Times New Roman"/>
          <w:color w:val="000000" w:themeColor="text1"/>
          <w:highlight w:val="none"/>
          <w14:textFill>
            <w14:solidFill>
              <w14:schemeClr w14:val="tx1"/>
            </w14:solidFill>
          </w14:textFill>
        </w:rPr>
        <w:t>放喷时产生的高压气流噪声，</w:t>
      </w:r>
      <w:r>
        <w:rPr>
          <w:rFonts w:hint="default" w:ascii="Times New Roman" w:hAnsi="Times New Roman" w:cs="Times New Roman"/>
          <w:color w:val="000000" w:themeColor="text1"/>
          <w:szCs w:val="24"/>
          <w:highlight w:val="none"/>
          <w14:textFill>
            <w14:solidFill>
              <w14:schemeClr w14:val="tx1"/>
            </w14:solidFill>
          </w14:textFill>
        </w:rPr>
        <w:t>噪声源强度约为95~105dB（A）</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储层改造</w:t>
      </w:r>
      <w:r>
        <w:rPr>
          <w:rFonts w:hint="default" w:ascii="Times New Roman" w:hAnsi="Times New Roman" w:cs="Times New Roman"/>
          <w:color w:val="000000" w:themeColor="text1"/>
          <w:highlight w:val="none"/>
          <w14:textFill>
            <w14:solidFill>
              <w14:schemeClr w14:val="tx1"/>
            </w14:solidFill>
          </w14:textFill>
        </w:rPr>
        <w:t>工程主要噪声源设备噪声值见</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REF _Ref142593506 \h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表3.4</w:t>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fldChar w:fldCharType="end"/>
      </w:r>
    </w:p>
    <w:p>
      <w:pPr>
        <w:pStyle w:val="201"/>
        <w:spacing w:before="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3.4</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 xml:space="preserve"> 项目钻井工程主要噪声源设备噪声值表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8"/>
        <w:gridCol w:w="1689"/>
        <w:gridCol w:w="1865"/>
        <w:gridCol w:w="1012"/>
        <w:gridCol w:w="849"/>
        <w:gridCol w:w="639"/>
        <w:gridCol w:w="639"/>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噪声设备</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数量</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单台源强dB（A）（1m处）</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采取的降噪措施</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降噪后源强</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噪声特征</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排放时间</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声源种类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压裂设备</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8台（最多6台同时作业）</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95～100</w:t>
            </w:r>
          </w:p>
        </w:tc>
        <w:tc>
          <w:tcPr>
            <w:tcW w:w="0" w:type="auto"/>
            <w:vAlign w:val="center"/>
          </w:tcPr>
          <w:p>
            <w:pPr>
              <w:keepNext w:val="0"/>
              <w:keepLines w:val="0"/>
              <w:widowControl/>
              <w:suppressLineNumbers w:val="0"/>
              <w:spacing w:before="0" w:beforeAutospacing="0" w:after="0" w:afterAutospacing="0" w:line="240" w:lineRule="auto"/>
              <w:ind w:left="0" w:right="0" w:firstLine="42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95～100</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机械</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昼夜间断</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放喷高压气流</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110</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105</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空气动力</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测试3h</w:t>
            </w:r>
          </w:p>
        </w:tc>
        <w:tc>
          <w:tcPr>
            <w:tcW w:w="0" w:type="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固定声源</w:t>
            </w:r>
          </w:p>
        </w:tc>
      </w:tr>
    </w:tbl>
    <w:p>
      <w:pPr>
        <w:spacing w:before="120" w:beforeLines="50"/>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（4）固废</w:t>
      </w:r>
    </w:p>
    <w:p>
      <w:pPr>
        <w:pStyle w:val="50"/>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储层改造工程主要的</w:t>
      </w:r>
      <w:r>
        <w:rPr>
          <w:rFonts w:hint="eastAsia" w:cs="Times New Roman"/>
          <w:color w:val="000000" w:themeColor="text1"/>
          <w:kern w:val="2"/>
          <w:sz w:val="24"/>
          <w:szCs w:val="22"/>
          <w:highlight w:val="none"/>
          <w:lang w:val="en-US" w:eastAsia="zh-CN" w:bidi="ar-SA"/>
          <w14:textFill>
            <w14:solidFill>
              <w14:schemeClr w14:val="tx1"/>
            </w14:solidFill>
          </w14:textFill>
        </w:rPr>
        <w:t>固体废弃物</w:t>
      </w: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为储层改造施工人员生活垃圾及</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完井搬迁时可能产生少量建筑垃圾</w:t>
      </w: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生活垃圾来源于</w:t>
      </w:r>
      <w:r>
        <w:rPr>
          <w:rFonts w:hint="eastAsia" w:cs="Times New Roman"/>
          <w:color w:val="000000" w:themeColor="text1"/>
          <w:kern w:val="2"/>
          <w:sz w:val="24"/>
          <w:szCs w:val="22"/>
          <w:highlight w:val="none"/>
          <w:lang w:val="en-US" w:eastAsia="zh-CN" w:bidi="ar-SA"/>
          <w14:textFill>
            <w14:solidFill>
              <w14:schemeClr w14:val="tx1"/>
            </w14:solidFill>
          </w14:textFill>
        </w:rPr>
        <w:t>储层改造</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施工作业人员，</w:t>
      </w:r>
      <w:r>
        <w:rPr>
          <w:rFonts w:hint="eastAsia" w:cs="Times New Roman"/>
          <w:color w:val="000000" w:themeColor="text1"/>
          <w:kern w:val="2"/>
          <w:sz w:val="24"/>
          <w:szCs w:val="22"/>
          <w:highlight w:val="none"/>
          <w:lang w:val="en-US" w:eastAsia="zh-CN" w:bidi="ar-SA"/>
          <w14:textFill>
            <w14:solidFill>
              <w14:schemeClr w14:val="tx1"/>
            </w14:solidFill>
          </w14:textFill>
        </w:rPr>
        <w:t>储层改造施工人员</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按4</w:t>
      </w:r>
      <w:r>
        <w:rPr>
          <w:rFonts w:hint="eastAsia" w:cs="Times New Roman"/>
          <w:color w:val="000000" w:themeColor="text1"/>
          <w:kern w:val="2"/>
          <w:sz w:val="24"/>
          <w:szCs w:val="22"/>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人计，每人每天产生的生活垃圾按0.5kg/d计算，则生活垃圾的产生量约为2</w:t>
      </w:r>
      <w:r>
        <w:rPr>
          <w:rFonts w:hint="eastAsia" w:cs="Times New Roman"/>
          <w:color w:val="000000" w:themeColor="text1"/>
          <w:kern w:val="2"/>
          <w:sz w:val="24"/>
          <w:szCs w:val="22"/>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kg/d。井场设置垃圾坑收集，定期按井场所在地环卫部门相关要求实施统一妥善处置。</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2）建筑垃圾</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完井搬迁时可能产生少量建筑垃圾，主要如包装袋，废弃建筑材料等，其量小，由施工队伍统一收集清运至政府指定地方。</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（5）地下水污染</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b w:val="0"/>
          <w:bCs/>
          <w:color w:val="000000" w:themeColor="text1"/>
          <w:highlight w:val="none"/>
          <w14:textFill>
            <w14:solidFill>
              <w14:schemeClr w14:val="tx1"/>
            </w14:solidFill>
          </w14:textFill>
        </w:rPr>
      </w:pPr>
      <w:r>
        <w:rPr>
          <w:rFonts w:hint="default" w:ascii="Times New Roman" w:hAnsi="Times New Roman" w:cs="Times New Roman"/>
          <w:b w:val="0"/>
          <w:bCs/>
          <w:color w:val="000000" w:themeColor="text1"/>
          <w:highlight w:val="none"/>
          <w14:textFill>
            <w14:solidFill>
              <w14:schemeClr w14:val="tx1"/>
            </w14:solidFill>
          </w14:textFill>
        </w:rPr>
        <w:t>1）地下水污染源类型分析</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储层改造工程的下属污染类型主要为</w:t>
      </w:r>
      <w:r>
        <w:rPr>
          <w:rFonts w:hint="default" w:ascii="Times New Roman" w:hAnsi="Times New Roman" w:cs="Times New Roman"/>
          <w:color w:val="000000" w:themeColor="text1"/>
          <w:highlight w:val="none"/>
          <w14:textFill>
            <w14:solidFill>
              <w14:schemeClr w14:val="tx1"/>
            </w14:solidFill>
          </w14:textFill>
        </w:rPr>
        <w:t>压裂过程井筒破裂漏失的压裂液。</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b w:val="0"/>
          <w:bCs/>
          <w:color w:val="000000" w:themeColor="text1"/>
          <w:szCs w:val="24"/>
          <w:highlight w:val="none"/>
          <w14:textFill>
            <w14:solidFill>
              <w14:schemeClr w14:val="tx1"/>
            </w14:solidFill>
          </w14:textFill>
        </w:rPr>
      </w:pPr>
      <w:r>
        <w:rPr>
          <w:rFonts w:hint="default" w:ascii="Times New Roman" w:hAnsi="Times New Roman" w:cs="Times New Roman"/>
          <w:b w:val="0"/>
          <w:bCs/>
          <w:color w:val="000000" w:themeColor="text1"/>
          <w:szCs w:val="24"/>
          <w:highlight w:val="none"/>
          <w14:textFill>
            <w14:solidFill>
              <w14:schemeClr w14:val="tx1"/>
            </w14:solidFill>
          </w14:textFill>
        </w:rPr>
        <w:t>2）污染途径分析</w:t>
      </w:r>
    </w:p>
    <w:p>
      <w:pPr>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在储层改造时的</w:t>
      </w:r>
      <w:r>
        <w:rPr>
          <w:rFonts w:hint="default" w:ascii="Times New Roman" w:hAnsi="Times New Roman" w:cs="Times New Roman"/>
          <w:bCs/>
          <w:color w:val="000000" w:themeColor="text1"/>
          <w:szCs w:val="24"/>
          <w:highlight w:val="none"/>
          <w14:textFill>
            <w14:solidFill>
              <w14:schemeClr w14:val="tx1"/>
            </w14:solidFill>
          </w14:textFill>
        </w:rPr>
        <w:t>压裂过程中</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发生</w:t>
      </w:r>
      <w:r>
        <w:rPr>
          <w:rFonts w:hint="default" w:ascii="Times New Roman" w:hAnsi="Times New Roman" w:cs="Times New Roman"/>
          <w:bCs/>
          <w:color w:val="000000" w:themeColor="text1"/>
          <w:szCs w:val="24"/>
          <w:highlight w:val="none"/>
          <w14:textFill>
            <w14:solidFill>
              <w14:schemeClr w14:val="tx1"/>
            </w14:solidFill>
          </w14:textFill>
        </w:rPr>
        <w:t>井筒破裂事故中，在水头压力差的作用下，将有少量压裂液滤失，并在含水层中扩散迁移，污染地下水，污染程度与所选用的钻井泥浆体系与压裂方案密切相关。</w:t>
      </w:r>
    </w:p>
    <w:p>
      <w:pPr>
        <w:ind w:firstLine="480"/>
        <w:rPr>
          <w:rFonts w:hint="default" w:ascii="Times New Roman" w:hAnsi="Times New Roman" w:cs="Times New Roman"/>
          <w:b w:val="0"/>
          <w:bCs/>
          <w:color w:val="000000" w:themeColor="text1"/>
          <w:szCs w:val="24"/>
          <w:highlight w:val="none"/>
          <w14:textFill>
            <w14:solidFill>
              <w14:schemeClr w14:val="tx1"/>
            </w14:solidFill>
          </w14:textFill>
        </w:rPr>
      </w:pPr>
      <w:r>
        <w:rPr>
          <w:rFonts w:hint="default" w:ascii="Times New Roman" w:hAnsi="Times New Roman" w:cs="Times New Roman"/>
          <w:b w:val="0"/>
          <w:bCs/>
          <w:color w:val="000000" w:themeColor="text1"/>
          <w:szCs w:val="24"/>
          <w:highlight w:val="none"/>
          <w14:textFill>
            <w14:solidFill>
              <w14:schemeClr w14:val="tx1"/>
            </w14:solidFill>
          </w14:textFill>
        </w:rPr>
        <w:t>3）地下水污染源源强分析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压裂过程中</w:t>
      </w:r>
      <w:r>
        <w:rPr>
          <w:rFonts w:hint="default" w:ascii="Times New Roman" w:hAnsi="Times New Roman" w:cs="Times New Roman"/>
          <w:bCs/>
          <w:color w:val="000000" w:themeColor="text1"/>
          <w:szCs w:val="24"/>
          <w:highlight w:val="none"/>
          <w14:textFill>
            <w14:solidFill>
              <w14:schemeClr w14:val="tx1"/>
            </w14:solidFill>
          </w14:textFill>
        </w:rPr>
        <w:t>监控系统一般在地层滤失量＜3m</w:t>
      </w:r>
      <w:r>
        <w:rPr>
          <w:rFonts w:hint="default" w:ascii="Times New Roman" w:hAnsi="Times New Roman" w:cs="Times New Roman"/>
          <w:bCs/>
          <w:color w:val="000000" w:themeColor="text1"/>
          <w:szCs w:val="24"/>
          <w:highlight w:val="none"/>
          <w:vertAlign w:val="superscript"/>
          <w14:textFill>
            <w14:solidFill>
              <w14:schemeClr w14:val="tx1"/>
            </w14:solidFill>
          </w14:textFill>
        </w:rPr>
        <w:t>3</w:t>
      </w:r>
      <w:r>
        <w:rPr>
          <w:rFonts w:hint="default" w:ascii="Times New Roman" w:hAnsi="Times New Roman" w:cs="Times New Roman"/>
          <w:bCs/>
          <w:color w:val="000000" w:themeColor="text1"/>
          <w:szCs w:val="24"/>
          <w:highlight w:val="none"/>
          <w14:textFill>
            <w14:solidFill>
              <w14:schemeClr w14:val="tx1"/>
            </w14:solidFill>
          </w14:textFill>
        </w:rPr>
        <w:t>/h时即可发现</w:t>
      </w:r>
      <w:r>
        <w:rPr>
          <w:rFonts w:hint="eastAsia" w:cs="Times New Roman"/>
          <w:bCs/>
          <w:color w:val="000000" w:themeColor="text1"/>
          <w:szCs w:val="24"/>
          <w:highlight w:val="none"/>
          <w:lang w:val="en-US" w:eastAsia="zh-CN"/>
          <w14:textFill>
            <w14:solidFill>
              <w14:schemeClr w14:val="tx1"/>
            </w14:solidFill>
          </w14:textFill>
        </w:rPr>
        <w:t>压裂液滤失</w:t>
      </w:r>
      <w:r>
        <w:rPr>
          <w:rFonts w:hint="default" w:ascii="Times New Roman" w:hAnsi="Times New Roman" w:cs="Times New Roman"/>
          <w:bCs/>
          <w:color w:val="000000" w:themeColor="text1"/>
          <w:szCs w:val="24"/>
          <w:highlight w:val="none"/>
          <w14:textFill>
            <w14:solidFill>
              <w14:schemeClr w14:val="tx1"/>
            </w14:solidFill>
          </w14:textFill>
        </w:rPr>
        <w:t>，以便及时采取堵漏措施。从措施上减少井筒内</w:t>
      </w:r>
      <w:r>
        <w:rPr>
          <w:rFonts w:hint="eastAsia" w:cs="Times New Roman"/>
          <w:bCs/>
          <w:color w:val="000000" w:themeColor="text1"/>
          <w:szCs w:val="24"/>
          <w:highlight w:val="none"/>
          <w:lang w:val="en-US" w:eastAsia="zh-CN"/>
          <w14:textFill>
            <w14:solidFill>
              <w14:schemeClr w14:val="tx1"/>
            </w14:solidFill>
          </w14:textFill>
        </w:rPr>
        <w:t>压裂液</w:t>
      </w:r>
      <w:r>
        <w:rPr>
          <w:rFonts w:hint="default" w:ascii="Times New Roman" w:hAnsi="Times New Roman" w:cs="Times New Roman"/>
          <w:bCs/>
          <w:color w:val="000000" w:themeColor="text1"/>
          <w:szCs w:val="24"/>
          <w:highlight w:val="none"/>
          <w14:textFill>
            <w14:solidFill>
              <w14:schemeClr w14:val="tx1"/>
            </w14:solidFill>
          </w14:textFill>
        </w:rPr>
        <w:t>滤失可能。</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油气</w:t>
      </w:r>
      <w:r>
        <w:rPr>
          <w:rFonts w:hint="eastAsia"/>
          <w:color w:val="000000" w:themeColor="text1"/>
          <w:highlight w:val="none"/>
          <w14:textFill>
            <w14:solidFill>
              <w14:schemeClr w14:val="tx1"/>
            </w14:solidFill>
          </w14:textFill>
        </w:rPr>
        <w:t>集输</w:t>
      </w:r>
      <w:r>
        <w:rPr>
          <w:color w:val="000000" w:themeColor="text1"/>
          <w:highlight w:val="none"/>
          <w14:textFill>
            <w14:solidFill>
              <w14:schemeClr w14:val="tx1"/>
            </w14:solidFill>
          </w14:textFill>
        </w:rPr>
        <w:t>工程</w:t>
      </w:r>
      <w:r>
        <w:rPr>
          <w:rFonts w:hint="eastAsia"/>
          <w:color w:val="000000" w:themeColor="text1"/>
          <w:highlight w:val="none"/>
          <w14:textFill>
            <w14:solidFill>
              <w14:schemeClr w14:val="tx1"/>
            </w14:solidFill>
          </w14:textFill>
        </w:rPr>
        <w:t>（站场建设及管线工程）</w:t>
      </w:r>
    </w:p>
    <w:p>
      <w:pPr>
        <w:ind w:firstLine="480"/>
        <w:rPr>
          <w:rFonts w:cs="Times New Roman"/>
          <w:color w:val="000000" w:themeColor="text1"/>
          <w:kern w:val="0"/>
          <w:highlight w:val="none"/>
          <w14:textFill>
            <w14:solidFill>
              <w14:schemeClr w14:val="tx1"/>
            </w14:solidFill>
          </w14:textFill>
        </w:rPr>
      </w:pPr>
      <w:r>
        <w:rPr>
          <w:rFonts w:ascii="Times New Roman" w:hAnsi="Times New Roman" w:eastAsia="宋体" w:cs="Times New Roman"/>
          <w:bCs/>
          <w:color w:val="000000" w:themeColor="text1"/>
          <w:highlight w:val="none"/>
          <w14:textFill>
            <w14:solidFill>
              <w14:schemeClr w14:val="tx1"/>
            </w14:solidFill>
          </w14:textFill>
        </w:rPr>
        <w:t>试采期</w:t>
      </w:r>
      <w:r>
        <w:rPr>
          <w:rFonts w:hint="default" w:ascii="Times New Roman" w:hAnsi="Times New Roman" w:eastAsia="宋体" w:cs="Times New Roman"/>
          <w:bCs/>
          <w:color w:val="000000" w:themeColor="text1"/>
          <w:highlight w:val="none"/>
          <w14:textFill>
            <w14:solidFill>
              <w14:schemeClr w14:val="tx1"/>
            </w14:solidFill>
          </w14:textFill>
        </w:rPr>
        <w:t>钻井完毕后，通过测试并获得天然气产量后，</w:t>
      </w:r>
      <w:r>
        <w:rPr>
          <w:rFonts w:hint="eastAsia" w:ascii="Times New Roman" w:hAnsi="Times New Roman" w:eastAsia="宋体" w:cs="Times New Roman"/>
          <w:bCs/>
          <w:color w:val="000000" w:themeColor="text1"/>
          <w:highlight w:val="none"/>
          <w:lang w:eastAsia="zh-CN"/>
          <w14:textFill>
            <w14:solidFill>
              <w14:schemeClr w14:val="tx1"/>
            </w14:solidFill>
          </w14:textFill>
        </w:rPr>
        <w:t>在现有雷页1试采站内新1套地面集输流程，井口来气通过管道输送至雷页1试采站，再经除砂、加热、节流、单井混相计量、脱水后通过已建雷页1井至毛达线魏兴站的管线实现外输，采出水储存后装车外运，配套电力、通信、自控等设施</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。同时本工程需</w:t>
      </w:r>
      <w:r>
        <w:rPr>
          <w:rFonts w:hint="eastAsia" w:ascii="Times New Roman" w:hAnsi="Times New Roman" w:eastAsia="宋体" w:cs="Times New Roman"/>
          <w:bCs/>
          <w:color w:val="000000" w:themeColor="text1"/>
          <w:highlight w:val="none"/>
          <w14:textFill>
            <w14:solidFill>
              <w14:schemeClr w14:val="tx1"/>
            </w14:solidFill>
          </w14:textFill>
        </w:rPr>
        <w:t>新建</w:t>
      </w:r>
      <w:r>
        <w:rPr>
          <w:rFonts w:hint="eastAsia" w:ascii="Times New Roman" w:hAnsi="Times New Roman" w:eastAsia="宋体" w:cs="Times New Roman"/>
          <w:bCs/>
          <w:color w:val="000000" w:themeColor="text1"/>
          <w:highlight w:val="none"/>
          <w:lang w:eastAsia="zh-CN"/>
          <w14:textFill>
            <w14:solidFill>
              <w14:schemeClr w14:val="tx1"/>
            </w14:solidFill>
          </w14:textFill>
        </w:rPr>
        <w:t>雷页1试验井组</w:t>
      </w:r>
      <w:r>
        <w:rPr>
          <w:rFonts w:hint="eastAsia" w:ascii="Times New Roman" w:hAnsi="Times New Roman" w:eastAsia="宋体" w:cs="Times New Roman"/>
          <w:bCs/>
          <w:color w:val="000000" w:themeColor="text1"/>
          <w:highlight w:val="none"/>
          <w14:textFill>
            <w14:solidFill>
              <w14:schemeClr w14:val="tx1"/>
            </w14:solidFill>
          </w14:textFill>
        </w:rPr>
        <w:t>试采站</w:t>
      </w:r>
      <w:r>
        <w:rPr>
          <w:rFonts w:hint="eastAsia" w:ascii="Times New Roman" w:hAnsi="Times New Roman" w:eastAsia="宋体" w:cs="Times New Roman"/>
          <w:bCs/>
          <w:color w:val="000000" w:themeColor="text1"/>
          <w:highlight w:val="none"/>
          <w:lang w:eastAsia="zh-CN"/>
          <w14:textFill>
            <w14:solidFill>
              <w14:schemeClr w14:val="tx1"/>
            </w14:solidFill>
          </w14:textFill>
        </w:rPr>
        <w:t>～雷页1试采站</w:t>
      </w:r>
      <w:r>
        <w:rPr>
          <w:rFonts w:hint="eastAsia" w:ascii="Times New Roman" w:hAnsi="Times New Roman" w:eastAsia="宋体" w:cs="Times New Roman"/>
          <w:bCs/>
          <w:color w:val="000000" w:themeColor="text1"/>
          <w:highlight w:val="none"/>
          <w14:textFill>
            <w14:solidFill>
              <w14:schemeClr w14:val="tx1"/>
            </w14:solidFill>
          </w14:textFill>
        </w:rPr>
        <w:t>之间的</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天然气</w:t>
      </w:r>
      <w:r>
        <w:rPr>
          <w:rFonts w:hint="eastAsia" w:ascii="Times New Roman" w:hAnsi="Times New Roman" w:eastAsia="宋体" w:cs="Times New Roman"/>
          <w:bCs/>
          <w:color w:val="000000" w:themeColor="text1"/>
          <w:highlight w:val="none"/>
          <w14:textFill>
            <w14:solidFill>
              <w14:schemeClr w14:val="tx1"/>
            </w14:solidFill>
          </w14:textFill>
        </w:rPr>
        <w:t>管道1条，</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管道长度140m，管线规格DN65，材质为Q345，设计压力6.9MPa，埋深1.2m</w:t>
      </w:r>
      <w:r>
        <w:rPr>
          <w:rFonts w:ascii="Times New Roman" w:hAnsi="Times New Roman" w:eastAsia="宋体" w:cs="Times New Roman"/>
          <w:bCs/>
          <w:color w:val="000000" w:themeColor="text1"/>
          <w:highlight w:val="none"/>
          <w14:textFill>
            <w14:solidFill>
              <w14:schemeClr w14:val="tx1"/>
            </w14:solidFill>
          </w14:textFill>
        </w:rPr>
        <w:t>。站场</w:t>
      </w:r>
      <w:r>
        <w:rPr>
          <w:rFonts w:cs="Times New Roman"/>
          <w:bCs/>
          <w:color w:val="000000" w:themeColor="text1"/>
          <w:highlight w:val="none"/>
          <w14:textFill>
            <w14:solidFill>
              <w14:schemeClr w14:val="tx1"/>
            </w14:solidFill>
          </w14:textFill>
        </w:rPr>
        <w:t>施工工作均在完井后的井场内建设，</w:t>
      </w:r>
      <w:r>
        <w:rPr>
          <w:rFonts w:hint="eastAsia" w:cs="Times New Roman"/>
          <w:bCs/>
          <w:color w:val="000000" w:themeColor="text1"/>
          <w:highlight w:val="none"/>
          <w:lang w:val="en-US" w:eastAsia="zh-CN"/>
          <w14:textFill>
            <w14:solidFill>
              <w14:schemeClr w14:val="tx1"/>
            </w14:solidFill>
          </w14:textFill>
        </w:rPr>
        <w:t>管线距离短，工程量相对较小，整个地面工程的工程量小、</w:t>
      </w:r>
      <w:r>
        <w:rPr>
          <w:rFonts w:cs="Times New Roman"/>
          <w:bCs/>
          <w:color w:val="000000" w:themeColor="text1"/>
          <w:highlight w:val="none"/>
          <w14:textFill>
            <w14:solidFill>
              <w14:schemeClr w14:val="tx1"/>
            </w14:solidFill>
          </w14:textFill>
        </w:rPr>
        <w:t>施工期较短，其污染物产生量较少，对环境的影响较小。</w:t>
      </w:r>
    </w:p>
    <w:p>
      <w:pPr>
        <w:pStyle w:val="21"/>
        <w:spacing w:before="0"/>
        <w:ind w:left="0" w:firstLine="482"/>
        <w:jc w:val="both"/>
        <w:rPr>
          <w:rFonts w:ascii="Times New Roman" w:hAnsi="Times New Roman"/>
          <w:b/>
          <w:bCs/>
          <w:color w:val="000000" w:themeColor="text1"/>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（1）生态环境</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由于站场施工工作全部在钻井井场内完成，占地均位于原占地范围内，生态影响主要为部分设备基础建设造成施工区域土地裸露，在雨季极易产生径流，加重土壤侵蚀程度，造成水土流失。本项目在设备安装完毕后及时进行场站内道路硬化和绿化，减少场站施工区水土流失。</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本项目管道施工的主要环境影响表现为管道施工过程中</w:t>
      </w:r>
      <w:r>
        <w:rPr>
          <w:rFonts w:hint="eastAsia" w:cs="Times New Roman"/>
          <w:bCs/>
          <w:color w:val="000000" w:themeColor="text1"/>
          <w:highlight w:val="none"/>
          <w:lang w:val="en-US" w:eastAsia="zh-CN"/>
          <w14:textFill>
            <w14:solidFill>
              <w14:schemeClr w14:val="tx1"/>
            </w14:solidFill>
          </w14:textFill>
        </w:rPr>
        <w:t>场地平整压实作业</w:t>
      </w:r>
      <w:r>
        <w:rPr>
          <w:rFonts w:cs="Times New Roman"/>
          <w:bCs/>
          <w:color w:val="000000" w:themeColor="text1"/>
          <w:highlight w:val="none"/>
          <w14:textFill>
            <w14:solidFill>
              <w14:schemeClr w14:val="tx1"/>
            </w14:solidFill>
          </w14:textFill>
        </w:rPr>
        <w:t>，造成局部植被破坏、土壤扰动、土壤结构改变、地面裸露，短期内加深水土流失、破坏生境</w:t>
      </w:r>
      <w:r>
        <w:rPr>
          <w:rFonts w:hint="eastAsia" w:cs="Times New Roman"/>
          <w:bCs/>
          <w:color w:val="000000" w:themeColor="text1"/>
          <w:highlight w:val="none"/>
          <w14:textFill>
            <w14:solidFill>
              <w14:schemeClr w14:val="tx1"/>
            </w14:solidFill>
          </w14:textFill>
        </w:rPr>
        <w:t>。由于本工程集数管道的工程量小，产生的生态影响较小。</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（2）废气</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施工期废气主要为施工机具作业时产生的尾气，基础开挖、场地平整及物料装卸等施工过程产生的粉尘，车辆运输产生的二次扬尘</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焊接作业产生的焊接烟尘废气，以及防腐废气</w:t>
      </w:r>
      <w:r>
        <w:rPr>
          <w:rFonts w:cs="Times New Roman"/>
          <w:bCs/>
          <w:color w:val="000000" w:themeColor="text1"/>
          <w:highlight w:val="none"/>
          <w14:textFill>
            <w14:solidFill>
              <w14:schemeClr w14:val="tx1"/>
            </w14:solidFill>
          </w14:textFill>
        </w:rPr>
        <w:t>等，产生量较少，</w:t>
      </w:r>
      <w:r>
        <w:rPr>
          <w:rFonts w:hint="eastAsia" w:cs="Times New Roman"/>
          <w:bCs/>
          <w:color w:val="000000" w:themeColor="text1"/>
          <w:highlight w:val="none"/>
          <w:lang w:val="en-US" w:eastAsia="zh-CN"/>
          <w14:textFill>
            <w14:solidFill>
              <w14:schemeClr w14:val="tx1"/>
            </w14:solidFill>
          </w14:textFill>
        </w:rPr>
        <w:t>废气</w:t>
      </w:r>
      <w:r>
        <w:rPr>
          <w:rFonts w:cs="Times New Roman"/>
          <w:bCs/>
          <w:color w:val="000000" w:themeColor="text1"/>
          <w:highlight w:val="none"/>
          <w14:textFill>
            <w14:solidFill>
              <w14:schemeClr w14:val="tx1"/>
            </w14:solidFill>
          </w14:textFill>
        </w:rPr>
        <w:t>通过自然扩散后对环境影响较小。</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（3）废水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废水主要施工废水</w:t>
      </w:r>
      <w:r>
        <w:rPr>
          <w:rFonts w:cs="Times New Roman"/>
          <w:bCs/>
          <w:color w:val="000000" w:themeColor="text1"/>
          <w:szCs w:val="24"/>
          <w:highlight w:val="none"/>
          <w14:textFill>
            <w14:solidFill>
              <w14:schemeClr w14:val="tx1"/>
            </w14:solidFill>
          </w14:textFill>
        </w:rPr>
        <w:t>（主要污染物为SS）</w:t>
      </w:r>
      <w:r>
        <w:rPr>
          <w:rFonts w:cs="Times New Roman"/>
          <w:color w:val="000000" w:themeColor="text1"/>
          <w:szCs w:val="24"/>
          <w:highlight w:val="none"/>
          <w14:textFill>
            <w14:solidFill>
              <w14:schemeClr w14:val="tx1"/>
            </w14:solidFill>
          </w14:textFill>
        </w:rPr>
        <w:t>以及施工人员的生活污水（主要污染物为</w:t>
      </w:r>
      <w:r>
        <w:rPr>
          <w:rFonts w:cs="Times New Roman"/>
          <w:bCs/>
          <w:color w:val="000000" w:themeColor="text1"/>
          <w:szCs w:val="24"/>
          <w:highlight w:val="none"/>
          <w14:textFill>
            <w14:solidFill>
              <w14:schemeClr w14:val="tx1"/>
            </w14:solidFill>
          </w14:textFill>
        </w:rPr>
        <w:t>COD、SS和NH</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-N等</w:t>
      </w:r>
      <w:r>
        <w:rPr>
          <w:rFonts w:cs="Times New Roman"/>
          <w:color w:val="000000" w:themeColor="text1"/>
          <w:szCs w:val="24"/>
          <w:highlight w:val="none"/>
          <w14:textFill>
            <w14:solidFill>
              <w14:schemeClr w14:val="tx1"/>
            </w14:solidFill>
          </w14:textFill>
        </w:rPr>
        <w:t>）。生活污水经生态厕所收集后由密闭罐车定期拉运至周边生活污水处理厂处理；少量生产废水在施工现场设置沉淀池，施工废水经隔油沉淀处理后回用于洒水降尘，不外排。</w:t>
      </w:r>
    </w:p>
    <w:p>
      <w:pPr>
        <w:pStyle w:val="590"/>
        <w:spacing w:line="360" w:lineRule="auto"/>
        <w:rPr>
          <w:rFonts w:ascii="Times New Roman" w:hAnsi="Times New Roman"/>
          <w:color w:val="000000" w:themeColor="text1"/>
          <w:highlight w:val="none"/>
          <w:lang w:bidi="en-US"/>
          <w14:textFill>
            <w14:solidFill>
              <w14:schemeClr w14:val="tx1"/>
            </w14:solidFill>
          </w14:textFill>
        </w:rPr>
      </w:pPr>
      <w:r>
        <w:rPr>
          <w:rFonts w:hint="eastAsia" w:ascii="Times New Roman" w:hAnsi="Times New Roman"/>
          <w:color w:val="000000" w:themeColor="text1"/>
          <w:highlight w:val="none"/>
          <w:lang w:bidi="en-US"/>
          <w14:textFill>
            <w14:solidFill>
              <w14:schemeClr w14:val="tx1"/>
            </w14:solidFill>
          </w14:textFill>
        </w:rPr>
        <w:t>此外，集输</w:t>
      </w:r>
      <w:r>
        <w:rPr>
          <w:rFonts w:ascii="Times New Roman" w:hAnsi="Times New Roman"/>
          <w:color w:val="000000" w:themeColor="text1"/>
          <w:highlight w:val="none"/>
          <w:lang w:bidi="en-US"/>
          <w14:textFill>
            <w14:solidFill>
              <w14:schemeClr w14:val="tx1"/>
            </w14:solidFill>
          </w14:textFill>
        </w:rPr>
        <w:t>线路采用清洁水进行试压作业，根据管线长度及管道直径，本项目试压废水的</w:t>
      </w:r>
      <w:r>
        <w:rPr>
          <w:rFonts w:hint="eastAsia" w:ascii="Times New Roman" w:hAnsi="Times New Roman"/>
          <w:color w:val="000000" w:themeColor="text1"/>
          <w:highlight w:val="none"/>
          <w:lang w:eastAsia="zh-CN" w:bidi="en-US"/>
          <w14:textFill>
            <w14:solidFill>
              <w14:schemeClr w14:val="tx1"/>
            </w14:solidFill>
          </w14:textFill>
        </w:rPr>
        <w:t>用量约为0.07m</w:t>
      </w:r>
      <w:r>
        <w:rPr>
          <w:rFonts w:ascii="Times New Roman" w:hAnsi="Times New Roman"/>
          <w:color w:val="000000" w:themeColor="text1"/>
          <w:highlight w:val="none"/>
          <w:vertAlign w:val="superscript"/>
          <w:lang w:bidi="en-US"/>
          <w14:textFill>
            <w14:solidFill>
              <w14:schemeClr w14:val="tx1"/>
            </w14:solidFill>
          </w14:textFill>
        </w:rPr>
        <w:t>3</w:t>
      </w:r>
      <w:r>
        <w:rPr>
          <w:rFonts w:ascii="Times New Roman" w:hAnsi="Times New Roman"/>
          <w:color w:val="000000" w:themeColor="text1"/>
          <w:highlight w:val="none"/>
          <w:lang w:bidi="en-US"/>
          <w14:textFill>
            <w14:solidFill>
              <w14:schemeClr w14:val="tx1"/>
            </w14:solidFill>
          </w14:textFill>
        </w:rPr>
        <w:t>，试压过程中无试压水的损耗，故试压废水的产生</w:t>
      </w:r>
      <w:r>
        <w:rPr>
          <w:rFonts w:hint="eastAsia" w:ascii="Times New Roman" w:hAnsi="Times New Roman"/>
          <w:color w:val="000000" w:themeColor="text1"/>
          <w:highlight w:val="none"/>
          <w:lang w:eastAsia="zh-CN" w:bidi="en-US"/>
          <w14:textFill>
            <w14:solidFill>
              <w14:schemeClr w14:val="tx1"/>
            </w14:solidFill>
          </w14:textFill>
        </w:rPr>
        <w:t>量为0.07m</w:t>
      </w:r>
      <w:r>
        <w:rPr>
          <w:rFonts w:ascii="Times New Roman" w:hAnsi="Times New Roman"/>
          <w:color w:val="000000" w:themeColor="text1"/>
          <w:highlight w:val="none"/>
          <w:vertAlign w:val="superscript"/>
          <w:lang w:bidi="en-US"/>
          <w14:textFill>
            <w14:solidFill>
              <w14:schemeClr w14:val="tx1"/>
            </w14:solidFill>
          </w14:textFill>
        </w:rPr>
        <w:t>3</w:t>
      </w:r>
      <w:r>
        <w:rPr>
          <w:rFonts w:ascii="Times New Roman" w:hAnsi="Times New Roman"/>
          <w:color w:val="000000" w:themeColor="text1"/>
          <w:highlight w:val="none"/>
          <w:lang w:bidi="en-US"/>
          <w14:textFill>
            <w14:solidFill>
              <w14:schemeClr w14:val="tx1"/>
            </w14:solidFill>
          </w14:textFill>
        </w:rPr>
        <w:t>。</w:t>
      </w:r>
      <w:bookmarkStart w:id="180" w:name="OLE_LINK101"/>
      <w:r>
        <w:rPr>
          <w:rFonts w:ascii="Times New Roman" w:hAnsi="Times New Roman"/>
          <w:color w:val="000000" w:themeColor="text1"/>
          <w:highlight w:val="none"/>
          <w:lang w:bidi="en-US"/>
          <w14:textFill>
            <w14:solidFill>
              <w14:schemeClr w14:val="tx1"/>
            </w14:solidFill>
          </w14:textFill>
        </w:rPr>
        <w:t>试压完成沉淀后</w:t>
      </w:r>
      <w:bookmarkEnd w:id="180"/>
      <w:r>
        <w:rPr>
          <w:rFonts w:ascii="Times New Roman" w:hAnsi="Times New Roman"/>
          <w:color w:val="000000" w:themeColor="text1"/>
          <w:highlight w:val="none"/>
          <w:lang w:bidi="en-US"/>
          <w14:textFill>
            <w14:solidFill>
              <w14:schemeClr w14:val="tx1"/>
            </w14:solidFill>
          </w14:textFill>
        </w:rPr>
        <w:t>用于洒水降尘，不外排。由于</w:t>
      </w:r>
      <w:bookmarkStart w:id="181" w:name="OLE_LINK100"/>
      <w:r>
        <w:rPr>
          <w:rFonts w:ascii="Times New Roman" w:hAnsi="Times New Roman"/>
          <w:color w:val="000000" w:themeColor="text1"/>
          <w:highlight w:val="none"/>
          <w:lang w:bidi="en-US"/>
          <w14:textFill>
            <w14:solidFill>
              <w14:schemeClr w14:val="tx1"/>
            </w14:solidFill>
          </w14:textFill>
        </w:rPr>
        <w:t>清管试压废水中的污染物主要为SS，</w:t>
      </w:r>
      <w:bookmarkEnd w:id="181"/>
      <w:r>
        <w:rPr>
          <w:rFonts w:ascii="Times New Roman" w:hAnsi="Times New Roman"/>
          <w:color w:val="000000" w:themeColor="text1"/>
          <w:highlight w:val="none"/>
          <w:lang w:bidi="en-US"/>
          <w14:textFill>
            <w14:solidFill>
              <w14:schemeClr w14:val="tx1"/>
            </w14:solidFill>
          </w14:textFill>
        </w:rPr>
        <w:t>经沉淀后用于降尘使用，不外排。项目产生的试压废水对周围地表水环境影响较小。</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（4）噪声</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站场建设的噪声主要是推土机、电焊机、载重汽车等运行中产生的，工程量小、时间短，噪声源强小，夜间不施工，对环境影响小。项目</w:t>
      </w:r>
      <w:r>
        <w:rPr>
          <w:rFonts w:hint="eastAsia" w:cs="Times New Roman"/>
          <w:color w:val="000000" w:themeColor="text1"/>
          <w:szCs w:val="24"/>
          <w:highlight w:val="none"/>
          <w14:textFill>
            <w14:solidFill>
              <w14:schemeClr w14:val="tx1"/>
            </w14:solidFill>
          </w14:textFill>
        </w:rPr>
        <w:t>集输管道</w:t>
      </w:r>
      <w:r>
        <w:rPr>
          <w:rFonts w:cs="Times New Roman"/>
          <w:color w:val="000000" w:themeColor="text1"/>
          <w:szCs w:val="24"/>
          <w:highlight w:val="none"/>
          <w14:textFill>
            <w14:solidFill>
              <w14:schemeClr w14:val="tx1"/>
            </w14:solidFill>
          </w14:textFill>
        </w:rPr>
        <w:t>工程管材的运输、</w:t>
      </w:r>
      <w:r>
        <w:rPr>
          <w:rFonts w:hint="eastAsia" w:cs="Times New Roman"/>
          <w:bCs/>
          <w:color w:val="000000" w:themeColor="text1"/>
          <w:highlight w:val="none"/>
          <w:lang w:val="en-US" w:eastAsia="zh-CN"/>
          <w14:textFill>
            <w14:solidFill>
              <w14:schemeClr w14:val="tx1"/>
            </w14:solidFill>
          </w14:textFill>
        </w:rPr>
        <w:t>场地平整压实作业</w:t>
      </w:r>
      <w:r>
        <w:rPr>
          <w:rFonts w:cs="Times New Roman"/>
          <w:color w:val="000000" w:themeColor="text1"/>
          <w:szCs w:val="24"/>
          <w:highlight w:val="none"/>
          <w14:textFill>
            <w14:solidFill>
              <w14:schemeClr w14:val="tx1"/>
            </w14:solidFill>
          </w14:textFill>
        </w:rPr>
        <w:t>等施工过程中，因使用各种机械工具和车辆而产生噪声污染，其排放强度根据装卸、运输的车辆和工具的型号不同有所不同，具有间断性和暂时性</w:t>
      </w:r>
      <w:r>
        <w:rPr>
          <w:rFonts w:hint="eastAsia" w:cs="Times New Roman"/>
          <w:color w:val="000000" w:themeColor="text1"/>
          <w:szCs w:val="24"/>
          <w:highlight w:val="none"/>
          <w14:textFill>
            <w14:solidFill>
              <w14:schemeClr w14:val="tx1"/>
            </w14:solidFill>
          </w14:textFill>
        </w:rPr>
        <w:t>。由于管道工程</w:t>
      </w:r>
      <w:r>
        <w:rPr>
          <w:rFonts w:cs="Times New Roman"/>
          <w:color w:val="000000" w:themeColor="text1"/>
          <w:szCs w:val="24"/>
          <w:highlight w:val="none"/>
          <w14:textFill>
            <w14:solidFill>
              <w14:schemeClr w14:val="tx1"/>
            </w14:solidFill>
          </w14:textFill>
        </w:rPr>
        <w:t>量小、时间短，噪声源强小，夜间不施工，对环境影响小</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（5）固废</w:t>
      </w:r>
    </w:p>
    <w:p>
      <w:pPr>
        <w:ind w:firstLine="480"/>
        <w:rPr>
          <w:rFonts w:cs="Times New Roman"/>
          <w:color w:val="000000" w:themeColor="text1"/>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站场建设</w:t>
      </w:r>
      <w:r>
        <w:rPr>
          <w:rFonts w:hint="eastAsia" w:cs="Times New Roman"/>
          <w:color w:val="000000" w:themeColor="text1"/>
          <w:szCs w:val="24"/>
          <w:highlight w:val="none"/>
          <w:lang w:val="en-US" w:eastAsia="zh-CN"/>
          <w14:textFill>
            <w14:solidFill>
              <w14:schemeClr w14:val="tx1"/>
            </w14:solidFill>
          </w14:textFill>
        </w:rPr>
        <w:t>和集输管线施工</w:t>
      </w:r>
      <w:r>
        <w:rPr>
          <w:rFonts w:cs="Times New Roman"/>
          <w:color w:val="000000" w:themeColor="text1"/>
          <w:szCs w:val="24"/>
          <w:highlight w:val="none"/>
          <w14:textFill>
            <w14:solidFill>
              <w14:schemeClr w14:val="tx1"/>
            </w14:solidFill>
          </w14:textFill>
        </w:rPr>
        <w:t>产生少量建筑垃圾，如包装袋，废弃建筑材料等，其量小</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共计约30t，</w:t>
      </w:r>
      <w:r>
        <w:rPr>
          <w:rFonts w:cs="Times New Roman"/>
          <w:color w:val="000000" w:themeColor="text1"/>
          <w:szCs w:val="24"/>
          <w:highlight w:val="none"/>
          <w14:textFill>
            <w14:solidFill>
              <w14:schemeClr w14:val="tx1"/>
            </w14:solidFill>
          </w14:textFill>
        </w:rPr>
        <w:t>由施工队伍统一收集清运至政府指定地方。施工人员多为当地民工，租住在附近农户，无集中生活垃圾产生，其产生的生活垃圾利用附近农户现有的设施进行收集处置，无集中生活垃圾产生。</w:t>
      </w:r>
      <w:r>
        <w:rPr>
          <w:rFonts w:hint="eastAsia" w:cs="Times New Roman"/>
          <w:color w:val="000000" w:themeColor="text1"/>
          <w:szCs w:val="24"/>
          <w:highlight w:val="none"/>
          <w:lang w:val="en-US" w:eastAsia="zh-CN"/>
          <w14:textFill>
            <w14:solidFill>
              <w14:schemeClr w14:val="tx1"/>
            </w14:solidFill>
          </w14:textFill>
        </w:rPr>
        <w:t>此外，</w:t>
      </w:r>
      <w:r>
        <w:rPr>
          <w:rFonts w:cs="Times New Roman"/>
          <w:color w:val="000000" w:themeColor="text1"/>
          <w:szCs w:val="24"/>
          <w:highlight w:val="none"/>
          <w14:textFill>
            <w14:solidFill>
              <w14:schemeClr w14:val="tx1"/>
            </w14:solidFill>
          </w14:textFill>
        </w:rPr>
        <w:t>项目站场建设</w:t>
      </w:r>
      <w:r>
        <w:rPr>
          <w:rFonts w:hint="eastAsia" w:cs="Times New Roman"/>
          <w:color w:val="000000" w:themeColor="text1"/>
          <w:szCs w:val="24"/>
          <w:highlight w:val="none"/>
          <w:lang w:val="en-US" w:eastAsia="zh-CN"/>
          <w14:textFill>
            <w14:solidFill>
              <w14:schemeClr w14:val="tx1"/>
            </w14:solidFill>
          </w14:textFill>
        </w:rPr>
        <w:t>和集输管线施工还会</w:t>
      </w:r>
      <w:r>
        <w:rPr>
          <w:rFonts w:cs="Times New Roman"/>
          <w:color w:val="000000" w:themeColor="text1"/>
          <w:szCs w:val="24"/>
          <w:highlight w:val="none"/>
          <w14:textFill>
            <w14:solidFill>
              <w14:schemeClr w14:val="tx1"/>
            </w14:solidFill>
          </w14:textFill>
        </w:rPr>
        <w:t>产生</w:t>
      </w:r>
      <w:r>
        <w:rPr>
          <w:rFonts w:hint="eastAsia" w:cs="Times New Roman"/>
          <w:color w:val="000000" w:themeColor="text1"/>
          <w:szCs w:val="24"/>
          <w:highlight w:val="none"/>
          <w:lang w:val="en-US" w:eastAsia="zh-CN"/>
          <w14:textFill>
            <w14:solidFill>
              <w14:schemeClr w14:val="tx1"/>
            </w14:solidFill>
          </w14:textFill>
        </w:rPr>
        <w:t>少量</w:t>
      </w:r>
      <w:r>
        <w:rPr>
          <w:rFonts w:cs="Times New Roman"/>
          <w:color w:val="000000" w:themeColor="text1"/>
          <w:szCs w:val="24"/>
          <w:highlight w:val="none"/>
          <w14:textFill>
            <w14:solidFill>
              <w14:schemeClr w14:val="tx1"/>
            </w14:solidFill>
          </w14:textFill>
        </w:rPr>
        <w:t>管道焊接、防腐作业中产生的废材料</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如废焊条、废材料桶等，由施工单位带走处置，不在现场暂存</w:t>
      </w:r>
      <w:r>
        <w:rPr>
          <w:rFonts w:cs="Times New Roman"/>
          <w:color w:val="000000" w:themeColor="text1"/>
          <w:szCs w:val="24"/>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w:t>
      </w:r>
      <w:r>
        <w:rPr>
          <w:rFonts w:ascii="宋体" w:hAnsi="宋体"/>
          <w:color w:val="000000" w:themeColor="text1"/>
          <w:highlight w:val="none"/>
          <w14:textFill>
            <w14:solidFill>
              <w14:schemeClr w14:val="tx1"/>
            </w14:solidFill>
          </w14:textFill>
        </w:rPr>
        <w:t>“</w:t>
      </w:r>
      <w:r>
        <w:rPr>
          <w:rFonts w:ascii="黑体" w:hAnsi="黑体"/>
          <w:color w:val="000000" w:themeColor="text1"/>
          <w:highlight w:val="none"/>
          <w14:textFill>
            <w14:solidFill>
              <w14:schemeClr w14:val="tx1"/>
            </w14:solidFill>
          </w14:textFill>
        </w:rPr>
        <w:t>三废</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汇总表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综上所</w:t>
      </w:r>
      <w:r>
        <w:rPr>
          <w:rFonts w:hint="eastAsia" w:cs="Times New Roman"/>
          <w:color w:val="000000" w:themeColor="text1"/>
          <w:highlight w:val="none"/>
          <w:lang w:eastAsia="zh-CN"/>
          <w14:textFill>
            <w14:solidFill>
              <w14:schemeClr w14:val="tx1"/>
            </w14:solidFill>
          </w14:textFill>
        </w:rPr>
        <w:t>述</w:t>
      </w:r>
      <w:r>
        <w:rPr>
          <w:rFonts w:cs="Times New Roman"/>
          <w:color w:val="000000" w:themeColor="text1"/>
          <w:highlight w:val="none"/>
          <w14:textFill>
            <w14:solidFill>
              <w14:schemeClr w14:val="tx1"/>
            </w14:solidFill>
          </w14:textFill>
        </w:rPr>
        <w:t>，本项目施工期污染物产生量及排放状况与生态影响见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_Ref142593545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11</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82" w:name="_Ref142593545"/>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bookmarkEnd w:id="182"/>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本项目施工期正常工况下“三废”及生态影响汇总表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4"/>
        <w:gridCol w:w="435"/>
        <w:gridCol w:w="1394"/>
        <w:gridCol w:w="1439"/>
        <w:gridCol w:w="971"/>
        <w:gridCol w:w="992"/>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263"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污染源</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主要污染物</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产生量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排放量</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废气</w:t>
            </w: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钻前工程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施工扬尘</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TSP</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短期排放，定期洒水抑尘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施工机械和运输车辆尾气</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CO、NOx等</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选用尾气排放达标机械车辆，加强保养维护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钻井工程</w:t>
            </w:r>
          </w:p>
        </w:tc>
        <w:tc>
          <w:tcPr>
            <w:tcW w:w="1394"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备用柴油发电机尾气</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NOx</w:t>
            </w:r>
          </w:p>
        </w:tc>
        <w:tc>
          <w:tcPr>
            <w:tcW w:w="1963" w:type="dxa"/>
            <w:gridSpan w:val="2"/>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1.17kg/h</w:t>
            </w:r>
          </w:p>
        </w:tc>
        <w:tc>
          <w:tcPr>
            <w:tcW w:w="2557"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自带消烟除尘装置处理后6m高排气筒排放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SO</w:t>
            </w:r>
            <w:r>
              <w:rPr>
                <w:rFonts w:hint="default"/>
                <w:color w:val="000000" w:themeColor="text1"/>
                <w:szCs w:val="20"/>
                <w:highlight w:val="none"/>
                <w:vertAlign w:val="subscript"/>
                <w14:textFill>
                  <w14:solidFill>
                    <w14:schemeClr w14:val="tx1"/>
                  </w14:solidFill>
                </w14:textFill>
              </w:rPr>
              <w:t>2</w:t>
            </w:r>
          </w:p>
        </w:tc>
        <w:tc>
          <w:tcPr>
            <w:tcW w:w="1963" w:type="dxa"/>
            <w:gridSpan w:val="2"/>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0.008kg/h</w:t>
            </w:r>
          </w:p>
        </w:tc>
        <w:tc>
          <w:tcPr>
            <w:tcW w:w="2557"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颗粒物</w:t>
            </w:r>
          </w:p>
        </w:tc>
        <w:tc>
          <w:tcPr>
            <w:tcW w:w="1963" w:type="dxa"/>
            <w:gridSpan w:val="2"/>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0.33kg/h</w:t>
            </w:r>
          </w:p>
        </w:tc>
        <w:tc>
          <w:tcPr>
            <w:tcW w:w="2557"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无组织挥发性废气</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无组织挥发性有机物</w:t>
            </w:r>
          </w:p>
        </w:tc>
        <w:tc>
          <w:tcPr>
            <w:tcW w:w="4520"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少量，短期排放，自然扩散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事故放喷废气</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NOx、CO</w:t>
            </w:r>
            <w:r>
              <w:rPr>
                <w:rFonts w:hint="default"/>
                <w:color w:val="000000" w:themeColor="text1"/>
                <w:szCs w:val="20"/>
                <w:highlight w:val="none"/>
                <w:vertAlign w:val="subscript"/>
                <w14:textFill>
                  <w14:solidFill>
                    <w14:schemeClr w14:val="tx1"/>
                  </w14:solidFill>
                </w14:textFill>
              </w:rPr>
              <w:t>2</w:t>
            </w:r>
            <w:r>
              <w:rPr>
                <w:rFonts w:hint="default"/>
                <w:color w:val="000000" w:themeColor="text1"/>
                <w:szCs w:val="20"/>
                <w:highlight w:val="none"/>
                <w14:textFill>
                  <w14:solidFill>
                    <w14:schemeClr w14:val="tx1"/>
                  </w14:solidFill>
                </w14:textFill>
              </w:rPr>
              <w:t>、颗粒物</w:t>
            </w:r>
          </w:p>
        </w:tc>
        <w:tc>
          <w:tcPr>
            <w:tcW w:w="4520"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少量，短期排放，点火燃烧处理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储层改造工程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压裂作业废气</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CO、NOx等</w:t>
            </w:r>
          </w:p>
        </w:tc>
        <w:tc>
          <w:tcPr>
            <w:tcW w:w="9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选用尾气排放达标机械车辆，加强保养维护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测试放喷废气</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NOx、CO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、颗粒物</w:t>
            </w:r>
          </w:p>
        </w:tc>
        <w:tc>
          <w:tcPr>
            <w:tcW w:w="4520"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少量，短期排放，点火燃烧处理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油气集输工程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施工扬尘</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TSP</w:t>
            </w:r>
          </w:p>
        </w:tc>
        <w:tc>
          <w:tcPr>
            <w:tcW w:w="9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2557"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短期排放，定期洒水抑尘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施工机械和运输车辆尾气</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防腐</w:t>
            </w:r>
            <w:r>
              <w:rPr>
                <w:rFonts w:hint="default"/>
                <w:color w:val="000000" w:themeColor="text1"/>
                <w:szCs w:val="20"/>
                <w:highlight w:val="none"/>
                <w14:textFill>
                  <w14:solidFill>
                    <w14:schemeClr w14:val="tx1"/>
                  </w14:solidFill>
                </w14:textFill>
              </w:rPr>
              <w:t>废气</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CO、NOx等</w:t>
            </w:r>
          </w:p>
        </w:tc>
        <w:tc>
          <w:tcPr>
            <w:tcW w:w="9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2557"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选用尾气排放达标机械车辆，加强保养维护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焊接烟尘</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烟尘</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自带焊烟净化器处理后排放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废水</w:t>
            </w: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钻前工程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施工废水</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SS和石油类</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经隔油池沉淀处理后回用于洒水降尘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生活污水</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COD、SS和NH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-N等</w:t>
            </w:r>
          </w:p>
        </w:tc>
        <w:tc>
          <w:tcPr>
            <w:tcW w:w="9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olor w:val="000000" w:themeColor="text1"/>
                <w:szCs w:val="20"/>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1.92m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/d</w:t>
            </w:r>
          </w:p>
        </w:tc>
        <w:tc>
          <w:tcPr>
            <w:tcW w:w="992"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利用农户已有的设施进行收集处置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钻井工程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钻井废水</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color w:val="000000" w:themeColor="text1"/>
                <w:szCs w:val="20"/>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钻井</w:t>
            </w:r>
            <w:r>
              <w:rPr>
                <w:rFonts w:hint="eastAsia" w:cs="Times New Roman"/>
                <w:color w:val="000000" w:themeColor="text1"/>
                <w:sz w:val="21"/>
                <w:szCs w:val="21"/>
                <w:highlight w:val="none"/>
                <w:lang w:val="en-US" w:eastAsia="zh-CN"/>
                <w14:textFill>
                  <w14:solidFill>
                    <w14:schemeClr w14:val="tx1"/>
                  </w14:solidFill>
                </w14:textFill>
              </w:rPr>
              <w:t>废水</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经清洁化操作平台处理后回用于配制钻井液，剩余部分</w:t>
            </w:r>
            <w:r>
              <w:rPr>
                <w:rFonts w:hint="default" w:ascii="Times New Roman" w:hAnsi="Times New Roman" w:cs="Times New Roman"/>
                <w:color w:val="000000" w:themeColor="text1"/>
                <w:sz w:val="21"/>
                <w:szCs w:val="21"/>
                <w:highlight w:val="none"/>
                <w14:textFill>
                  <w14:solidFill>
                    <w14:schemeClr w14:val="tx1"/>
                  </w14:solidFill>
                </w14:textFill>
              </w:rPr>
              <w:t>由罐车拉运至</w:t>
            </w:r>
            <w:r>
              <w:rPr>
                <w:rFonts w:hint="eastAsia" w:cs="Times New Roman"/>
                <w:color w:val="000000" w:themeColor="text1"/>
                <w:sz w:val="21"/>
                <w:szCs w:val="2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 w:val="21"/>
                <w:szCs w:val="21"/>
                <w:highlight w:val="none"/>
                <w14:textFill>
                  <w14:solidFill>
                    <w14:schemeClr w14:val="tx1"/>
                  </w14:solidFill>
                </w14:textFill>
              </w:rPr>
              <w:t>达标后管输至</w:t>
            </w:r>
            <w:r>
              <w:rPr>
                <w:rFonts w:hint="eastAsia" w:cs="Times New Roman"/>
                <w:color w:val="000000" w:themeColor="text1"/>
                <w:sz w:val="21"/>
                <w:szCs w:val="21"/>
                <w:highlight w:val="none"/>
                <w:lang w:eastAsia="zh-CN"/>
                <w14:textFill>
                  <w14:solidFill>
                    <w14:schemeClr w14:val="tx1"/>
                  </w14:solidFill>
                </w14:textFill>
              </w:rPr>
              <w:t>普光3井回注站</w:t>
            </w:r>
            <w:r>
              <w:rPr>
                <w:rFonts w:hint="default" w:ascii="Times New Roman" w:hAnsi="Times New Roman" w:cs="Times New Roman"/>
                <w:color w:val="000000" w:themeColor="text1"/>
                <w:sz w:val="21"/>
                <w:szCs w:val="21"/>
                <w:highlight w:val="none"/>
                <w14:textFill>
                  <w14:solidFill>
                    <w14:schemeClr w14:val="tx1"/>
                  </w14:solidFill>
                </w14:textFill>
              </w:rPr>
              <w:t>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b/>
                <w:bCs/>
                <w:color w:val="000000" w:themeColor="text1"/>
                <w:szCs w:val="20"/>
                <w:highlight w:val="none"/>
                <w:lang w:val="en-US" w:eastAsia="zh-CN"/>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生活污水</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COD、SS和NH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-N等</w:t>
            </w:r>
          </w:p>
        </w:tc>
        <w:tc>
          <w:tcPr>
            <w:tcW w:w="971"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2.88m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/d</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经生态厕所收集后定期由密闭罐车拉运至周边生活污水处理厂处理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b/>
                <w:bCs/>
                <w:color w:val="000000" w:themeColor="text1"/>
                <w:szCs w:val="20"/>
                <w:highlight w:val="none"/>
                <w:lang w:val="en-US" w:eastAsia="zh-CN"/>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初期雨水</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石油类、悬浮物、COD等</w:t>
            </w:r>
          </w:p>
        </w:tc>
        <w:tc>
          <w:tcPr>
            <w:tcW w:w="971"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202.1</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/次</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初期雨水同钻井废水一并经不落地装置处理后大部分回用于配制钻井液，剩余不能回用部分暂存于清洁生产操作平台的废水罐内，定期装车拉运至赵家坝污水处理站处理达标后经普光3井回注站回注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储层改造工程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洗井废水</w:t>
            </w:r>
          </w:p>
        </w:tc>
        <w:tc>
          <w:tcPr>
            <w:tcW w:w="1439"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石油类、悬浮物、COD及氯化物等</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r>
              <w:rPr>
                <w:rFonts w:hint="default"/>
                <w:color w:val="000000" w:themeColor="text1"/>
                <w:szCs w:val="20"/>
                <w:highlight w:val="none"/>
                <w14:textFill>
                  <w14:solidFill>
                    <w14:schemeClr w14:val="tx1"/>
                  </w14:solidFill>
                </w14:textFill>
              </w:rPr>
              <w:t>00m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557"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临时暂存于放喷池或者压裂液储罐中</w:t>
            </w:r>
            <w:r>
              <w:rPr>
                <w:rFonts w:hint="default" w:ascii="Times New Roman" w:hAnsi="Times New Roman" w:cs="Times New Roman"/>
                <w:color w:val="000000" w:themeColor="text1"/>
                <w:sz w:val="21"/>
                <w:szCs w:val="21"/>
                <w:highlight w:val="none"/>
                <w14:textFill>
                  <w14:solidFill>
                    <w14:schemeClr w14:val="tx1"/>
                  </w14:solidFill>
                </w14:textFill>
              </w:rPr>
              <w:t>，优先回用于钻井工段及周边平台钻井工段</w:t>
            </w:r>
            <w:r>
              <w:rPr>
                <w:rFonts w:hint="eastAsia" w:cs="Times New Roman"/>
                <w:color w:val="000000" w:themeColor="text1"/>
                <w:sz w:val="21"/>
                <w:szCs w:val="21"/>
                <w:highlight w:val="none"/>
                <w:lang w:val="en-US" w:eastAsia="zh-CN"/>
                <w14:textFill>
                  <w14:solidFill>
                    <w14:schemeClr w14:val="tx1"/>
                  </w14:solidFill>
                </w14:textFill>
              </w:rPr>
              <w:t>或配置压裂液</w:t>
            </w:r>
            <w:r>
              <w:rPr>
                <w:rFonts w:hint="default" w:ascii="Times New Roman" w:hAnsi="Times New Roman" w:cs="Times New Roman"/>
                <w:color w:val="000000" w:themeColor="text1"/>
                <w:sz w:val="21"/>
                <w:szCs w:val="21"/>
                <w:highlight w:val="none"/>
                <w14:textFill>
                  <w14:solidFill>
                    <w14:schemeClr w14:val="tx1"/>
                  </w14:solidFill>
                </w14:textFill>
              </w:rPr>
              <w:t>，不能回用的用罐车拉运至</w:t>
            </w:r>
            <w:r>
              <w:rPr>
                <w:rFonts w:hint="eastAsia" w:cs="Times New Roman"/>
                <w:color w:val="000000" w:themeColor="text1"/>
                <w:sz w:val="21"/>
                <w:szCs w:val="2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 w:val="21"/>
                <w:szCs w:val="21"/>
                <w:highlight w:val="none"/>
                <w14:textFill>
                  <w14:solidFill>
                    <w14:schemeClr w14:val="tx1"/>
                  </w14:solidFill>
                </w14:textFill>
              </w:rPr>
              <w:t>处理达标后经</w:t>
            </w:r>
            <w:r>
              <w:rPr>
                <w:rFonts w:hint="eastAsia" w:cs="Times New Roman"/>
                <w:color w:val="000000" w:themeColor="text1"/>
                <w:sz w:val="21"/>
                <w:szCs w:val="21"/>
                <w:highlight w:val="none"/>
                <w:lang w:eastAsia="zh-CN"/>
                <w14:textFill>
                  <w14:solidFill>
                    <w14:schemeClr w14:val="tx1"/>
                  </w14:solidFill>
                </w14:textFill>
              </w:rPr>
              <w:t>普光3井回注站</w:t>
            </w:r>
            <w:r>
              <w:rPr>
                <w:rFonts w:hint="default" w:ascii="Times New Roman" w:hAnsi="Times New Roman" w:cs="Times New Roman"/>
                <w:color w:val="000000" w:themeColor="text1"/>
                <w:sz w:val="21"/>
                <w:szCs w:val="21"/>
                <w:highlight w:val="none"/>
                <w14:textFill>
                  <w14:solidFill>
                    <w14:schemeClr w14:val="tx1"/>
                  </w14:solidFill>
                </w14:textFill>
              </w:rPr>
              <w:t>回注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压裂返排液</w:t>
            </w:r>
          </w:p>
        </w:tc>
        <w:tc>
          <w:tcPr>
            <w:tcW w:w="1439"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59778</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557"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生活污水</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COD、SS和NH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-N等</w:t>
            </w:r>
          </w:p>
        </w:tc>
        <w:tc>
          <w:tcPr>
            <w:tcW w:w="971"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2.56m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/d</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经生态厕所收集后定期由密闭罐车拉运至周边生活污水处理厂处理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油气集输工程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生活污水</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COD、SS和NH</w:t>
            </w:r>
            <w:r>
              <w:rPr>
                <w:rFonts w:hint="default" w:ascii="Times New Roman" w:hAnsi="Times New Roman"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Cs/>
                <w:color w:val="000000" w:themeColor="text1"/>
                <w:sz w:val="21"/>
                <w:szCs w:val="21"/>
                <w:highlight w:val="none"/>
                <w14:textFill>
                  <w14:solidFill>
                    <w14:schemeClr w14:val="tx1"/>
                  </w14:solidFill>
                </w14:textFill>
              </w:rPr>
              <w:t>-N等</w:t>
            </w:r>
          </w:p>
        </w:tc>
        <w:tc>
          <w:tcPr>
            <w:tcW w:w="971"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少量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经生态厕所收集后定期由密闭罐车拉运至周边生活污水处理厂处理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管道试压废水</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S</w:t>
            </w:r>
            <w:r>
              <w:rPr>
                <w:rFonts w:hint="default"/>
                <w:color w:val="000000" w:themeColor="text1"/>
                <w:szCs w:val="20"/>
                <w:highlight w:val="none"/>
                <w14:textFill>
                  <w14:solidFill>
                    <w14:schemeClr w14:val="tx1"/>
                  </w14:solidFill>
                </w14:textFill>
              </w:rPr>
              <w:t>S</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1.06</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经沉淀后用于降尘使用，不外排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噪声</w:t>
            </w:r>
          </w:p>
        </w:tc>
        <w:tc>
          <w:tcPr>
            <w:tcW w:w="435" w:type="dxa"/>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钻前工程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钻前工程施工</w:t>
            </w:r>
            <w:r>
              <w:rPr>
                <w:rFonts w:hint="eastAsia" w:cs="Times New Roman"/>
                <w:color w:val="000000" w:themeColor="text1"/>
                <w:szCs w:val="24"/>
                <w:highlight w:val="none"/>
                <w:lang w:val="en-US" w:eastAsia="zh-CN"/>
                <w14:textFill>
                  <w14:solidFill>
                    <w14:schemeClr w14:val="tx1"/>
                  </w14:solidFill>
                </w14:textFill>
              </w:rPr>
              <w:t>噪声</w:t>
            </w:r>
          </w:p>
        </w:tc>
        <w:tc>
          <w:tcPr>
            <w:tcW w:w="340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82~101dB（A）</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选用低噪声设备、加强维护保养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钻井工程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钻井设备噪声</w:t>
            </w:r>
          </w:p>
        </w:tc>
        <w:tc>
          <w:tcPr>
            <w:tcW w:w="3402"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75~103dB（A）</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选用低噪声设备、加强维护保养，置于钻井井场内，基础安装减振垫层，柴油发电机设置于室内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事故放喷噪声</w:t>
            </w:r>
          </w:p>
        </w:tc>
        <w:tc>
          <w:tcPr>
            <w:tcW w:w="3402"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110dB（A）</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仅事故情况下产生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储层改造工程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压裂作业设备</w:t>
            </w:r>
          </w:p>
        </w:tc>
        <w:tc>
          <w:tcPr>
            <w:tcW w:w="340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eastAsia="en-US"/>
                <w14:textFill>
                  <w14:solidFill>
                    <w14:schemeClr w14:val="tx1"/>
                  </w14:solidFill>
                </w14:textFill>
              </w:rPr>
              <w:t>95～100</w:t>
            </w:r>
            <w:r>
              <w:rPr>
                <w:rFonts w:hint="default" w:ascii="Times New Roman" w:hAnsi="Times New Roman" w:cs="Times New Roman"/>
                <w:color w:val="000000" w:themeColor="text1"/>
                <w:sz w:val="21"/>
                <w:szCs w:val="21"/>
                <w:highlight w:val="none"/>
                <w14:textFill>
                  <w14:solidFill>
                    <w14:schemeClr w14:val="tx1"/>
                  </w14:solidFill>
                </w14:textFill>
              </w:rPr>
              <w:t>dB（A）</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选用低噪声设备、加强维护保养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测试放喷噪声</w:t>
            </w:r>
          </w:p>
        </w:tc>
        <w:tc>
          <w:tcPr>
            <w:tcW w:w="340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110dB（A）</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仅</w:t>
            </w:r>
            <w:r>
              <w:rPr>
                <w:rFonts w:hint="eastAsia" w:cs="Times New Roman"/>
                <w:color w:val="000000" w:themeColor="text1"/>
                <w:sz w:val="21"/>
                <w:szCs w:val="21"/>
                <w:highlight w:val="none"/>
                <w:lang w:val="en-US" w:eastAsia="zh-CN"/>
                <w14:textFill>
                  <w14:solidFill>
                    <w14:schemeClr w14:val="tx1"/>
                  </w14:solidFill>
                </w14:textFill>
              </w:rPr>
              <w:t>测试放喷</w:t>
            </w:r>
            <w:r>
              <w:rPr>
                <w:rFonts w:hint="default" w:ascii="Times New Roman" w:hAnsi="Times New Roman" w:cs="Times New Roman"/>
                <w:color w:val="000000" w:themeColor="text1"/>
                <w:sz w:val="21"/>
                <w:szCs w:val="21"/>
                <w:highlight w:val="none"/>
                <w14:textFill>
                  <w14:solidFill>
                    <w14:schemeClr w14:val="tx1"/>
                  </w14:solidFill>
                </w14:textFill>
              </w:rPr>
              <w:t>情况下产生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油气集输工程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施工</w:t>
            </w:r>
            <w:r>
              <w:rPr>
                <w:rFonts w:hint="eastAsia" w:cs="Times New Roman"/>
                <w:color w:val="000000" w:themeColor="text1"/>
                <w:szCs w:val="24"/>
                <w:highlight w:val="none"/>
                <w:lang w:val="en-US" w:eastAsia="zh-CN"/>
                <w14:textFill>
                  <w14:solidFill>
                    <w14:schemeClr w14:val="tx1"/>
                  </w14:solidFill>
                </w14:textFill>
              </w:rPr>
              <w:t>噪声</w:t>
            </w:r>
          </w:p>
        </w:tc>
        <w:tc>
          <w:tcPr>
            <w:tcW w:w="340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82~101dB（A）</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选用低噪声设备、加强维护保养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固废</w:t>
            </w: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钻前工程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基础开挖</w:t>
            </w:r>
            <w:r>
              <w:rPr>
                <w:rFonts w:hint="eastAsia" w:cs="Times New Roman"/>
                <w:color w:val="000000" w:themeColor="text1"/>
                <w:szCs w:val="24"/>
                <w:highlight w:val="none"/>
                <w:lang w:val="en-US" w:eastAsia="zh-CN"/>
                <w14:textFill>
                  <w14:solidFill>
                    <w14:schemeClr w14:val="tx1"/>
                  </w14:solidFill>
                </w14:textFill>
              </w:rPr>
              <w:t>表土</w:t>
            </w:r>
          </w:p>
        </w:tc>
        <w:tc>
          <w:tcPr>
            <w:tcW w:w="3402"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约2200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集中堆放至井场</w:t>
            </w:r>
            <w:r>
              <w:rPr>
                <w:rFonts w:hint="eastAsia" w:ascii="Times New Roman" w:hAnsi="Times New Roman" w:cs="Times New Roman"/>
                <w:color w:val="000000" w:themeColor="text1"/>
                <w:szCs w:val="24"/>
                <w:highlight w:val="none"/>
                <w:lang w:val="en-US" w:eastAsia="zh-CN"/>
                <w14:textFill>
                  <w14:solidFill>
                    <w14:schemeClr w14:val="tx1"/>
                  </w14:solidFill>
                </w14:textFill>
              </w:rPr>
              <w:t>设置</w:t>
            </w:r>
            <w:r>
              <w:rPr>
                <w:rFonts w:hint="default" w:ascii="Times New Roman" w:hAnsi="Times New Roman" w:cs="Times New Roman"/>
                <w:color w:val="000000" w:themeColor="text1"/>
                <w:szCs w:val="24"/>
                <w:highlight w:val="none"/>
                <w14:textFill>
                  <w14:solidFill>
                    <w14:schemeClr w14:val="tx1"/>
                  </w14:solidFill>
                </w14:textFill>
              </w:rPr>
              <w:t>的表土堆场，表土用于后期生态恢复，综合利用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建筑垃圾</w:t>
            </w:r>
          </w:p>
        </w:tc>
        <w:tc>
          <w:tcPr>
            <w:tcW w:w="3402"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约40t</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由施工队伍统一收集清运至政府指定地方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生活垃圾</w:t>
            </w:r>
          </w:p>
        </w:tc>
        <w:tc>
          <w:tcPr>
            <w:tcW w:w="5959" w:type="dxa"/>
            <w:gridSpan w:val="4"/>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施工人员多为当地民工，租住在附近农户，无集中生活垃圾产生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钻井工程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清水岩屑</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清水岩屑</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205.51m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14:textFill>
                  <w14:solidFill>
                    <w14:schemeClr w14:val="tx1"/>
                  </w14:solidFill>
                </w14:textFill>
              </w:rPr>
              <w:t>0</w:t>
            </w:r>
          </w:p>
        </w:tc>
        <w:tc>
          <w:tcPr>
            <w:tcW w:w="2557"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泥浆不落地工艺进行固液分离后暂存于钻井固废暂存区，定期用密闭罐车及时就近交给依法取得生态环境部门关于利用和处置相关工业固体废物项目环评批复、具有处理处置相应固体废物能力并配套建设有废气、废水、固废等污染物治理设施的单位进行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水基钻井固废</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废水基泥浆、岩屑</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8145.234t</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p>
        </w:tc>
        <w:tc>
          <w:tcPr>
            <w:tcW w:w="2557"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油基钻井固废</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废油基泥浆、油基岩屑</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1005.54m</w:t>
            </w:r>
            <w:r>
              <w:rPr>
                <w:rFonts w:hint="default"/>
                <w:color w:val="000000" w:themeColor="text1"/>
                <w:szCs w:val="21"/>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0</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三开采用</w:t>
            </w:r>
            <w:r>
              <w:rPr>
                <w:rFonts w:hint="default"/>
                <w:color w:val="000000" w:themeColor="text1"/>
                <w:szCs w:val="21"/>
                <w:highlight w:val="none"/>
                <w14:textFill>
                  <w14:solidFill>
                    <w14:schemeClr w14:val="tx1"/>
                  </w14:solidFill>
                </w14:textFill>
              </w:rPr>
              <w:t>油基钻井废泥浆、岩屑暂存于新建的60m</w:t>
            </w:r>
            <w:r>
              <w:rPr>
                <w:rFonts w:hint="default"/>
                <w:color w:val="000000" w:themeColor="text1"/>
                <w:szCs w:val="21"/>
                <w:highlight w:val="none"/>
                <w:vertAlign w:val="superscript"/>
                <w14:textFill>
                  <w14:solidFill>
                    <w14:schemeClr w14:val="tx1"/>
                  </w14:solidFill>
                </w14:textFill>
              </w:rPr>
              <w:t>2</w:t>
            </w:r>
            <w:r>
              <w:rPr>
                <w:rFonts w:hint="default"/>
                <w:color w:val="000000" w:themeColor="text1"/>
                <w:szCs w:val="21"/>
                <w:highlight w:val="none"/>
                <w14:textFill>
                  <w14:solidFill>
                    <w14:schemeClr w14:val="tx1"/>
                  </w14:solidFill>
                </w14:textFill>
              </w:rPr>
              <w:t>危险废物暂存场所（采取必要的防风、防晒、防雨、防漏、防渗、防腐以及其他环境污染防治措施，不得露天堆放危险废物），泥浆和油基钻井岩屑</w:t>
            </w:r>
            <w:r>
              <w:rPr>
                <w:rFonts w:hint="eastAsia"/>
                <w:color w:val="000000" w:themeColor="text1"/>
                <w:szCs w:val="21"/>
                <w:highlight w:val="none"/>
                <w:lang w:eastAsia="zh-CN"/>
                <w14:textFill>
                  <w14:solidFill>
                    <w14:schemeClr w14:val="tx1"/>
                  </w14:solidFill>
                </w14:textFill>
              </w:rPr>
              <w:t>及时</w:t>
            </w:r>
            <w:r>
              <w:rPr>
                <w:rFonts w:hint="default"/>
                <w:color w:val="000000" w:themeColor="text1"/>
                <w:szCs w:val="21"/>
                <w:highlight w:val="none"/>
                <w14:textFill>
                  <w14:solidFill>
                    <w14:schemeClr w14:val="tx1"/>
                  </w14:solidFill>
                </w14:textFill>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废油</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润滑油等</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1.4</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通过</w:t>
            </w:r>
            <w:r>
              <w:rPr>
                <w:rFonts w:hint="default"/>
                <w:color w:val="000000" w:themeColor="text1"/>
                <w:szCs w:val="20"/>
                <w:highlight w:val="none"/>
                <w14:textFill>
                  <w14:solidFill>
                    <w14:schemeClr w14:val="tx1"/>
                  </w14:solidFill>
                </w14:textFill>
              </w:rPr>
              <w:t>设置废油桶</w:t>
            </w:r>
            <w:r>
              <w:rPr>
                <w:rFonts w:hint="eastAsia"/>
                <w:color w:val="000000" w:themeColor="text1"/>
                <w:szCs w:val="20"/>
                <w:highlight w:val="none"/>
                <w14:textFill>
                  <w14:solidFill>
                    <w14:schemeClr w14:val="tx1"/>
                  </w14:solidFill>
                </w14:textFill>
              </w:rPr>
              <w:t>收集，</w:t>
            </w:r>
            <w:r>
              <w:rPr>
                <w:rFonts w:hint="default"/>
                <w:color w:val="000000" w:themeColor="text1"/>
                <w:szCs w:val="20"/>
                <w:highlight w:val="none"/>
                <w14:textFill>
                  <w14:solidFill>
                    <w14:schemeClr w14:val="tx1"/>
                  </w14:solidFill>
                </w14:textFill>
              </w:rPr>
              <w:t>暂存于泥浆不落地装置区临时堆放区内，</w:t>
            </w:r>
            <w:r>
              <w:rPr>
                <w:rFonts w:hint="eastAsia"/>
                <w:color w:val="000000" w:themeColor="text1"/>
                <w:szCs w:val="20"/>
                <w:highlight w:val="none"/>
                <w14:textFill>
                  <w14:solidFill>
                    <w14:schemeClr w14:val="tx1"/>
                  </w14:solidFill>
                </w14:textFill>
              </w:rPr>
              <w:t>最终由</w:t>
            </w:r>
            <w:r>
              <w:rPr>
                <w:rFonts w:hint="default"/>
                <w:color w:val="000000" w:themeColor="text1"/>
                <w:szCs w:val="20"/>
                <w:highlight w:val="none"/>
                <w14:textFill>
                  <w14:solidFill>
                    <w14:schemeClr w14:val="tx1"/>
                  </w14:solidFill>
                </w14:textFill>
              </w:rPr>
              <w:t>钻井队综合利用或交由有资质的单位处理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含油抹布和手套</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废油</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通过</w:t>
            </w:r>
            <w:r>
              <w:rPr>
                <w:rFonts w:hint="default"/>
                <w:color w:val="000000" w:themeColor="text1"/>
                <w:szCs w:val="20"/>
                <w:highlight w:val="none"/>
                <w14:textFill>
                  <w14:solidFill>
                    <w14:schemeClr w14:val="tx1"/>
                  </w14:solidFill>
                </w14:textFill>
              </w:rPr>
              <w:t>设置废油桶</w:t>
            </w:r>
            <w:r>
              <w:rPr>
                <w:rFonts w:hint="eastAsia"/>
                <w:color w:val="000000" w:themeColor="text1"/>
                <w:szCs w:val="20"/>
                <w:highlight w:val="none"/>
                <w14:textFill>
                  <w14:solidFill>
                    <w14:schemeClr w14:val="tx1"/>
                  </w14:solidFill>
                </w14:textFill>
              </w:rPr>
              <w:t>收集，</w:t>
            </w:r>
            <w:r>
              <w:rPr>
                <w:rFonts w:hint="default"/>
                <w:color w:val="000000" w:themeColor="text1"/>
                <w:szCs w:val="20"/>
                <w:highlight w:val="none"/>
                <w14:textFill>
                  <w14:solidFill>
                    <w14:schemeClr w14:val="tx1"/>
                  </w14:solidFill>
                </w14:textFill>
              </w:rPr>
              <w:t>暂存于泥浆不落地装置区临时堆放区内，交由有资质的单位处理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废包装材料</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包装袋等</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2.0t</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集中收集后部分回用，剩余的送当地废品回收站处理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生活垃圾</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生活垃圾</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22.5kg/d</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集中收集，交由当地环卫部门处置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8" w:hRule="atLeas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储层改造工程</w:t>
            </w: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生活垃圾</w:t>
            </w:r>
          </w:p>
        </w:tc>
        <w:tc>
          <w:tcPr>
            <w:tcW w:w="9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0.0</w:t>
            </w:r>
            <w:r>
              <w:rPr>
                <w:rFonts w:hint="default" w:ascii="Times New Roman" w:hAnsi="Times New Roman" w:cs="Times New Roman"/>
                <w:color w:val="000000" w:themeColor="text1"/>
                <w:sz w:val="21"/>
                <w:szCs w:val="21"/>
                <w:highlight w:val="none"/>
                <w14:textFill>
                  <w14:solidFill>
                    <w14:schemeClr w14:val="tx1"/>
                  </w14:solidFill>
                </w14:textFill>
              </w:rPr>
              <w:t>kg/d</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集中收集，交由当地环卫部门处置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139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完井搬迁建筑垃圾</w:t>
            </w:r>
          </w:p>
        </w:tc>
        <w:tc>
          <w:tcPr>
            <w:tcW w:w="143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包装袋，废弃建筑施工材料</w:t>
            </w:r>
          </w:p>
        </w:tc>
        <w:tc>
          <w:tcPr>
            <w:tcW w:w="9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少量</w:t>
            </w:r>
          </w:p>
        </w:tc>
        <w:tc>
          <w:tcPr>
            <w:tcW w:w="99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55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施工队伍统一收集清运至政府指定地方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restart"/>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油气集输工程</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建筑垃圾</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包装袋，废弃建筑</w:t>
            </w:r>
            <w:r>
              <w:rPr>
                <w:rFonts w:hint="eastAsia"/>
                <w:color w:val="000000" w:themeColor="text1"/>
                <w:szCs w:val="20"/>
                <w:highlight w:val="none"/>
                <w14:textFill>
                  <w14:solidFill>
                    <w14:schemeClr w14:val="tx1"/>
                  </w14:solidFill>
                </w14:textFill>
              </w:rPr>
              <w:t>施工</w:t>
            </w:r>
            <w:r>
              <w:rPr>
                <w:rFonts w:hint="default"/>
                <w:color w:val="000000" w:themeColor="text1"/>
                <w:szCs w:val="20"/>
                <w:highlight w:val="none"/>
                <w14:textFill>
                  <w14:solidFill>
                    <w14:schemeClr w14:val="tx1"/>
                  </w14:solidFill>
                </w14:textFill>
              </w:rPr>
              <w:t>材料</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w:t>
            </w:r>
            <w:r>
              <w:rPr>
                <w:rFonts w:hint="eastAsia"/>
                <w:color w:val="000000" w:themeColor="text1"/>
                <w:szCs w:val="20"/>
                <w:highlight w:val="none"/>
                <w14:textFill>
                  <w14:solidFill>
                    <w14:schemeClr w14:val="tx1"/>
                  </w14:solidFill>
                </w14:textFill>
              </w:rPr>
              <w:t>0</w:t>
            </w:r>
            <w:r>
              <w:rPr>
                <w:rFonts w:hint="default"/>
                <w:color w:val="000000" w:themeColor="text1"/>
                <w:szCs w:val="20"/>
                <w:highlight w:val="none"/>
                <w14:textFill>
                  <w14:solidFill>
                    <w14:schemeClr w14:val="tx1"/>
                  </w14:solidFill>
                </w14:textFill>
              </w:rPr>
              <w:t>t</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施工队伍统一收集清运至政府指定地方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b/>
                <w:bCs/>
                <w:color w:val="000000" w:themeColor="text1"/>
                <w:szCs w:val="20"/>
                <w:highlight w:val="none"/>
                <w:lang w:val="en-US" w:eastAsia="zh-CN"/>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废材料</w:t>
            </w:r>
          </w:p>
        </w:tc>
        <w:tc>
          <w:tcPr>
            <w:tcW w:w="1439"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废焊条、废材料桶等</w:t>
            </w:r>
          </w:p>
        </w:tc>
        <w:tc>
          <w:tcPr>
            <w:tcW w:w="97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992"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由施工单位带走处置，不在现场暂存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4"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p>
        </w:tc>
        <w:tc>
          <w:tcPr>
            <w:tcW w:w="435" w:type="dxa"/>
            <w:vMerge w:val="continue"/>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lang w:val="en-US" w:eastAsia="zh-CN"/>
                <w14:textFill>
                  <w14:solidFill>
                    <w14:schemeClr w14:val="tx1"/>
                  </w14:solidFill>
                </w14:textFill>
              </w:rPr>
            </w:pP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Pr>
                <w:rFonts w:hint="default"/>
                <w:color w:val="000000" w:themeColor="text1"/>
                <w:szCs w:val="20"/>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生活垃圾</w:t>
            </w:r>
          </w:p>
        </w:tc>
        <w:tc>
          <w:tcPr>
            <w:tcW w:w="5959" w:type="dxa"/>
            <w:gridSpan w:val="4"/>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default"/>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施工人员多为当地民工，租住在附近农户，无集中生活垃圾产生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69" w:type="dxa"/>
            <w:gridSpan w:val="2"/>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生态</w:t>
            </w:r>
          </w:p>
        </w:tc>
        <w:tc>
          <w:tcPr>
            <w:tcW w:w="139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井场</w:t>
            </w:r>
            <w:r>
              <w:rPr>
                <w:rFonts w:hint="eastAsia"/>
                <w:color w:val="000000" w:themeColor="text1"/>
                <w:szCs w:val="20"/>
                <w:highlight w:val="none"/>
                <w14:textFill>
                  <w14:solidFill>
                    <w14:schemeClr w14:val="tx1"/>
                  </w14:solidFill>
                </w14:textFill>
              </w:rPr>
              <w:t>及集输管道</w:t>
            </w:r>
            <w:r>
              <w:rPr>
                <w:rFonts w:hint="default"/>
                <w:color w:val="000000" w:themeColor="text1"/>
                <w:szCs w:val="20"/>
                <w:highlight w:val="none"/>
                <w14:textFill>
                  <w14:solidFill>
                    <w14:schemeClr w14:val="tx1"/>
                  </w14:solidFill>
                </w14:textFill>
              </w:rPr>
              <w:t>占地</w:t>
            </w:r>
          </w:p>
        </w:tc>
        <w:tc>
          <w:tcPr>
            <w:tcW w:w="3402" w:type="dxa"/>
            <w:gridSpan w:val="3"/>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井场</w:t>
            </w:r>
            <w:r>
              <w:rPr>
                <w:rFonts w:hint="eastAsia"/>
                <w:color w:val="000000" w:themeColor="text1"/>
                <w:szCs w:val="20"/>
                <w:highlight w:val="none"/>
                <w14:textFill>
                  <w14:solidFill>
                    <w14:schemeClr w14:val="tx1"/>
                  </w14:solidFill>
                </w14:textFill>
              </w:rPr>
              <w:t>及集输管道</w:t>
            </w:r>
            <w:r>
              <w:rPr>
                <w:rFonts w:hint="default"/>
                <w:color w:val="000000" w:themeColor="text1"/>
                <w:szCs w:val="20"/>
                <w:highlight w:val="none"/>
                <w14:textFill>
                  <w14:solidFill>
                    <w14:schemeClr w14:val="tx1"/>
                  </w14:solidFill>
                </w14:textFill>
              </w:rPr>
              <w:t>为新建，</w:t>
            </w:r>
            <w:r>
              <w:rPr>
                <w:rFonts w:hint="eastAsia" w:cs="Times New Roman"/>
                <w:color w:val="000000" w:themeColor="text1"/>
                <w:szCs w:val="24"/>
                <w:highlight w:val="none"/>
                <w:lang w:val="en-US" w:eastAsia="zh-CN"/>
                <w14:textFill>
                  <w14:solidFill>
                    <w14:schemeClr w14:val="tx1"/>
                  </w14:solidFill>
                </w14:textFill>
              </w:rPr>
              <w:t>井场</w:t>
            </w:r>
            <w:r>
              <w:rPr>
                <w:rFonts w:hint="default" w:ascii="Times New Roman" w:hAnsi="Times New Roman" w:cs="Times New Roman"/>
                <w:color w:val="000000" w:themeColor="text1"/>
                <w:szCs w:val="24"/>
                <w:highlight w:val="none"/>
                <w14:textFill>
                  <w14:solidFill>
                    <w14:schemeClr w14:val="tx1"/>
                  </w14:solidFill>
                </w14:textFill>
              </w:rPr>
              <w:t>场地基础开挖、土石方回填</w:t>
            </w:r>
            <w:r>
              <w:rPr>
                <w:rFonts w:hint="eastAsia"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构筑物建设等活动对土地的扰动作用</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进而</w:t>
            </w:r>
            <w:r>
              <w:rPr>
                <w:rFonts w:hint="default" w:ascii="Times New Roman" w:hAnsi="Times New Roman" w:cs="Times New Roman"/>
                <w:color w:val="000000" w:themeColor="text1"/>
                <w:szCs w:val="24"/>
                <w:highlight w:val="none"/>
                <w14:textFill>
                  <w14:solidFill>
                    <w14:schemeClr w14:val="tx1"/>
                  </w14:solidFill>
                </w14:textFill>
              </w:rPr>
              <w:t>改变土地利用性质、造成</w:t>
            </w:r>
            <w:r>
              <w:rPr>
                <w:rFonts w:hint="default"/>
                <w:color w:val="000000" w:themeColor="text1"/>
                <w:szCs w:val="20"/>
                <w:highlight w:val="none"/>
                <w14:textFill>
                  <w14:solidFill>
                    <w14:schemeClr w14:val="tx1"/>
                  </w14:solidFill>
                </w14:textFill>
              </w:rPr>
              <w:t>地表、植被破坏，水土流失</w:t>
            </w:r>
            <w:r>
              <w:rPr>
                <w:rFonts w:hint="eastAsia"/>
                <w:color w:val="000000" w:themeColor="text1"/>
                <w:szCs w:val="20"/>
                <w:highlight w:val="none"/>
                <w:lang w:val="en-US" w:eastAsia="zh-CN"/>
                <w14:textFill>
                  <w14:solidFill>
                    <w14:schemeClr w14:val="tx1"/>
                  </w14:solidFill>
                </w14:textFill>
              </w:rPr>
              <w:t>等</w:t>
            </w:r>
          </w:p>
        </w:tc>
        <w:tc>
          <w:tcPr>
            <w:tcW w:w="255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w:t>
            </w:r>
            <w:r>
              <w:rPr>
                <w:rFonts w:hint="eastAsia"/>
                <w:color w:val="000000" w:themeColor="text1"/>
                <w:szCs w:val="20"/>
                <w:highlight w:val="none"/>
                <w:lang w:eastAsia="zh-CN"/>
                <w14:textFill>
                  <w14:solidFill>
                    <w14:schemeClr w14:val="tx1"/>
                  </w14:solidFill>
                </w14:textFill>
              </w:rPr>
              <w:t>完成</w:t>
            </w:r>
            <w:r>
              <w:rPr>
                <w:rFonts w:hint="default"/>
                <w:color w:val="000000" w:themeColor="text1"/>
                <w:szCs w:val="20"/>
                <w:highlight w:val="none"/>
                <w14:textFill>
                  <w14:solidFill>
                    <w14:schemeClr w14:val="tx1"/>
                  </w14:solidFill>
                </w14:textFill>
              </w:rPr>
              <w:t>后，无后续使用需求的临时占地恢复原有使用功能，进行植被恢复工作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69" w:type="dxa"/>
            <w:gridSpan w:val="2"/>
            <w:tcMar>
              <w:left w:w="0" w:type="dxa"/>
              <w:right w:w="0" w:type="dxa"/>
            </w:tcMar>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环境风险</w:t>
            </w:r>
          </w:p>
        </w:tc>
        <w:tc>
          <w:tcPr>
            <w:tcW w:w="7353" w:type="dxa"/>
            <w:gridSpan w:val="5"/>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钻井井喷失控或泄漏的天然气导致的火灾爆炸环境风险事故，以及泄漏天然气导致的环境风险事故；污染物渗漏污染地表土壤和浅层地下水；污染物外运处理中的运输风险等</w:t>
            </w:r>
          </w:p>
        </w:tc>
      </w:tr>
    </w:tbl>
    <w:p>
      <w:pPr>
        <w:pStyle w:val="4"/>
        <w:keepNext/>
        <w:keepLines/>
        <w:pageBreakBefore w:val="0"/>
        <w:widowControl w:val="0"/>
        <w:kinsoku/>
        <w:wordWrap/>
        <w:overflowPunct/>
        <w:topLinePunct w:val="0"/>
        <w:autoSpaceDE/>
        <w:autoSpaceDN/>
        <w:bidi w:val="0"/>
        <w:adjustRightInd w:val="0"/>
        <w:snapToGrid w:val="0"/>
        <w:spacing w:before="164" w:beforeLines="50"/>
        <w:textAlignment w:val="auto"/>
        <w:rPr>
          <w:b/>
          <w:color w:val="000000" w:themeColor="text1"/>
          <w:highlight w:val="none"/>
          <w:lang w:eastAsia="zh-CN"/>
          <w14:textFill>
            <w14:solidFill>
              <w14:schemeClr w14:val="tx1"/>
            </w14:solidFill>
          </w14:textFill>
        </w:rPr>
      </w:pPr>
      <w:bookmarkStart w:id="183" w:name="3.4.2运营期污染源强分析"/>
      <w:bookmarkEnd w:id="183"/>
      <w:bookmarkStart w:id="184" w:name="_Toc120173113"/>
      <w:r>
        <w:rPr>
          <w:color w:val="000000" w:themeColor="text1"/>
          <w:highlight w:val="none"/>
          <w:lang w:eastAsia="zh-CN"/>
          <w14:textFill>
            <w14:solidFill>
              <w14:schemeClr w14:val="tx1"/>
            </w14:solidFill>
          </w14:textFill>
        </w:rPr>
        <w:t>试采期污染源强分析</w:t>
      </w:r>
      <w:bookmarkEnd w:id="184"/>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w:t>
      </w:r>
    </w:p>
    <w:p>
      <w:pPr>
        <w:pStyle w:val="161"/>
        <w:adjustRightInd w:val="0"/>
        <w:snapToGrid w:val="0"/>
        <w:spacing w:line="360" w:lineRule="auto"/>
        <w:ind w:firstLine="48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试采期正常情况下</w:t>
      </w:r>
      <w:r>
        <w:rPr>
          <w:rFonts w:hint="default" w:ascii="Times New Roman" w:hAnsi="Times New Roman" w:cs="Times New Roman"/>
          <w:bCs/>
          <w:color w:val="000000" w:themeColor="text1"/>
          <w:sz w:val="24"/>
          <w:szCs w:val="24"/>
          <w:highlight w:val="none"/>
          <w14:textFill>
            <w14:solidFill>
              <w14:schemeClr w14:val="tx1"/>
            </w14:solidFill>
          </w14:textFill>
        </w:rPr>
        <w:t>根据可研单位核算，</w:t>
      </w:r>
      <w:r>
        <w:rPr>
          <w:rFonts w:hint="default" w:ascii="Times New Roman" w:hAnsi="Times New Roman" w:cs="Times New Roman"/>
          <w:color w:val="000000" w:themeColor="text1"/>
          <w14:textFill>
            <w14:solidFill>
              <w14:schemeClr w14:val="tx1"/>
            </w14:solidFill>
          </w14:textFill>
        </w:rPr>
        <w:t>本项目水套加热炉在运行过程中使用站场自产的天然气作燃料，由于天然气中不含硫，燃烧后产生的废气含颗粒物、NO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，通过8m高排气筒排放，排放方式为连续排放</w:t>
      </w:r>
      <w:r>
        <w:rPr>
          <w:rFonts w:hint="default" w:ascii="Times New Roman" w:hAnsi="Times New Roman" w:cs="Times New Roman"/>
          <w:color w:val="000000" w:themeColor="text1"/>
          <w:szCs w:val="24"/>
          <w14:textFill>
            <w14:solidFill>
              <w14:schemeClr w14:val="tx1"/>
            </w14:solidFill>
          </w14:textFill>
        </w:rPr>
        <w:t>。根据可研报告核算，试采站单个</w:t>
      </w:r>
      <w:r>
        <w:rPr>
          <w:rFonts w:hint="eastAsia" w:ascii="Times New Roman" w:hAnsi="Times New Roman" w:cs="Times New Roman"/>
          <w:color w:val="000000" w:themeColor="text1"/>
          <w:szCs w:val="24"/>
          <w:lang w:val="en-US" w:eastAsia="zh-CN"/>
          <w14:textFill>
            <w14:solidFill>
              <w14:schemeClr w14:val="tx1"/>
            </w14:solidFill>
          </w14:textFill>
        </w:rPr>
        <w:t>40</w:t>
      </w:r>
      <w:r>
        <w:rPr>
          <w:rFonts w:hint="default" w:ascii="Times New Roman" w:hAnsi="Times New Roman" w:cs="Times New Roman"/>
          <w:color w:val="000000" w:themeColor="text1"/>
          <w:szCs w:val="24"/>
          <w14:textFill>
            <w14:solidFill>
              <w14:schemeClr w14:val="tx1"/>
            </w14:solidFill>
          </w14:textFill>
        </w:rPr>
        <w:t>0kW的水套加热炉用气量为25×10</w:t>
      </w:r>
      <w:r>
        <w:rPr>
          <w:rFonts w:hint="default" w:ascii="Times New Roman" w:hAnsi="Times New Roman" w:cs="Times New Roman"/>
          <w:color w:val="000000" w:themeColor="text1"/>
          <w:szCs w:val="24"/>
          <w:vertAlign w:val="superscript"/>
          <w14:textFill>
            <w14:solidFill>
              <w14:schemeClr w14:val="tx1"/>
            </w14:solidFill>
          </w14:textFill>
        </w:rPr>
        <w:t>4</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/a，按年运行360天计算（扣除检修和关井恢复压力期），则水套加热炉燃气量约为28.94m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/h。水套加热炉燃烧后产生的废气通过8m高排气筒排放，排放方式为连续排放。水套加热炉的相关设计参数</w:t>
      </w:r>
      <w:r>
        <w:rPr>
          <w:rFonts w:hint="default" w:ascii="Times New Roman" w:hAnsi="Times New Roman" w:cs="Times New Roman"/>
          <w:color w:val="000000" w:themeColor="text1"/>
          <w:szCs w:val="24"/>
          <w:lang w:val="en-US" w:eastAsia="zh-CN"/>
          <w14:textFill>
            <w14:solidFill>
              <w14:schemeClr w14:val="tx1"/>
            </w14:solidFill>
          </w14:textFill>
        </w:rPr>
        <w:t>见</w:t>
      </w:r>
      <w:r>
        <w:rPr>
          <w:rFonts w:hint="default" w:ascii="Times New Roman" w:hAnsi="Times New Roman" w:cs="Times New Roman"/>
          <w:color w:val="000000" w:themeColor="text1"/>
          <w:sz w:val="24"/>
          <w:szCs w:val="24"/>
          <w:highlight w:val="none"/>
          <w14:textFill>
            <w14:solidFill>
              <w14:schemeClr w14:val="tx1"/>
            </w14:solidFill>
          </w14:textFill>
        </w:rPr>
        <w:t>表3.4-13。</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主要废气为水套加热炉燃烧废气、</w:t>
      </w:r>
      <w:r>
        <w:rPr>
          <w:rFonts w:hint="eastAsia" w:ascii="Times New Roman" w:hAnsi="Times New Roman"/>
          <w:bCs/>
          <w:color w:val="000000" w:themeColor="text1"/>
          <w:sz w:val="24"/>
          <w:highlight w:val="none"/>
          <w:lang w:val="en-US" w:eastAsia="zh-CN"/>
          <w14:textFill>
            <w14:solidFill>
              <w14:schemeClr w14:val="tx1"/>
            </w14:solidFill>
          </w14:textFill>
        </w:rPr>
        <w:t>放空</w:t>
      </w:r>
      <w:r>
        <w:rPr>
          <w:rFonts w:ascii="Times New Roman" w:hAnsi="Times New Roman"/>
          <w:bCs/>
          <w:color w:val="000000" w:themeColor="text1"/>
          <w:sz w:val="24"/>
          <w:highlight w:val="none"/>
          <w:lang w:eastAsia="zh-CN"/>
          <w14:textFill>
            <w14:solidFill>
              <w14:schemeClr w14:val="tx1"/>
            </w14:solidFill>
          </w14:textFill>
        </w:rPr>
        <w:t>火炬长明灯燃烧废气</w:t>
      </w:r>
      <w:r>
        <w:rPr>
          <w:rFonts w:hint="eastAsia"/>
          <w:bCs/>
          <w:color w:val="000000" w:themeColor="text1"/>
          <w:sz w:val="24"/>
          <w:highlight w:val="none"/>
          <w:lang w:val="en-US" w:eastAsia="zh-CN"/>
          <w14:textFill>
            <w14:solidFill>
              <w14:schemeClr w14:val="tx1"/>
            </w14:solidFill>
          </w14:textFill>
        </w:rPr>
        <w:t>和非正常放空废气</w:t>
      </w:r>
      <w:r>
        <w:rPr>
          <w:rFonts w:ascii="Times New Roman" w:hAnsi="Times New Roman"/>
          <w:bCs/>
          <w:color w:val="000000" w:themeColor="text1"/>
          <w:sz w:val="24"/>
          <w:highlight w:val="none"/>
          <w:lang w:eastAsia="zh-CN"/>
          <w14:textFill>
            <w14:solidFill>
              <w14:schemeClr w14:val="tx1"/>
            </w14:solidFill>
          </w14:textFill>
        </w:rPr>
        <w:t>。</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（1）水套加热炉燃烧废气</w:t>
      </w:r>
    </w:p>
    <w:p>
      <w:pPr>
        <w:pStyle w:val="201"/>
        <w:spacing w:before="120"/>
        <w:rPr>
          <w:color w:val="000000" w:themeColor="text1"/>
          <w14:textFill>
            <w14:solidFill>
              <w14:schemeClr w14:val="tx1"/>
            </w14:solidFill>
          </w14:textFill>
        </w:rPr>
      </w:pPr>
      <w:r>
        <w:rPr>
          <w:rFonts w:ascii="Times New Roman" w:hAnsi="Times New Roman" w:eastAsia="黑体"/>
          <w:color w:val="000000" w:themeColor="text1"/>
          <w:sz w:val="21"/>
          <w:szCs w:val="21"/>
          <w:highlight w:val="none"/>
          <w:lang w:eastAsia="zh-CN"/>
          <w14:textFill>
            <w14:solidFill>
              <w14:schemeClr w14:val="tx1"/>
            </w14:solidFill>
          </w14:textFill>
        </w:rPr>
        <w:t>表3.4-13  单台水套加热炉相关设计参数</w:t>
      </w:r>
      <w:bookmarkStart w:id="185" w:name="_Ref143004491"/>
      <w:r>
        <w:rPr>
          <w:rFonts w:hint="eastAsia"/>
          <w:color w:val="000000" w:themeColor="text1"/>
          <w14:textFill>
            <w14:solidFill>
              <w14:schemeClr w14:val="tx1"/>
            </w14:solidFill>
          </w14:textFill>
        </w:rPr>
        <w:t>表</w:t>
      </w:r>
      <w:bookmarkEnd w:id="185"/>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175"/>
        <w:gridCol w:w="1175"/>
        <w:gridCol w:w="1174"/>
        <w:gridCol w:w="1175"/>
        <w:gridCol w:w="117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7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水套加热炉功率</w:t>
            </w:r>
          </w:p>
        </w:tc>
        <w:tc>
          <w:tcPr>
            <w:tcW w:w="11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排气筒高度</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m</w:t>
            </w:r>
            <w:r>
              <w:rPr>
                <w:rFonts w:hint="eastAsia"/>
                <w:b/>
                <w:bCs/>
                <w:color w:val="000000" w:themeColor="text1"/>
                <w:szCs w:val="20"/>
                <w14:textFill>
                  <w14:solidFill>
                    <w14:schemeClr w14:val="tx1"/>
                  </w14:solidFill>
                </w14:textFill>
              </w:rPr>
              <w:t>）</w:t>
            </w:r>
          </w:p>
        </w:tc>
        <w:tc>
          <w:tcPr>
            <w:tcW w:w="11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排气筒内径</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m</w:t>
            </w:r>
            <w:r>
              <w:rPr>
                <w:rFonts w:hint="eastAsia"/>
                <w:b/>
                <w:bCs/>
                <w:color w:val="000000" w:themeColor="text1"/>
                <w:szCs w:val="20"/>
                <w14:textFill>
                  <w14:solidFill>
                    <w14:schemeClr w14:val="tx1"/>
                  </w14:solidFill>
                </w14:textFill>
              </w:rPr>
              <w:t>）</w:t>
            </w:r>
          </w:p>
        </w:tc>
        <w:tc>
          <w:tcPr>
            <w:tcW w:w="117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自耗气量</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m</w:t>
            </w:r>
            <w:r>
              <w:rPr>
                <w:rFonts w:hint="default"/>
                <w:b/>
                <w:bCs/>
                <w:color w:val="000000" w:themeColor="text1"/>
                <w:szCs w:val="20"/>
                <w:vertAlign w:val="superscript"/>
                <w14:textFill>
                  <w14:solidFill>
                    <w14:schemeClr w14:val="tx1"/>
                  </w14:solidFill>
                </w14:textFill>
              </w:rPr>
              <w:t>3/</w:t>
            </w:r>
            <w:r>
              <w:rPr>
                <w:rFonts w:hint="default"/>
                <w:b/>
                <w:bCs/>
                <w:color w:val="000000" w:themeColor="text1"/>
                <w:szCs w:val="20"/>
                <w14:textFill>
                  <w14:solidFill>
                    <w14:schemeClr w14:val="tx1"/>
                  </w14:solidFill>
                </w14:textFill>
              </w:rPr>
              <w:t>h</w:t>
            </w:r>
            <w:r>
              <w:rPr>
                <w:rFonts w:hint="eastAsia"/>
                <w:b/>
                <w:bCs/>
                <w:color w:val="000000" w:themeColor="text1"/>
                <w:szCs w:val="20"/>
                <w14:textFill>
                  <w14:solidFill>
                    <w14:schemeClr w14:val="tx1"/>
                  </w14:solidFill>
                </w14:textFill>
              </w:rPr>
              <w:t>）</w:t>
            </w:r>
          </w:p>
        </w:tc>
        <w:tc>
          <w:tcPr>
            <w:tcW w:w="11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排放时间</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h/a</w:t>
            </w:r>
            <w:r>
              <w:rPr>
                <w:rFonts w:hint="eastAsia"/>
                <w:b/>
                <w:bCs/>
                <w:color w:val="000000" w:themeColor="text1"/>
                <w:szCs w:val="20"/>
                <w14:textFill>
                  <w14:solidFill>
                    <w14:schemeClr w14:val="tx1"/>
                  </w14:solidFill>
                </w14:textFill>
              </w:rPr>
              <w:t>）</w:t>
            </w:r>
          </w:p>
        </w:tc>
        <w:tc>
          <w:tcPr>
            <w:tcW w:w="117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排放工况</w:t>
            </w:r>
          </w:p>
        </w:tc>
        <w:tc>
          <w:tcPr>
            <w:tcW w:w="117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烟气出口温度</w:t>
            </w:r>
            <w:r>
              <w:rPr>
                <w:rFonts w:hint="eastAsia"/>
                <w:b/>
                <w:bCs/>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val="en-US" w:eastAsia="zh-CN"/>
                <w14:textFill>
                  <w14:solidFill>
                    <w14:schemeClr w14:val="tx1"/>
                  </w14:solidFill>
                </w14:textFill>
              </w:rPr>
              <w:t>4</w:t>
            </w:r>
            <w:r>
              <w:rPr>
                <w:rFonts w:hint="default"/>
                <w:color w:val="000000" w:themeColor="text1"/>
                <w:szCs w:val="20"/>
                <w14:textFill>
                  <w14:solidFill>
                    <w14:schemeClr w14:val="tx1"/>
                  </w14:solidFill>
                </w14:textFill>
              </w:rPr>
              <w:t>00kW</w:t>
            </w:r>
          </w:p>
        </w:tc>
        <w:tc>
          <w:tcPr>
            <w:tcW w:w="11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8</w:t>
            </w:r>
          </w:p>
        </w:tc>
        <w:tc>
          <w:tcPr>
            <w:tcW w:w="11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0.2</w:t>
            </w:r>
          </w:p>
        </w:tc>
        <w:tc>
          <w:tcPr>
            <w:tcW w:w="117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28.94</w:t>
            </w:r>
          </w:p>
        </w:tc>
        <w:tc>
          <w:tcPr>
            <w:tcW w:w="11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8640</w:t>
            </w:r>
          </w:p>
        </w:tc>
        <w:tc>
          <w:tcPr>
            <w:tcW w:w="117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连续</w:t>
            </w:r>
          </w:p>
        </w:tc>
        <w:tc>
          <w:tcPr>
            <w:tcW w:w="117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200</w:t>
            </w:r>
          </w:p>
        </w:tc>
      </w:tr>
    </w:tbl>
    <w:p>
      <w:pPr>
        <w:pStyle w:val="21"/>
        <w:tabs>
          <w:tab w:val="left" w:pos="863"/>
        </w:tabs>
        <w:spacing w:before="0"/>
        <w:ind w:left="0"/>
        <w:jc w:val="center"/>
        <w:rPr>
          <w:rFonts w:ascii="Times New Roman" w:hAnsi="Times New Roman" w:eastAsia="黑体"/>
          <w:color w:val="000000" w:themeColor="text1"/>
          <w:sz w:val="21"/>
          <w:szCs w:val="21"/>
          <w:highlight w:val="none"/>
          <w:lang w:eastAsia="zh-CN"/>
          <w14:textFill>
            <w14:solidFill>
              <w14:schemeClr w14:val="tx1"/>
            </w14:solidFill>
          </w14:textFill>
        </w:rPr>
      </w:pPr>
    </w:p>
    <w:p>
      <w:pPr>
        <w:snapToGrid w:val="0"/>
        <w:spacing w:before="120" w:beforeLines="50"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cs="Times New Roman"/>
          <w:color w:val="000000" w:themeColor="text1"/>
          <w:szCs w:val="24"/>
          <w14:textFill>
            <w14:solidFill>
              <w14:schemeClr w14:val="tx1"/>
            </w14:solidFill>
          </w14:textFill>
        </w:rPr>
        <w:t>本次评价采用水套加热炉废气产排核算均按照《排放源统计调查产排污核算方法和系数手册》（环境部公告2021第24号）中</w:t>
      </w:r>
      <w:r>
        <w:rPr>
          <w:rFonts w:hint="eastAsia" w:ascii="宋体" w:hAnsi="宋体" w:cs="宋体"/>
          <w:color w:val="000000" w:themeColor="text1"/>
          <w:szCs w:val="24"/>
          <w14:textFill>
            <w14:solidFill>
              <w14:schemeClr w14:val="tx1"/>
            </w14:solidFill>
          </w14:textFill>
        </w:rPr>
        <w:t>“锅炉产排污量核算系数手册”</w:t>
      </w:r>
      <w:r>
        <w:rPr>
          <w:rFonts w:cs="Times New Roman"/>
          <w:color w:val="000000" w:themeColor="text1"/>
          <w:szCs w:val="24"/>
          <w14:textFill>
            <w14:solidFill>
              <w14:schemeClr w14:val="tx1"/>
            </w14:solidFill>
          </w14:textFill>
        </w:rPr>
        <w:t>中燃气工业锅炉废气产排污系数计算，热力生产型燃气锅炉的工业废气产生量为10.7753标立</w:t>
      </w:r>
      <w:r>
        <w:rPr>
          <w:rFonts w:hint="eastAsia" w:cs="Times New Roman"/>
          <w:color w:val="000000" w:themeColor="text1"/>
          <w:szCs w:val="24"/>
          <w14:textFill>
            <w14:solidFill>
              <w14:schemeClr w14:val="tx1"/>
            </w14:solidFill>
          </w14:textFill>
        </w:rPr>
        <w:t>10.753</w:t>
      </w:r>
      <w:r>
        <w:rPr>
          <w:rFonts w:cs="Times New Roman"/>
          <w:color w:val="000000" w:themeColor="text1"/>
          <w:szCs w:val="24"/>
          <w14:textFill>
            <w14:solidFill>
              <w14:schemeClr w14:val="tx1"/>
            </w14:solidFill>
          </w14:textFill>
        </w:rPr>
        <w:t>方米/立方米-原料，其中水套加热炉采用</w:t>
      </w:r>
      <w:r>
        <w:rPr>
          <w:rFonts w:hint="eastAsia" w:cs="Times New Roman"/>
          <w:color w:val="000000" w:themeColor="text1"/>
          <w:szCs w:val="24"/>
          <w14:textFill>
            <w14:solidFill>
              <w14:schemeClr w14:val="tx1"/>
            </w14:solidFill>
          </w14:textFill>
        </w:rPr>
        <w:t>国内领先</w:t>
      </w:r>
      <w:r>
        <w:rPr>
          <w:rFonts w:cs="Times New Roman"/>
          <w:color w:val="000000" w:themeColor="text1"/>
          <w:szCs w:val="24"/>
          <w14:textFill>
            <w14:solidFill>
              <w14:schemeClr w14:val="tx1"/>
            </w14:solidFill>
          </w14:textFill>
        </w:rPr>
        <w:t>低氮燃烧，氮氧化物的产生系数为6.97千克/万立方米-原料</w:t>
      </w:r>
      <w:r>
        <w:rPr>
          <w:rFonts w:hint="eastAsia" w:cs="Times New Roman"/>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根据《工业锅炉污染防治可行技术指南》（HJ 1178-2021），燃气锅炉（不采取除尘措施）颗粒物的排放浓度控制水平为&lt;10mg/m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，本次评价水套炉颗粒物浓度按照10mg/m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评价</w:t>
      </w:r>
      <w:r>
        <w:rPr>
          <w:rFonts w:cs="Times New Roman"/>
          <w:color w:val="000000" w:themeColor="text1"/>
          <w:szCs w:val="24"/>
          <w14:textFill>
            <w14:solidFill>
              <w14:schemeClr w14:val="tx1"/>
            </w14:solidFill>
          </w14:textFill>
        </w:rPr>
        <w:t>。本项目水套加热炉燃气使用量为</w:t>
      </w:r>
      <w:r>
        <w:rPr>
          <w:rFonts w:hint="eastAsia" w:cs="Times New Roman"/>
          <w:color w:val="000000" w:themeColor="text1"/>
          <w:szCs w:val="24"/>
          <w14:textFill>
            <w14:solidFill>
              <w14:schemeClr w14:val="tx1"/>
            </w14:solidFill>
          </w14:textFill>
        </w:rPr>
        <w:t>28.94</w:t>
      </w:r>
      <w:r>
        <w:rPr>
          <w:rFonts w:cs="Times New Roman"/>
          <w:color w:val="000000" w:themeColor="text1"/>
          <w:szCs w:val="24"/>
          <w14:textFill>
            <w14:solidFill>
              <w14:schemeClr w14:val="tx1"/>
            </w14:solidFill>
          </w14:textFill>
        </w:rPr>
        <w:t>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/h</w:t>
      </w:r>
      <w:r>
        <w:rPr>
          <w:color w:val="000000" w:themeColor="text1"/>
          <w14:textFill>
            <w14:solidFill>
              <w14:schemeClr w14:val="tx1"/>
            </w14:solidFill>
          </w14:textFill>
        </w:rPr>
        <w:t>。</w:t>
      </w:r>
    </w:p>
    <w:p>
      <w:pPr>
        <w:snapToGrid w:val="0"/>
        <w:spacing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水套加热炉的污染物排放情况见表3.4-14。</w:t>
      </w:r>
    </w:p>
    <w:p>
      <w:pPr>
        <w:pStyle w:val="21"/>
        <w:tabs>
          <w:tab w:val="left" w:pos="863"/>
        </w:tabs>
        <w:spacing w:before="0"/>
        <w:ind w:left="0"/>
        <w:jc w:val="center"/>
        <w:rPr>
          <w:rFonts w:ascii="Times New Roman" w:hAnsi="Times New Roman" w:eastAsia="黑体"/>
          <w:color w:val="000000" w:themeColor="text1"/>
          <w:sz w:val="21"/>
          <w:szCs w:val="21"/>
          <w:highlight w:val="none"/>
          <w:lang w:eastAsia="zh-CN"/>
          <w14:textFill>
            <w14:solidFill>
              <w14:schemeClr w14:val="tx1"/>
            </w14:solidFill>
          </w14:textFill>
        </w:rPr>
      </w:pPr>
      <w:r>
        <w:rPr>
          <w:rFonts w:ascii="Times New Roman" w:hAnsi="Times New Roman" w:eastAsia="黑体"/>
          <w:color w:val="000000" w:themeColor="text1"/>
          <w:sz w:val="21"/>
          <w:szCs w:val="21"/>
          <w:highlight w:val="none"/>
          <w:lang w:eastAsia="zh-CN"/>
          <w14:textFill>
            <w14:solidFill>
              <w14:schemeClr w14:val="tx1"/>
            </w14:solidFill>
          </w14:textFill>
        </w:rPr>
        <w:t>表3.4-14  单台水套加热炉污染物排放情况</w:t>
      </w:r>
    </w:p>
    <w:tbl>
      <w:tblPr>
        <w:tblStyle w:val="5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33"/>
        <w:gridCol w:w="1037"/>
        <w:gridCol w:w="1456"/>
        <w:gridCol w:w="870"/>
        <w:gridCol w:w="874"/>
        <w:gridCol w:w="87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blHeader/>
          <w:jc w:val="center"/>
        </w:trPr>
        <w:tc>
          <w:tcPr>
            <w:tcW w:w="501" w:type="pct"/>
            <w:vMerge w:val="restar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废气</w:t>
            </w:r>
          </w:p>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类型</w:t>
            </w:r>
          </w:p>
        </w:tc>
        <w:tc>
          <w:tcPr>
            <w:tcW w:w="2109" w:type="pct"/>
            <w:gridSpan w:val="3"/>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排放量</w:t>
            </w:r>
          </w:p>
        </w:tc>
        <w:tc>
          <w:tcPr>
            <w:tcW w:w="1044" w:type="pct"/>
            <w:gridSpan w:val="2"/>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排气筒</w:t>
            </w:r>
          </w:p>
        </w:tc>
        <w:tc>
          <w:tcPr>
            <w:tcW w:w="523" w:type="pct"/>
            <w:vMerge w:val="restar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排烟</w:t>
            </w:r>
          </w:p>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温度</w:t>
            </w:r>
            <w:r>
              <w:rPr>
                <w:rFonts w:hint="eastAsia"/>
                <w:b/>
                <w:bCs/>
                <w:color w:val="000000" w:themeColor="text1"/>
                <w14:textFill>
                  <w14:solidFill>
                    <w14:schemeClr w14:val="tx1"/>
                  </w14:solidFill>
                </w14:textFill>
              </w:rPr>
              <w:t>（℃）</w:t>
            </w:r>
          </w:p>
        </w:tc>
        <w:tc>
          <w:tcPr>
            <w:tcW w:w="821" w:type="pct"/>
            <w:vMerge w:val="restar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w:t>
            </w:r>
          </w:p>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jc w:val="center"/>
        </w:trPr>
        <w:tc>
          <w:tcPr>
            <w:tcW w:w="50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618" w:type="pc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项目</w:t>
            </w:r>
          </w:p>
        </w:tc>
        <w:tc>
          <w:tcPr>
            <w:tcW w:w="620" w:type="pc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排放浓度</w:t>
            </w:r>
          </w:p>
        </w:tc>
        <w:tc>
          <w:tcPr>
            <w:tcW w:w="870" w:type="pc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排放强度</w:t>
            </w:r>
          </w:p>
        </w:tc>
        <w:tc>
          <w:tcPr>
            <w:tcW w:w="521" w:type="pc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高度</w:t>
            </w:r>
          </w:p>
        </w:tc>
        <w:tc>
          <w:tcPr>
            <w:tcW w:w="523" w:type="pct"/>
            <w:vAlign w:val="center"/>
          </w:tcPr>
          <w:p>
            <w:pPr>
              <w:pStyle w:val="594"/>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内径</w:t>
            </w:r>
          </w:p>
        </w:tc>
        <w:tc>
          <w:tcPr>
            <w:tcW w:w="523"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82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1" w:type="pct"/>
            <w:vMerge w:val="restar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水套炉燃</w:t>
            </w:r>
          </w:p>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烧废气</w:t>
            </w:r>
          </w:p>
        </w:tc>
        <w:tc>
          <w:tcPr>
            <w:tcW w:w="618"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烟气流量</w:t>
            </w:r>
          </w:p>
        </w:tc>
        <w:tc>
          <w:tcPr>
            <w:tcW w:w="62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87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311.19</w:t>
            </w:r>
            <w:r>
              <w:rPr>
                <w:rFonts w:hint="default"/>
                <w:color w:val="000000" w:themeColor="text1"/>
                <w14:textFill>
                  <w14:solidFill>
                    <w14:schemeClr w14:val="tx1"/>
                  </w14:solidFill>
                </w14:textFill>
              </w:rPr>
              <w:t>Nm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w:t>
            </w:r>
            <w:r>
              <w:rPr>
                <w:rFonts w:hint="eastAsia"/>
                <w:color w:val="000000" w:themeColor="text1"/>
                <w14:textFill>
                  <w14:solidFill>
                    <w14:schemeClr w14:val="tx1"/>
                  </w14:solidFill>
                </w14:textFill>
              </w:rPr>
              <w:t>h</w:t>
            </w:r>
          </w:p>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268.9</w:t>
            </w:r>
            <w:r>
              <w:rPr>
                <w:rFonts w:hint="default"/>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w:t>
            </w:r>
          </w:p>
        </w:tc>
        <w:tc>
          <w:tcPr>
            <w:tcW w:w="521" w:type="pct"/>
            <w:vMerge w:val="restar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8m</w:t>
            </w:r>
          </w:p>
        </w:tc>
        <w:tc>
          <w:tcPr>
            <w:tcW w:w="523" w:type="pct"/>
            <w:vMerge w:val="restar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0.2m</w:t>
            </w:r>
          </w:p>
        </w:tc>
        <w:tc>
          <w:tcPr>
            <w:tcW w:w="523" w:type="pct"/>
            <w:vMerge w:val="restar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200</w:t>
            </w:r>
          </w:p>
        </w:tc>
        <w:tc>
          <w:tcPr>
            <w:tcW w:w="821" w:type="pct"/>
            <w:vMerge w:val="restar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有组织排放，连续24小时，年3</w:t>
            </w:r>
            <w:r>
              <w:rPr>
                <w:rFonts w:hint="eastAsia"/>
                <w:color w:val="000000" w:themeColor="text1"/>
                <w14:textFill>
                  <w14:solidFill>
                    <w14:schemeClr w14:val="tx1"/>
                  </w14:solidFill>
                </w14:textFill>
              </w:rPr>
              <w:t>60</w:t>
            </w:r>
            <w:r>
              <w:rPr>
                <w:rFonts w:hint="default"/>
                <w:color w:val="000000" w:themeColor="text1"/>
                <w14:textFill>
                  <w14:solidFill>
                    <w14:schemeClr w14:val="tx1"/>
                  </w14:solidFill>
                </w14:textFill>
              </w:rPr>
              <w:t>天</w:t>
            </w:r>
            <w:r>
              <w:rPr>
                <w:rFonts w:hint="eastAsia"/>
                <w:color w:val="000000" w:themeColor="text1"/>
                <w14:textFill>
                  <w14:solidFill>
                    <w14:schemeClr w14:val="tx1"/>
                  </w14:solidFill>
                </w14:textFill>
              </w:rPr>
              <w:t>（扣除检修和关井恢复压力期）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618"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NOx</w:t>
            </w:r>
          </w:p>
        </w:tc>
        <w:tc>
          <w:tcPr>
            <w:tcW w:w="62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64.68mg/m</w:t>
            </w:r>
            <w:r>
              <w:rPr>
                <w:rFonts w:hint="default"/>
                <w:color w:val="000000" w:themeColor="text1"/>
                <w:vertAlign w:val="superscript"/>
                <w14:textFill>
                  <w14:solidFill>
                    <w14:schemeClr w14:val="tx1"/>
                  </w14:solidFill>
                </w14:textFill>
              </w:rPr>
              <w:t>3</w:t>
            </w:r>
          </w:p>
        </w:tc>
        <w:tc>
          <w:tcPr>
            <w:tcW w:w="87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w:t>
            </w:r>
            <w:r>
              <w:rPr>
                <w:rFonts w:hint="eastAsia"/>
                <w:color w:val="000000" w:themeColor="text1"/>
                <w14:textFill>
                  <w14:solidFill>
                    <w14:schemeClr w14:val="tx1"/>
                  </w14:solidFill>
                </w14:textFill>
              </w:rPr>
              <w:t>174</w:t>
            </w:r>
            <w:r>
              <w:rPr>
                <w:rFonts w:hint="default"/>
                <w:color w:val="000000" w:themeColor="text1"/>
                <w14:textFill>
                  <w14:solidFill>
                    <w14:schemeClr w14:val="tx1"/>
                  </w14:solidFill>
                </w14:textFill>
              </w:rPr>
              <w:t>t/a；0.0</w:t>
            </w:r>
            <w:r>
              <w:rPr>
                <w:rFonts w:hint="eastAsia"/>
                <w:color w:val="000000" w:themeColor="text1"/>
                <w14:textFill>
                  <w14:solidFill>
                    <w14:schemeClr w14:val="tx1"/>
                  </w14:solidFill>
                </w14:textFill>
              </w:rPr>
              <w:t>2</w:t>
            </w:r>
            <w:r>
              <w:rPr>
                <w:rFonts w:hint="default"/>
                <w:color w:val="000000" w:themeColor="text1"/>
                <w14:textFill>
                  <w14:solidFill>
                    <w14:schemeClr w14:val="tx1"/>
                  </w14:solidFill>
                </w14:textFill>
              </w:rPr>
              <w:t>kg/h</w:t>
            </w:r>
          </w:p>
        </w:tc>
        <w:tc>
          <w:tcPr>
            <w:tcW w:w="52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523"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523"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82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0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618"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62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rFonts w:hint="default"/>
                <w:color w:val="000000" w:themeColor="text1"/>
                <w14:textFill>
                  <w14:solidFill>
                    <w14:schemeClr w14:val="tx1"/>
                  </w14:solidFill>
                </w14:textFill>
              </w:rPr>
              <w:t>mg/m</w:t>
            </w:r>
            <w:r>
              <w:rPr>
                <w:rFonts w:hint="default"/>
                <w:color w:val="000000" w:themeColor="text1"/>
                <w:vertAlign w:val="superscript"/>
                <w14:textFill>
                  <w14:solidFill>
                    <w14:schemeClr w14:val="tx1"/>
                  </w14:solidFill>
                </w14:textFill>
              </w:rPr>
              <w:t>3</w:t>
            </w:r>
          </w:p>
        </w:tc>
        <w:tc>
          <w:tcPr>
            <w:tcW w:w="870" w:type="pct"/>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w:t>
            </w:r>
            <w:r>
              <w:rPr>
                <w:rFonts w:hint="eastAsia"/>
                <w:color w:val="000000" w:themeColor="text1"/>
                <w14:textFill>
                  <w14:solidFill>
                    <w14:schemeClr w14:val="tx1"/>
                  </w14:solidFill>
                </w14:textFill>
              </w:rPr>
              <w:t>027</w:t>
            </w:r>
            <w:r>
              <w:rPr>
                <w:rFonts w:hint="default"/>
                <w:color w:val="000000" w:themeColor="text1"/>
                <w14:textFill>
                  <w14:solidFill>
                    <w14:schemeClr w14:val="tx1"/>
                  </w14:solidFill>
                </w14:textFill>
              </w:rPr>
              <w:t>t/a；0.0</w:t>
            </w:r>
            <w:r>
              <w:rPr>
                <w:rFonts w:hint="eastAsia"/>
                <w:color w:val="000000" w:themeColor="text1"/>
                <w14:textFill>
                  <w14:solidFill>
                    <w14:schemeClr w14:val="tx1"/>
                  </w14:solidFill>
                </w14:textFill>
              </w:rPr>
              <w:t>031</w:t>
            </w:r>
            <w:r>
              <w:rPr>
                <w:rFonts w:hint="default"/>
                <w:color w:val="000000" w:themeColor="text1"/>
                <w14:textFill>
                  <w14:solidFill>
                    <w14:schemeClr w14:val="tx1"/>
                  </w14:solidFill>
                </w14:textFill>
              </w:rPr>
              <w:t>kg/h</w:t>
            </w:r>
          </w:p>
        </w:tc>
        <w:tc>
          <w:tcPr>
            <w:tcW w:w="52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523"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523"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821" w:type="pct"/>
            <w:vMerge w:val="continue"/>
            <w:vAlign w:val="center"/>
          </w:tcPr>
          <w:p>
            <w:pPr>
              <w:pStyle w:val="594"/>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jc w:val="both"/>
        <w:textAlignment w:val="auto"/>
        <w:rPr>
          <w:rFonts w:ascii="Times New Roman" w:hAnsi="Times New Roman"/>
          <w:bCs/>
          <w:color w:val="000000" w:themeColor="text1"/>
          <w:sz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jc w:val="both"/>
        <w:textAlignment w:val="auto"/>
        <w:rPr>
          <w:rFonts w:hint="default" w:ascii="Times New Roman" w:hAnsi="Times New Roman"/>
          <w:bCs/>
          <w:color w:val="000000" w:themeColor="text1"/>
          <w:sz w:val="24"/>
          <w:szCs w:val="24"/>
          <w:highlight w:val="none"/>
          <w:lang w:val="en-US"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由上表可见本项目水套炉燃烧废气</w:t>
      </w:r>
      <w:r>
        <w:rPr>
          <w:rFonts w:ascii="Times New Roman" w:hAnsi="Times New Roman"/>
          <w:color w:val="000000" w:themeColor="text1"/>
          <w:sz w:val="24"/>
          <w:highlight w:val="none"/>
          <w:lang w:eastAsia="zh-CN"/>
          <w14:textFill>
            <w14:solidFill>
              <w14:schemeClr w14:val="tx1"/>
            </w14:solidFill>
          </w14:textFill>
        </w:rPr>
        <w:t>通过水套炉自带8m高排气筒排放，满足《锅炉大气污染物排放标准》（GB13271-2014）中大气污染物</w:t>
      </w:r>
      <w:r>
        <w:rPr>
          <w:rFonts w:ascii="Times New Roman" w:hAnsi="Times New Roman"/>
          <w:bCs/>
          <w:color w:val="000000" w:themeColor="text1"/>
          <w:sz w:val="24"/>
          <w:highlight w:val="none"/>
          <w:lang w:eastAsia="zh-CN"/>
          <w14:textFill>
            <w14:solidFill>
              <w14:schemeClr w14:val="tx1"/>
            </w14:solidFill>
          </w14:textFill>
        </w:rPr>
        <w:t>NOx：200</w:t>
      </w:r>
      <w:r>
        <w:rPr>
          <w:rFonts w:ascii="Times New Roman" w:hAnsi="Times New Roman"/>
          <w:bCs/>
          <w:color w:val="000000" w:themeColor="text1"/>
          <w:sz w:val="24"/>
          <w:szCs w:val="24"/>
          <w:highlight w:val="none"/>
          <w:lang w:eastAsia="zh-CN"/>
          <w14:textFill>
            <w14:solidFill>
              <w14:schemeClr w14:val="tx1"/>
            </w14:solidFill>
          </w14:textFill>
        </w:rPr>
        <w:t>mg/m</w:t>
      </w:r>
      <w:r>
        <w:rPr>
          <w:rFonts w:ascii="Times New Roman" w:hAnsi="Times New Roman"/>
          <w:bCs/>
          <w:color w:val="000000" w:themeColor="text1"/>
          <w:sz w:val="24"/>
          <w:szCs w:val="24"/>
          <w:highlight w:val="none"/>
          <w:vertAlign w:val="superscript"/>
          <w:lang w:eastAsia="zh-CN"/>
          <w14:textFill>
            <w14:solidFill>
              <w14:schemeClr w14:val="tx1"/>
            </w14:solidFill>
          </w14:textFill>
        </w:rPr>
        <w:t>3</w:t>
      </w:r>
      <w:r>
        <w:rPr>
          <w:rFonts w:ascii="Times New Roman" w:hAnsi="Times New Roman"/>
          <w:bCs/>
          <w:color w:val="000000" w:themeColor="text1"/>
          <w:sz w:val="24"/>
          <w:szCs w:val="24"/>
          <w:highlight w:val="none"/>
          <w:lang w:eastAsia="zh-CN"/>
          <w14:textFill>
            <w14:solidFill>
              <w14:schemeClr w14:val="tx1"/>
            </w14:solidFill>
          </w14:textFill>
        </w:rPr>
        <w:t>的</w:t>
      </w:r>
      <w:r>
        <w:rPr>
          <w:rFonts w:ascii="Times New Roman" w:hAnsi="Times New Roman"/>
          <w:color w:val="000000" w:themeColor="text1"/>
          <w:sz w:val="24"/>
          <w:highlight w:val="none"/>
          <w:lang w:eastAsia="zh-CN"/>
          <w14:textFill>
            <w14:solidFill>
              <w14:schemeClr w14:val="tx1"/>
            </w14:solidFill>
          </w14:textFill>
        </w:rPr>
        <w:t>排放浓度限值要求。</w:t>
      </w:r>
      <w:r>
        <w:rPr>
          <w:rFonts w:hint="eastAsia" w:ascii="Times New Roman" w:hAnsi="Times New Roman"/>
          <w:color w:val="000000" w:themeColor="text1"/>
          <w:sz w:val="24"/>
          <w:highlight w:val="none"/>
          <w:lang w:val="en-US" w:eastAsia="zh-CN"/>
          <w14:textFill>
            <w14:solidFill>
              <w14:schemeClr w14:val="tx1"/>
            </w14:solidFill>
          </w14:textFill>
        </w:rPr>
        <w:t>此外，</w:t>
      </w:r>
      <w:r>
        <w:rPr>
          <w:rFonts w:hint="eastAsia"/>
          <w:color w:val="000000" w:themeColor="text1"/>
          <w:highlight w:val="none"/>
          <w14:textFill>
            <w14:solidFill>
              <w14:schemeClr w14:val="tx1"/>
            </w14:solidFill>
          </w14:textFill>
        </w:rPr>
        <w:t>根据《工业锅炉污染防治可行技术指南》（HJ 1178-2021），燃气锅炉（不采取除尘措施）颗粒物的排放浓度控制水平为&lt;10mg/m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同时</w:t>
      </w:r>
      <w:r>
        <w:rPr>
          <w:rFonts w:hint="eastAsia" w:ascii="Times New Roman" w:hAnsi="Times New Roman"/>
          <w:color w:val="000000" w:themeColor="text1"/>
          <w:sz w:val="24"/>
          <w:highlight w:val="none"/>
          <w:lang w:eastAsia="zh-CN"/>
          <w14:textFill>
            <w14:solidFill>
              <w14:schemeClr w14:val="tx1"/>
            </w14:solidFill>
          </w14:textFill>
        </w:rPr>
        <w:t>类比同类水套炉运行情况，烟气黑度小于林格曼Ⅰ级，</w:t>
      </w:r>
      <w:r>
        <w:rPr>
          <w:rFonts w:hint="eastAsia" w:ascii="Times New Roman" w:hAnsi="Times New Roman"/>
          <w:color w:val="000000" w:themeColor="text1"/>
          <w:sz w:val="24"/>
          <w:highlight w:val="none"/>
          <w:lang w:val="en-US" w:eastAsia="zh-CN"/>
          <w14:textFill>
            <w14:solidFill>
              <w14:schemeClr w14:val="tx1"/>
            </w14:solidFill>
          </w14:textFill>
        </w:rPr>
        <w:t>因此本项目水套炉燃烧废气各污染物均满足</w:t>
      </w:r>
      <w:r>
        <w:rPr>
          <w:rFonts w:ascii="Times New Roman" w:hAnsi="Times New Roman"/>
          <w:color w:val="000000" w:themeColor="text1"/>
          <w:sz w:val="24"/>
          <w:highlight w:val="none"/>
          <w:lang w:eastAsia="zh-CN"/>
          <w14:textFill>
            <w14:solidFill>
              <w14:schemeClr w14:val="tx1"/>
            </w14:solidFill>
          </w14:textFill>
        </w:rPr>
        <w:t>《锅炉大气污染物排放标准》（GB13271-2014）</w:t>
      </w:r>
      <w:r>
        <w:rPr>
          <w:rFonts w:hint="eastAsia"/>
          <w:color w:val="000000" w:themeColor="text1"/>
          <w:sz w:val="24"/>
          <w:highlight w:val="none"/>
          <w:lang w:val="en-US" w:eastAsia="zh-CN"/>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2</w:t>
      </w:r>
      <w:r>
        <w:rPr>
          <w:rFonts w:ascii="Times New Roman" w:hAnsi="Times New Roman"/>
          <w:bCs/>
          <w:color w:val="000000" w:themeColor="text1"/>
          <w:sz w:val="24"/>
          <w:highlight w:val="none"/>
          <w:lang w:eastAsia="zh-CN"/>
          <w14:textFill>
            <w14:solidFill>
              <w14:schemeClr w14:val="tx1"/>
            </w14:solidFill>
          </w14:textFill>
        </w:rPr>
        <w:t>）非正常工况放空废气</w:t>
      </w:r>
    </w:p>
    <w:p>
      <w:pPr>
        <w:spacing w:line="360" w:lineRule="auto"/>
        <w:ind w:firstLine="480" w:firstLineChars="200"/>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本项目试采期井口高压放空</w:t>
      </w:r>
      <w:r>
        <w:rPr>
          <w:rFonts w:hint="eastAsia" w:ascii="Times New Roman" w:hAnsi="Times New Roman"/>
          <w:bCs/>
          <w:color w:val="000000" w:themeColor="text1"/>
          <w:sz w:val="24"/>
          <w:highlight w:val="none"/>
          <w:lang w:val="en-US" w:eastAsia="zh-CN"/>
          <w14:textFill>
            <w14:solidFill>
              <w14:schemeClr w14:val="tx1"/>
            </w14:solidFill>
          </w14:textFill>
        </w:rPr>
        <w:t>天然气</w:t>
      </w:r>
      <w:r>
        <w:rPr>
          <w:rFonts w:ascii="Times New Roman" w:hAnsi="Times New Roman"/>
          <w:bCs/>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频次低，约2</w:t>
      </w:r>
      <w:r>
        <w:rPr>
          <w:rFonts w:hint="eastAsia"/>
          <w:bCs/>
          <w:color w:val="000000" w:themeColor="text1"/>
          <w:sz w:val="24"/>
          <w:highlight w:val="none"/>
          <w:lang w:val="en-US"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5次/a，气量约</w:t>
      </w:r>
      <w:r>
        <w:rPr>
          <w:rFonts w:hint="eastAsia"/>
          <w:bCs/>
          <w:color w:val="000000" w:themeColor="text1"/>
          <w:sz w:val="24"/>
          <w:highlight w:val="none"/>
          <w:lang w:val="en-US" w:eastAsia="zh-CN"/>
          <w14:textFill>
            <w14:solidFill>
              <w14:schemeClr w14:val="tx1"/>
            </w14:solidFill>
          </w14:textFill>
        </w:rPr>
        <w:t>50</w:t>
      </w:r>
      <w:r>
        <w:rPr>
          <w:rFonts w:ascii="Times New Roman" w:hAnsi="Times New Roman"/>
          <w:bCs/>
          <w:color w:val="000000" w:themeColor="text1"/>
          <w:sz w:val="24"/>
          <w:highlight w:val="none"/>
          <w:lang w:eastAsia="zh-CN"/>
          <w14:textFill>
            <w14:solidFill>
              <w14:schemeClr w14:val="tx1"/>
            </w14:solidFill>
          </w14:textFill>
        </w:rPr>
        <w:t>Nm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ascii="Times New Roman" w:hAnsi="Times New Roman"/>
          <w:bCs/>
          <w:color w:val="000000" w:themeColor="text1"/>
          <w:sz w:val="24"/>
          <w:highlight w:val="none"/>
          <w:lang w:eastAsia="zh-CN"/>
          <w14:textFill>
            <w14:solidFill>
              <w14:schemeClr w14:val="tx1"/>
            </w14:solidFill>
          </w14:textFill>
        </w:rPr>
        <w:t>/次，工艺设备（含油罐）及站内外输管线气体放空，频率</w:t>
      </w:r>
      <w:r>
        <w:rPr>
          <w:rFonts w:hint="eastAsia" w:ascii="Times New Roman" w:hAnsi="Times New Roman"/>
          <w:bCs/>
          <w:color w:val="000000" w:themeColor="text1"/>
          <w:sz w:val="24"/>
          <w:highlight w:val="none"/>
          <w:lang w:val="en-US" w:eastAsia="zh-CN"/>
          <w14:textFill>
            <w14:solidFill>
              <w14:schemeClr w14:val="tx1"/>
            </w14:solidFill>
          </w14:textFill>
        </w:rPr>
        <w:t>约2</w:t>
      </w:r>
      <w:r>
        <w:rPr>
          <w:rFonts w:hint="eastAsia"/>
          <w:bCs/>
          <w:color w:val="000000" w:themeColor="text1"/>
          <w:sz w:val="24"/>
          <w:highlight w:val="none"/>
          <w:lang w:val="en-US"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5次/a，</w:t>
      </w:r>
      <w:r>
        <w:rPr>
          <w:rFonts w:hint="eastAsia"/>
          <w:bCs/>
          <w:color w:val="000000" w:themeColor="text1"/>
          <w:sz w:val="24"/>
          <w:highlight w:val="none"/>
          <w:lang w:val="en-US" w:eastAsia="zh-CN"/>
          <w14:textFill>
            <w14:solidFill>
              <w14:schemeClr w14:val="tx1"/>
            </w14:solidFill>
          </w14:textFill>
        </w:rPr>
        <w:t>气量</w:t>
      </w:r>
      <w:r>
        <w:rPr>
          <w:rFonts w:ascii="Times New Roman" w:hAnsi="Times New Roman"/>
          <w:bCs/>
          <w:color w:val="000000" w:themeColor="text1"/>
          <w:sz w:val="24"/>
          <w:highlight w:val="none"/>
          <w:lang w:eastAsia="zh-CN"/>
          <w14:textFill>
            <w14:solidFill>
              <w14:schemeClr w14:val="tx1"/>
            </w14:solidFill>
          </w14:textFill>
        </w:rPr>
        <w:t>约2~5Nm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ascii="Times New Roman" w:hAnsi="Times New Roman"/>
          <w:bCs/>
          <w:color w:val="000000" w:themeColor="text1"/>
          <w:sz w:val="24"/>
          <w:highlight w:val="none"/>
          <w:lang w:eastAsia="zh-CN"/>
          <w14:textFill>
            <w14:solidFill>
              <w14:schemeClr w14:val="tx1"/>
            </w14:solidFill>
          </w14:textFill>
        </w:rPr>
        <w:t>/次，废气产生量较小</w:t>
      </w:r>
      <w:r>
        <w:rPr>
          <w:rFonts w:hint="eastAsia" w:ascii="Times New Roman" w:hAnsi="Times New Roman"/>
          <w:bCs/>
          <w:color w:val="000000" w:themeColor="text1"/>
          <w:sz w:val="24"/>
          <w:highlight w:val="none"/>
          <w:lang w:eastAsia="zh-CN"/>
          <w14:textFill>
            <w14:solidFill>
              <w14:schemeClr w14:val="tx1"/>
            </w14:solidFill>
          </w14:textFill>
        </w:rPr>
        <w:t>，</w:t>
      </w:r>
      <w:r>
        <w:rPr>
          <w:color w:val="000000" w:themeColor="text1"/>
          <w:highlight w:val="none"/>
          <w:lang w:eastAsia="zh-CN"/>
          <w14:textFill>
            <w14:solidFill>
              <w14:schemeClr w14:val="tx1"/>
            </w14:solidFill>
          </w14:textFill>
        </w:rPr>
        <w:t>通过放</w:t>
      </w:r>
      <w:r>
        <w:rPr>
          <w:rFonts w:hint="eastAsia"/>
          <w:color w:val="000000" w:themeColor="text1"/>
          <w:highlight w:val="none"/>
          <w:lang w:val="en-US" w:eastAsia="zh-CN"/>
          <w14:textFill>
            <w14:solidFill>
              <w14:schemeClr w14:val="tx1"/>
            </w14:solidFill>
          </w14:textFill>
        </w:rPr>
        <w:t>空</w:t>
      </w:r>
      <w:r>
        <w:rPr>
          <w:color w:val="000000" w:themeColor="text1"/>
          <w:highlight w:val="none"/>
          <w:lang w:eastAsia="zh-CN"/>
          <w14:textFill>
            <w14:solidFill>
              <w14:schemeClr w14:val="tx1"/>
            </w14:solidFill>
          </w14:textFill>
        </w:rPr>
        <w:t>管</w:t>
      </w:r>
      <w:r>
        <w:rPr>
          <w:rFonts w:hint="eastAsia"/>
          <w:color w:val="000000" w:themeColor="text1"/>
          <w:highlight w:val="none"/>
          <w:lang w:val="en-US" w:eastAsia="zh-CN"/>
          <w14:textFill>
            <w14:solidFill>
              <w14:schemeClr w14:val="tx1"/>
            </w14:solidFill>
          </w14:textFill>
        </w:rPr>
        <w:t>引至放空火炬燃烧排放，主要排放污染物为氮氧化物</w:t>
      </w:r>
      <w:r>
        <w:rPr>
          <w:rFonts w:ascii="Times New Roman" w:hAnsi="Times New Roman"/>
          <w:bCs/>
          <w:color w:val="000000" w:themeColor="text1"/>
          <w:sz w:val="24"/>
          <w:highlight w:val="none"/>
          <w:lang w:eastAsia="zh-CN"/>
          <w14:textFill>
            <w14:solidFill>
              <w14:schemeClr w14:val="tx1"/>
            </w14:solidFill>
          </w14:textFill>
        </w:rPr>
        <w:t>。</w:t>
      </w:r>
    </w:p>
    <w:p>
      <w:pPr>
        <w:pStyle w:val="21"/>
        <w:tabs>
          <w:tab w:val="left" w:pos="863"/>
        </w:tabs>
        <w:spacing w:before="0"/>
        <w:ind w:left="0"/>
        <w:jc w:val="center"/>
        <w:rPr>
          <w:rFonts w:ascii="Times New Roman" w:hAnsi="Times New Roman" w:eastAsia="黑体"/>
          <w:color w:val="000000" w:themeColor="text1"/>
          <w:sz w:val="21"/>
          <w:szCs w:val="21"/>
          <w:highlight w:val="none"/>
          <w:lang w:eastAsia="zh-CN"/>
          <w14:textFill>
            <w14:solidFill>
              <w14:schemeClr w14:val="tx1"/>
            </w14:solidFill>
          </w14:textFill>
        </w:rPr>
      </w:pPr>
      <w:r>
        <w:rPr>
          <w:rFonts w:ascii="Times New Roman" w:hAnsi="Times New Roman" w:eastAsia="黑体"/>
          <w:color w:val="000000" w:themeColor="text1"/>
          <w:sz w:val="21"/>
          <w:szCs w:val="21"/>
          <w:highlight w:val="none"/>
          <w:lang w:eastAsia="zh-CN"/>
          <w14:textFill>
            <w14:solidFill>
              <w14:schemeClr w14:val="tx1"/>
            </w14:solidFill>
          </w14:textFill>
        </w:rPr>
        <w:t>表3.4-1</w:t>
      </w:r>
      <w:r>
        <w:rPr>
          <w:rFonts w:hint="eastAsia" w:ascii="Times New Roman" w:hAnsi="Times New Roman" w:eastAsia="黑体"/>
          <w:color w:val="000000" w:themeColor="text1"/>
          <w:sz w:val="21"/>
          <w:szCs w:val="21"/>
          <w:highlight w:val="none"/>
          <w:lang w:val="en-US" w:eastAsia="zh-CN"/>
          <w14:textFill>
            <w14:solidFill>
              <w14:schemeClr w14:val="tx1"/>
            </w14:solidFill>
          </w14:textFill>
        </w:rPr>
        <w:t>5</w:t>
      </w:r>
      <w:r>
        <w:rPr>
          <w:rFonts w:ascii="Times New Roman" w:hAnsi="Times New Roman" w:eastAsia="黑体"/>
          <w:color w:val="000000" w:themeColor="text1"/>
          <w:sz w:val="21"/>
          <w:szCs w:val="21"/>
          <w:highlight w:val="none"/>
          <w:lang w:eastAsia="zh-CN"/>
          <w14:textFill>
            <w14:solidFill>
              <w14:schemeClr w14:val="tx1"/>
            </w14:solidFill>
          </w14:textFill>
        </w:rPr>
        <w:t xml:space="preserve">  试采期废气排放情况一览表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12"/>
        <w:gridCol w:w="798"/>
        <w:gridCol w:w="1130"/>
        <w:gridCol w:w="1145"/>
        <w:gridCol w:w="1298"/>
        <w:gridCol w:w="627"/>
        <w:gridCol w:w="679"/>
        <w:gridCol w:w="674"/>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废气</w:t>
            </w:r>
          </w:p>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类型</w:t>
            </w:r>
          </w:p>
        </w:tc>
        <w:tc>
          <w:tcPr>
            <w:tcW w:w="3073" w:type="dxa"/>
            <w:gridSpan w:val="3"/>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产生量</w:t>
            </w:r>
          </w:p>
        </w:tc>
        <w:tc>
          <w:tcPr>
            <w:tcW w:w="1298"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排放情况</w:t>
            </w:r>
          </w:p>
        </w:tc>
        <w:tc>
          <w:tcPr>
            <w:tcW w:w="1306" w:type="dxa"/>
            <w:gridSpan w:val="2"/>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排气筒</w:t>
            </w:r>
          </w:p>
        </w:tc>
        <w:tc>
          <w:tcPr>
            <w:tcW w:w="674"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烟气温度</w:t>
            </w:r>
          </w:p>
        </w:tc>
        <w:tc>
          <w:tcPr>
            <w:tcW w:w="957"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项目</w:t>
            </w:r>
          </w:p>
        </w:tc>
        <w:tc>
          <w:tcPr>
            <w:tcW w:w="1130"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浓度</w:t>
            </w:r>
          </w:p>
        </w:tc>
        <w:tc>
          <w:tcPr>
            <w:tcW w:w="1145"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产生量</w:t>
            </w:r>
          </w:p>
        </w:tc>
        <w:tc>
          <w:tcPr>
            <w:tcW w:w="1298"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27"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高度</w:t>
            </w:r>
          </w:p>
        </w:tc>
        <w:tc>
          <w:tcPr>
            <w:tcW w:w="679"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内径</w:t>
            </w:r>
          </w:p>
        </w:tc>
        <w:tc>
          <w:tcPr>
            <w:tcW w:w="674"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95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水套炉燃烧废气</w:t>
            </w: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烟气流量</w:t>
            </w:r>
          </w:p>
        </w:tc>
        <w:tc>
          <w:tcPr>
            <w:tcW w:w="1130"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bCs/>
                <w:color w:val="000000" w:themeColor="text1"/>
                <w:sz w:val="21"/>
                <w:highlight w:val="none"/>
                <w14:textFill>
                  <w14:solidFill>
                    <w14:schemeClr w14:val="tx1"/>
                  </w14:solidFill>
                </w14:textFill>
              </w:rPr>
              <w:t>/</w:t>
            </w:r>
          </w:p>
        </w:tc>
        <w:tc>
          <w:tcPr>
            <w:tcW w:w="1145" w:type="dxa"/>
            <w:shd w:val="clear" w:color="auto" w:fill="auto"/>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1</w:t>
            </w:r>
            <w:r>
              <w:rPr>
                <w:rFonts w:hint="eastAsia"/>
                <w:color w:val="000000" w:themeColor="text1"/>
                <w:sz w:val="21"/>
                <w:highlight w:val="none"/>
                <w:lang w:val="en-US" w:eastAsia="zh-CN"/>
                <w14:textFill>
                  <w14:solidFill>
                    <w14:schemeClr w14:val="tx1"/>
                  </w14:solidFill>
                </w14:textFill>
              </w:rPr>
              <w:t>077.53</w:t>
            </w:r>
            <w:r>
              <w:rPr>
                <w:rFonts w:hint="default"/>
                <w:color w:val="000000" w:themeColor="text1"/>
                <w:sz w:val="21"/>
                <w:highlight w:val="none"/>
                <w14:textFill>
                  <w14:solidFill>
                    <w14:schemeClr w14:val="tx1"/>
                  </w14:solidFill>
                </w14:textFill>
              </w:rPr>
              <w:t>万Nm</w:t>
            </w:r>
            <w:r>
              <w:rPr>
                <w:rFonts w:hint="default"/>
                <w:color w:val="000000" w:themeColor="text1"/>
                <w:sz w:val="21"/>
                <w:highlight w:val="none"/>
                <w:vertAlign w:val="superscript"/>
                <w14:textFill>
                  <w14:solidFill>
                    <w14:schemeClr w14:val="tx1"/>
                  </w14:solidFill>
                </w14:textFill>
              </w:rPr>
              <w:t>3</w:t>
            </w:r>
            <w:r>
              <w:rPr>
                <w:rFonts w:hint="default"/>
                <w:color w:val="000000" w:themeColor="text1"/>
                <w:sz w:val="21"/>
                <w:highlight w:val="none"/>
                <w14:textFill>
                  <w14:solidFill>
                    <w14:schemeClr w14:val="tx1"/>
                  </w14:solidFill>
                </w14:textFill>
              </w:rPr>
              <w:t>/a</w:t>
            </w:r>
          </w:p>
        </w:tc>
        <w:tc>
          <w:tcPr>
            <w:tcW w:w="1298"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自带排气筒有组织排放</w:t>
            </w:r>
          </w:p>
        </w:tc>
        <w:tc>
          <w:tcPr>
            <w:tcW w:w="627"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8m</w:t>
            </w:r>
          </w:p>
        </w:tc>
        <w:tc>
          <w:tcPr>
            <w:tcW w:w="679"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0.2m</w:t>
            </w:r>
          </w:p>
        </w:tc>
        <w:tc>
          <w:tcPr>
            <w:tcW w:w="674"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lang w:eastAsia="ja-JP"/>
                <w14:textFill>
                  <w14:solidFill>
                    <w14:schemeClr w14:val="tx1"/>
                  </w14:solidFill>
                </w14:textFill>
              </w:rPr>
            </w:pPr>
            <w:r>
              <w:rPr>
                <w:rFonts w:hint="default"/>
                <w:color w:val="000000" w:themeColor="text1"/>
                <w:sz w:val="21"/>
                <w:szCs w:val="21"/>
                <w:highlight w:val="none"/>
                <w14:textFill>
                  <w14:solidFill>
                    <w14:schemeClr w14:val="tx1"/>
                  </w14:solidFill>
                </w14:textFill>
              </w:rPr>
              <w:t>150</w:t>
            </w:r>
            <w:r>
              <w:rPr>
                <w:rFonts w:hint="default"/>
                <w:color w:val="000000" w:themeColor="text1"/>
                <w:sz w:val="21"/>
                <w:szCs w:val="21"/>
                <w:highlight w:val="none"/>
                <w:lang w:eastAsia="ja-JP"/>
                <w14:textFill>
                  <w14:solidFill>
                    <w14:schemeClr w14:val="tx1"/>
                  </w14:solidFill>
                </w14:textFill>
              </w:rPr>
              <w:t>℃</w:t>
            </w:r>
          </w:p>
        </w:tc>
        <w:tc>
          <w:tcPr>
            <w:tcW w:w="957"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有组织排放，连续排放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NOx</w:t>
            </w:r>
          </w:p>
        </w:tc>
        <w:tc>
          <w:tcPr>
            <w:tcW w:w="1130" w:type="dxa"/>
            <w:vAlign w:val="center"/>
          </w:tcPr>
          <w:p>
            <w:pPr>
              <w:pStyle w:val="594"/>
              <w:keepNext w:val="0"/>
              <w:keepLines w:val="0"/>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64.</w:t>
            </w:r>
            <w:r>
              <w:rPr>
                <w:rFonts w:hint="eastAsia"/>
                <w:color w:val="000000" w:themeColor="text1"/>
                <w:kern w:val="2"/>
                <w:highlight w:val="none"/>
                <w:lang w:val="en-US" w:eastAsia="zh-CN"/>
                <w14:textFill>
                  <w14:solidFill>
                    <w14:schemeClr w14:val="tx1"/>
                  </w14:solidFill>
                </w14:textFill>
              </w:rPr>
              <w:t>68</w:t>
            </w:r>
          </w:p>
        </w:tc>
        <w:tc>
          <w:tcPr>
            <w:tcW w:w="1145" w:type="dxa"/>
            <w:shd w:val="clear" w:color="auto" w:fill="auto"/>
            <w:vAlign w:val="center"/>
          </w:tcPr>
          <w:p>
            <w:pPr>
              <w:pStyle w:val="594"/>
              <w:keepNext w:val="0"/>
              <w:keepLines w:val="0"/>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default"/>
                <w:color w:val="000000" w:themeColor="text1"/>
                <w:kern w:val="2"/>
                <w:highlight w:val="none"/>
                <w14:textFill>
                  <w14:solidFill>
                    <w14:schemeClr w14:val="tx1"/>
                  </w14:solidFill>
                </w14:textFill>
              </w:rPr>
              <w:t>0.</w:t>
            </w:r>
            <w:r>
              <w:rPr>
                <w:rFonts w:hint="eastAsia"/>
                <w:color w:val="000000" w:themeColor="text1"/>
                <w:kern w:val="2"/>
                <w:highlight w:val="none"/>
                <w14:textFill>
                  <w14:solidFill>
                    <w14:schemeClr w14:val="tx1"/>
                  </w14:solidFill>
                </w14:textFill>
              </w:rPr>
              <w:t>64</w:t>
            </w:r>
            <w:r>
              <w:rPr>
                <w:rFonts w:hint="default"/>
                <w:color w:val="000000" w:themeColor="text1"/>
                <w:kern w:val="2"/>
                <w:highlight w:val="none"/>
                <w14:textFill>
                  <w14:solidFill>
                    <w14:schemeClr w14:val="tx1"/>
                  </w14:solidFill>
                </w14:textFill>
              </w:rPr>
              <w:t>t/a；0.0</w:t>
            </w:r>
            <w:r>
              <w:rPr>
                <w:rFonts w:hint="eastAsia"/>
                <w:color w:val="000000" w:themeColor="text1"/>
                <w:kern w:val="2"/>
                <w:highlight w:val="none"/>
                <w14:textFill>
                  <w14:solidFill>
                    <w14:schemeClr w14:val="tx1"/>
                  </w14:solidFill>
                </w14:textFill>
              </w:rPr>
              <w:t>81</w:t>
            </w:r>
            <w:r>
              <w:rPr>
                <w:rFonts w:hint="default"/>
                <w:color w:val="000000" w:themeColor="text1"/>
                <w:kern w:val="2"/>
                <w:highlight w:val="none"/>
                <w14:textFill>
                  <w14:solidFill>
                    <w14:schemeClr w14:val="tx1"/>
                  </w14:solidFill>
                </w14:textFill>
              </w:rPr>
              <w:t>kg/h</w:t>
            </w:r>
          </w:p>
        </w:tc>
        <w:tc>
          <w:tcPr>
            <w:tcW w:w="1298"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2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9"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4"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95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bCs/>
                <w:color w:val="000000" w:themeColor="text1"/>
                <w:sz w:val="21"/>
                <w:highlight w:val="none"/>
                <w14:textFill>
                  <w14:solidFill>
                    <w14:schemeClr w14:val="tx1"/>
                  </w14:solidFill>
                </w14:textFill>
              </w:rPr>
              <w:t>火炬及放空系统长明灯燃烧废气</w:t>
            </w: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Cs/>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烟气流量</w:t>
            </w:r>
          </w:p>
        </w:tc>
        <w:tc>
          <w:tcPr>
            <w:tcW w:w="11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highlight w:val="none"/>
                <w14:textFill>
                  <w14:solidFill>
                    <w14:schemeClr w14:val="tx1"/>
                  </w14:solidFill>
                </w14:textFill>
              </w:rPr>
            </w:pPr>
            <w:r>
              <w:rPr>
                <w:rFonts w:hint="default" w:ascii="Times New Roman" w:hAnsi="Times New Roman"/>
                <w:bCs/>
                <w:color w:val="000000" w:themeColor="text1"/>
                <w:kern w:val="2"/>
                <w:sz w:val="21"/>
                <w:highlight w:val="none"/>
                <w14:textFill>
                  <w14:solidFill>
                    <w14:schemeClr w14:val="tx1"/>
                  </w14:solidFill>
                </w14:textFill>
              </w:rPr>
              <w:t>/</w:t>
            </w:r>
          </w:p>
        </w:tc>
        <w:tc>
          <w:tcPr>
            <w:tcW w:w="1145"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highlight w:val="none"/>
                <w14:textFill>
                  <w14:solidFill>
                    <w14:schemeClr w14:val="tx1"/>
                  </w14:solidFill>
                </w14:textFill>
              </w:rPr>
            </w:pPr>
            <w:r>
              <w:rPr>
                <w:rFonts w:hint="eastAsia" w:ascii="Times New Roman" w:hAnsi="Times New Roman"/>
                <w:color w:val="000000" w:themeColor="text1"/>
                <w:kern w:val="2"/>
                <w:sz w:val="21"/>
                <w:highlight w:val="none"/>
                <w:lang w:val="en-US" w:eastAsia="zh-CN"/>
                <w14:textFill>
                  <w14:solidFill>
                    <w14:schemeClr w14:val="tx1"/>
                  </w14:solidFill>
                </w14:textFill>
              </w:rPr>
              <w:t>172.4</w:t>
            </w:r>
            <w:r>
              <w:rPr>
                <w:rFonts w:hint="default" w:ascii="Times New Roman" w:hAnsi="Times New Roman"/>
                <w:color w:val="000000" w:themeColor="text1"/>
                <w:kern w:val="2"/>
                <w:sz w:val="21"/>
                <w:highlight w:val="none"/>
                <w14:textFill>
                  <w14:solidFill>
                    <w14:schemeClr w14:val="tx1"/>
                  </w14:solidFill>
                </w14:textFill>
              </w:rPr>
              <w:t>万Nm</w:t>
            </w:r>
            <w:r>
              <w:rPr>
                <w:rFonts w:hint="default" w:ascii="Times New Roman" w:hAnsi="Times New Roman"/>
                <w:color w:val="000000" w:themeColor="text1"/>
                <w:kern w:val="2"/>
                <w:sz w:val="21"/>
                <w:highlight w:val="none"/>
                <w:vertAlign w:val="superscript"/>
                <w14:textFill>
                  <w14:solidFill>
                    <w14:schemeClr w14:val="tx1"/>
                  </w14:solidFill>
                </w14:textFill>
              </w:rPr>
              <w:t>3</w:t>
            </w:r>
            <w:r>
              <w:rPr>
                <w:rFonts w:hint="default" w:ascii="Times New Roman" w:hAnsi="Times New Roman"/>
                <w:color w:val="000000" w:themeColor="text1"/>
                <w:kern w:val="2"/>
                <w:sz w:val="21"/>
                <w:highlight w:val="none"/>
                <w14:textFill>
                  <w14:solidFill>
                    <w14:schemeClr w14:val="tx1"/>
                  </w14:solidFill>
                </w14:textFill>
              </w:rPr>
              <w:t>/a</w:t>
            </w:r>
          </w:p>
        </w:tc>
        <w:tc>
          <w:tcPr>
            <w:tcW w:w="1298"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15m高排气筒有组织排放</w:t>
            </w:r>
          </w:p>
        </w:tc>
        <w:tc>
          <w:tcPr>
            <w:tcW w:w="627"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15m</w:t>
            </w:r>
          </w:p>
        </w:tc>
        <w:tc>
          <w:tcPr>
            <w:tcW w:w="679"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1</w:t>
            </w:r>
            <w:r>
              <w:rPr>
                <w:rFonts w:hint="default"/>
                <w:color w:val="000000" w:themeColor="text1"/>
                <w:sz w:val="21"/>
                <w:szCs w:val="21"/>
                <w:highlight w:val="none"/>
                <w14:textFill>
                  <w14:solidFill>
                    <w14:schemeClr w14:val="tx1"/>
                  </w14:solidFill>
                </w14:textFill>
              </w:rPr>
              <w:t>m</w:t>
            </w:r>
          </w:p>
        </w:tc>
        <w:tc>
          <w:tcPr>
            <w:tcW w:w="674"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150</w:t>
            </w:r>
            <w:r>
              <w:rPr>
                <w:rFonts w:hint="default"/>
                <w:color w:val="000000" w:themeColor="text1"/>
                <w:sz w:val="21"/>
                <w:szCs w:val="21"/>
                <w:highlight w:val="none"/>
                <w:lang w:eastAsia="ja-JP"/>
                <w14:textFill>
                  <w14:solidFill>
                    <w14:schemeClr w14:val="tx1"/>
                  </w14:solidFill>
                </w14:textFill>
              </w:rPr>
              <w:t>℃</w:t>
            </w:r>
          </w:p>
        </w:tc>
        <w:tc>
          <w:tcPr>
            <w:tcW w:w="957"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有组织排放，连续排放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Cs/>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NOx</w:t>
            </w:r>
          </w:p>
        </w:tc>
        <w:tc>
          <w:tcPr>
            <w:tcW w:w="11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highlight w:val="none"/>
                <w14:textFill>
                  <w14:solidFill>
                    <w14:schemeClr w14:val="tx1"/>
                  </w14:solidFill>
                </w14:textFill>
              </w:rPr>
            </w:pPr>
            <w:r>
              <w:rPr>
                <w:rFonts w:hint="eastAsia" w:ascii="Times New Roman" w:hAnsi="Times New Roman"/>
                <w:color w:val="000000" w:themeColor="text1"/>
                <w:kern w:val="2"/>
                <w:sz w:val="21"/>
                <w:highlight w:val="none"/>
                <w:lang w:val="en-US" w:eastAsia="zh-CN"/>
                <w14:textFill>
                  <w14:solidFill>
                    <w14:schemeClr w14:val="tx1"/>
                  </w14:solidFill>
                </w14:textFill>
              </w:rPr>
              <w:t>64.68</w:t>
            </w:r>
            <w:r>
              <w:rPr>
                <w:rFonts w:hint="default" w:ascii="Times New Roman" w:hAnsi="Times New Roman"/>
                <w:color w:val="000000" w:themeColor="text1"/>
                <w:kern w:val="2"/>
                <w:sz w:val="21"/>
                <w:highlight w:val="none"/>
                <w14:textFill>
                  <w14:solidFill>
                    <w14:schemeClr w14:val="tx1"/>
                  </w14:solidFill>
                </w14:textFill>
              </w:rPr>
              <w:t>mg/m</w:t>
            </w:r>
            <w:r>
              <w:rPr>
                <w:rFonts w:hint="default" w:ascii="Times New Roman" w:hAnsi="Times New Roman"/>
                <w:color w:val="000000" w:themeColor="text1"/>
                <w:kern w:val="2"/>
                <w:sz w:val="21"/>
                <w:highlight w:val="none"/>
                <w:vertAlign w:val="superscript"/>
                <w14:textFill>
                  <w14:solidFill>
                    <w14:schemeClr w14:val="tx1"/>
                  </w14:solidFill>
                </w14:textFill>
              </w:rPr>
              <w:t>3</w:t>
            </w:r>
          </w:p>
        </w:tc>
        <w:tc>
          <w:tcPr>
            <w:tcW w:w="1145"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highlight w:val="none"/>
                <w14:textFill>
                  <w14:solidFill>
                    <w14:schemeClr w14:val="tx1"/>
                  </w14:solidFill>
                </w14:textFill>
              </w:rPr>
            </w:pPr>
            <w:r>
              <w:rPr>
                <w:rFonts w:hint="default" w:ascii="Times New Roman" w:hAnsi="Times New Roman"/>
                <w:color w:val="000000" w:themeColor="text1"/>
                <w:kern w:val="2"/>
                <w:sz w:val="21"/>
                <w:highlight w:val="none"/>
                <w14:textFill>
                  <w14:solidFill>
                    <w14:schemeClr w14:val="tx1"/>
                  </w14:solidFill>
                </w14:textFill>
              </w:rPr>
              <w:t>0.1</w:t>
            </w:r>
            <w:r>
              <w:rPr>
                <w:rFonts w:hint="eastAsia" w:ascii="Times New Roman" w:hAnsi="Times New Roman"/>
                <w:color w:val="000000" w:themeColor="text1"/>
                <w:kern w:val="2"/>
                <w:sz w:val="21"/>
                <w:highlight w:val="none"/>
                <w:lang w:val="en-US" w:eastAsia="zh-CN"/>
                <w14:textFill>
                  <w14:solidFill>
                    <w14:schemeClr w14:val="tx1"/>
                  </w14:solidFill>
                </w14:textFill>
              </w:rPr>
              <w:t>115</w:t>
            </w:r>
            <w:r>
              <w:rPr>
                <w:rFonts w:hint="default" w:ascii="Times New Roman" w:hAnsi="Times New Roman"/>
                <w:color w:val="000000" w:themeColor="text1"/>
                <w:kern w:val="2"/>
                <w:sz w:val="21"/>
                <w:highlight w:val="none"/>
                <w14:textFill>
                  <w14:solidFill>
                    <w14:schemeClr w14:val="tx1"/>
                  </w14:solidFill>
                </w14:textFill>
              </w:rPr>
              <w:t>t/a；</w:t>
            </w:r>
            <w:r>
              <w:rPr>
                <w:rFonts w:hint="default" w:ascii="Times New Roman" w:hAnsi="Times New Roman"/>
                <w:color w:val="000000" w:themeColor="text1"/>
                <w:kern w:val="2"/>
                <w:sz w:val="21"/>
                <w:highlight w:val="none"/>
                <w:lang w:eastAsia="zh-CN"/>
                <w14:textFill>
                  <w14:solidFill>
                    <w14:schemeClr w14:val="tx1"/>
                  </w14:solidFill>
                </w14:textFill>
              </w:rPr>
              <w:t>0.01</w:t>
            </w:r>
            <w:r>
              <w:rPr>
                <w:rFonts w:hint="eastAsia" w:ascii="Times New Roman" w:hAnsi="Times New Roman"/>
                <w:color w:val="000000" w:themeColor="text1"/>
                <w:kern w:val="2"/>
                <w:sz w:val="21"/>
                <w:highlight w:val="none"/>
                <w:lang w:val="en-US" w:eastAsia="zh-CN"/>
                <w14:textFill>
                  <w14:solidFill>
                    <w14:schemeClr w14:val="tx1"/>
                  </w14:solidFill>
                </w14:textFill>
              </w:rPr>
              <w:t>27</w:t>
            </w:r>
            <w:r>
              <w:rPr>
                <w:rFonts w:hint="default" w:ascii="Times New Roman" w:hAnsi="Times New Roman"/>
                <w:color w:val="000000" w:themeColor="text1"/>
                <w:kern w:val="2"/>
                <w:sz w:val="21"/>
                <w:highlight w:val="none"/>
                <w14:textFill>
                  <w14:solidFill>
                    <w14:schemeClr w14:val="tx1"/>
                  </w14:solidFill>
                </w14:textFill>
              </w:rPr>
              <w:t>kg/h</w:t>
            </w:r>
          </w:p>
        </w:tc>
        <w:tc>
          <w:tcPr>
            <w:tcW w:w="1298"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2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9"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4"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95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井口非正常放空天然气</w:t>
            </w: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天然气</w:t>
            </w:r>
          </w:p>
        </w:tc>
        <w:tc>
          <w:tcPr>
            <w:tcW w:w="1130"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1145" w:type="dxa"/>
            <w:shd w:val="clear" w:color="auto" w:fill="auto"/>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r>
              <w:rPr>
                <w:rFonts w:hint="default"/>
                <w:color w:val="000000" w:themeColor="text1"/>
                <w:sz w:val="21"/>
                <w:szCs w:val="21"/>
                <w:highlight w:val="none"/>
                <w:lang w:eastAsia="zh-CN"/>
                <w14:textFill>
                  <w14:solidFill>
                    <w14:schemeClr w14:val="tx1"/>
                  </w14:solidFill>
                </w14:textFill>
              </w:rPr>
              <w:t>Nm</w:t>
            </w:r>
            <w:r>
              <w:rPr>
                <w:rFonts w:hint="default"/>
                <w:color w:val="000000" w:themeColor="text1"/>
                <w:sz w:val="21"/>
                <w:szCs w:val="21"/>
                <w:highlight w:val="none"/>
                <w:vertAlign w:val="superscript"/>
                <w:lang w:eastAsia="zh-CN"/>
                <w14:textFill>
                  <w14:solidFill>
                    <w14:schemeClr w14:val="tx1"/>
                  </w14:solidFill>
                </w14:textFill>
              </w:rPr>
              <w:t>3</w:t>
            </w:r>
            <w:r>
              <w:rPr>
                <w:rFonts w:hint="default"/>
                <w:color w:val="000000" w:themeColor="text1"/>
                <w:sz w:val="21"/>
                <w:szCs w:val="21"/>
                <w:highlight w:val="none"/>
                <w:lang w:eastAsia="zh-CN"/>
                <w14:textFill>
                  <w14:solidFill>
                    <w14:schemeClr w14:val="tx1"/>
                  </w14:solidFill>
                </w14:textFill>
              </w:rPr>
              <w:t>/次</w:t>
            </w:r>
          </w:p>
        </w:tc>
        <w:tc>
          <w:tcPr>
            <w:tcW w:w="1298" w:type="dxa"/>
            <w:vMerge w:val="restart"/>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通过</w:t>
            </w:r>
            <w:r>
              <w:rPr>
                <w:rFonts w:hint="eastAsia"/>
                <w:color w:val="000000" w:themeColor="text1"/>
                <w:sz w:val="21"/>
                <w:szCs w:val="21"/>
                <w:highlight w:val="none"/>
                <w:lang w:val="en-US" w:eastAsia="zh-CN"/>
                <w14:textFill>
                  <w14:solidFill>
                    <w14:schemeClr w14:val="tx1"/>
                  </w14:solidFill>
                </w14:textFill>
              </w:rPr>
              <w:t>管道引至放空火炬燃烧后经15m高排气筒有组织排放</w:t>
            </w:r>
          </w:p>
        </w:tc>
        <w:tc>
          <w:tcPr>
            <w:tcW w:w="62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olor w:val="000000" w:themeColor="text1"/>
                <w:sz w:val="21"/>
                <w:szCs w:val="21"/>
                <w:highlight w:val="none"/>
                <w14:textFill>
                  <w14:solidFill>
                    <w14:schemeClr w14:val="tx1"/>
                  </w14:solidFill>
                </w14:textFill>
              </w:rPr>
            </w:pPr>
          </w:p>
        </w:tc>
        <w:tc>
          <w:tcPr>
            <w:tcW w:w="679"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color w:val="000000" w:themeColor="text1"/>
                <w:sz w:val="21"/>
                <w:szCs w:val="21"/>
                <w:highlight w:val="none"/>
                <w14:textFill>
                  <w14:solidFill>
                    <w14:schemeClr w14:val="tx1"/>
                  </w14:solidFill>
                </w14:textFill>
              </w:rPr>
            </w:pPr>
          </w:p>
        </w:tc>
        <w:tc>
          <w:tcPr>
            <w:tcW w:w="674"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95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912"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工艺</w:t>
            </w:r>
            <w:r>
              <w:rPr>
                <w:rFonts w:hint="default"/>
                <w:color w:val="000000" w:themeColor="text1"/>
                <w:sz w:val="21"/>
                <w:szCs w:val="21"/>
                <w:highlight w:val="none"/>
                <w14:textFill>
                  <w14:solidFill>
                    <w14:schemeClr w14:val="tx1"/>
                  </w14:solidFill>
                </w14:textFill>
              </w:rPr>
              <w:t>正常放空废气</w:t>
            </w:r>
          </w:p>
        </w:tc>
        <w:tc>
          <w:tcPr>
            <w:tcW w:w="798"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天然</w:t>
            </w:r>
            <w:r>
              <w:rPr>
                <w:rFonts w:hint="default"/>
                <w:color w:val="000000" w:themeColor="text1"/>
                <w:sz w:val="21"/>
                <w:szCs w:val="21"/>
                <w:highlight w:val="none"/>
                <w14:textFill>
                  <w14:solidFill>
                    <w14:schemeClr w14:val="tx1"/>
                  </w14:solidFill>
                </w14:textFill>
              </w:rPr>
              <w:t>气</w:t>
            </w:r>
          </w:p>
        </w:tc>
        <w:tc>
          <w:tcPr>
            <w:tcW w:w="1130" w:type="dxa"/>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1145" w:type="dxa"/>
            <w:shd w:val="clear" w:color="auto" w:fill="auto"/>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2~5Nm</w:t>
            </w:r>
            <w:r>
              <w:rPr>
                <w:rFonts w:hint="default"/>
                <w:color w:val="000000" w:themeColor="text1"/>
                <w:sz w:val="21"/>
                <w:szCs w:val="21"/>
                <w:highlight w:val="none"/>
                <w:vertAlign w:val="superscript"/>
                <w:lang w:eastAsia="zh-CN"/>
                <w14:textFill>
                  <w14:solidFill>
                    <w14:schemeClr w14:val="tx1"/>
                  </w14:solidFill>
                </w14:textFill>
              </w:rPr>
              <w:t>3</w:t>
            </w:r>
            <w:r>
              <w:rPr>
                <w:rFonts w:hint="default"/>
                <w:color w:val="000000" w:themeColor="text1"/>
                <w:sz w:val="21"/>
                <w:szCs w:val="21"/>
                <w:highlight w:val="none"/>
                <w:lang w:eastAsia="zh-CN"/>
                <w14:textFill>
                  <w14:solidFill>
                    <w14:schemeClr w14:val="tx1"/>
                  </w14:solidFill>
                </w14:textFill>
              </w:rPr>
              <w:t>/次</w:t>
            </w:r>
          </w:p>
        </w:tc>
        <w:tc>
          <w:tcPr>
            <w:tcW w:w="1298"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olor w:val="000000" w:themeColor="text1"/>
                <w:sz w:val="21"/>
                <w:szCs w:val="21"/>
                <w:highlight w:val="none"/>
                <w:lang w:val="en-US" w:eastAsia="zh-CN"/>
                <w14:textFill>
                  <w14:solidFill>
                    <w14:schemeClr w14:val="tx1"/>
                  </w14:solidFill>
                </w14:textFill>
              </w:rPr>
            </w:pPr>
          </w:p>
        </w:tc>
        <w:tc>
          <w:tcPr>
            <w:tcW w:w="62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9"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674"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c>
          <w:tcPr>
            <w:tcW w:w="957" w:type="dxa"/>
            <w:vMerge w:val="continue"/>
            <w:vAlign w:val="center"/>
          </w:tcPr>
          <w:p>
            <w:pPr>
              <w:pStyle w:val="6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p>
        </w:tc>
      </w:tr>
    </w:tbl>
    <w:p>
      <w:pPr>
        <w:pStyle w:val="5"/>
        <w:spacing w:before="12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p>
      <w:pPr>
        <w:ind w:firstLine="480"/>
        <w:rPr>
          <w:rFonts w:hint="eastAsia" w:eastAsia="宋体" w:cs="Times New Roman"/>
          <w:bCs/>
          <w:color w:val="000000" w:themeColor="text1"/>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本项目试采期无人值守，因此无生活污水产生</w:t>
      </w:r>
      <w:r>
        <w:rPr>
          <w:rFonts w:cs="Times New Roman"/>
          <w:bCs/>
          <w:color w:val="000000" w:themeColor="text1"/>
          <w:highlight w:val="none"/>
          <w14:textFill>
            <w14:solidFill>
              <w14:schemeClr w14:val="tx1"/>
            </w14:solidFill>
          </w14:textFill>
        </w:rPr>
        <w:t>试采期废水主要为</w:t>
      </w:r>
      <w:r>
        <w:rPr>
          <w:rFonts w:hint="eastAsia" w:cs="Times New Roman"/>
          <w:bCs/>
          <w:color w:val="000000" w:themeColor="text1"/>
          <w:highlight w:val="none"/>
          <w:lang w:eastAsia="zh-CN"/>
          <w14:textFill>
            <w14:solidFill>
              <w14:schemeClr w14:val="tx1"/>
            </w14:solidFill>
          </w14:textFill>
        </w:rPr>
        <w:t>气田水</w:t>
      </w:r>
      <w:r>
        <w:rPr>
          <w:rFonts w:cs="Times New Roman"/>
          <w:bCs/>
          <w:color w:val="000000" w:themeColor="text1"/>
          <w:highlight w:val="none"/>
          <w14:textFill>
            <w14:solidFill>
              <w14:schemeClr w14:val="tx1"/>
            </w14:solidFill>
          </w14:textFill>
        </w:rPr>
        <w:t>、非正常工况井下作业废水</w:t>
      </w:r>
      <w:r>
        <w:rPr>
          <w:rFonts w:hint="eastAsia" w:cs="Times New Roman"/>
          <w:bCs/>
          <w:color w:val="000000" w:themeColor="text1"/>
          <w:highlight w:val="none"/>
          <w:lang w:eastAsia="zh-CN"/>
          <w14:textFill>
            <w14:solidFill>
              <w14:schemeClr w14:val="tx1"/>
            </w14:solidFill>
          </w14:textFill>
        </w:rPr>
        <w:t>。</w:t>
      </w:r>
    </w:p>
    <w:p>
      <w:pPr>
        <w:ind w:firstLine="480"/>
        <w:rPr>
          <w:rFonts w:hint="eastAsia" w:eastAsia="宋体" w:cs="Times New Roman"/>
          <w:bCs/>
          <w:color w:val="000000" w:themeColor="text1"/>
          <w:highlight w:val="none"/>
          <w:lang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1）</w:t>
      </w:r>
      <w:r>
        <w:rPr>
          <w:rFonts w:hint="eastAsia" w:cs="Times New Roman"/>
          <w:bCs/>
          <w:color w:val="000000" w:themeColor="text1"/>
          <w:highlight w:val="none"/>
          <w:lang w:eastAsia="zh-CN"/>
          <w14:textFill>
            <w14:solidFill>
              <w14:schemeClr w14:val="tx1"/>
            </w14:solidFill>
          </w14:textFill>
        </w:rPr>
        <w:t>气田水</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类比区块普光气田多个已建天然气井日产气田水情况，预估本项目单井气田水</w:t>
      </w:r>
      <w:r>
        <w:rPr>
          <w:rFonts w:hint="eastAsia" w:cs="Times New Roman"/>
          <w:bCs/>
          <w:color w:val="000000" w:themeColor="text1"/>
          <w:highlight w:val="none"/>
          <w:lang w:val="en-US" w:eastAsia="zh-CN"/>
          <w14:textFill>
            <w14:solidFill>
              <w14:schemeClr w14:val="tx1"/>
            </w14:solidFill>
          </w14:textFill>
        </w:rPr>
        <w:t>正常</w:t>
      </w:r>
      <w:r>
        <w:rPr>
          <w:rFonts w:cs="Times New Roman"/>
          <w:bCs/>
          <w:color w:val="000000" w:themeColor="text1"/>
          <w:highlight w:val="none"/>
          <w14:textFill>
            <w14:solidFill>
              <w14:schemeClr w14:val="tx1"/>
            </w14:solidFill>
          </w14:textFill>
        </w:rPr>
        <w:t>产生量约为</w:t>
      </w:r>
      <w:r>
        <w:rPr>
          <w:rFonts w:hint="eastAsia" w:cs="Times New Roman"/>
          <w:bCs/>
          <w:color w:val="000000" w:themeColor="text1"/>
          <w:highlight w:val="none"/>
          <w:lang w:val="en-US" w:eastAsia="zh-CN"/>
          <w14:textFill>
            <w14:solidFill>
              <w14:schemeClr w14:val="tx1"/>
            </w14:solidFill>
          </w14:textFill>
        </w:rPr>
        <w:t>25</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本项目共计50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初期储层改造期间未返排完全压裂返排液会和气田水一起返排，返排量最大可达约200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约30天</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本项目试采期为2年，本项目两口井试采期采出气田水总量约47000m</w:t>
      </w:r>
      <w:r>
        <w:rPr>
          <w:rFonts w:cs="Times New Roman"/>
          <w:bCs/>
          <w:color w:val="000000" w:themeColor="text1"/>
          <w:highlight w:val="none"/>
          <w:vertAlign w:val="superscript"/>
          <w14:textFill>
            <w14:solidFill>
              <w14:schemeClr w14:val="tx1"/>
            </w14:solidFill>
          </w14:textFill>
        </w:rPr>
        <w:t>3</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分离气田水</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含初期返排的压裂返排液</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进入</w:t>
      </w:r>
      <w:r>
        <w:rPr>
          <w:rFonts w:hint="eastAsia" w:cs="Times New Roman"/>
          <w:bCs/>
          <w:color w:val="000000" w:themeColor="text1"/>
          <w:highlight w:val="none"/>
          <w:lang w:val="en-US" w:eastAsia="zh-CN"/>
          <w14:textFill>
            <w14:solidFill>
              <w14:schemeClr w14:val="tx1"/>
            </w14:solidFill>
          </w14:textFill>
        </w:rPr>
        <w:t>试采井站新建的50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hint="eastAsia" w:cs="Times New Roman"/>
          <w:bCs/>
          <w:color w:val="000000" w:themeColor="text1"/>
          <w:highlight w:val="none"/>
          <w:vertAlign w:val="baseline"/>
          <w:lang w:eastAsia="zh-CN"/>
          <w14:textFill>
            <w14:solidFill>
              <w14:schemeClr w14:val="tx1"/>
            </w14:solidFill>
          </w14:textFill>
        </w:rPr>
        <w:t>的</w:t>
      </w:r>
      <w:r>
        <w:rPr>
          <w:rFonts w:hint="eastAsia" w:cs="Times New Roman"/>
          <w:bCs/>
          <w:color w:val="000000" w:themeColor="text1"/>
          <w:highlight w:val="none"/>
          <w:lang w:val="en-US" w:eastAsia="zh-CN"/>
          <w14:textFill>
            <w14:solidFill>
              <w14:schemeClr w14:val="tx1"/>
            </w14:solidFill>
          </w14:textFill>
        </w:rPr>
        <w:t>采出水罐</w:t>
      </w:r>
      <w:r>
        <w:rPr>
          <w:rFonts w:cs="Times New Roman"/>
          <w:bCs/>
          <w:color w:val="000000" w:themeColor="text1"/>
          <w:highlight w:val="none"/>
          <w14:textFill>
            <w14:solidFill>
              <w14:schemeClr w14:val="tx1"/>
            </w14:solidFill>
          </w14:textFill>
        </w:rPr>
        <w:t>暂存，暂存一定量后</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eastAsia="zh-CN"/>
          <w14:textFill>
            <w14:solidFill>
              <w14:schemeClr w14:val="tx1"/>
            </w14:solidFill>
          </w14:textFill>
        </w:rPr>
        <w:t>雷页1试采站</w:t>
      </w:r>
      <w:r>
        <w:rPr>
          <w:rFonts w:hint="eastAsia"/>
          <w:color w:val="000000" w:themeColor="text1"/>
          <w:sz w:val="24"/>
          <w:highlight w:val="none"/>
          <w:lang w:val="en-US" w:eastAsia="zh-CN"/>
          <w14:textFill>
            <w14:solidFill>
              <w14:schemeClr w14:val="tx1"/>
            </w14:solidFill>
          </w14:textFill>
        </w:rPr>
        <w:t>缓冲罐暂存，再通过</w:t>
      </w:r>
      <w:r>
        <w:rPr>
          <w:rFonts w:cs="Times New Roman"/>
          <w:bCs/>
          <w:color w:val="000000" w:themeColor="text1"/>
          <w:highlight w:val="none"/>
          <w14:textFill>
            <w14:solidFill>
              <w14:schemeClr w14:val="tx1"/>
            </w14:solidFill>
          </w14:textFill>
        </w:rPr>
        <w:t>密闭罐车拉运至</w:t>
      </w:r>
      <w:r>
        <w:rPr>
          <w:rFonts w:hint="eastAsia" w:cs="Times New Roman"/>
          <w:bCs/>
          <w:color w:val="000000" w:themeColor="text1"/>
          <w:highlight w:val="none"/>
          <w:lang w:eastAsia="zh-CN"/>
          <w14:textFill>
            <w14:solidFill>
              <w14:schemeClr w14:val="tx1"/>
            </w14:solidFill>
          </w14:textFill>
        </w:rPr>
        <w:t>赵家坝污水处理站</w:t>
      </w:r>
      <w:r>
        <w:rPr>
          <w:rFonts w:cs="Times New Roman"/>
          <w:bCs/>
          <w:color w:val="000000" w:themeColor="text1"/>
          <w:highlight w:val="none"/>
          <w14:textFill>
            <w14:solidFill>
              <w14:schemeClr w14:val="tx1"/>
            </w14:solidFill>
          </w14:textFill>
        </w:rPr>
        <w:t>处理达到《气田水回注方法》（SY/T6596-2016）中注入水基本要求后管输至</w:t>
      </w:r>
      <w:r>
        <w:rPr>
          <w:rFonts w:hint="eastAsia" w:cs="Times New Roman"/>
          <w:bCs/>
          <w:color w:val="000000" w:themeColor="text1"/>
          <w:highlight w:val="none"/>
          <w:lang w:eastAsia="zh-CN"/>
          <w14:textFill>
            <w14:solidFill>
              <w14:schemeClr w14:val="tx1"/>
            </w14:solidFill>
          </w14:textFill>
        </w:rPr>
        <w:t>普光3井回注站</w:t>
      </w:r>
      <w:r>
        <w:rPr>
          <w:rFonts w:cs="Times New Roman"/>
          <w:bCs/>
          <w:color w:val="000000" w:themeColor="text1"/>
          <w:highlight w:val="none"/>
          <w14:textFill>
            <w14:solidFill>
              <w14:schemeClr w14:val="tx1"/>
            </w14:solidFill>
          </w14:textFill>
        </w:rPr>
        <w:t>回注处理，不外排。</w:t>
      </w:r>
    </w:p>
    <w:p>
      <w:pPr>
        <w:ind w:firstLine="480"/>
        <w:rPr>
          <w:rFonts w:cs="Times New Roman"/>
          <w:b/>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气田水水质情况参照2021年12月31日D403集气站外输污水管道监测数据，详见</w:t>
      </w:r>
      <w:r>
        <w:rPr>
          <w:rFonts w:cs="Times New Roman"/>
          <w:bCs/>
          <w:color w:val="000000" w:themeColor="text1"/>
          <w:highlight w:val="none"/>
          <w14:textFill>
            <w14:solidFill>
              <w14:schemeClr w14:val="tx1"/>
            </w14:solidFill>
          </w14:textFill>
        </w:rPr>
        <w:fldChar w:fldCharType="begin"/>
      </w:r>
      <w:r>
        <w:rPr>
          <w:rFonts w:cs="Times New Roman"/>
          <w:bCs/>
          <w:color w:val="000000" w:themeColor="text1"/>
          <w:highlight w:val="none"/>
          <w14:textFill>
            <w14:solidFill>
              <w14:schemeClr w14:val="tx1"/>
            </w14:solidFill>
          </w14:textFill>
        </w:rPr>
        <w:instrText xml:space="preserve"> REF _Ref142593553 \h  \* MERGEFORMAT </w:instrText>
      </w:r>
      <w:r>
        <w:rPr>
          <w:rFonts w:cs="Times New Roman"/>
          <w:bCs/>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12</w:t>
      </w:r>
      <w:r>
        <w:rPr>
          <w:rFonts w:cs="Times New Roman"/>
          <w:bCs/>
          <w:color w:val="000000" w:themeColor="text1"/>
          <w:highlight w:val="none"/>
          <w14:textFill>
            <w14:solidFill>
              <w14:schemeClr w14:val="tx1"/>
            </w14:solidFill>
          </w14:textFill>
        </w:rPr>
        <w:fldChar w:fldCharType="end"/>
      </w:r>
      <w:r>
        <w:rPr>
          <w:rFonts w:cs="Times New Roman"/>
          <w:bCs/>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186" w:name="_Ref14259355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bookmarkEnd w:id="186"/>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气田水</w:t>
      </w:r>
      <w:r>
        <w:rPr>
          <w:rFonts w:hint="eastAsia"/>
          <w:color w:val="000000" w:themeColor="text1"/>
          <w:highlight w:val="none"/>
          <w14:textFill>
            <w14:solidFill>
              <w14:schemeClr w14:val="tx1"/>
            </w14:solidFill>
          </w14:textFill>
        </w:rPr>
        <w:t>水质一览表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3"/>
        <w:gridCol w:w="913"/>
        <w:gridCol w:w="913"/>
        <w:gridCol w:w="913"/>
        <w:gridCol w:w="913"/>
        <w:gridCol w:w="913"/>
        <w:gridCol w:w="913"/>
        <w:gridCol w:w="741"/>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pH值</w:t>
            </w:r>
          </w:p>
        </w:tc>
        <w:tc>
          <w:tcPr>
            <w:tcW w:w="91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溶解氧</w:t>
            </w:r>
          </w:p>
        </w:tc>
        <w:tc>
          <w:tcPr>
            <w:tcW w:w="91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硫化物</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含油量</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悬浮固体含量</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二价铁含量</w:t>
            </w:r>
          </w:p>
        </w:tc>
        <w:tc>
          <w:tcPr>
            <w:tcW w:w="74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总铁含量</w:t>
            </w:r>
          </w:p>
        </w:tc>
        <w:tc>
          <w:tcPr>
            <w:tcW w:w="108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悬浮物颗粒直径中值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浓度</w:t>
            </w:r>
          </w:p>
        </w:tc>
        <w:tc>
          <w:tcPr>
            <w:tcW w:w="913" w:type="dxa"/>
            <w:shd w:val="clear" w:color="auto" w:fill="FFFFFF"/>
            <w:tcMar>
              <w:top w:w="15" w:type="dxa"/>
              <w:left w:w="15" w:type="dxa"/>
              <w:bottom w:w="0" w:type="dxa"/>
              <w:right w:w="15"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7.0</w:t>
            </w:r>
          </w:p>
        </w:tc>
        <w:tc>
          <w:tcPr>
            <w:tcW w:w="91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0.20</w:t>
            </w:r>
          </w:p>
        </w:tc>
        <w:tc>
          <w:tcPr>
            <w:tcW w:w="91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2.3</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913" w:type="dxa"/>
            <w:shd w:val="clear" w:color="auto" w:fill="FFFFFF"/>
            <w:tcMar>
              <w:top w:w="15" w:type="dxa"/>
              <w:left w:w="46" w:type="dxa"/>
              <w:bottom w:w="0" w:type="dxa"/>
              <w:right w:w="46"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741"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108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w:t>
            </w:r>
          </w:p>
        </w:tc>
      </w:tr>
    </w:tbl>
    <w:p>
      <w:pPr>
        <w:autoSpaceDE w:val="0"/>
        <w:autoSpaceDN w:val="0"/>
        <w:spacing w:before="120" w:beforeLines="50"/>
        <w:ind w:firstLine="480"/>
        <w:textAlignment w:val="baseline"/>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2）非正常工况井下作业废水</w:t>
      </w:r>
    </w:p>
    <w:p>
      <w:pPr>
        <w:autoSpaceDE w:val="0"/>
        <w:autoSpaceDN w:val="0"/>
        <w:ind w:firstLine="480"/>
        <w:textAlignment w:val="baseline"/>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正常试采期，当地层堵塞时，为提高地层渗透率，需进行压裂酸化等作业，属于试采期非正常工况。根据类比调查，作业频次为1次/a，单井排放量为50m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/a，</w:t>
      </w:r>
      <w:r>
        <w:rPr>
          <w:rFonts w:hint="eastAsia" w:cs="Times New Roman"/>
          <w:bCs/>
          <w:color w:val="000000" w:themeColor="text1"/>
          <w:highlight w:val="none"/>
          <w:lang w:val="en-US" w:eastAsia="zh-CN"/>
          <w14:textFill>
            <w14:solidFill>
              <w14:schemeClr w14:val="tx1"/>
            </w14:solidFill>
          </w14:textFill>
        </w:rPr>
        <w:t>本项目共计100m</w:t>
      </w:r>
      <w:r>
        <w:rPr>
          <w:rFonts w:hint="eastAsia" w:cs="Times New Roman"/>
          <w:bCs/>
          <w:color w:val="000000" w:themeColor="text1"/>
          <w:highlight w:val="none"/>
          <w:vertAlign w:val="superscript"/>
          <w:lang w:val="en-US" w:eastAsia="zh-CN"/>
          <w14:textFill>
            <w14:solidFill>
              <w14:schemeClr w14:val="tx1"/>
            </w14:solidFill>
          </w14:textFill>
        </w:rPr>
        <w:t>3</w:t>
      </w:r>
      <w:r>
        <w:rPr>
          <w:rFonts w:hint="eastAsia" w:cs="Times New Roman"/>
          <w:bCs/>
          <w:color w:val="000000" w:themeColor="text1"/>
          <w:highlight w:val="none"/>
          <w:lang w:val="en-US" w:eastAsia="zh-CN"/>
          <w14:textFill>
            <w14:solidFill>
              <w14:schemeClr w14:val="tx1"/>
            </w14:solidFill>
          </w14:textFill>
        </w:rPr>
        <w:t>/a，废水在采出水罐</w:t>
      </w:r>
      <w:r>
        <w:rPr>
          <w:rFonts w:cs="Times New Roman"/>
          <w:bCs/>
          <w:color w:val="000000" w:themeColor="text1"/>
          <w:highlight w:val="none"/>
          <w14:textFill>
            <w14:solidFill>
              <w14:schemeClr w14:val="tx1"/>
            </w14:solidFill>
          </w14:textFill>
        </w:rPr>
        <w:t>暂存，</w:t>
      </w:r>
      <w:r>
        <w:rPr>
          <w:rFonts w:hint="eastAsia" w:cs="Times New Roman"/>
          <w:bCs/>
          <w:color w:val="000000" w:themeColor="text1"/>
          <w:highlight w:val="none"/>
          <w:lang w:val="en-US" w:eastAsia="zh-CN"/>
          <w14:textFill>
            <w14:solidFill>
              <w14:schemeClr w14:val="tx1"/>
            </w14:solidFill>
          </w14:textFill>
        </w:rPr>
        <w:t>及时</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eastAsia="zh-CN"/>
          <w14:textFill>
            <w14:solidFill>
              <w14:schemeClr w14:val="tx1"/>
            </w14:solidFill>
          </w14:textFill>
        </w:rPr>
        <w:t>雷页1试采站</w:t>
      </w:r>
      <w:r>
        <w:rPr>
          <w:rFonts w:hint="eastAsia"/>
          <w:color w:val="000000" w:themeColor="text1"/>
          <w:sz w:val="24"/>
          <w:highlight w:val="none"/>
          <w:lang w:val="en-US" w:eastAsia="zh-CN"/>
          <w14:textFill>
            <w14:solidFill>
              <w14:schemeClr w14:val="tx1"/>
            </w14:solidFill>
          </w14:textFill>
        </w:rPr>
        <w:t>缓冲罐暂存后</w:t>
      </w:r>
      <w:r>
        <w:rPr>
          <w:rFonts w:cs="Times New Roman"/>
          <w:bCs/>
          <w:color w:val="000000" w:themeColor="text1"/>
          <w:highlight w:val="none"/>
          <w14:textFill>
            <w14:solidFill>
              <w14:schemeClr w14:val="tx1"/>
            </w14:solidFill>
          </w14:textFill>
        </w:rPr>
        <w:t>用密闭罐车拉运至</w:t>
      </w:r>
      <w:r>
        <w:rPr>
          <w:rFonts w:hint="eastAsia" w:cs="Times New Roman"/>
          <w:bCs/>
          <w:color w:val="000000" w:themeColor="text1"/>
          <w:highlight w:val="none"/>
          <w:lang w:eastAsia="zh-CN"/>
          <w14:textFill>
            <w14:solidFill>
              <w14:schemeClr w14:val="tx1"/>
            </w14:solidFill>
          </w14:textFill>
        </w:rPr>
        <w:t>赵家坝污水处理站</w:t>
      </w:r>
      <w:r>
        <w:rPr>
          <w:rFonts w:cs="Times New Roman"/>
          <w:bCs/>
          <w:color w:val="000000" w:themeColor="text1"/>
          <w:highlight w:val="none"/>
          <w14:textFill>
            <w14:solidFill>
              <w14:schemeClr w14:val="tx1"/>
            </w14:solidFill>
          </w14:textFill>
        </w:rPr>
        <w:t>处理达标后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bCs/>
          <w:color w:val="000000" w:themeColor="text1"/>
          <w:highlight w:val="none"/>
          <w14:textFill>
            <w14:solidFill>
              <w14:schemeClr w14:val="tx1"/>
            </w14:solidFill>
          </w14:textFill>
        </w:rPr>
        <w:t>经</w:t>
      </w:r>
      <w:r>
        <w:rPr>
          <w:rFonts w:hint="eastAsia" w:cs="Times New Roman"/>
          <w:bCs/>
          <w:color w:val="000000" w:themeColor="text1"/>
          <w:highlight w:val="none"/>
          <w:lang w:eastAsia="zh-CN"/>
          <w14:textFill>
            <w14:solidFill>
              <w14:schemeClr w14:val="tx1"/>
            </w14:solidFill>
          </w14:textFill>
        </w:rPr>
        <w:t>普光3井回注站回注，不外排。</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试采站噪声主要来自水套加热炉、分离器等设备的气流摩擦噪声，气流摩擦噪声大小与天然气产量及气质组分有关。通过大量钻井项目的试采期气流噪声源类比调查结果，预计本项目试采期单井噪声级约60dB（A）。为有效控制噪声，首先在平面布置时进行合理布局，控制气流速度，减少站场工艺管线的弯头、三通等管件，降低试采站内噪声；其次，选用高效低噪声的水套加热炉、分离器和调压设备。通过采取这些噪声控制措施后，单井噪声源的声级值约55dB（A）以下。</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事故状况下，安全放空阀、放空管的放空噪声可达80dB左右，持续时间在2</w:t>
      </w:r>
      <w:r>
        <w:rPr>
          <w:rFonts w:hint="eastAsia"/>
          <w:bCs/>
          <w:color w:val="000000" w:themeColor="text1"/>
          <w:sz w:val="24"/>
          <w:highlight w:val="none"/>
          <w:lang w:eastAsia="zh-CN"/>
          <w14:textFill>
            <w14:solidFill>
              <w14:schemeClr w14:val="tx1"/>
            </w14:solidFill>
          </w14:textFill>
        </w:rPr>
        <w:t>～</w:t>
      </w:r>
      <w:r>
        <w:rPr>
          <w:rFonts w:ascii="Times New Roman" w:hAnsi="Times New Roman"/>
          <w:bCs/>
          <w:color w:val="000000" w:themeColor="text1"/>
          <w:sz w:val="24"/>
          <w:highlight w:val="none"/>
          <w:lang w:eastAsia="zh-CN"/>
          <w14:textFill>
            <w14:solidFill>
              <w14:schemeClr w14:val="tx1"/>
            </w14:solidFill>
          </w14:textFill>
        </w:rPr>
        <w:t>5min。</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bookmarkStart w:id="187" w:name="_Hlk139554817"/>
      <w:r>
        <w:rPr>
          <w:rFonts w:ascii="Times New Roman" w:hAnsi="Times New Roman"/>
          <w:bCs/>
          <w:color w:val="000000" w:themeColor="text1"/>
          <w:sz w:val="24"/>
          <w:highlight w:val="none"/>
          <w:lang w:eastAsia="zh-CN"/>
          <w14:textFill>
            <w14:solidFill>
              <w14:schemeClr w14:val="tx1"/>
            </w14:solidFill>
          </w14:textFill>
        </w:rPr>
        <w:t>本项目试采期无人值守，无生活垃圾产生。</w:t>
      </w:r>
    </w:p>
    <w:p>
      <w:pPr>
        <w:adjustRightInd w:val="0"/>
        <w:snapToGrid w:val="0"/>
        <w:spacing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本项目外输管线较短，不设置清管装置，无清管废渣产生。</w:t>
      </w:r>
    </w:p>
    <w:p>
      <w:pPr>
        <w:adjustRightInd w:val="0"/>
        <w:snapToGrid w:val="0"/>
        <w:spacing w:line="360" w:lineRule="auto"/>
        <w:ind w:firstLine="480" w:firstLineChars="200"/>
        <w:jc w:val="both"/>
        <w:rPr>
          <w:rFonts w:hint="eastAsia" w:ascii="Times New Roman" w:hAnsi="Times New Roman" w:eastAsia="宋体"/>
          <w:bCs/>
          <w:color w:val="000000" w:themeColor="text1"/>
          <w:sz w:val="24"/>
          <w:lang w:eastAsia="zh-CN"/>
          <w14:textFill>
            <w14:solidFill>
              <w14:schemeClr w14:val="tx1"/>
            </w14:solidFill>
          </w14:textFill>
        </w:rPr>
      </w:pPr>
      <w:r>
        <w:rPr>
          <w:rFonts w:hint="eastAsia"/>
          <w:color w:val="000000" w:themeColor="text1"/>
          <w:lang w:val="en-US" w:eastAsia="zh-CN"/>
          <w14:textFill>
            <w14:solidFill>
              <w14:schemeClr w14:val="tx1"/>
            </w14:solidFill>
          </w14:textFill>
        </w:rPr>
        <w:t>泵</w:t>
      </w:r>
      <w:r>
        <w:rPr>
          <w:rFonts w:hint="eastAsia"/>
          <w:color w:val="000000" w:themeColor="text1"/>
          <w14:textFill>
            <w14:solidFill>
              <w14:schemeClr w14:val="tx1"/>
            </w14:solidFill>
          </w14:textFill>
        </w:rPr>
        <w:t>项目采用三甘醇脱水工艺，三甘醇富液在经过活性炭过滤后会产生废活性炭。根据区域已运行的同规模脱水站实际数据类比分析，本项目单个脱水站废活性炭产生量约1t/a。废活性炭属于危险废物，危险废物类别为HW49，危险废物代码为900-039-49。废活性炭暂存于危险废物暂存间，定期交由资质单位处置</w:t>
      </w:r>
      <w:r>
        <w:rPr>
          <w:rFonts w:hint="eastAsia"/>
          <w:color w:val="000000" w:themeColor="text1"/>
          <w:lang w:eastAsia="zh-CN"/>
          <w14:textFill>
            <w14:solidFill>
              <w14:schemeClr w14:val="tx1"/>
            </w14:solidFill>
          </w14:textFill>
        </w:rPr>
        <w:t>。</w:t>
      </w:r>
    </w:p>
    <w:p>
      <w:pPr>
        <w:adjustRightInd w:val="0"/>
        <w:snapToGrid w:val="0"/>
        <w:spacing w:line="360" w:lineRule="auto"/>
        <w:ind w:firstLine="480" w:firstLineChars="200"/>
        <w:jc w:val="both"/>
        <w:rPr>
          <w:rFonts w:hint="eastAsia" w:cs="Times New Roman"/>
          <w:color w:val="000000" w:themeColor="text1"/>
          <w:szCs w:val="24"/>
          <w:highlight w:val="none"/>
          <w:lang w:eastAsia="zh-CN"/>
          <w14:textFill>
            <w14:solidFill>
              <w14:schemeClr w14:val="tx1"/>
            </w14:solidFill>
          </w14:textFill>
        </w:rPr>
      </w:pPr>
      <w:r>
        <w:rPr>
          <w:rFonts w:hint="eastAsia" w:ascii="Times New Roman" w:hAnsi="Times New Roman"/>
          <w:bCs/>
          <w:color w:val="000000" w:themeColor="text1"/>
          <w:sz w:val="24"/>
          <w:lang w:eastAsia="zh-CN"/>
          <w14:textFill>
            <w14:solidFill>
              <w14:schemeClr w14:val="tx1"/>
            </w14:solidFill>
          </w14:textFill>
        </w:rPr>
        <w:t>本项目为常规不含硫天然气开采，</w:t>
      </w:r>
      <w:r>
        <w:rPr>
          <w:rFonts w:hint="eastAsia" w:cs="Times New Roman"/>
          <w:color w:val="000000" w:themeColor="text1"/>
          <w:highlight w:val="none"/>
          <w:lang w:val="en-US" w:eastAsia="zh-CN"/>
          <w14:textFill>
            <w14:solidFill>
              <w14:schemeClr w14:val="tx1"/>
            </w14:solidFill>
          </w14:textFill>
        </w:rPr>
        <w:t>除砂器撬产生的少量砂土杂质，定期</w:t>
      </w:r>
      <w:r>
        <w:rPr>
          <w:rFonts w:cs="Times New Roman"/>
          <w:color w:val="000000" w:themeColor="text1"/>
          <w:szCs w:val="24"/>
          <w:highlight w:val="none"/>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000000" w:themeColor="text1"/>
          <w:szCs w:val="24"/>
          <w:highlight w:val="none"/>
          <w:lang w:eastAsia="zh-CN"/>
          <w14:textFill>
            <w14:solidFill>
              <w14:schemeClr w14:val="tx1"/>
            </w14:solidFill>
          </w14:textFill>
        </w:rPr>
        <w:t>。</w:t>
      </w:r>
    </w:p>
    <w:bookmarkEnd w:id="187"/>
    <w:p>
      <w:pPr>
        <w:pStyle w:val="5"/>
        <w:keepNext/>
        <w:keepLines/>
        <w:pageBreakBefore w:val="0"/>
        <w:widowControl w:val="0"/>
        <w:kinsoku/>
        <w:wordWrap/>
        <w:overflowPunct/>
        <w:topLinePunct w:val="0"/>
        <w:autoSpaceDE/>
        <w:autoSpaceDN/>
        <w:bidi w:val="0"/>
        <w:adjustRightInd w:val="0"/>
        <w:snapToGrid w:val="0"/>
        <w:spacing w:before="164" w:beforeLines="5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本项目试采期不涉及新增占地（</w:t>
      </w:r>
      <w:r>
        <w:rPr>
          <w:rFonts w:hint="eastAsia" w:cs="Times New Roman"/>
          <w:bCs/>
          <w:color w:val="000000" w:themeColor="text1"/>
          <w:highlight w:val="none"/>
          <w:lang w:eastAsia="zh-CN"/>
          <w14:textFill>
            <w14:solidFill>
              <w14:schemeClr w14:val="tx1"/>
            </w14:solidFill>
          </w14:textFill>
        </w:rPr>
        <w:t>试采期</w:t>
      </w:r>
      <w:r>
        <w:rPr>
          <w:rFonts w:cs="Times New Roman"/>
          <w:bCs/>
          <w:color w:val="000000" w:themeColor="text1"/>
          <w:highlight w:val="none"/>
          <w14:textFill>
            <w14:solidFill>
              <w14:schemeClr w14:val="tx1"/>
            </w14:solidFill>
          </w14:textFill>
        </w:rPr>
        <w:t>仅增加该部分用地占地时长）。</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w:t>
      </w:r>
      <w:r>
        <w:rPr>
          <w:rFonts w:hint="eastAsia"/>
          <w:color w:val="000000" w:themeColor="text1"/>
          <w:highlight w:val="none"/>
          <w14:textFill>
            <w14:solidFill>
              <w14:schemeClr w14:val="tx1"/>
            </w14:solidFill>
          </w14:textFill>
        </w:rPr>
        <w:t>及地下水</w:t>
      </w:r>
      <w:r>
        <w:rPr>
          <w:color w:val="000000" w:themeColor="text1"/>
          <w:highlight w:val="none"/>
          <w14:textFill>
            <w14:solidFill>
              <w14:schemeClr w14:val="tx1"/>
            </w14:solidFill>
          </w14:textFill>
        </w:rPr>
        <w:t>环境</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试采期若</w:t>
      </w:r>
      <w:r>
        <w:rPr>
          <w:rFonts w:hint="eastAsia" w:cs="Times New Roman"/>
          <w:bCs/>
          <w:color w:val="000000" w:themeColor="text1"/>
          <w:highlight w:val="none"/>
          <w:lang w:eastAsia="zh-CN"/>
          <w14:textFill>
            <w14:solidFill>
              <w14:schemeClr w14:val="tx1"/>
            </w14:solidFill>
          </w14:textFill>
        </w:rPr>
        <w:t>废水</w:t>
      </w:r>
      <w:r>
        <w:rPr>
          <w:rFonts w:cs="Times New Roman"/>
          <w:bCs/>
          <w:color w:val="000000" w:themeColor="text1"/>
          <w:highlight w:val="none"/>
          <w14:textFill>
            <w14:solidFill>
              <w14:schemeClr w14:val="tx1"/>
            </w14:solidFill>
          </w14:textFill>
        </w:rPr>
        <w:t>未妥善处置转运，</w:t>
      </w:r>
      <w:r>
        <w:rPr>
          <w:rFonts w:hint="eastAsia" w:cs="Times New Roman"/>
          <w:bCs/>
          <w:color w:val="000000" w:themeColor="text1"/>
          <w:highlight w:val="none"/>
          <w:lang w:val="en-US" w:eastAsia="zh-CN"/>
          <w14:textFill>
            <w14:solidFill>
              <w14:schemeClr w14:val="tx1"/>
            </w14:solidFill>
          </w14:textFill>
        </w:rPr>
        <w:t>储存或转时</w:t>
      </w:r>
      <w:r>
        <w:rPr>
          <w:rFonts w:cs="Times New Roman"/>
          <w:bCs/>
          <w:color w:val="000000" w:themeColor="text1"/>
          <w:highlight w:val="none"/>
          <w14:textFill>
            <w14:solidFill>
              <w14:schemeClr w14:val="tx1"/>
            </w14:solidFill>
          </w14:textFill>
        </w:rPr>
        <w:t>发生泄漏后可能会对区域土壤</w:t>
      </w:r>
      <w:r>
        <w:rPr>
          <w:rFonts w:hint="eastAsia" w:cs="Times New Roman"/>
          <w:bCs/>
          <w:color w:val="000000" w:themeColor="text1"/>
          <w:highlight w:val="none"/>
          <w14:textFill>
            <w14:solidFill>
              <w14:schemeClr w14:val="tx1"/>
            </w14:solidFill>
          </w14:textFill>
        </w:rPr>
        <w:t>及地下水</w:t>
      </w:r>
      <w:r>
        <w:rPr>
          <w:rFonts w:cs="Times New Roman"/>
          <w:bCs/>
          <w:color w:val="000000" w:themeColor="text1"/>
          <w:highlight w:val="none"/>
          <w14:textFill>
            <w14:solidFill>
              <w14:schemeClr w14:val="tx1"/>
            </w14:solidFill>
          </w14:textFill>
        </w:rPr>
        <w:t>环境造成污染影响。试采期放空火炬排放的废气与水套加热炉燃烧烟气</w:t>
      </w:r>
      <w:r>
        <w:rPr>
          <w:rFonts w:hint="eastAsia" w:cs="Times New Roman"/>
          <w:bCs/>
          <w:color w:val="000000" w:themeColor="text1"/>
          <w:highlight w:val="none"/>
          <w:lang w:val="en-US" w:eastAsia="zh-CN"/>
          <w14:textFill>
            <w14:solidFill>
              <w14:schemeClr w14:val="tx1"/>
            </w14:solidFill>
          </w14:textFill>
        </w:rPr>
        <w:t>中污染物浓度低，</w:t>
      </w:r>
      <w:r>
        <w:rPr>
          <w:rFonts w:cs="Times New Roman"/>
          <w:bCs/>
          <w:color w:val="000000" w:themeColor="text1"/>
          <w:highlight w:val="none"/>
          <w14:textFill>
            <w14:solidFill>
              <w14:schemeClr w14:val="tx1"/>
            </w14:solidFill>
          </w14:textFill>
        </w:rPr>
        <w:t>沉降后对周边土壤环境影响</w:t>
      </w:r>
      <w:r>
        <w:rPr>
          <w:rFonts w:hint="eastAsia" w:cs="Times New Roman"/>
          <w:bCs/>
          <w:color w:val="000000" w:themeColor="text1"/>
          <w:highlight w:val="none"/>
          <w:lang w:val="en-US" w:eastAsia="zh-CN"/>
          <w14:textFill>
            <w14:solidFill>
              <w14:schemeClr w14:val="tx1"/>
            </w14:solidFill>
          </w14:textFill>
        </w:rPr>
        <w:t>小</w:t>
      </w:r>
      <w:r>
        <w:rPr>
          <w:rFonts w:cs="Times New Roman"/>
          <w:bCs/>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本项目试采期环境风险主要表现为站内采气管线或设备发生破裂造成天然气泄漏事故以及</w:t>
      </w:r>
      <w:r>
        <w:rPr>
          <w:rFonts w:hint="eastAsia" w:cs="Times New Roman"/>
          <w:bCs/>
          <w:color w:val="000000" w:themeColor="text1"/>
          <w:szCs w:val="24"/>
          <w:highlight w:val="none"/>
          <w14:textFill>
            <w14:solidFill>
              <w14:schemeClr w14:val="tx1"/>
            </w14:solidFill>
          </w14:textFill>
        </w:rPr>
        <w:t>泄漏</w:t>
      </w:r>
      <w:r>
        <w:rPr>
          <w:rFonts w:cs="Times New Roman"/>
          <w:bCs/>
          <w:color w:val="000000" w:themeColor="text1"/>
          <w:szCs w:val="24"/>
          <w:highlight w:val="none"/>
          <w14:textFill>
            <w14:solidFill>
              <w14:schemeClr w14:val="tx1"/>
            </w14:solidFill>
          </w14:textFill>
        </w:rPr>
        <w:t>气体遇明火引起火灾或爆炸对附近人群生命财产造成伤害与损失，集气站事故时的天然气放空，对附近人群生命财产造成伤害与损失。</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szCs w:val="24"/>
          <w:highlight w:val="none"/>
          <w14:textFill>
            <w14:solidFill>
              <w14:schemeClr w14:val="tx1"/>
            </w14:solidFill>
          </w14:textFill>
        </w:rPr>
        <w:t>存储的</w:t>
      </w:r>
      <w:r>
        <w:rPr>
          <w:rFonts w:hint="eastAsia" w:cs="Times New Roman"/>
          <w:bCs/>
          <w:color w:val="000000" w:themeColor="text1"/>
          <w:szCs w:val="24"/>
          <w:highlight w:val="none"/>
          <w:lang w:eastAsia="zh-CN"/>
          <w14:textFill>
            <w14:solidFill>
              <w14:schemeClr w14:val="tx1"/>
            </w14:solidFill>
          </w14:textFill>
        </w:rPr>
        <w:t>气田水</w:t>
      </w:r>
      <w:r>
        <w:rPr>
          <w:rFonts w:cs="Times New Roman"/>
          <w:bCs/>
          <w:color w:val="000000" w:themeColor="text1"/>
          <w:szCs w:val="24"/>
          <w:highlight w:val="none"/>
          <w14:textFill>
            <w14:solidFill>
              <w14:schemeClr w14:val="tx1"/>
            </w14:solidFill>
          </w14:textFill>
        </w:rPr>
        <w:t>泄漏环境风险；污染物外运处理中的运输风险等。</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试采期</w:t>
      </w:r>
      <w:r>
        <w:rPr>
          <w:rFonts w:hint="eastAsia" w:ascii="黑体" w:hAnsi="黑体" w:eastAsia="黑体" w:cs="黑体"/>
          <w:color w:val="000000" w:themeColor="text1"/>
          <w:highlight w:val="none"/>
          <w14:textFill>
            <w14:solidFill>
              <w14:schemeClr w14:val="tx1"/>
            </w14:solidFill>
          </w14:textFill>
        </w:rPr>
        <w:t>“三废”</w:t>
      </w:r>
      <w:r>
        <w:rPr>
          <w:color w:val="000000" w:themeColor="text1"/>
          <w:highlight w:val="none"/>
          <w14:textFill>
            <w14:solidFill>
              <w14:schemeClr w14:val="tx1"/>
            </w14:solidFill>
          </w14:textFill>
        </w:rPr>
        <w:t>汇总表</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综上所述，本项目试采期污染物产生量及排放状况与生态影响见下表。</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本项目试采期正常工况下“三废”及生态影响汇总表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1559"/>
        <w:gridCol w:w="1134"/>
        <w:gridCol w:w="1121"/>
        <w:gridCol w:w="1333"/>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263"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污染源</w:t>
            </w:r>
          </w:p>
        </w:tc>
        <w:tc>
          <w:tcPr>
            <w:tcW w:w="113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主要污染物</w:t>
            </w:r>
          </w:p>
        </w:tc>
        <w:tc>
          <w:tcPr>
            <w:tcW w:w="112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产生量</w:t>
            </w:r>
          </w:p>
        </w:tc>
        <w:tc>
          <w:tcPr>
            <w:tcW w:w="133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排放量</w:t>
            </w:r>
          </w:p>
        </w:tc>
        <w:tc>
          <w:tcPr>
            <w:tcW w:w="237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04" w:type="dxa"/>
            <w:vMerge w:val="restart"/>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废气</w:t>
            </w:r>
          </w:p>
        </w:tc>
        <w:tc>
          <w:tcPr>
            <w:tcW w:w="1559"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加热炉燃烧产生的烟气</w:t>
            </w:r>
          </w:p>
        </w:tc>
        <w:tc>
          <w:tcPr>
            <w:tcW w:w="1134"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default" w:ascii="Times New Roman" w:hAnsi="Times New Roman"/>
                <w:bCs/>
                <w:color w:val="000000" w:themeColor="text1"/>
                <w:sz w:val="21"/>
                <w:szCs w:val="21"/>
                <w:highlight w:val="none"/>
                <w14:textFill>
                  <w14:solidFill>
                    <w14:schemeClr w14:val="tx1"/>
                  </w14:solidFill>
                </w14:textFill>
              </w:rPr>
              <w:t>烟气流量</w:t>
            </w:r>
          </w:p>
        </w:tc>
        <w:tc>
          <w:tcPr>
            <w:tcW w:w="1121"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default" w:ascii="Times New Roman" w:hAnsi="Times New Roman"/>
                <w:bCs/>
                <w:color w:val="000000" w:themeColor="text1"/>
                <w:sz w:val="21"/>
                <w:szCs w:val="21"/>
                <w:highlight w:val="none"/>
                <w14:textFill>
                  <w14:solidFill>
                    <w14:schemeClr w14:val="tx1"/>
                  </w14:solidFill>
                </w14:textFill>
              </w:rPr>
              <w:t>1</w:t>
            </w:r>
            <w:r>
              <w:rPr>
                <w:rFonts w:hint="eastAsia"/>
                <w:bCs/>
                <w:color w:val="000000" w:themeColor="text1"/>
                <w:sz w:val="21"/>
                <w:szCs w:val="21"/>
                <w:highlight w:val="none"/>
                <w:lang w:val="en-US" w:eastAsia="zh-CN"/>
                <w14:textFill>
                  <w14:solidFill>
                    <w14:schemeClr w14:val="tx1"/>
                  </w14:solidFill>
                </w14:textFill>
              </w:rPr>
              <w:t>077.53</w:t>
            </w:r>
            <w:r>
              <w:rPr>
                <w:rFonts w:hint="default" w:ascii="Times New Roman" w:hAnsi="Times New Roman"/>
                <w:bCs/>
                <w:color w:val="000000" w:themeColor="text1"/>
                <w:sz w:val="21"/>
                <w:szCs w:val="21"/>
                <w:highlight w:val="none"/>
                <w14:textFill>
                  <w14:solidFill>
                    <w14:schemeClr w14:val="tx1"/>
                  </w14:solidFill>
                </w14:textFill>
              </w:rPr>
              <w:t>万Nm</w:t>
            </w:r>
            <w:r>
              <w:rPr>
                <w:rFonts w:hint="default" w:ascii="Times New Roman" w:hAnsi="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bCs/>
                <w:color w:val="000000" w:themeColor="text1"/>
                <w:sz w:val="21"/>
                <w:szCs w:val="21"/>
                <w:highlight w:val="none"/>
                <w14:textFill>
                  <w14:solidFill>
                    <w14:schemeClr w14:val="tx1"/>
                  </w14:solidFill>
                </w14:textFill>
              </w:rPr>
              <w:t>/a</w:t>
            </w:r>
          </w:p>
        </w:tc>
        <w:tc>
          <w:tcPr>
            <w:tcW w:w="1333"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default" w:ascii="Times New Roman" w:hAnsi="Times New Roman"/>
                <w:bCs/>
                <w:color w:val="000000" w:themeColor="text1"/>
                <w:sz w:val="21"/>
                <w:szCs w:val="21"/>
                <w:highlight w:val="none"/>
                <w14:textFill>
                  <w14:solidFill>
                    <w14:schemeClr w14:val="tx1"/>
                  </w14:solidFill>
                </w14:textFill>
              </w:rPr>
              <w:t>1</w:t>
            </w:r>
            <w:r>
              <w:rPr>
                <w:rFonts w:hint="eastAsia"/>
                <w:bCs/>
                <w:color w:val="000000" w:themeColor="text1"/>
                <w:sz w:val="21"/>
                <w:szCs w:val="21"/>
                <w:highlight w:val="none"/>
                <w:lang w:val="en-US" w:eastAsia="zh-CN"/>
                <w14:textFill>
                  <w14:solidFill>
                    <w14:schemeClr w14:val="tx1"/>
                  </w14:solidFill>
                </w14:textFill>
              </w:rPr>
              <w:t>077.53</w:t>
            </w:r>
            <w:r>
              <w:rPr>
                <w:rFonts w:hint="default" w:ascii="Times New Roman" w:hAnsi="Times New Roman"/>
                <w:bCs/>
                <w:color w:val="000000" w:themeColor="text1"/>
                <w:sz w:val="21"/>
                <w:szCs w:val="21"/>
                <w:highlight w:val="none"/>
                <w14:textFill>
                  <w14:solidFill>
                    <w14:schemeClr w14:val="tx1"/>
                  </w14:solidFill>
                </w14:textFill>
              </w:rPr>
              <w:t>万Nm</w:t>
            </w:r>
            <w:r>
              <w:rPr>
                <w:rFonts w:hint="default" w:ascii="Times New Roman" w:hAnsi="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bCs/>
                <w:color w:val="000000" w:themeColor="text1"/>
                <w:sz w:val="21"/>
                <w:szCs w:val="21"/>
                <w:highlight w:val="none"/>
                <w14:textFill>
                  <w14:solidFill>
                    <w14:schemeClr w14:val="tx1"/>
                  </w14:solidFill>
                </w14:textFill>
              </w:rPr>
              <w:t>/a</w:t>
            </w:r>
          </w:p>
        </w:tc>
        <w:tc>
          <w:tcPr>
            <w:tcW w:w="2371" w:type="dxa"/>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水套加热炉燃烧废气通过自带8m高排气筒排放</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34"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NOx</w:t>
            </w:r>
          </w:p>
        </w:tc>
        <w:tc>
          <w:tcPr>
            <w:tcW w:w="1121"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0.</w:t>
            </w:r>
            <w:r>
              <w:rPr>
                <w:rFonts w:hint="eastAsia"/>
                <w:color w:val="000000" w:themeColor="text1"/>
                <w:szCs w:val="20"/>
                <w:highlight w:val="none"/>
                <w:lang w:val="en-US" w:eastAsia="zh-CN"/>
                <w14:textFill>
                  <w14:solidFill>
                    <w14:schemeClr w14:val="tx1"/>
                  </w14:solidFill>
                </w14:textFill>
              </w:rPr>
              <w:t>64</w:t>
            </w:r>
            <w:r>
              <w:rPr>
                <w:rFonts w:hint="default"/>
                <w:color w:val="000000" w:themeColor="text1"/>
                <w:szCs w:val="20"/>
                <w:highlight w:val="none"/>
                <w14:textFill>
                  <w14:solidFill>
                    <w14:schemeClr w14:val="tx1"/>
                  </w14:solidFill>
                </w14:textFill>
              </w:rPr>
              <w:t>t/a</w:t>
            </w:r>
          </w:p>
        </w:tc>
        <w:tc>
          <w:tcPr>
            <w:tcW w:w="1333"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0.</w:t>
            </w:r>
            <w:r>
              <w:rPr>
                <w:rFonts w:hint="eastAsia"/>
                <w:color w:val="000000" w:themeColor="text1"/>
                <w:szCs w:val="20"/>
                <w:highlight w:val="none"/>
                <w:lang w:val="en-US" w:eastAsia="zh-CN"/>
                <w14:textFill>
                  <w14:solidFill>
                    <w14:schemeClr w14:val="tx1"/>
                  </w14:solidFill>
                </w14:textFill>
              </w:rPr>
              <w:t>64</w:t>
            </w:r>
            <w:r>
              <w:rPr>
                <w:rFonts w:hint="default"/>
                <w:color w:val="000000" w:themeColor="text1"/>
                <w:szCs w:val="20"/>
                <w:highlight w:val="none"/>
                <w14:textFill>
                  <w14:solidFill>
                    <w14:schemeClr w14:val="tx1"/>
                  </w14:solidFill>
                </w14:textFill>
              </w:rPr>
              <w:t>t/a</w:t>
            </w:r>
          </w:p>
        </w:tc>
        <w:tc>
          <w:tcPr>
            <w:tcW w:w="2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bCs/>
                <w:color w:val="000000" w:themeColor="text1"/>
                <w:sz w:val="21"/>
                <w:szCs w:val="21"/>
                <w:highlight w:val="none"/>
                <w:lang w:eastAsia="zh-CN"/>
                <w14:textFill>
                  <w14:solidFill>
                    <w14:schemeClr w14:val="tx1"/>
                  </w14:solidFill>
                </w14:textFill>
              </w:rPr>
              <w:t>火炬及放空系统长明灯燃烧废气</w:t>
            </w:r>
          </w:p>
        </w:tc>
        <w:tc>
          <w:tcPr>
            <w:tcW w:w="1134"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default" w:ascii="Times New Roman" w:hAnsi="Times New Roman"/>
                <w:bCs/>
                <w:color w:val="000000" w:themeColor="text1"/>
                <w:sz w:val="21"/>
                <w:szCs w:val="21"/>
                <w:highlight w:val="none"/>
                <w14:textFill>
                  <w14:solidFill>
                    <w14:schemeClr w14:val="tx1"/>
                  </w14:solidFill>
                </w14:textFill>
              </w:rPr>
              <w:t>烟气流量</w:t>
            </w:r>
          </w:p>
        </w:tc>
        <w:tc>
          <w:tcPr>
            <w:tcW w:w="1121"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172.4</w:t>
            </w:r>
            <w:r>
              <w:rPr>
                <w:rFonts w:hint="default" w:ascii="Times New Roman" w:hAnsi="Times New Roman"/>
                <w:bCs/>
                <w:color w:val="000000" w:themeColor="text1"/>
                <w:sz w:val="21"/>
                <w:szCs w:val="21"/>
                <w:highlight w:val="none"/>
                <w14:textFill>
                  <w14:solidFill>
                    <w14:schemeClr w14:val="tx1"/>
                  </w14:solidFill>
                </w14:textFill>
              </w:rPr>
              <w:t>万Nm</w:t>
            </w:r>
            <w:r>
              <w:rPr>
                <w:rFonts w:hint="default" w:ascii="Times New Roman" w:hAnsi="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bCs/>
                <w:color w:val="000000" w:themeColor="text1"/>
                <w:sz w:val="21"/>
                <w:szCs w:val="21"/>
                <w:highlight w:val="none"/>
                <w14:textFill>
                  <w14:solidFill>
                    <w14:schemeClr w14:val="tx1"/>
                  </w14:solidFill>
                </w14:textFill>
              </w:rPr>
              <w:t>/a</w:t>
            </w:r>
          </w:p>
        </w:tc>
        <w:tc>
          <w:tcPr>
            <w:tcW w:w="1333"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172.4</w:t>
            </w:r>
            <w:r>
              <w:rPr>
                <w:rFonts w:hint="default" w:ascii="Times New Roman" w:hAnsi="Times New Roman"/>
                <w:bCs/>
                <w:color w:val="000000" w:themeColor="text1"/>
                <w:sz w:val="21"/>
                <w:szCs w:val="21"/>
                <w:highlight w:val="none"/>
                <w14:textFill>
                  <w14:solidFill>
                    <w14:schemeClr w14:val="tx1"/>
                  </w14:solidFill>
                </w14:textFill>
              </w:rPr>
              <w:t>万Nm</w:t>
            </w:r>
            <w:r>
              <w:rPr>
                <w:rFonts w:hint="default" w:ascii="Times New Roman" w:hAnsi="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bCs/>
                <w:color w:val="000000" w:themeColor="text1"/>
                <w:sz w:val="21"/>
                <w:szCs w:val="21"/>
                <w:highlight w:val="none"/>
                <w14:textFill>
                  <w14:solidFill>
                    <w14:schemeClr w14:val="tx1"/>
                  </w14:solidFill>
                </w14:textFill>
              </w:rPr>
              <w:t>/a</w:t>
            </w:r>
          </w:p>
        </w:tc>
        <w:tc>
          <w:tcPr>
            <w:tcW w:w="237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通过</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lang w:val="en-US" w:eastAsia="zh-CN"/>
                <w14:textFill>
                  <w14:solidFill>
                    <w14:schemeClr w14:val="tx1"/>
                  </w14:solidFill>
                </w14:textFill>
              </w:rPr>
              <w:t>5m高火炬燃烧排放</w:t>
            </w:r>
            <w:r>
              <w:rPr>
                <w:rFonts w:hint="eastAsia"/>
                <w:color w:val="000000" w:themeColor="text1"/>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34"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NOx</w:t>
            </w:r>
          </w:p>
        </w:tc>
        <w:tc>
          <w:tcPr>
            <w:tcW w:w="1121"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0.1115</w:t>
            </w:r>
            <w:r>
              <w:rPr>
                <w:rFonts w:hint="default"/>
                <w:color w:val="000000" w:themeColor="text1"/>
                <w:szCs w:val="20"/>
                <w:highlight w:val="none"/>
                <w14:textFill>
                  <w14:solidFill>
                    <w14:schemeClr w14:val="tx1"/>
                  </w14:solidFill>
                </w14:textFill>
              </w:rPr>
              <w:t>t/a</w:t>
            </w:r>
          </w:p>
        </w:tc>
        <w:tc>
          <w:tcPr>
            <w:tcW w:w="1333"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0.1115</w:t>
            </w:r>
            <w:r>
              <w:rPr>
                <w:rFonts w:hint="default"/>
                <w:color w:val="000000" w:themeColor="text1"/>
                <w:szCs w:val="20"/>
                <w:highlight w:val="none"/>
                <w14:textFill>
                  <w14:solidFill>
                    <w14:schemeClr w14:val="tx1"/>
                  </w14:solidFill>
                </w14:textFill>
              </w:rPr>
              <w:t>t/a</w:t>
            </w:r>
          </w:p>
        </w:tc>
        <w:tc>
          <w:tcPr>
            <w:tcW w:w="2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非正常工况放空废气</w:t>
            </w:r>
          </w:p>
        </w:tc>
        <w:tc>
          <w:tcPr>
            <w:tcW w:w="1134"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非甲烷总烃</w:t>
            </w:r>
          </w:p>
        </w:tc>
        <w:tc>
          <w:tcPr>
            <w:tcW w:w="1121"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1333"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r>
              <w:rPr>
                <w:rFonts w:hint="eastAsia"/>
                <w:bCs/>
                <w:color w:val="000000" w:themeColor="text1"/>
                <w:sz w:val="21"/>
                <w:szCs w:val="21"/>
                <w:highlight w:val="none"/>
                <w:lang w:val="en-US" w:eastAsia="zh-CN"/>
                <w14:textFill>
                  <w14:solidFill>
                    <w14:schemeClr w14:val="tx1"/>
                  </w14:solidFill>
                </w14:textFill>
              </w:rPr>
              <w:t>（</w:t>
            </w:r>
            <w:r>
              <w:rPr>
                <w:rFonts w:hint="default"/>
                <w:color w:val="000000" w:themeColor="text1"/>
                <w:szCs w:val="20"/>
                <w:highlight w:val="none"/>
                <w14:textFill>
                  <w14:solidFill>
                    <w14:schemeClr w14:val="tx1"/>
                  </w14:solidFill>
                </w14:textFill>
              </w:rPr>
              <w:t>NOx</w:t>
            </w:r>
            <w:r>
              <w:rPr>
                <w:rFonts w:hint="eastAsia"/>
                <w:bCs/>
                <w:color w:val="000000" w:themeColor="text1"/>
                <w:sz w:val="21"/>
                <w:szCs w:val="21"/>
                <w:highlight w:val="none"/>
                <w:lang w:val="en-US" w:eastAsia="zh-CN"/>
                <w14:textFill>
                  <w14:solidFill>
                    <w14:schemeClr w14:val="tx1"/>
                  </w14:solidFill>
                </w14:textFill>
              </w:rPr>
              <w:t>）</w:t>
            </w:r>
          </w:p>
        </w:tc>
        <w:tc>
          <w:tcPr>
            <w:tcW w:w="237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引至放空火炬燃烧排放。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restart"/>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废水</w:t>
            </w:r>
          </w:p>
        </w:tc>
        <w:tc>
          <w:tcPr>
            <w:tcW w:w="1559"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气田水</w:t>
            </w:r>
          </w:p>
        </w:tc>
        <w:tc>
          <w:tcPr>
            <w:tcW w:w="1134"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石油类、悬浮物、COD及氯化物等</w:t>
            </w:r>
          </w:p>
        </w:tc>
        <w:tc>
          <w:tcPr>
            <w:tcW w:w="11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/d</w:t>
            </w:r>
          </w:p>
        </w:tc>
        <w:tc>
          <w:tcPr>
            <w:tcW w:w="133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371" w:type="dxa"/>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外输至</w:t>
            </w:r>
            <w:r>
              <w:rPr>
                <w:rFonts w:hint="eastAsia"/>
                <w:color w:val="000000" w:themeColor="text1"/>
                <w:szCs w:val="20"/>
                <w:highlight w:val="none"/>
                <w:lang w:eastAsia="zh-CN"/>
                <w14:textFill>
                  <w14:solidFill>
                    <w14:schemeClr w14:val="tx1"/>
                  </w14:solidFill>
                </w14:textFill>
              </w:rPr>
              <w:t>雷页1试采站</w:t>
            </w:r>
            <w:r>
              <w:rPr>
                <w:rFonts w:hint="eastAsia"/>
                <w:color w:val="000000" w:themeColor="text1"/>
                <w:szCs w:val="20"/>
                <w:highlight w:val="none"/>
                <w:lang w:val="en-US" w:eastAsia="zh-CN"/>
                <w14:textFill>
                  <w14:solidFill>
                    <w14:schemeClr w14:val="tx1"/>
                  </w14:solidFill>
                </w14:textFill>
              </w:rPr>
              <w:t>暂存后</w:t>
            </w:r>
            <w:r>
              <w:rPr>
                <w:rFonts w:hint="default"/>
                <w:color w:val="000000" w:themeColor="text1"/>
                <w:szCs w:val="20"/>
                <w:highlight w:val="none"/>
                <w14:textFill>
                  <w14:solidFill>
                    <w14:schemeClr w14:val="tx1"/>
                  </w14:solidFill>
                </w14:textFill>
              </w:rPr>
              <w:t>拉运至</w:t>
            </w:r>
            <w:r>
              <w:rPr>
                <w:rFonts w:hint="eastAsia"/>
                <w:color w:val="000000" w:themeColor="text1"/>
                <w:szCs w:val="20"/>
                <w:highlight w:val="none"/>
                <w:lang w:eastAsia="zh-CN"/>
                <w14:textFill>
                  <w14:solidFill>
                    <w14:schemeClr w14:val="tx1"/>
                  </w14:solidFill>
                </w14:textFill>
              </w:rPr>
              <w:t>赵家坝污水处理站</w:t>
            </w:r>
            <w:r>
              <w:rPr>
                <w:rFonts w:hint="default"/>
                <w:color w:val="000000" w:themeColor="text1"/>
                <w:szCs w:val="20"/>
                <w:highlight w:val="none"/>
                <w14:textFill>
                  <w14:solidFill>
                    <w14:schemeClr w14:val="tx1"/>
                  </w14:solidFill>
                </w14:textFill>
              </w:rPr>
              <w:t>达标后</w:t>
            </w:r>
            <w:r>
              <w:rPr>
                <w:rFonts w:hint="eastAsia"/>
                <w:color w:val="000000" w:themeColor="text1"/>
                <w:szCs w:val="20"/>
                <w:highlight w:val="none"/>
                <w14:textFill>
                  <w14:solidFill>
                    <w14:schemeClr w14:val="tx1"/>
                  </w14:solidFill>
                </w14:textFill>
              </w:rPr>
              <w:t>（达</w:t>
            </w:r>
            <w:r>
              <w:rPr>
                <w:rFonts w:hint="default"/>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hint="default"/>
                <w:color w:val="000000" w:themeColor="text1"/>
                <w:szCs w:val="20"/>
                <w:highlight w:val="none"/>
                <w14:textFill>
                  <w14:solidFill>
                    <w14:schemeClr w14:val="tx1"/>
                  </w14:solidFill>
                </w14:textFill>
              </w:rPr>
              <w:t>管输至</w:t>
            </w:r>
            <w:r>
              <w:rPr>
                <w:rFonts w:hint="eastAsia"/>
                <w:color w:val="000000" w:themeColor="text1"/>
                <w:szCs w:val="20"/>
                <w:highlight w:val="none"/>
                <w:lang w:eastAsia="zh-CN"/>
                <w14:textFill>
                  <w14:solidFill>
                    <w14:schemeClr w14:val="tx1"/>
                  </w14:solidFill>
                </w14:textFill>
              </w:rPr>
              <w:t>普光3井回注站</w:t>
            </w:r>
            <w:r>
              <w:rPr>
                <w:rFonts w:hint="default"/>
                <w:color w:val="000000" w:themeColor="text1"/>
                <w:szCs w:val="20"/>
                <w:highlight w:val="none"/>
                <w14:textFill>
                  <w14:solidFill>
                    <w14:schemeClr w14:val="tx1"/>
                  </w14:solidFill>
                </w14:textFill>
              </w:rPr>
              <w:t>回注，不外排</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非正常工况井下作业废水</w:t>
            </w:r>
          </w:p>
        </w:tc>
        <w:tc>
          <w:tcPr>
            <w:tcW w:w="1134"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10</w:t>
            </w:r>
            <w:r>
              <w:rPr>
                <w:rFonts w:hint="default"/>
                <w:bCs/>
                <w:color w:val="000000" w:themeColor="text1"/>
                <w:szCs w:val="20"/>
                <w:highlight w:val="none"/>
                <w14:textFill>
                  <w14:solidFill>
                    <w14:schemeClr w14:val="tx1"/>
                  </w14:solidFill>
                </w14:textFill>
              </w:rPr>
              <w:t>0m</w:t>
            </w:r>
            <w:r>
              <w:rPr>
                <w:rFonts w:hint="default"/>
                <w:bCs/>
                <w:color w:val="000000" w:themeColor="text1"/>
                <w:szCs w:val="20"/>
                <w:highlight w:val="none"/>
                <w:vertAlign w:val="superscript"/>
                <w14:textFill>
                  <w14:solidFill>
                    <w14:schemeClr w14:val="tx1"/>
                  </w14:solidFill>
                </w14:textFill>
              </w:rPr>
              <w:t>3</w:t>
            </w:r>
            <w:r>
              <w:rPr>
                <w:rFonts w:hint="default"/>
                <w:bCs/>
                <w:color w:val="000000" w:themeColor="text1"/>
                <w:szCs w:val="20"/>
                <w:highlight w:val="none"/>
                <w14:textFill>
                  <w14:solidFill>
                    <w14:schemeClr w14:val="tx1"/>
                  </w14:solidFill>
                </w14:textFill>
              </w:rPr>
              <w:t>/a</w:t>
            </w:r>
          </w:p>
        </w:tc>
        <w:tc>
          <w:tcPr>
            <w:tcW w:w="133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2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w:t>
            </w:r>
          </w:p>
        </w:tc>
        <w:tc>
          <w:tcPr>
            <w:tcW w:w="155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设备噪声</w:t>
            </w:r>
          </w:p>
        </w:tc>
        <w:tc>
          <w:tcPr>
            <w:tcW w:w="5959"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设备选型时选择低噪声设备，设置减震基础；工艺管道的设计考虑合理的流速，减少气流噪声；站内设备合理布局。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704" w:type="dxa"/>
            <w:vMerge w:val="restart"/>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固废</w:t>
            </w:r>
          </w:p>
        </w:tc>
        <w:tc>
          <w:tcPr>
            <w:tcW w:w="155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除砂器</w:t>
            </w:r>
            <w:r>
              <w:rPr>
                <w:rFonts w:hint="eastAsia"/>
                <w:color w:val="000000" w:themeColor="text1"/>
                <w:szCs w:val="20"/>
                <w:highlight w:val="none"/>
                <w:lang w:val="en-US" w:eastAsia="zh-CN"/>
                <w14:textFill>
                  <w14:solidFill>
                    <w14:schemeClr w14:val="tx1"/>
                  </w14:solidFill>
                </w14:textFill>
              </w:rPr>
              <w:t>杂质</w:t>
            </w: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砂土杂质</w:t>
            </w:r>
          </w:p>
        </w:tc>
        <w:tc>
          <w:tcPr>
            <w:tcW w:w="11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133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2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定期</w:t>
            </w:r>
            <w:r>
              <w:rPr>
                <w:rFonts w:hint="default"/>
                <w:color w:val="000000" w:themeColor="text1"/>
                <w:szCs w:val="20"/>
                <w:highlight w:val="none"/>
                <w:lang w:eastAsia="zh-CN"/>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704" w:type="dxa"/>
            <w:vMerge w:val="continue"/>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5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三甘醇脱水过滤固废</w:t>
            </w:r>
          </w:p>
        </w:tc>
        <w:tc>
          <w:tcPr>
            <w:tcW w:w="11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废活性炭</w:t>
            </w:r>
          </w:p>
        </w:tc>
        <w:tc>
          <w:tcPr>
            <w:tcW w:w="11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1t/a</w:t>
            </w:r>
          </w:p>
        </w:tc>
        <w:tc>
          <w:tcPr>
            <w:tcW w:w="1333" w:type="dxa"/>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1t/a</w:t>
            </w:r>
          </w:p>
        </w:tc>
        <w:tc>
          <w:tcPr>
            <w:tcW w:w="2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14:textFill>
                  <w14:solidFill>
                    <w14:schemeClr w14:val="tx1"/>
                  </w14:solidFill>
                </w14:textFill>
              </w:rPr>
              <w:t>废活性炭暂存于危险废物暂存间，定期交由资质单位处置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w:t>
            </w:r>
          </w:p>
        </w:tc>
        <w:tc>
          <w:tcPr>
            <w:tcW w:w="1559"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试采</w:t>
            </w:r>
            <w:r>
              <w:rPr>
                <w:rFonts w:hint="default"/>
                <w:color w:val="000000" w:themeColor="text1"/>
                <w:szCs w:val="20"/>
                <w:highlight w:val="none"/>
                <w14:textFill>
                  <w14:solidFill>
                    <w14:schemeClr w14:val="tx1"/>
                  </w14:solidFill>
                </w14:textFill>
              </w:rPr>
              <w:t>站、</w:t>
            </w:r>
            <w:r>
              <w:rPr>
                <w:rFonts w:hint="eastAsia"/>
                <w:color w:val="000000" w:themeColor="text1"/>
                <w:szCs w:val="20"/>
                <w:highlight w:val="none"/>
                <w:lang w:val="en-US" w:eastAsia="zh-CN"/>
                <w14:textFill>
                  <w14:solidFill>
                    <w14:schemeClr w14:val="tx1"/>
                  </w14:solidFill>
                </w14:textFill>
              </w:rPr>
              <w:t>放空</w:t>
            </w:r>
            <w:r>
              <w:rPr>
                <w:rFonts w:hint="default"/>
                <w:color w:val="000000" w:themeColor="text1"/>
                <w:szCs w:val="20"/>
                <w:highlight w:val="none"/>
                <w14:textFill>
                  <w14:solidFill>
                    <w14:schemeClr w14:val="tx1"/>
                  </w14:solidFill>
                </w14:textFill>
              </w:rPr>
              <w:t>火炬区、进场道路占地</w:t>
            </w:r>
          </w:p>
        </w:tc>
        <w:tc>
          <w:tcPr>
            <w:tcW w:w="358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改变土地利用类型</w:t>
            </w:r>
          </w:p>
        </w:tc>
        <w:tc>
          <w:tcPr>
            <w:tcW w:w="2371"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加强站场绿化</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704" w:type="dxa"/>
            <w:tcMar>
              <w:left w:w="0" w:type="dxa"/>
              <w:right w:w="0" w:type="dxa"/>
            </w:tcMar>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环境风险</w:t>
            </w:r>
          </w:p>
        </w:tc>
        <w:tc>
          <w:tcPr>
            <w:tcW w:w="7518" w:type="dxa"/>
            <w:gridSpan w:val="5"/>
            <w:vAlign w:val="center"/>
          </w:tcPr>
          <w:p>
            <w:pPr>
              <w:pStyle w:val="295"/>
              <w:keepNext w:val="0"/>
              <w:keepLines w:val="0"/>
              <w:widowControl/>
              <w:suppressLineNumbers w:val="0"/>
              <w:spacing w:before="0" w:beforeAutospacing="0" w:after="0" w:afterAutospacing="0"/>
              <w:ind w:left="0" w:right="0"/>
              <w:jc w:val="left"/>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1、试采期环境风险主要是采气管线发生破裂造成天然气泄漏事故以及泄漏气体遇明火引起火灾或爆炸对附近人群生命财产造成伤害与损失。</w:t>
            </w:r>
          </w:p>
          <w:p>
            <w:pPr>
              <w:pStyle w:val="295"/>
              <w:keepNext w:val="0"/>
              <w:keepLines w:val="0"/>
              <w:widowControl/>
              <w:suppressLineNumbers w:val="0"/>
              <w:spacing w:before="0" w:beforeAutospacing="0" w:after="0" w:afterAutospacing="0"/>
              <w:ind w:left="0" w:right="0"/>
              <w:jc w:val="both"/>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2、</w:t>
            </w:r>
            <w:r>
              <w:rPr>
                <w:rFonts w:hint="eastAsia"/>
                <w:bCs/>
                <w:color w:val="000000" w:themeColor="text1"/>
                <w:szCs w:val="20"/>
                <w:highlight w:val="none"/>
                <w14:textFill>
                  <w14:solidFill>
                    <w14:schemeClr w14:val="tx1"/>
                  </w14:solidFill>
                </w14:textFill>
              </w:rPr>
              <w:t>试采</w:t>
            </w:r>
            <w:r>
              <w:rPr>
                <w:rFonts w:hint="default"/>
                <w:bCs/>
                <w:color w:val="000000" w:themeColor="text1"/>
                <w:szCs w:val="20"/>
                <w:highlight w:val="none"/>
                <w14:textFill>
                  <w14:solidFill>
                    <w14:schemeClr w14:val="tx1"/>
                  </w14:solidFill>
                </w14:textFill>
              </w:rPr>
              <w:t>站事故时的天然气放空，对附近人群生命财产造成伤害与损失。</w:t>
            </w:r>
          </w:p>
          <w:p>
            <w:pPr>
              <w:pStyle w:val="295"/>
              <w:keepNext w:val="0"/>
              <w:keepLines w:val="0"/>
              <w:widowControl/>
              <w:suppressLineNumbers w:val="0"/>
              <w:spacing w:before="0" w:beforeAutospacing="0" w:after="0" w:afterAutospacing="0"/>
              <w:ind w:left="0" w:right="0"/>
              <w:jc w:val="both"/>
              <w:rPr>
                <w:rFonts w:hint="eastAsia" w:eastAsia="宋体"/>
                <w:color w:val="000000" w:themeColor="text1"/>
                <w:szCs w:val="20"/>
                <w:highlight w:val="none"/>
                <w:lang w:eastAsia="zh-CN"/>
                <w14:textFill>
                  <w14:solidFill>
                    <w14:schemeClr w14:val="tx1"/>
                  </w14:solidFill>
                </w14:textFill>
              </w:rPr>
            </w:pPr>
            <w:r>
              <w:rPr>
                <w:rFonts w:hint="default"/>
                <w:bCs/>
                <w:color w:val="000000" w:themeColor="text1"/>
                <w:szCs w:val="20"/>
                <w:highlight w:val="none"/>
                <w14:textFill>
                  <w14:solidFill>
                    <w14:schemeClr w14:val="tx1"/>
                  </w14:solidFill>
                </w14:textFill>
              </w:rPr>
              <w:t>3、</w:t>
            </w:r>
            <w:r>
              <w:rPr>
                <w:rFonts w:hint="eastAsia"/>
                <w:bCs/>
                <w:color w:val="000000" w:themeColor="text1"/>
                <w:szCs w:val="20"/>
                <w:highlight w:val="none"/>
                <w:lang w:eastAsia="zh-CN"/>
                <w14:textFill>
                  <w14:solidFill>
                    <w14:schemeClr w14:val="tx1"/>
                  </w14:solidFill>
                </w14:textFill>
              </w:rPr>
              <w:t>气田水</w:t>
            </w:r>
            <w:r>
              <w:rPr>
                <w:rFonts w:hint="default"/>
                <w:bCs/>
                <w:color w:val="000000" w:themeColor="text1"/>
                <w:szCs w:val="20"/>
                <w:highlight w:val="none"/>
                <w14:textFill>
                  <w14:solidFill>
                    <w14:schemeClr w14:val="tx1"/>
                  </w14:solidFill>
                </w14:textFill>
              </w:rPr>
              <w:t>泄漏环境风险；污染物外运处理中的运输风险等</w:t>
            </w:r>
            <w:r>
              <w:rPr>
                <w:rFonts w:hint="eastAsia"/>
                <w:bCs/>
                <w:color w:val="000000" w:themeColor="text1"/>
                <w:szCs w:val="20"/>
                <w:highlight w:val="none"/>
                <w:lang w:eastAsia="zh-CN"/>
                <w14:textFill>
                  <w14:solidFill>
                    <w14:schemeClr w14:val="tx1"/>
                  </w14:solidFill>
                </w14:textFill>
              </w:rPr>
              <w:t>。</w:t>
            </w:r>
          </w:p>
        </w:tc>
      </w:tr>
    </w:tbl>
    <w:p>
      <w:pPr>
        <w:pStyle w:val="2"/>
        <w:spacing w:before="480" w:beforeLines="200" w:after="0" w:line="480" w:lineRule="auto"/>
        <w:ind w:firstLine="560"/>
        <w:rPr>
          <w:b/>
          <w:color w:val="000000" w:themeColor="text1"/>
          <w:szCs w:val="28"/>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bookmarkStart w:id="188" w:name="_bookmark22"/>
      <w:bookmarkEnd w:id="188"/>
      <w:bookmarkStart w:id="189" w:name="第四章__环境现状调查与评价"/>
      <w:bookmarkEnd w:id="189"/>
      <w:bookmarkStart w:id="190" w:name="3.4.4污染物排放情况汇总"/>
      <w:bookmarkEnd w:id="190"/>
    </w:p>
    <w:p>
      <w:pPr>
        <w:pStyle w:val="2"/>
        <w:rPr>
          <w:b/>
          <w:color w:val="000000" w:themeColor="text1"/>
          <w:highlight w:val="none"/>
          <w:lang w:eastAsia="zh-CN"/>
          <w14:textFill>
            <w14:solidFill>
              <w14:schemeClr w14:val="tx1"/>
            </w14:solidFill>
          </w14:textFill>
        </w:rPr>
      </w:pPr>
      <w:bookmarkStart w:id="191" w:name="_Toc4960"/>
      <w:r>
        <w:rPr>
          <w:color w:val="000000" w:themeColor="text1"/>
          <w:highlight w:val="none"/>
          <w:lang w:eastAsia="zh-CN"/>
          <w14:textFill>
            <w14:solidFill>
              <w14:schemeClr w14:val="tx1"/>
            </w14:solidFill>
          </w14:textFill>
        </w:rPr>
        <w:t>环境现状调查与评价</w:t>
      </w:r>
      <w:bookmarkEnd w:id="191"/>
    </w:p>
    <w:p>
      <w:pPr>
        <w:pStyle w:val="3"/>
        <w:spacing w:before="120"/>
        <w:rPr>
          <w:color w:val="000000" w:themeColor="text1"/>
          <w:highlight w:val="none"/>
          <w:lang w:eastAsia="zh-CN"/>
          <w14:textFill>
            <w14:solidFill>
              <w14:schemeClr w14:val="tx1"/>
            </w14:solidFill>
          </w14:textFill>
        </w:rPr>
      </w:pPr>
      <w:bookmarkStart w:id="192" w:name="4.1自然环境现状"/>
      <w:bookmarkEnd w:id="192"/>
      <w:bookmarkStart w:id="193" w:name="_bookmark23"/>
      <w:bookmarkEnd w:id="193"/>
      <w:bookmarkStart w:id="194" w:name="_Toc5340"/>
      <w:r>
        <w:rPr>
          <w:color w:val="000000" w:themeColor="text1"/>
          <w:highlight w:val="none"/>
          <w:lang w:eastAsia="zh-CN"/>
          <w14:textFill>
            <w14:solidFill>
              <w14:schemeClr w14:val="tx1"/>
            </w14:solidFill>
          </w14:textFill>
        </w:rPr>
        <w:t>自然环境现状</w:t>
      </w:r>
      <w:bookmarkEnd w:id="194"/>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95" w:name="4.1.1地理位置"/>
      <w:bookmarkEnd w:id="195"/>
      <w:bookmarkStart w:id="196" w:name="_Toc120173119"/>
      <w:r>
        <w:rPr>
          <w:color w:val="000000" w:themeColor="text1"/>
          <w:highlight w:val="none"/>
          <w:lang w:eastAsia="zh-CN"/>
          <w14:textFill>
            <w14:solidFill>
              <w14:schemeClr w14:val="tx1"/>
            </w14:solidFill>
          </w14:textFill>
        </w:rPr>
        <w:t>地理位置</w:t>
      </w:r>
      <w:bookmarkEnd w:id="196"/>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宣汉县介于东经107°22′至108°32′和北纬31°06′～31°49′之间。东北与城口接壤，东与开县相邻，南连开江，西接达川、通川和平昌，北与万源交界，是北通陕西、东达湖北的要口。境内地形地貌复杂、山势逶迤，由东北向西南倾斜绵延，呈</w:t>
      </w:r>
      <w:r>
        <w:rPr>
          <w:rFonts w:ascii="宋体" w:hAnsi="宋体" w:cs="Times New Roman"/>
          <w:color w:val="000000" w:themeColor="text1"/>
          <w:szCs w:val="24"/>
          <w:highlight w:val="none"/>
          <w14:textFill>
            <w14:solidFill>
              <w14:schemeClr w14:val="tx1"/>
            </w14:solidFill>
          </w14:textFill>
        </w:rPr>
        <w:t>“七山一水两分田”</w:t>
      </w:r>
      <w:r>
        <w:rPr>
          <w:rFonts w:cs="Times New Roman"/>
          <w:color w:val="000000" w:themeColor="text1"/>
          <w:szCs w:val="24"/>
          <w:highlight w:val="none"/>
          <w14:textFill>
            <w14:solidFill>
              <w14:schemeClr w14:val="tx1"/>
            </w14:solidFill>
          </w14:textFill>
        </w:rPr>
        <w:t>总体地貌。县境东西最长110.6km，南北最78.8km，边界线总长590.6km。</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本项目位于达州市</w:t>
      </w:r>
      <w:r>
        <w:rPr>
          <w:rFonts w:hint="eastAsia" w:cs="Times New Roman"/>
          <w:color w:val="000000" w:themeColor="text1"/>
          <w:szCs w:val="24"/>
          <w:highlight w:val="none"/>
          <w:lang w:eastAsia="zh-CN"/>
          <w14:textFill>
            <w14:solidFill>
              <w14:schemeClr w14:val="tx1"/>
            </w14:solidFill>
          </w14:textFill>
        </w:rPr>
        <w:t>宣汉县***</w:t>
      </w:r>
      <w:r>
        <w:rPr>
          <w:rFonts w:cs="Times New Roman"/>
          <w:color w:val="000000" w:themeColor="text1"/>
          <w:szCs w:val="24"/>
          <w:highlight w:val="none"/>
          <w14:textFill>
            <w14:solidFill>
              <w14:schemeClr w14:val="tx1"/>
            </w14:solidFill>
          </w14:textFill>
        </w:rPr>
        <w:t>。项目地理位置见附图1。</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97" w:name="4.1.2地形、地貌"/>
      <w:bookmarkEnd w:id="197"/>
      <w:bookmarkStart w:id="198" w:name="_Toc120173120"/>
      <w:r>
        <w:rPr>
          <w:color w:val="000000" w:themeColor="text1"/>
          <w:highlight w:val="none"/>
          <w:lang w:eastAsia="zh-CN"/>
          <w14:textFill>
            <w14:solidFill>
              <w14:schemeClr w14:val="tx1"/>
            </w14:solidFill>
          </w14:textFill>
        </w:rPr>
        <w:t>地形、地貌</w:t>
      </w:r>
      <w:bookmarkEnd w:id="198"/>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ind w:firstLine="480"/>
        <w:rPr>
          <w:rFonts w:cs="Times New Roman"/>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拟建井场位于半山腰的</w:t>
      </w:r>
      <w:r>
        <w:rPr>
          <w:rFonts w:cs="Times New Roman"/>
          <w:color w:val="000000" w:themeColor="text1"/>
          <w:szCs w:val="24"/>
          <w:highlight w:val="none"/>
          <w14:textFill>
            <w14:solidFill>
              <w14:schemeClr w14:val="tx1"/>
            </w14:solidFill>
          </w14:textFill>
        </w:rPr>
        <w:t>高阶台地</w:t>
      </w:r>
      <w:r>
        <w:rPr>
          <w:rFonts w:hint="eastAsia" w:cs="Times New Roman"/>
          <w:color w:val="000000" w:themeColor="text1"/>
          <w:szCs w:val="24"/>
          <w:highlight w:val="none"/>
          <w14:textFill>
            <w14:solidFill>
              <w14:schemeClr w14:val="tx1"/>
            </w14:solidFill>
          </w14:textFill>
        </w:rPr>
        <w:t>上，</w:t>
      </w:r>
      <w:r>
        <w:rPr>
          <w:color w:val="000000" w:themeColor="text1"/>
          <w:highlight w:val="none"/>
          <w14:textFill>
            <w14:solidFill>
              <w14:schemeClr w14:val="tx1"/>
            </w14:solidFill>
          </w14:textFill>
        </w:rPr>
        <w:t>斜坡坡角约5～</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°，场地地形总体</w:t>
      </w:r>
      <w:r>
        <w:rPr>
          <w:rFonts w:hint="eastAsia"/>
          <w:color w:val="000000" w:themeColor="text1"/>
          <w:highlight w:val="none"/>
          <w14:textFill>
            <w14:solidFill>
              <w14:schemeClr w14:val="tx1"/>
            </w14:solidFill>
          </w14:textFill>
        </w:rPr>
        <w:t>相对较平缓</w:t>
      </w:r>
      <w:r>
        <w:rPr>
          <w:color w:val="000000" w:themeColor="text1"/>
          <w:highlight w:val="none"/>
          <w14:textFill>
            <w14:solidFill>
              <w14:schemeClr w14:val="tx1"/>
            </w14:solidFill>
          </w14:textFill>
        </w:rPr>
        <w:t>，总体地势</w:t>
      </w:r>
      <w:r>
        <w:rPr>
          <w:rFonts w:hint="eastAsia"/>
          <w:color w:val="000000" w:themeColor="text1"/>
          <w:highlight w:val="none"/>
          <w:lang w:val="en-US" w:eastAsia="zh-CN"/>
          <w14:textFill>
            <w14:solidFill>
              <w14:schemeClr w14:val="tx1"/>
            </w14:solidFill>
          </w14:textFill>
        </w:rPr>
        <w:t>西北</w:t>
      </w:r>
      <w:r>
        <w:rPr>
          <w:rFonts w:hint="eastAsia"/>
          <w:color w:val="000000" w:themeColor="text1"/>
          <w:highlight w:val="none"/>
          <w14:textFill>
            <w14:solidFill>
              <w14:schemeClr w14:val="tx1"/>
            </w14:solidFill>
          </w14:textFill>
        </w:rPr>
        <w:t>部高，</w:t>
      </w:r>
      <w:r>
        <w:rPr>
          <w:rFonts w:hint="eastAsia"/>
          <w:color w:val="000000" w:themeColor="text1"/>
          <w:highlight w:val="none"/>
          <w:lang w:val="en-US" w:eastAsia="zh-CN"/>
          <w14:textFill>
            <w14:solidFill>
              <w14:schemeClr w14:val="tx1"/>
            </w14:solidFill>
          </w14:textFill>
        </w:rPr>
        <w:t>东南</w:t>
      </w:r>
      <w:r>
        <w:rPr>
          <w:rFonts w:hint="eastAsia"/>
          <w:color w:val="000000" w:themeColor="text1"/>
          <w:highlight w:val="none"/>
          <w14:textFill>
            <w14:solidFill>
              <w14:schemeClr w14:val="tx1"/>
            </w14:solidFill>
          </w14:textFill>
        </w:rPr>
        <w:t>部偏低</w:t>
      </w:r>
      <w:r>
        <w:rPr>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199" w:name="4.1.3水文水系"/>
      <w:bookmarkEnd w:id="199"/>
      <w:bookmarkStart w:id="200" w:name="_Toc120173121"/>
      <w:r>
        <w:rPr>
          <w:color w:val="000000" w:themeColor="text1"/>
          <w:highlight w:val="none"/>
          <w:lang w:eastAsia="zh-CN"/>
          <w14:textFill>
            <w14:solidFill>
              <w14:schemeClr w14:val="tx1"/>
            </w14:solidFill>
          </w14:textFill>
        </w:rPr>
        <w:t>水文水系</w:t>
      </w:r>
      <w:bookmarkEnd w:id="200"/>
    </w:p>
    <w:p>
      <w:pPr>
        <w:pStyle w:val="21"/>
        <w:spacing w:before="0"/>
        <w:ind w:left="0" w:firstLine="480"/>
        <w:jc w:val="both"/>
        <w:rPr>
          <w:rFonts w:hint="default" w:ascii="Times New Roman" w:hAnsi="Times New Roman" w:eastAsia="黑体" w:cs="Times New Roman"/>
          <w:color w:val="000000" w:themeColor="text1"/>
          <w:highlight w:val="none"/>
          <w:lang w:eastAsia="zh-CN"/>
          <w14:textFill>
            <w14:solidFill>
              <w14:schemeClr w14:val="tx1"/>
            </w14:solidFill>
          </w14:textFill>
        </w:rPr>
      </w:pPr>
      <w:r>
        <w:rPr>
          <w:rFonts w:hint="default" w:ascii="Times New Roman" w:hAnsi="Times New Roman" w:eastAsia="黑体" w:cs="Times New Roman"/>
          <w:color w:val="000000" w:themeColor="text1"/>
          <w:highlight w:val="none"/>
          <w:lang w:eastAsia="zh-CN"/>
          <w14:textFill>
            <w14:solidFill>
              <w14:schemeClr w14:val="tx1"/>
            </w14:solidFill>
          </w14:textFill>
        </w:rPr>
        <w:t>1、地表水</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本工程建设区域属渠江流域。渠江流域位于四川盆地东北部，是四川省五大水系（嘉、涪、渠、岷、乌）之一，是嘉陵江右岸的最大支流。渠江源出流域北、东北部的大巴山南麓，流域面积为39220km</w:t>
      </w:r>
      <w:r>
        <w:rPr>
          <w:rFonts w:ascii="Times New Roman" w:hAnsi="Times New Roman"/>
          <w:color w:val="000000" w:themeColor="text1"/>
          <w:highlight w:val="none"/>
          <w:vertAlign w:val="superscript"/>
          <w:lang w:eastAsia="zh-CN"/>
          <w14:textFill>
            <w14:solidFill>
              <w14:schemeClr w14:val="tx1"/>
            </w14:solidFill>
          </w14:textFill>
        </w:rPr>
        <w:t>2</w:t>
      </w:r>
      <w:r>
        <w:rPr>
          <w:rFonts w:ascii="Times New Roman" w:hAnsi="Times New Roman"/>
          <w:color w:val="000000" w:themeColor="text1"/>
          <w:highlight w:val="none"/>
          <w:lang w:eastAsia="zh-CN"/>
          <w14:textFill>
            <w14:solidFill>
              <w14:schemeClr w14:val="tx1"/>
            </w14:solidFill>
          </w14:textFill>
        </w:rPr>
        <w:t>。渠江为多源头河流，其主要支流有前河、中河、后河；南江河、恩阳河、通江河。前三支流在宣汉汇而为州河；正流由南江、巴河、渠江三段自然河段组成。本工程建设区域内主要河流为</w:t>
      </w:r>
      <w:r>
        <w:rPr>
          <w:rFonts w:hint="eastAsia" w:cs="Times New Roman"/>
          <w:bCs/>
          <w:color w:val="000000" w:themeColor="text1"/>
          <w:highlight w:val="none"/>
          <w:lang w:val="en-US" w:eastAsia="zh-CN"/>
          <w14:textFill>
            <w14:solidFill>
              <w14:schemeClr w14:val="tx1"/>
            </w14:solidFill>
          </w14:textFill>
        </w:rPr>
        <w:t>州河</w:t>
      </w:r>
      <w:r>
        <w:rPr>
          <w:rFonts w:ascii="Times New Roman" w:hAnsi="Times New Roman"/>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州河</w:t>
      </w:r>
      <w:r>
        <w:rPr>
          <w:rFonts w:ascii="Times New Roman" w:hAnsi="Times New Roman"/>
          <w:color w:val="000000" w:themeColor="text1"/>
          <w:highlight w:val="none"/>
          <w:lang w:eastAsia="zh-CN"/>
          <w14:textFill>
            <w14:solidFill>
              <w14:schemeClr w14:val="tx1"/>
            </w14:solidFill>
          </w14:textFill>
        </w:rPr>
        <w:t>在渠县三汇镇汇入渠江，南流至合川后注入嘉陵江。</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州河</w:t>
      </w:r>
      <w:r>
        <w:rPr>
          <w:rFonts w:ascii="Times New Roman" w:hAnsi="Times New Roman"/>
          <w:color w:val="000000" w:themeColor="text1"/>
          <w:highlight w:val="none"/>
          <w:lang w:eastAsia="zh-CN"/>
          <w14:textFill>
            <w14:solidFill>
              <w14:schemeClr w14:val="tx1"/>
            </w14:solidFill>
          </w14:textFill>
        </w:rPr>
        <w:t>均属山溪性河流，河谷狭窄，河道弯曲，落差大。河道开阔段与峡谷段相间出现，滩沱交错，水量丰富。</w:t>
      </w:r>
    </w:p>
    <w:p>
      <w:pPr>
        <w:pStyle w:val="21"/>
        <w:spacing w:before="0"/>
        <w:ind w:left="0" w:firstLine="480"/>
        <w:jc w:val="both"/>
        <w:rPr>
          <w:rFonts w:hint="default" w:ascii="Times New Roman" w:hAnsi="Times New Roman" w:eastAsia="黑体" w:cs="Times New Roman"/>
          <w:color w:val="000000" w:themeColor="text1"/>
          <w:highlight w:val="none"/>
          <w:lang w:eastAsia="zh-CN"/>
          <w14:textFill>
            <w14:solidFill>
              <w14:schemeClr w14:val="tx1"/>
            </w14:solidFill>
          </w14:textFill>
        </w:rPr>
      </w:pPr>
      <w:bookmarkStart w:id="201" w:name="_Toc19816012"/>
      <w:r>
        <w:rPr>
          <w:rFonts w:hint="default" w:ascii="Times New Roman" w:hAnsi="Times New Roman" w:eastAsia="黑体" w:cs="Times New Roman"/>
          <w:color w:val="000000" w:themeColor="text1"/>
          <w:highlight w:val="none"/>
          <w:lang w:eastAsia="zh-CN"/>
          <w14:textFill>
            <w14:solidFill>
              <w14:schemeClr w14:val="tx1"/>
            </w14:solidFill>
          </w14:textFill>
        </w:rPr>
        <w:t>2、</w:t>
      </w:r>
      <w:bookmarkEnd w:id="201"/>
      <w:r>
        <w:rPr>
          <w:rFonts w:hint="default" w:ascii="Times New Roman" w:hAnsi="Times New Roman" w:eastAsia="黑体" w:cs="Times New Roman"/>
          <w:color w:val="000000" w:themeColor="text1"/>
          <w:highlight w:val="none"/>
          <w:lang w:eastAsia="zh-CN"/>
          <w14:textFill>
            <w14:solidFill>
              <w14:schemeClr w14:val="tx1"/>
            </w14:solidFill>
          </w14:textFill>
        </w:rPr>
        <w:t>地下水</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普光气田开发区内地下水类型包括松散堆积层孔隙水、碎屑岩裂隙孔隙水和基岩裂隙水，其中本项目所在区域以基岩裂隙水与碎屑岩类裂隙水为主。沟谷地段为地下水的排泄区。岩性变化地段和结构松散的卸荷岩体具有较强的透水性能，岩体的透水性具有随着深度的增加、卸荷的减弱而递减的一般规律。地层富水性差、水量较小，水位埋深一般小于20m，含水层顶板埋深一般小于50m。</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02" w:name="4.1.4气候气象"/>
      <w:bookmarkEnd w:id="202"/>
      <w:bookmarkStart w:id="203" w:name="_Toc120173122"/>
      <w:r>
        <w:rPr>
          <w:color w:val="000000" w:themeColor="text1"/>
          <w:highlight w:val="none"/>
          <w:lang w:eastAsia="zh-CN"/>
          <w14:textFill>
            <w14:solidFill>
              <w14:schemeClr w14:val="tx1"/>
            </w14:solidFill>
          </w14:textFill>
        </w:rPr>
        <w:t>气候气象</w:t>
      </w:r>
      <w:bookmarkEnd w:id="203"/>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500m以下地区春早夏热，雨水集中，旱涝交错，多风雹，秋雨，冬暖霜雪少，属四川盆地亚热带气候；海拔800m以上地区春迟秋早，夏短冬长，具有盆缘同地温带气候特征。低山、高丘云雾较多，日照较浅丘平坝少。</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灾害性天气主要有干旱，暴雨山洪，雷电，低温冷害，冰雹及大风等，其中暴雨山洪、大风等对管道及</w:t>
      </w:r>
      <w:r>
        <w:rPr>
          <w:rFonts w:hint="eastAsia" w:ascii="Times New Roman" w:hAnsi="Times New Roman"/>
          <w:color w:val="000000" w:themeColor="text1"/>
          <w:highlight w:val="none"/>
          <w:lang w:eastAsia="zh-CN"/>
          <w14:textFill>
            <w14:solidFill>
              <w14:schemeClr w14:val="tx1"/>
            </w14:solidFill>
          </w14:textFill>
        </w:rPr>
        <w:t>试采</w:t>
      </w:r>
      <w:r>
        <w:rPr>
          <w:rFonts w:ascii="Times New Roman" w:hAnsi="Times New Roman"/>
          <w:color w:val="000000" w:themeColor="text1"/>
          <w:highlight w:val="none"/>
          <w:lang w:eastAsia="zh-CN"/>
          <w14:textFill>
            <w14:solidFill>
              <w14:schemeClr w14:val="tx1"/>
            </w14:solidFill>
          </w14:textFill>
        </w:rPr>
        <w:t>站建设构成一定危害。</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宣汉县多年平均降水量1132.69mm，多年平均气温16.8℃，相对湿度77%，每年5~10月份为多雨季，降水量占全年总降水量约80%，3月份为旱季，降水量约占全年降水量</w:t>
      </w:r>
      <w:r>
        <w:rPr>
          <w:rFonts w:hint="eastAsia" w:ascii="Times New Roman" w:hAnsi="Times New Roman"/>
          <w:color w:val="000000" w:themeColor="text1"/>
          <w:highlight w:val="none"/>
          <w:lang w:eastAsia="zh-CN"/>
          <w14:textFill>
            <w14:solidFill>
              <w14:schemeClr w14:val="tx1"/>
            </w14:solidFill>
          </w14:textFill>
        </w:rPr>
        <w:t>8%~12%</w:t>
      </w:r>
      <w:r>
        <w:rPr>
          <w:rFonts w:ascii="Times New Roman" w:hAnsi="Times New Roman"/>
          <w:color w:val="000000" w:themeColor="text1"/>
          <w:highlight w:val="none"/>
          <w:lang w:eastAsia="zh-CN"/>
          <w14:textFill>
            <w14:solidFill>
              <w14:schemeClr w14:val="tx1"/>
            </w14:solidFill>
          </w14:textFill>
        </w:rPr>
        <w:t>，无霜期长达10个月，冬季多雾，雨季多暴雨，雨后往往形成洪流。</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宣汉县主要气象要素见</w:t>
      </w:r>
      <w:r>
        <w:rPr>
          <w:rFonts w:ascii="Times New Roman" w:hAnsi="Times New Roman"/>
          <w:color w:val="000000" w:themeColor="text1"/>
          <w:highlight w:val="none"/>
          <w:lang w:eastAsia="zh-CN"/>
          <w14:textFill>
            <w14:solidFill>
              <w14:schemeClr w14:val="tx1"/>
            </w14:solidFill>
          </w14:textFill>
        </w:rPr>
        <w:fldChar w:fldCharType="begin"/>
      </w:r>
      <w:r>
        <w:rPr>
          <w:rFonts w:ascii="Times New Roman" w:hAnsi="Times New Roman"/>
          <w:color w:val="000000" w:themeColor="text1"/>
          <w:highlight w:val="none"/>
          <w:lang w:eastAsia="zh-CN"/>
          <w14:textFill>
            <w14:solidFill>
              <w14:schemeClr w14:val="tx1"/>
            </w14:solidFill>
          </w14:textFill>
        </w:rPr>
        <w:instrText xml:space="preserve"> REF _Ref142907039 \h  \* MERGEFORMAT </w:instrText>
      </w:r>
      <w:r>
        <w:rPr>
          <w:rFonts w:ascii="Times New Roman" w:hAnsi="Times New Roman"/>
          <w:color w:val="000000" w:themeColor="text1"/>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4.1</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1</w:t>
      </w:r>
      <w:r>
        <w:rPr>
          <w:rFonts w:ascii="Times New Roman" w:hAnsi="Times New Roman"/>
          <w:color w:val="000000" w:themeColor="text1"/>
          <w:highlight w:val="none"/>
          <w:lang w:eastAsia="zh-CN"/>
          <w14:textFill>
            <w14:solidFill>
              <w14:schemeClr w14:val="tx1"/>
            </w14:solidFill>
          </w14:textFill>
        </w:rPr>
        <w:fldChar w:fldCharType="end"/>
      </w:r>
      <w:r>
        <w:rPr>
          <w:rFonts w:ascii="Times New Roman" w:hAnsi="Times New Roman"/>
          <w:color w:val="000000" w:themeColor="text1"/>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04" w:name="_Ref14290703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20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宣汉县主要气象资料一览表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708"/>
        <w:gridCol w:w="1170"/>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气象要素</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单位</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气温</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年平均气温</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极端最高气温</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极端最低气温</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年降水量</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平均</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1132.69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最大</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最小</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风速</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平均</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m/s</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最大</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m/s</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主导风向</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m/s</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多年平均地温</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地面</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年平均日照时数</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h</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年平均蒸发量</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mm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年均无霜期</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d</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相对湿度</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77</w:t>
            </w:r>
          </w:p>
        </w:tc>
      </w:tr>
    </w:tbl>
    <w:p>
      <w:pPr>
        <w:pStyle w:val="4"/>
        <w:spacing w:before="120"/>
        <w:rPr>
          <w:b/>
          <w:color w:val="000000" w:themeColor="text1"/>
          <w:highlight w:val="none"/>
          <w:lang w:eastAsia="zh-CN"/>
          <w14:textFill>
            <w14:solidFill>
              <w14:schemeClr w14:val="tx1"/>
            </w14:solidFill>
          </w14:textFill>
        </w:rPr>
      </w:pPr>
      <w:bookmarkStart w:id="205" w:name="4.1.5动植物及生物多样性"/>
      <w:bookmarkEnd w:id="205"/>
      <w:bookmarkStart w:id="206" w:name="_Toc120173123"/>
      <w:r>
        <w:rPr>
          <w:color w:val="000000" w:themeColor="text1"/>
          <w:highlight w:val="none"/>
          <w:lang w:eastAsia="zh-CN"/>
          <w14:textFill>
            <w14:solidFill>
              <w14:schemeClr w14:val="tx1"/>
            </w14:solidFill>
          </w14:textFill>
        </w:rPr>
        <w:t>地质</w:t>
      </w:r>
      <w:r>
        <w:rPr>
          <w:rFonts w:hint="eastAsia"/>
          <w:color w:val="000000" w:themeColor="text1"/>
          <w:highlight w:val="none"/>
          <w:lang w:eastAsia="zh-CN"/>
          <w14:textFill>
            <w14:solidFill>
              <w14:schemeClr w14:val="tx1"/>
            </w14:solidFill>
          </w14:textFill>
        </w:rPr>
        <w:t>***</w:t>
      </w:r>
      <w:r>
        <w:rPr>
          <w:color w:val="000000" w:themeColor="text1"/>
          <w:highlight w:val="none"/>
          <w:lang w:eastAsia="zh-CN"/>
          <w14:textFill>
            <w14:solidFill>
              <w14:schemeClr w14:val="tx1"/>
            </w14:solidFill>
          </w14:textFill>
        </w:rPr>
        <w:t>与地震</w:t>
      </w:r>
      <w:bookmarkEnd w:id="206"/>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1、地质</w:t>
      </w:r>
      <w:r>
        <w:rPr>
          <w:rFonts w:hint="eastAsia" w:ascii="Times New Roman" w:hAnsi="Times New Roman"/>
          <w:color w:val="000000" w:themeColor="text1"/>
          <w:highlight w:val="none"/>
          <w:lang w:eastAsia="zh-CN"/>
          <w14:textFill>
            <w14:solidFill>
              <w14:schemeClr w14:val="tx1"/>
            </w14:solidFill>
          </w14:textFill>
        </w:rPr>
        <w:t>***</w:t>
      </w:r>
    </w:p>
    <w:p>
      <w:pPr>
        <w:pStyle w:val="21"/>
        <w:spacing w:before="0"/>
        <w:ind w:left="0" w:firstLine="480"/>
        <w:jc w:val="both"/>
        <w:rPr>
          <w:rFonts w:hint="default"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本项目区位于</w:t>
      </w:r>
      <w:r>
        <w:rPr>
          <w:rFonts w:hint="eastAsia" w:ascii="Times New Roman" w:hAnsi="Times New Roman"/>
          <w:color w:val="000000" w:themeColor="text1"/>
          <w:highlight w:val="none"/>
          <w:lang w:eastAsia="zh-CN"/>
          <w14:textFill>
            <w14:solidFill>
              <w14:schemeClr w14:val="tx1"/>
            </w14:solidFill>
          </w14:textFill>
        </w:rPr>
        <w:t>宣汉县***</w:t>
      </w:r>
      <w:r>
        <w:rPr>
          <w:rFonts w:ascii="Times New Roman" w:hAnsi="Times New Roman"/>
          <w:color w:val="000000" w:themeColor="text1"/>
          <w:highlight w:val="none"/>
          <w:lang w:eastAsia="zh-CN"/>
          <w14:textFill>
            <w14:solidFill>
              <w14:schemeClr w14:val="tx1"/>
            </w14:solidFill>
          </w14:textFill>
        </w:rPr>
        <w:t>，</w:t>
      </w:r>
      <w:r>
        <w:rPr>
          <w:color w:val="000000" w:themeColor="text1"/>
          <w14:textFill>
            <w14:solidFill>
              <w14:schemeClr w14:val="tx1"/>
            </w14:solidFill>
          </w14:textFill>
        </w:rPr>
        <w:t>区域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上位于四川盆地川东北褶皱带的东</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，华蓥山断裂带北端黄金口</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带，因受燕山、喜山运动影响，断裂发育，但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变形强</w:t>
      </w:r>
      <w:r>
        <w:rPr>
          <w:rFonts w:hint="default" w:ascii="Times New Roman" w:hAnsi="Times New Roman" w:cs="Times New Roman"/>
          <w:color w:val="000000" w:themeColor="text1"/>
          <w14:textFill>
            <w14:solidFill>
              <w14:schemeClr w14:val="tx1"/>
            </w14:solidFill>
          </w14:textFill>
        </w:rPr>
        <w:t>度较弱，平面上分两组，即：北西向断层和北东向断层。其中，北东向断层数量少，仅在西部高部位有少量发育，北西向断层较为发育但断距通常较小，断距为50～100m，断层一般消失于千佛崖组。千佛崖组顶、自流井组顶、千佛崖组顶和下沙溪庙组顶部</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形态是相似的，地层均呈西高东低、南高北低的大斜坡，沿普光302-1—普光9—普光3井以东一线，</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相对较低。在普光1—普光3—普光7井一线以西，地层很陡，而在普光3井以东</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非常平缓。此外，工区内地面海拔300-1200m，属中－低山区，相对高差20～600m。项目所在区域乡村公路纵横交错，交通较为便利</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2、地震</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根据《建筑抗震设计规范》（GB50011-2010），宣汉抗震设防烈度为6度，设计基本地震加速度值为0.05g，属第一组，可不考虑地震液化问题。另查阅县志，整个宣汉县境尚无地震活动的记载。因此总体上区域稳定性良好，适宜工程修建。</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07" w:name="_Toc120173124"/>
      <w:r>
        <w:rPr>
          <w:color w:val="000000" w:themeColor="text1"/>
          <w:highlight w:val="none"/>
          <w:lang w:eastAsia="zh-CN"/>
          <w14:textFill>
            <w14:solidFill>
              <w14:schemeClr w14:val="tx1"/>
            </w14:solidFill>
          </w14:textFill>
        </w:rPr>
        <w:t>土壤</w:t>
      </w:r>
      <w:bookmarkEnd w:id="207"/>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所在地面（区域硬化前）以残坡积和崩坡积之砂质粘土夹碎块石为主，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土壤以中性和微碱性为主，其次是微酸性，少数酸性。pH值在4.5～5.4之间的占6.4%；5.5～6.4之间的占34%；6.5～7.5之间的占34.2%；7.6～8.5之间的占25.3%。</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工程区域地层岩性较为单一，上部主要为第四系松散覆盖层，包括残坡积层、崩坡积层，下伏基岩为侏罗系中统沙溪庙组（J</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S）。沿线出露地层由上至下分别为：</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1）第四系残坡积层：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主要为砂土、砂质粘土、粘土，干燥，松散，分布很广。坡体及坡体上覆盖层厚度很薄，一般0.2～0.5m。沟谷中为砂质粘土、粘土。厚度较大，一般为1.0～2.5m左右，为可塑状。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2）第四系崩坡积层：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主要分布于陡坡下部，为含碎块石土，厚度一般为1.0～3.0m。碎块石</w:t>
      </w:r>
      <w:r>
        <w:rPr>
          <w:rFonts w:hint="eastAsia"/>
          <w:color w:val="000000" w:themeColor="text1"/>
          <w14:textFill>
            <w14:solidFill>
              <w14:schemeClr w14:val="tx1"/>
            </w14:solidFill>
          </w14:textFill>
        </w:rPr>
        <w:t>成分</w:t>
      </w:r>
      <w:r>
        <w:rPr>
          <w:color w:val="000000" w:themeColor="text1"/>
          <w14:textFill>
            <w14:solidFill>
              <w14:schemeClr w14:val="tx1"/>
            </w14:solidFill>
          </w14:textFill>
        </w:rPr>
        <w:t>主要为砂岩碎块石，另外可见巨大孤石。</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3）基岩</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t>侏罗系中统沙溪庙组为含钙质结核的紫红色砂质泥岩、粉砂岩、泥质粉砂岩与黄灰色块状长石岩屑石英砂岩不等厚互层。砂岩坚硬性脆，常形成陡坎陡崖，泥岩易风化剥落，多形成缓坡</w:t>
      </w:r>
      <w:r>
        <w:rPr>
          <w:rFonts w:ascii="Times New Roman" w:hAnsi="Times New Roman"/>
          <w:color w:val="000000" w:themeColor="text1"/>
          <w:highlight w:val="none"/>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08" w:name="_Toc120173125"/>
      <w:r>
        <w:rPr>
          <w:color w:val="000000" w:themeColor="text1"/>
          <w:highlight w:val="none"/>
          <w:lang w:eastAsia="zh-CN"/>
          <w14:textFill>
            <w14:solidFill>
              <w14:schemeClr w14:val="tx1"/>
            </w14:solidFill>
          </w14:textFill>
        </w:rPr>
        <w:t>矿产资源</w:t>
      </w:r>
      <w:bookmarkEnd w:id="208"/>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截至2018年，宣汉县共探测到的资源达28种，主要矿产资源概括为：一煤（煤炭），二气（石油、天然气），三土（粘土、高岭土、膨润土），五石（滑石、长石、大理石、石英石、石灰石），八矿（铁、砷、硅、硫磺、石膏、铝、卤钾、岩盐）。天然气预测储量高达1.5万亿立方米，居中国第2位，已探明开发储量达3000-6000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09" w:name="_Toc120173126"/>
      <w:r>
        <w:rPr>
          <w:color w:val="000000" w:themeColor="text1"/>
          <w:highlight w:val="none"/>
          <w:lang w:eastAsia="zh-CN"/>
          <w14:textFill>
            <w14:solidFill>
              <w14:schemeClr w14:val="tx1"/>
            </w14:solidFill>
          </w14:textFill>
        </w:rPr>
        <w:t>周边自然遗迹、自然保护区的分布情况</w:t>
      </w:r>
      <w:bookmarkEnd w:id="209"/>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评价区域无自然保护区、风景名胜区、自然遗迹、文物古迹等，在项目建设过程中如果发现有保护价值的文物遗迹，建设单位应保护好现场，并报告文物主管部门。</w:t>
      </w:r>
    </w:p>
    <w:p>
      <w:pPr>
        <w:pStyle w:val="3"/>
        <w:spacing w:before="120"/>
        <w:rPr>
          <w:color w:val="000000" w:themeColor="text1"/>
          <w:highlight w:val="none"/>
          <w:lang w:eastAsia="zh-CN"/>
          <w14:textFill>
            <w14:solidFill>
              <w14:schemeClr w14:val="tx1"/>
            </w14:solidFill>
          </w14:textFill>
        </w:rPr>
      </w:pPr>
      <w:bookmarkStart w:id="210" w:name="_bookmark25"/>
      <w:bookmarkEnd w:id="210"/>
      <w:bookmarkStart w:id="211" w:name="4.3环境质量现状评价"/>
      <w:bookmarkEnd w:id="211"/>
      <w:bookmarkStart w:id="212" w:name="4.2项目周边环境概况"/>
      <w:bookmarkEnd w:id="212"/>
      <w:bookmarkStart w:id="213" w:name="_bookmark24"/>
      <w:bookmarkEnd w:id="213"/>
      <w:bookmarkStart w:id="214" w:name="_Toc30076"/>
      <w:r>
        <w:rPr>
          <w:color w:val="000000" w:themeColor="text1"/>
          <w:highlight w:val="none"/>
          <w:lang w:eastAsia="zh-CN"/>
          <w14:textFill>
            <w14:solidFill>
              <w14:schemeClr w14:val="tx1"/>
            </w14:solidFill>
          </w14:textFill>
        </w:rPr>
        <w:t>环境质量现状评价</w:t>
      </w:r>
      <w:bookmarkEnd w:id="214"/>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15" w:name="_Toc120173128"/>
      <w:r>
        <w:rPr>
          <w:color w:val="000000" w:themeColor="text1"/>
          <w:highlight w:val="none"/>
          <w:lang w:eastAsia="zh-CN"/>
          <w14:textFill>
            <w14:solidFill>
              <w14:schemeClr w14:val="tx1"/>
            </w14:solidFill>
          </w14:textFill>
        </w:rPr>
        <w:t>环境空气质量现状</w:t>
      </w:r>
      <w:bookmarkEnd w:id="215"/>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本次评价采用了现场实测和资料复用相结合的方法。</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根据项目工程特点和各工艺站场的具体情况，以项目涉及区域作为本项目大气环境质量现状调查、评价的对象。本评价对</w:t>
      </w:r>
      <w:r>
        <w:rPr>
          <w:rFonts w:hint="eastAsia"/>
          <w:color w:val="000000" w:themeColor="text1"/>
          <w:szCs w:val="24"/>
          <w:highlight w:val="none"/>
          <w:lang w:eastAsia="zh-CN"/>
          <w14:textFill>
            <w14:solidFill>
              <w14:schemeClr w14:val="tx1"/>
            </w14:solidFill>
          </w14:textFill>
        </w:rPr>
        <w:t>雷页1试验井组</w:t>
      </w:r>
      <w:r>
        <w:rPr>
          <w:rFonts w:hint="eastAsia"/>
          <w:color w:val="000000" w:themeColor="text1"/>
          <w:szCs w:val="24"/>
          <w:highlight w:val="none"/>
          <w:lang w:val="en-US" w:eastAsia="zh-CN"/>
          <w14:textFill>
            <w14:solidFill>
              <w14:schemeClr w14:val="tx1"/>
            </w14:solidFill>
          </w14:textFill>
        </w:rPr>
        <w:t>场</w:t>
      </w:r>
      <w:r>
        <w:rPr>
          <w:color w:val="000000" w:themeColor="text1"/>
          <w:szCs w:val="24"/>
          <w:highlight w:val="none"/>
          <w14:textFill>
            <w14:solidFill>
              <w14:schemeClr w14:val="tx1"/>
            </w14:solidFill>
          </w14:textFill>
        </w:rPr>
        <w:t>所在地进行大气环境质量现状监测数据以及引用《</w:t>
      </w:r>
      <w:r>
        <w:rPr>
          <w:color w:val="000000" w:themeColor="text1"/>
          <w:highlight w:val="none"/>
          <w14:textFill>
            <w14:solidFill>
              <w14:schemeClr w14:val="tx1"/>
            </w14:solidFill>
          </w14:textFill>
        </w:rPr>
        <w:t>达州市202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年环境空气质量状况</w:t>
      </w:r>
      <w:r>
        <w:rPr>
          <w:color w:val="000000" w:themeColor="text1"/>
          <w:szCs w:val="24"/>
          <w:highlight w:val="none"/>
          <w14:textFill>
            <w14:solidFill>
              <w14:schemeClr w14:val="tx1"/>
            </w14:solidFill>
          </w14:textFill>
        </w:rPr>
        <w:t>》环境空气质量公报数据。</w:t>
      </w:r>
    </w:p>
    <w:p>
      <w:pPr>
        <w:pStyle w:val="21"/>
        <w:spacing w:before="0"/>
        <w:ind w:left="0" w:firstLine="482"/>
        <w:rPr>
          <w:rFonts w:ascii="Times New Roman" w:hAnsi="Times New Roman"/>
          <w:b/>
          <w:bCs/>
          <w:color w:val="000000" w:themeColor="text1"/>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1、达标</w:t>
      </w:r>
      <w:r>
        <w:rPr>
          <w:rFonts w:hint="eastAsia" w:ascii="Times New Roman" w:hAnsi="Times New Roman"/>
          <w:b/>
          <w:bCs/>
          <w:color w:val="000000" w:themeColor="text1"/>
          <w:highlight w:val="none"/>
          <w:lang w:eastAsia="zh-CN"/>
          <w14:textFill>
            <w14:solidFill>
              <w14:schemeClr w14:val="tx1"/>
            </w14:solidFill>
          </w14:textFill>
        </w:rPr>
        <w:t>区判定</w:t>
      </w:r>
    </w:p>
    <w:p>
      <w:pPr>
        <w:wordWrap w:val="0"/>
        <w:ind w:firstLine="480"/>
        <w:rPr>
          <w:rFonts w:cs="Times New Roman"/>
          <w:color w:val="000000" w:themeColor="text1"/>
          <w:kern w:val="0"/>
          <w:szCs w:val="21"/>
          <w:highlight w:val="none"/>
          <w14:textFill>
            <w14:solidFill>
              <w14:schemeClr w14:val="tx1"/>
            </w14:solidFill>
          </w14:textFill>
        </w:rPr>
      </w:pPr>
      <w:r>
        <w:rPr>
          <w:color w:val="000000" w:themeColor="text1"/>
          <w:szCs w:val="24"/>
          <w:highlight w:val="none"/>
          <w14:textFill>
            <w14:solidFill>
              <w14:schemeClr w14:val="tx1"/>
            </w14:solidFill>
          </w14:textFill>
        </w:rPr>
        <w:t>本项目位于达州市宣汉县，项目所在区环境空气功能分区为二类区。根据《环境影响评价技术导则 总纲》（HJ2.1-2016）与《环境影响评价技术导则 大气环境》（HJ2.2-2018）的要求，本次评价收集了《</w:t>
      </w:r>
      <w:r>
        <w:rPr>
          <w:color w:val="000000" w:themeColor="text1"/>
          <w:highlight w:val="none"/>
          <w14:textFill>
            <w14:solidFill>
              <w14:schemeClr w14:val="tx1"/>
            </w14:solidFill>
          </w14:textFill>
        </w:rPr>
        <w:t>达州市202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年环境空气质量状况</w:t>
      </w:r>
      <w:r>
        <w:rPr>
          <w:color w:val="000000" w:themeColor="text1"/>
          <w:szCs w:val="24"/>
          <w:highlight w:val="none"/>
          <w14:textFill>
            <w14:solidFill>
              <w14:schemeClr w14:val="tx1"/>
            </w14:solidFill>
          </w14:textFill>
        </w:rPr>
        <w:t>》，宣汉县202</w:t>
      </w:r>
      <w:r>
        <w:rPr>
          <w:rFonts w:hint="eastAsia"/>
          <w:color w:val="000000" w:themeColor="text1"/>
          <w:szCs w:val="24"/>
          <w:highlight w:val="none"/>
          <w:lang w:val="en-US" w:eastAsia="zh-CN"/>
          <w14:textFill>
            <w14:solidFill>
              <w14:schemeClr w14:val="tx1"/>
            </w14:solidFill>
          </w14:textFill>
        </w:rPr>
        <w:t>3</w:t>
      </w:r>
      <w:r>
        <w:rPr>
          <w:color w:val="000000" w:themeColor="text1"/>
          <w:szCs w:val="24"/>
          <w:highlight w:val="none"/>
          <w14:textFill>
            <w14:solidFill>
              <w14:schemeClr w14:val="tx1"/>
            </w14:solidFill>
          </w14:textFill>
        </w:rPr>
        <w:t>年1月1日至12月31日对城区环境空气质量进行了连续自动监测。全年有效监测天数365天，达标天数</w:t>
      </w:r>
      <w:r>
        <w:rPr>
          <w:rFonts w:hint="eastAsia"/>
          <w:color w:val="000000" w:themeColor="text1"/>
          <w:szCs w:val="24"/>
          <w:highlight w:val="none"/>
          <w:lang w:val="en-US" w:eastAsia="zh-CN"/>
          <w14:textFill>
            <w14:solidFill>
              <w14:schemeClr w14:val="tx1"/>
            </w14:solidFill>
          </w14:textFill>
        </w:rPr>
        <w:t>339</w:t>
      </w:r>
      <w:r>
        <w:rPr>
          <w:color w:val="000000" w:themeColor="text1"/>
          <w:szCs w:val="24"/>
          <w:highlight w:val="none"/>
          <w14:textFill>
            <w14:solidFill>
              <w14:schemeClr w14:val="tx1"/>
            </w14:solidFill>
          </w14:textFill>
        </w:rPr>
        <w:t>天，达标率为9</w:t>
      </w:r>
      <w:r>
        <w:rPr>
          <w:rFonts w:hint="eastAsia"/>
          <w:color w:val="000000" w:themeColor="text1"/>
          <w:szCs w:val="24"/>
          <w:highlight w:val="none"/>
          <w:lang w:val="en-US" w:eastAsia="zh-CN"/>
          <w14:textFill>
            <w14:solidFill>
              <w14:schemeClr w14:val="tx1"/>
            </w14:solidFill>
          </w14:textFill>
        </w:rPr>
        <w:t>2.9</w:t>
      </w:r>
      <w:r>
        <w:rPr>
          <w:color w:val="000000" w:themeColor="text1"/>
          <w:szCs w:val="24"/>
          <w:highlight w:val="none"/>
          <w14:textFill>
            <w14:solidFill>
              <w14:schemeClr w14:val="tx1"/>
            </w14:solidFill>
          </w14:textFill>
        </w:rPr>
        <w:t>%。其中：优</w:t>
      </w:r>
      <w:r>
        <w:rPr>
          <w:rFonts w:hint="eastAsia"/>
          <w:color w:val="000000" w:themeColor="text1"/>
          <w:szCs w:val="24"/>
          <w:highlight w:val="none"/>
          <w:lang w:val="en-US" w:eastAsia="zh-CN"/>
          <w14:textFill>
            <w14:solidFill>
              <w14:schemeClr w14:val="tx1"/>
            </w14:solidFill>
          </w14:textFill>
        </w:rPr>
        <w:t>203</w:t>
      </w:r>
      <w:r>
        <w:rPr>
          <w:color w:val="000000" w:themeColor="text1"/>
          <w:szCs w:val="24"/>
          <w:highlight w:val="none"/>
          <w14:textFill>
            <w14:solidFill>
              <w14:schemeClr w14:val="tx1"/>
            </w14:solidFill>
          </w14:textFill>
        </w:rPr>
        <w:t>天，良1</w:t>
      </w:r>
      <w:r>
        <w:rPr>
          <w:rFonts w:hint="eastAsia"/>
          <w:color w:val="000000" w:themeColor="text1"/>
          <w:szCs w:val="24"/>
          <w:highlight w:val="none"/>
          <w:lang w:val="en-US" w:eastAsia="zh-CN"/>
          <w14:textFill>
            <w14:solidFill>
              <w14:schemeClr w14:val="tx1"/>
            </w14:solidFill>
          </w14:textFill>
        </w:rPr>
        <w:t>36</w:t>
      </w:r>
      <w:r>
        <w:rPr>
          <w:color w:val="000000" w:themeColor="text1"/>
          <w:szCs w:val="24"/>
          <w:highlight w:val="none"/>
          <w14:textFill>
            <w14:solidFill>
              <w14:schemeClr w14:val="tx1"/>
            </w14:solidFill>
          </w14:textFill>
        </w:rPr>
        <w:t>天，轻度污染</w:t>
      </w:r>
      <w:r>
        <w:rPr>
          <w:rFonts w:hint="eastAsia"/>
          <w:color w:val="000000" w:themeColor="text1"/>
          <w:szCs w:val="24"/>
          <w:highlight w:val="none"/>
          <w:lang w:val="en-US" w:eastAsia="zh-CN"/>
          <w14:textFill>
            <w14:solidFill>
              <w14:schemeClr w14:val="tx1"/>
            </w14:solidFill>
          </w14:textFill>
        </w:rPr>
        <w:t>17</w:t>
      </w:r>
      <w:r>
        <w:rPr>
          <w:color w:val="000000" w:themeColor="text1"/>
          <w:szCs w:val="24"/>
          <w:highlight w:val="none"/>
          <w14:textFill>
            <w14:solidFill>
              <w14:schemeClr w14:val="tx1"/>
            </w14:solidFill>
          </w14:textFill>
        </w:rPr>
        <w:t>天，中度污染</w:t>
      </w:r>
      <w:r>
        <w:rPr>
          <w:rFonts w:hint="eastAsia"/>
          <w:color w:val="000000" w:themeColor="text1"/>
          <w:szCs w:val="24"/>
          <w:highlight w:val="none"/>
          <w:lang w:val="en-US" w:eastAsia="zh-CN"/>
          <w14:textFill>
            <w14:solidFill>
              <w14:schemeClr w14:val="tx1"/>
            </w14:solidFill>
          </w14:textFill>
        </w:rPr>
        <w:t>4</w:t>
      </w:r>
      <w:r>
        <w:rPr>
          <w:color w:val="000000" w:themeColor="text1"/>
          <w:szCs w:val="24"/>
          <w:highlight w:val="none"/>
          <w14:textFill>
            <w14:solidFill>
              <w14:schemeClr w14:val="tx1"/>
            </w14:solidFill>
          </w14:textFill>
        </w:rPr>
        <w:t>天，重度污染</w:t>
      </w:r>
      <w:r>
        <w:rPr>
          <w:rFonts w:hint="eastAsia"/>
          <w:color w:val="000000" w:themeColor="text1"/>
          <w:szCs w:val="24"/>
          <w:highlight w:val="none"/>
          <w:lang w:val="en-US" w:eastAsia="zh-CN"/>
          <w14:textFill>
            <w14:solidFill>
              <w14:schemeClr w14:val="tx1"/>
            </w14:solidFill>
          </w14:textFill>
        </w:rPr>
        <w:t>5天</w:t>
      </w:r>
      <w:r>
        <w:rPr>
          <w:color w:val="000000" w:themeColor="text1"/>
          <w:szCs w:val="24"/>
          <w:highlight w:val="none"/>
          <w14:textFill>
            <w14:solidFill>
              <w14:schemeClr w14:val="tx1"/>
            </w14:solidFill>
          </w14:textFill>
        </w:rPr>
        <w:t>。</w:t>
      </w:r>
      <w:r>
        <w:rPr>
          <w:rFonts w:cs="Times New Roman"/>
          <w:color w:val="000000" w:themeColor="text1"/>
          <w:kern w:val="0"/>
          <w:szCs w:val="21"/>
          <w:highlight w:val="none"/>
          <w14:textFill>
            <w14:solidFill>
              <w14:schemeClr w14:val="tx1"/>
            </w14:solidFill>
          </w14:textFill>
        </w:rPr>
        <w:t>具体见</w:t>
      </w:r>
      <w:r>
        <w:rPr>
          <w:rFonts w:cs="Times New Roman"/>
          <w:color w:val="000000" w:themeColor="text1"/>
          <w:kern w:val="0"/>
          <w:szCs w:val="21"/>
          <w:highlight w:val="none"/>
          <w14:textFill>
            <w14:solidFill>
              <w14:schemeClr w14:val="tx1"/>
            </w14:solidFill>
          </w14:textFill>
        </w:rPr>
        <w:fldChar w:fldCharType="begin"/>
      </w:r>
      <w:r>
        <w:rPr>
          <w:rFonts w:cs="Times New Roman"/>
          <w:color w:val="000000" w:themeColor="text1"/>
          <w:kern w:val="0"/>
          <w:szCs w:val="21"/>
          <w:highlight w:val="none"/>
          <w14:textFill>
            <w14:solidFill>
              <w14:schemeClr w14:val="tx1"/>
            </w14:solidFill>
          </w14:textFill>
        </w:rPr>
        <w:instrText xml:space="preserve"> REF _Ref142907064 \h  \* MERGEFORMAT </w:instrText>
      </w:r>
      <w:r>
        <w:rPr>
          <w:rFonts w:cs="Times New Roman"/>
          <w:color w:val="000000" w:themeColor="text1"/>
          <w:kern w:val="0"/>
          <w:szCs w:val="2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kern w:val="0"/>
          <w:szCs w:val="21"/>
          <w:highlight w:val="none"/>
          <w14:textFill>
            <w14:solidFill>
              <w14:schemeClr w14:val="tx1"/>
            </w14:solidFill>
          </w14:textFill>
        </w:rPr>
        <w:fldChar w:fldCharType="end"/>
      </w:r>
      <w:r>
        <w:rPr>
          <w:rFonts w:cs="Times New Roman"/>
          <w:color w:val="000000" w:themeColor="text1"/>
          <w:kern w:val="0"/>
          <w:szCs w:val="2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16" w:name="_Ref142907064"/>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216"/>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年宣汉县环境空气质量状况统计表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66"/>
        <w:gridCol w:w="3616"/>
        <w:gridCol w:w="1634"/>
        <w:gridCol w:w="1283"/>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污染物</w:t>
            </w:r>
          </w:p>
        </w:tc>
        <w:tc>
          <w:tcPr>
            <w:tcW w:w="361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评价指标</w:t>
            </w: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现状浓度</w:t>
            </w:r>
          </w:p>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（ug/ m</w:t>
            </w:r>
            <w:r>
              <w:rPr>
                <w:rFonts w:hint="default"/>
                <w:b/>
                <w:bCs/>
                <w:color w:val="000000" w:themeColor="text1"/>
                <w:szCs w:val="20"/>
                <w:highlight w:val="none"/>
                <w:shd w:val="clear" w:color="auto" w:fill="FFFFFF"/>
                <w:vertAlign w:val="superscript"/>
                <w14:textFill>
                  <w14:solidFill>
                    <w14:schemeClr w14:val="tx1"/>
                  </w14:solidFill>
                </w14:textFill>
              </w:rPr>
              <w:t>3</w:t>
            </w:r>
            <w:r>
              <w:rPr>
                <w:rFonts w:hint="default"/>
                <w:b/>
                <w:bCs/>
                <w:color w:val="000000" w:themeColor="text1"/>
                <w:szCs w:val="20"/>
                <w:highlight w:val="none"/>
                <w:shd w:val="clear" w:color="auto" w:fill="FFFFFF"/>
                <w14:textFill>
                  <w14:solidFill>
                    <w14:schemeClr w14:val="tx1"/>
                  </w14:solidFill>
                </w14:textFill>
              </w:rPr>
              <w:t>）</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标准值</w:t>
            </w:r>
          </w:p>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（ug/ m</w:t>
            </w:r>
            <w:r>
              <w:rPr>
                <w:rFonts w:hint="default"/>
                <w:b/>
                <w:bCs/>
                <w:color w:val="000000" w:themeColor="text1"/>
                <w:szCs w:val="20"/>
                <w:highlight w:val="none"/>
                <w:shd w:val="clear" w:color="auto" w:fill="FFFFFF"/>
                <w:vertAlign w:val="superscript"/>
                <w14:textFill>
                  <w14:solidFill>
                    <w14:schemeClr w14:val="tx1"/>
                  </w14:solidFill>
                </w14:textFill>
              </w:rPr>
              <w:t>3</w:t>
            </w:r>
            <w:r>
              <w:rPr>
                <w:rFonts w:hint="default"/>
                <w:b/>
                <w:bCs/>
                <w:color w:val="000000" w:themeColor="text1"/>
                <w:szCs w:val="20"/>
                <w:highlight w:val="none"/>
                <w:shd w:val="clear" w:color="auto" w:fill="FFFFFF"/>
                <w14:textFill>
                  <w14:solidFill>
                    <w14:schemeClr w14:val="tx1"/>
                  </w14:solidFill>
                </w14:textFill>
              </w:rPr>
              <w:t>）</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b/>
                <w:bCs/>
                <w:color w:val="000000" w:themeColor="text1"/>
                <w:szCs w:val="20"/>
                <w:highlight w:val="none"/>
                <w:shd w:val="clear" w:color="auto" w:fill="FFFFFF"/>
                <w14:textFill>
                  <w14:solidFill>
                    <w14:schemeClr w14:val="tx1"/>
                  </w14:solidFill>
                </w14:textFill>
              </w:rPr>
            </w:pPr>
            <w:r>
              <w:rPr>
                <w:rFonts w:hint="default"/>
                <w:b/>
                <w:bCs/>
                <w:color w:val="000000" w:themeColor="text1"/>
                <w:szCs w:val="20"/>
                <w:highlight w:val="none"/>
                <w:shd w:val="clear" w:color="auto" w:fill="FFFFFF"/>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SO</w:t>
            </w:r>
            <w:r>
              <w:rPr>
                <w:rFonts w:hint="default"/>
                <w:color w:val="000000" w:themeColor="text1"/>
                <w:szCs w:val="20"/>
                <w:highlight w:val="none"/>
                <w:shd w:val="clear" w:color="auto" w:fill="FFFFFF"/>
                <w:vertAlign w:val="subscript"/>
                <w14:textFill>
                  <w14:solidFill>
                    <w14:schemeClr w14:val="tx1"/>
                  </w14:solidFill>
                </w14:textFill>
              </w:rPr>
              <w:t>2</w:t>
            </w:r>
          </w:p>
        </w:tc>
        <w:tc>
          <w:tcPr>
            <w:tcW w:w="3616"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年评价质量浓度</w:t>
            </w: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shd w:val="clear" w:color="auto" w:fill="FFFFFF"/>
                <w:lang w:eastAsia="zh-CN"/>
                <w14:textFill>
                  <w14:solidFill>
                    <w14:schemeClr w14:val="tx1"/>
                  </w14:solidFill>
                </w14:textFill>
              </w:rPr>
            </w:pPr>
            <w:r>
              <w:rPr>
                <w:rFonts w:hint="eastAsia"/>
                <w:color w:val="000000" w:themeColor="text1"/>
                <w:szCs w:val="20"/>
                <w:highlight w:val="none"/>
                <w:shd w:val="clear" w:color="auto" w:fill="FFFFFF"/>
                <w:lang w:val="en-US" w:eastAsia="zh-CN"/>
                <w14:textFill>
                  <w14:solidFill>
                    <w14:schemeClr w14:val="tx1"/>
                  </w14:solidFill>
                </w14:textFill>
              </w:rPr>
              <w:t>6</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60</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NO</w:t>
            </w:r>
            <w:r>
              <w:rPr>
                <w:rFonts w:hint="default"/>
                <w:color w:val="000000" w:themeColor="text1"/>
                <w:szCs w:val="20"/>
                <w:highlight w:val="none"/>
                <w:shd w:val="clear" w:color="auto" w:fill="FFFFFF"/>
                <w:vertAlign w:val="subscript"/>
                <w14:textFill>
                  <w14:solidFill>
                    <w14:schemeClr w14:val="tx1"/>
                  </w14:solidFill>
                </w14:textFill>
              </w:rPr>
              <w:t>2</w:t>
            </w:r>
          </w:p>
        </w:tc>
        <w:tc>
          <w:tcPr>
            <w:tcW w:w="3616"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shd w:val="clear" w:color="auto" w:fill="FFFFFF"/>
                <w:lang w:val="en-US" w:eastAsia="zh-CN"/>
                <w14:textFill>
                  <w14:solidFill>
                    <w14:schemeClr w14:val="tx1"/>
                  </w14:solidFill>
                </w14:textFill>
              </w:rPr>
            </w:pPr>
            <w:r>
              <w:rPr>
                <w:rFonts w:hint="eastAsia"/>
                <w:color w:val="000000" w:themeColor="text1"/>
                <w:szCs w:val="20"/>
                <w:highlight w:val="none"/>
                <w:shd w:val="clear" w:color="auto" w:fill="FFFFFF"/>
                <w:lang w:val="en-US" w:eastAsia="zh-CN"/>
                <w14:textFill>
                  <w14:solidFill>
                    <w14:schemeClr w14:val="tx1"/>
                  </w14:solidFill>
                </w14:textFill>
              </w:rPr>
              <w:t>20</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40</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PM</w:t>
            </w:r>
            <w:r>
              <w:rPr>
                <w:rFonts w:hint="default"/>
                <w:color w:val="000000" w:themeColor="text1"/>
                <w:szCs w:val="20"/>
                <w:highlight w:val="none"/>
                <w:shd w:val="clear" w:color="auto" w:fill="FFFFFF"/>
                <w:vertAlign w:val="subscript"/>
                <w14:textFill>
                  <w14:solidFill>
                    <w14:schemeClr w14:val="tx1"/>
                  </w14:solidFill>
                </w14:textFill>
              </w:rPr>
              <w:t>10</w:t>
            </w:r>
          </w:p>
        </w:tc>
        <w:tc>
          <w:tcPr>
            <w:tcW w:w="3616"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shd w:val="clear" w:color="auto" w:fill="FFFFFF"/>
                <w:lang w:val="en-US" w:eastAsia="zh-CN"/>
                <w14:textFill>
                  <w14:solidFill>
                    <w14:schemeClr w14:val="tx1"/>
                  </w14:solidFill>
                </w14:textFill>
              </w:rPr>
            </w:pPr>
            <w:r>
              <w:rPr>
                <w:rFonts w:hint="eastAsia"/>
                <w:color w:val="000000" w:themeColor="text1"/>
                <w:szCs w:val="20"/>
                <w:highlight w:val="none"/>
                <w:shd w:val="clear" w:color="auto" w:fill="FFFFFF"/>
                <w:lang w:val="en-US" w:eastAsia="zh-CN"/>
                <w14:textFill>
                  <w14:solidFill>
                    <w14:schemeClr w14:val="tx1"/>
                  </w14:solidFill>
                </w14:textFill>
              </w:rPr>
              <w:t>55</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70</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PM</w:t>
            </w:r>
            <w:r>
              <w:rPr>
                <w:rFonts w:hint="default"/>
                <w:color w:val="000000" w:themeColor="text1"/>
                <w:szCs w:val="20"/>
                <w:highlight w:val="none"/>
                <w:shd w:val="clear" w:color="auto" w:fill="FFFFFF"/>
                <w:vertAlign w:val="subscript"/>
                <w14:textFill>
                  <w14:solidFill>
                    <w14:schemeClr w14:val="tx1"/>
                  </w14:solidFill>
                </w14:textFill>
              </w:rPr>
              <w:t>2.5</w:t>
            </w:r>
          </w:p>
        </w:tc>
        <w:tc>
          <w:tcPr>
            <w:tcW w:w="3616"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shd w:val="clear" w:color="auto" w:fill="FFFFFF"/>
                <w:lang w:eastAsia="zh-CN"/>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2</w:t>
            </w:r>
            <w:r>
              <w:rPr>
                <w:rFonts w:hint="eastAsia"/>
                <w:color w:val="000000" w:themeColor="text1"/>
                <w:szCs w:val="20"/>
                <w:highlight w:val="none"/>
                <w:shd w:val="clear" w:color="auto" w:fill="FFFFFF"/>
                <w:lang w:val="en-US" w:eastAsia="zh-CN"/>
                <w14:textFill>
                  <w14:solidFill>
                    <w14:schemeClr w14:val="tx1"/>
                  </w14:solidFill>
                </w14:textFill>
              </w:rPr>
              <w:t>9</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35</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CO</w:t>
            </w:r>
          </w:p>
        </w:tc>
        <w:tc>
          <w:tcPr>
            <w:tcW w:w="361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日均浓度的第95百分位数</w:t>
            </w: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eastAsia="宋体"/>
                <w:color w:val="000000" w:themeColor="text1"/>
                <w:szCs w:val="20"/>
                <w:highlight w:val="none"/>
                <w:shd w:val="clear" w:color="auto" w:fill="FFFFFF"/>
                <w:lang w:val="en-US" w:eastAsia="zh-CN"/>
                <w14:textFill>
                  <w14:solidFill>
                    <w14:schemeClr w14:val="tx1"/>
                  </w14:solidFill>
                </w14:textFill>
              </w:rPr>
            </w:pPr>
            <w:r>
              <w:rPr>
                <w:rFonts w:hint="eastAsia"/>
                <w:color w:val="000000" w:themeColor="text1"/>
                <w:szCs w:val="20"/>
                <w:highlight w:val="none"/>
                <w:shd w:val="clear" w:color="auto" w:fill="FFFFFF"/>
                <w:lang w:val="en-US" w:eastAsia="zh-CN"/>
                <w14:textFill>
                  <w14:solidFill>
                    <w14:schemeClr w14:val="tx1"/>
                  </w14:solidFill>
                </w14:textFill>
              </w:rPr>
              <w:t>1200</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4000</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O</w:t>
            </w:r>
            <w:r>
              <w:rPr>
                <w:rFonts w:hint="default"/>
                <w:color w:val="000000" w:themeColor="text1"/>
                <w:szCs w:val="20"/>
                <w:highlight w:val="none"/>
                <w:shd w:val="clear" w:color="auto" w:fill="FFFFFF"/>
                <w:vertAlign w:val="subscript"/>
                <w14:textFill>
                  <w14:solidFill>
                    <w14:schemeClr w14:val="tx1"/>
                  </w14:solidFill>
                </w14:textFill>
              </w:rPr>
              <w:t>3</w:t>
            </w:r>
          </w:p>
        </w:tc>
        <w:tc>
          <w:tcPr>
            <w:tcW w:w="361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日最大8h平均浓度的第90百分位数</w:t>
            </w:r>
          </w:p>
        </w:tc>
        <w:tc>
          <w:tcPr>
            <w:tcW w:w="1634"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eastAsia="宋体"/>
                <w:color w:val="000000" w:themeColor="text1"/>
                <w:szCs w:val="20"/>
                <w:highlight w:val="none"/>
                <w:shd w:val="clear" w:color="auto" w:fill="FFFFFF"/>
                <w:lang w:eastAsia="zh-CN"/>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9</w:t>
            </w:r>
            <w:r>
              <w:rPr>
                <w:rFonts w:hint="eastAsia"/>
                <w:color w:val="000000" w:themeColor="text1"/>
                <w:szCs w:val="20"/>
                <w:highlight w:val="none"/>
                <w:shd w:val="clear" w:color="auto" w:fill="FFFFFF"/>
                <w:lang w:val="en-US" w:eastAsia="zh-CN"/>
                <w14:textFill>
                  <w14:solidFill>
                    <w14:schemeClr w14:val="tx1"/>
                  </w14:solidFill>
                </w14:textFill>
              </w:rPr>
              <w:t>0</w:t>
            </w:r>
          </w:p>
        </w:tc>
        <w:tc>
          <w:tcPr>
            <w:tcW w:w="128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160</w:t>
            </w:r>
          </w:p>
        </w:tc>
        <w:tc>
          <w:tcPr>
            <w:tcW w:w="92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color w:val="000000" w:themeColor="text1"/>
                <w:szCs w:val="20"/>
                <w:highlight w:val="none"/>
                <w:shd w:val="clear" w:color="auto" w:fill="FFFFFF"/>
                <w14:textFill>
                  <w14:solidFill>
                    <w14:schemeClr w14:val="tx1"/>
                  </w14:solidFill>
                </w14:textFill>
              </w:rPr>
            </w:pPr>
            <w:r>
              <w:rPr>
                <w:rFonts w:hint="default"/>
                <w:color w:val="000000" w:themeColor="text1"/>
                <w:szCs w:val="20"/>
                <w:highlight w:val="none"/>
                <w:shd w:val="clear" w:color="auto" w:fill="FFFFFF"/>
                <w14:textFill>
                  <w14:solidFill>
                    <w14:schemeClr w14:val="tx1"/>
                  </w14:solidFill>
                </w14:textFill>
              </w:rPr>
              <w:t>达标</w:t>
            </w:r>
          </w:p>
        </w:tc>
      </w:tr>
    </w:tbl>
    <w:p>
      <w:pPr>
        <w:pStyle w:val="250"/>
        <w:spacing w:before="120" w:beforeLines="50"/>
        <w:ind w:firstLine="480"/>
        <w:rPr>
          <w:color w:val="000000" w:themeColor="text1"/>
          <w:szCs w:val="24"/>
          <w:highlight w:val="none"/>
          <w14:textFill>
            <w14:solidFill>
              <w14:schemeClr w14:val="tx1"/>
            </w14:solidFill>
          </w14:textFill>
        </w:rPr>
      </w:pPr>
      <w:r>
        <w:rPr>
          <w:color w:val="000000" w:themeColor="text1"/>
          <w:szCs w:val="21"/>
          <w:highlight w:val="none"/>
          <w14:textFill>
            <w14:solidFill>
              <w14:schemeClr w14:val="tx1"/>
            </w14:solidFill>
          </w14:textFill>
        </w:rPr>
        <w:t>根据《</w:t>
      </w:r>
      <w:r>
        <w:rPr>
          <w:rFonts w:hint="eastAsia"/>
          <w:color w:val="000000" w:themeColor="text1"/>
          <w:szCs w:val="21"/>
          <w:highlight w:val="none"/>
          <w14:textFill>
            <w14:solidFill>
              <w14:schemeClr w14:val="tx1"/>
            </w14:solidFill>
          </w14:textFill>
        </w:rPr>
        <w:t>达州市202</w:t>
      </w: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14:textFill>
            <w14:solidFill>
              <w14:schemeClr w14:val="tx1"/>
            </w14:solidFill>
          </w14:textFill>
        </w:rPr>
        <w:t>年环境空气质量状况</w:t>
      </w:r>
      <w:r>
        <w:rPr>
          <w:color w:val="000000" w:themeColor="text1"/>
          <w:szCs w:val="21"/>
          <w:highlight w:val="none"/>
          <w14:textFill>
            <w14:solidFill>
              <w14:schemeClr w14:val="tx1"/>
            </w14:solidFill>
          </w14:textFill>
        </w:rPr>
        <w:t>》内容，宣汉县202</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年度主要污染物SO</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、NO</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10</w:t>
      </w: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2.5</w:t>
      </w:r>
      <w:r>
        <w:rPr>
          <w:color w:val="000000" w:themeColor="text1"/>
          <w:szCs w:val="21"/>
          <w:highlight w:val="none"/>
          <w14:textFill>
            <w14:solidFill>
              <w14:schemeClr w14:val="tx1"/>
            </w14:solidFill>
          </w14:textFill>
        </w:rPr>
        <w:t>、CO、O</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均满足《环境空气质量标准》</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GB3095-2012</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二级标准要求，按《环境影响评价技术导则 大气环境》（HJ2.2-2018）区域达标判断标准，宣汉县202</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年度区域环境空气质量为达标区。</w:t>
      </w:r>
    </w:p>
    <w:p>
      <w:pPr>
        <w:pStyle w:val="250"/>
        <w:ind w:firstLine="482"/>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2、特征污染物</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（1）监测点布设</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根据项目工程特点的具体情况，共布设1个大气环境监测点，</w:t>
      </w:r>
      <w:r>
        <w:rPr>
          <w:rFonts w:hint="eastAsia"/>
          <w:color w:val="000000" w:themeColor="text1"/>
          <w:szCs w:val="24"/>
          <w:highlight w:val="none"/>
          <w:lang w:eastAsia="zh-CN"/>
          <w14:textFill>
            <w14:solidFill>
              <w14:schemeClr w14:val="tx1"/>
            </w14:solidFill>
          </w14:textFill>
        </w:rPr>
        <w:t>位于井场拟建地下风向西南侧处</w:t>
      </w:r>
      <w:r>
        <w:rPr>
          <w:color w:val="000000" w:themeColor="text1"/>
          <w:szCs w:val="24"/>
          <w:highlight w:val="none"/>
          <w14:textFill>
            <w14:solidFill>
              <w14:schemeClr w14:val="tx1"/>
            </w14:solidFill>
          </w14:textFill>
        </w:rPr>
        <w:t>。</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（2）监测项目：非甲烷总烃</w:t>
      </w:r>
      <w:r>
        <w:rPr>
          <w:rFonts w:hint="eastAsia"/>
          <w:color w:val="000000" w:themeColor="text1"/>
          <w:szCs w:val="24"/>
          <w:highlight w:val="none"/>
          <w14:textFill>
            <w14:solidFill>
              <w14:schemeClr w14:val="tx1"/>
            </w14:solidFill>
          </w14:textFill>
        </w:rPr>
        <w:t>、总悬浮颗粒物</w:t>
      </w:r>
      <w:r>
        <w:rPr>
          <w:color w:val="000000" w:themeColor="text1"/>
          <w:szCs w:val="24"/>
          <w:highlight w:val="none"/>
          <w14:textFill>
            <w14:solidFill>
              <w14:schemeClr w14:val="tx1"/>
            </w14:solidFill>
          </w14:textFill>
        </w:rPr>
        <w:t>。</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（3）监测频次：连续采样7天。</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（4）采样及分析方法</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采样及分析方法按国家有关规定进行。</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（5）评价标准</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本次非甲烷总烃环境质量现状评价，执行标准采用《大气污染物综合排放标准详解》</w:t>
      </w:r>
      <w:r>
        <w:rPr>
          <w:rFonts w:hint="eastAsia"/>
          <w:color w:val="000000" w:themeColor="text1"/>
          <w:szCs w:val="24"/>
          <w:highlight w:val="none"/>
          <w14:textFill>
            <w14:solidFill>
              <w14:schemeClr w14:val="tx1"/>
            </w14:solidFill>
          </w14:textFill>
        </w:rPr>
        <w:t>小时平均</w:t>
      </w:r>
      <w:r>
        <w:rPr>
          <w:color w:val="000000" w:themeColor="text1"/>
          <w:szCs w:val="24"/>
          <w:highlight w:val="none"/>
          <w14:textFill>
            <w14:solidFill>
              <w14:schemeClr w14:val="tx1"/>
            </w14:solidFill>
          </w14:textFill>
        </w:rPr>
        <w:t>浓度限值2.0mg/m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总悬浮颗粒物</w:t>
      </w:r>
      <w:r>
        <w:rPr>
          <w:bCs/>
          <w:color w:val="000000" w:themeColor="text1"/>
          <w:szCs w:val="24"/>
          <w:highlight w:val="none"/>
          <w14:textFill>
            <w14:solidFill>
              <w14:schemeClr w14:val="tx1"/>
            </w14:solidFill>
          </w14:textFill>
        </w:rPr>
        <w:t>执行《环境空气质量标准》（GB3095-2012）二级标准</w:t>
      </w:r>
      <w:r>
        <w:rPr>
          <w:rFonts w:hint="eastAsia"/>
          <w:bCs/>
          <w:color w:val="000000" w:themeColor="text1"/>
          <w:szCs w:val="24"/>
          <w:highlight w:val="none"/>
          <w14:textFill>
            <w14:solidFill>
              <w14:schemeClr w14:val="tx1"/>
            </w14:solidFill>
          </w14:textFill>
        </w:rPr>
        <w:t>，日平均值为</w:t>
      </w:r>
      <w:r>
        <w:rPr>
          <w:bCs/>
          <w:color w:val="000000" w:themeColor="text1"/>
          <w:szCs w:val="24"/>
          <w:highlight w:val="none"/>
          <w14:textFill>
            <w14:solidFill>
              <w14:schemeClr w14:val="tx1"/>
            </w14:solidFill>
          </w14:textFill>
        </w:rPr>
        <w:t>300μg/m</w:t>
      </w:r>
      <w:r>
        <w:rPr>
          <w:bCs/>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（6）评价方法</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根据《环境影响评价技术导则大气环境》（HJ2.2-2018），采用最大监测浓度占标率对评价区域大气环境质量现状进行评价，评价模式如下：</w:t>
      </w:r>
    </w:p>
    <w:p>
      <w:pPr>
        <w:pStyle w:val="250"/>
        <w:ind w:firstLine="480"/>
        <w:rPr>
          <w:color w:val="000000" w:themeColor="text1"/>
          <w:szCs w:val="24"/>
          <w:highlight w:val="none"/>
          <w14:textFill>
            <w14:solidFill>
              <w14:schemeClr w14:val="tx1"/>
            </w14:solidFill>
          </w14:textFill>
        </w:rPr>
      </w:pPr>
      <m:oMathPara>
        <m:oMath>
          <m:sSub>
            <m:sSubPr>
              <m:ctrlPr>
                <w:rPr>
                  <w:rFonts w:ascii="Cambria Math" w:hAnsi="Cambria Math"/>
                  <w:color w:val="000000" w:themeColor="text1"/>
                  <w:kern w:val="2"/>
                  <w:szCs w:val="24"/>
                  <w:highlight w:val="none"/>
                  <w14:textFill>
                    <w14:solidFill>
                      <w14:schemeClr w14:val="tx1"/>
                    </w14:solidFill>
                  </w14:textFill>
                </w:rPr>
              </m:ctrlPr>
            </m:sSubPr>
            <m:e>
              <m:r>
                <m:rPr>
                  <m:sty m:val="p"/>
                </m:rPr>
                <w:rPr>
                  <w:rFonts w:ascii="Cambria Math" w:hAnsi="Cambria Math"/>
                  <w:color w:val="000000" w:themeColor="text1"/>
                  <w:szCs w:val="24"/>
                  <w:highlight w:val="none"/>
                  <w14:textFill>
                    <w14:solidFill>
                      <w14:schemeClr w14:val="tx1"/>
                    </w14:solidFill>
                  </w14:textFill>
                </w:rPr>
                <m:t>P</m:t>
              </m:r>
              <m:ctrlPr>
                <w:rPr>
                  <w:rFonts w:ascii="Cambria Math" w:hAnsi="Cambria Math"/>
                  <w:color w:val="000000" w:themeColor="text1"/>
                  <w:kern w:val="2"/>
                  <w:szCs w:val="24"/>
                  <w:highlight w:val="none"/>
                  <w14:textFill>
                    <w14:solidFill>
                      <w14:schemeClr w14:val="tx1"/>
                    </w14:solidFill>
                  </w14:textFill>
                </w:rPr>
              </m:ctrlPr>
            </m:e>
            <m:sub>
              <m:r>
                <m:rPr>
                  <m:sty m:val="p"/>
                </m:rPr>
                <w:rPr>
                  <w:rFonts w:ascii="Cambria Math" w:hAnsi="Cambria Math"/>
                  <w:color w:val="000000" w:themeColor="text1"/>
                  <w:szCs w:val="24"/>
                  <w:highlight w:val="none"/>
                  <w14:textFill>
                    <w14:solidFill>
                      <w14:schemeClr w14:val="tx1"/>
                    </w14:solidFill>
                  </w14:textFill>
                </w:rPr>
                <m:t>i</m:t>
              </m:r>
              <m:ctrlPr>
                <w:rPr>
                  <w:rFonts w:ascii="Cambria Math" w:hAnsi="Cambria Math"/>
                  <w:color w:val="000000" w:themeColor="text1"/>
                  <w:kern w:val="2"/>
                  <w:szCs w:val="24"/>
                  <w:highlight w:val="none"/>
                  <w14:textFill>
                    <w14:solidFill>
                      <w14:schemeClr w14:val="tx1"/>
                    </w14:solidFill>
                  </w14:textFill>
                </w:rPr>
              </m:ctrlPr>
            </m:sub>
          </m:sSub>
          <m:r>
            <m:rPr>
              <m:sty m:val="p"/>
            </m:rPr>
            <w:rPr>
              <w:rFonts w:ascii="Cambria Math" w:hAnsi="Cambria Math"/>
              <w:color w:val="000000" w:themeColor="text1"/>
              <w:szCs w:val="24"/>
              <w:highlight w:val="none"/>
              <w14:textFill>
                <w14:solidFill>
                  <w14:schemeClr w14:val="tx1"/>
                </w14:solidFill>
              </w14:textFill>
            </w:rPr>
            <m:t>=</m:t>
          </m:r>
          <m:f>
            <m:fPr>
              <m:ctrlPr>
                <w:rPr>
                  <w:rFonts w:ascii="Cambria Math" w:hAnsi="Cambria Math"/>
                  <w:color w:val="000000" w:themeColor="text1"/>
                  <w:kern w:val="2"/>
                  <w:szCs w:val="24"/>
                  <w:highlight w:val="none"/>
                  <w14:textFill>
                    <w14:solidFill>
                      <w14:schemeClr w14:val="tx1"/>
                    </w14:solidFill>
                  </w14:textFill>
                </w:rPr>
              </m:ctrlPr>
            </m:fPr>
            <m:num>
              <m:sSub>
                <m:sSubPr>
                  <m:ctrlPr>
                    <w:rPr>
                      <w:rFonts w:ascii="Cambria Math" w:hAnsi="Cambria Math"/>
                      <w:color w:val="000000" w:themeColor="text1"/>
                      <w:kern w:val="2"/>
                      <w:szCs w:val="24"/>
                      <w:highlight w:val="none"/>
                      <w14:textFill>
                        <w14:solidFill>
                          <w14:schemeClr w14:val="tx1"/>
                        </w14:solidFill>
                      </w14:textFill>
                    </w:rPr>
                  </m:ctrlPr>
                </m:sSubPr>
                <m:e>
                  <m:r>
                    <m:rPr>
                      <m:sty m:val="p"/>
                    </m:rPr>
                    <w:rPr>
                      <w:rFonts w:ascii="Cambria Math" w:hAnsi="Cambria Math"/>
                      <w:color w:val="000000" w:themeColor="text1"/>
                      <w:szCs w:val="24"/>
                      <w:highlight w:val="none"/>
                      <w14:textFill>
                        <w14:solidFill>
                          <w14:schemeClr w14:val="tx1"/>
                        </w14:solidFill>
                      </w14:textFill>
                    </w:rPr>
                    <m:t>C</m:t>
                  </m:r>
                  <m:ctrlPr>
                    <w:rPr>
                      <w:rFonts w:ascii="Cambria Math" w:hAnsi="Cambria Math"/>
                      <w:color w:val="000000" w:themeColor="text1"/>
                      <w:kern w:val="2"/>
                      <w:szCs w:val="24"/>
                      <w:highlight w:val="none"/>
                      <w14:textFill>
                        <w14:solidFill>
                          <w14:schemeClr w14:val="tx1"/>
                        </w14:solidFill>
                      </w14:textFill>
                    </w:rPr>
                  </m:ctrlPr>
                </m:e>
                <m:sub>
                  <m:r>
                    <m:rPr>
                      <m:sty m:val="p"/>
                    </m:rPr>
                    <w:rPr>
                      <w:rFonts w:ascii="Cambria Math" w:hAnsi="Cambria Math"/>
                      <w:color w:val="000000" w:themeColor="text1"/>
                      <w:szCs w:val="24"/>
                      <w:highlight w:val="none"/>
                      <w14:textFill>
                        <w14:solidFill>
                          <w14:schemeClr w14:val="tx1"/>
                        </w14:solidFill>
                      </w14:textFill>
                    </w:rPr>
                    <m:t>i</m:t>
                  </m:r>
                  <m:ctrlPr>
                    <w:rPr>
                      <w:rFonts w:ascii="Cambria Math" w:hAnsi="Cambria Math"/>
                      <w:color w:val="000000" w:themeColor="text1"/>
                      <w:kern w:val="2"/>
                      <w:szCs w:val="24"/>
                      <w:highlight w:val="none"/>
                      <w14:textFill>
                        <w14:solidFill>
                          <w14:schemeClr w14:val="tx1"/>
                        </w14:solidFill>
                      </w14:textFill>
                    </w:rPr>
                  </m:ctrlPr>
                </m:sub>
              </m:sSub>
              <m:ctrlPr>
                <w:rPr>
                  <w:rFonts w:ascii="Cambria Math" w:hAnsi="Cambria Math"/>
                  <w:color w:val="000000" w:themeColor="text1"/>
                  <w:kern w:val="2"/>
                  <w:szCs w:val="24"/>
                  <w:highlight w:val="none"/>
                  <w14:textFill>
                    <w14:solidFill>
                      <w14:schemeClr w14:val="tx1"/>
                    </w14:solidFill>
                  </w14:textFill>
                </w:rPr>
              </m:ctrlPr>
            </m:num>
            <m:den>
              <m:sSub>
                <m:sSubPr>
                  <m:ctrlPr>
                    <w:rPr>
                      <w:rFonts w:ascii="Cambria Math" w:hAnsi="Cambria Math"/>
                      <w:color w:val="000000" w:themeColor="text1"/>
                      <w:kern w:val="2"/>
                      <w:szCs w:val="24"/>
                      <w:highlight w:val="none"/>
                      <w14:textFill>
                        <w14:solidFill>
                          <w14:schemeClr w14:val="tx1"/>
                        </w14:solidFill>
                      </w14:textFill>
                    </w:rPr>
                  </m:ctrlPr>
                </m:sSubPr>
                <m:e>
                  <m:r>
                    <m:rPr>
                      <m:sty m:val="p"/>
                    </m:rPr>
                    <w:rPr>
                      <w:rFonts w:ascii="Cambria Math" w:hAnsi="Cambria Math"/>
                      <w:color w:val="000000" w:themeColor="text1"/>
                      <w:szCs w:val="24"/>
                      <w:highlight w:val="none"/>
                      <w14:textFill>
                        <w14:solidFill>
                          <w14:schemeClr w14:val="tx1"/>
                        </w14:solidFill>
                      </w14:textFill>
                    </w:rPr>
                    <m:t>C</m:t>
                  </m:r>
                  <m:ctrlPr>
                    <w:rPr>
                      <w:rFonts w:ascii="Cambria Math" w:hAnsi="Cambria Math"/>
                      <w:color w:val="000000" w:themeColor="text1"/>
                      <w:kern w:val="2"/>
                      <w:szCs w:val="24"/>
                      <w:highlight w:val="none"/>
                      <w14:textFill>
                        <w14:solidFill>
                          <w14:schemeClr w14:val="tx1"/>
                        </w14:solidFill>
                      </w14:textFill>
                    </w:rPr>
                  </m:ctrlPr>
                </m:e>
                <m:sub>
                  <m:r>
                    <m:rPr>
                      <m:sty m:val="p"/>
                    </m:rPr>
                    <w:rPr>
                      <w:rFonts w:ascii="Cambria Math" w:hAnsi="Cambria Math"/>
                      <w:color w:val="000000" w:themeColor="text1"/>
                      <w:szCs w:val="24"/>
                      <w:highlight w:val="none"/>
                      <w14:textFill>
                        <w14:solidFill>
                          <w14:schemeClr w14:val="tx1"/>
                        </w14:solidFill>
                      </w14:textFill>
                    </w:rPr>
                    <m:t>oi</m:t>
                  </m:r>
                  <m:ctrlPr>
                    <w:rPr>
                      <w:rFonts w:ascii="Cambria Math" w:hAnsi="Cambria Math"/>
                      <w:color w:val="000000" w:themeColor="text1"/>
                      <w:kern w:val="2"/>
                      <w:szCs w:val="24"/>
                      <w:highlight w:val="none"/>
                      <w14:textFill>
                        <w14:solidFill>
                          <w14:schemeClr w14:val="tx1"/>
                        </w14:solidFill>
                      </w14:textFill>
                    </w:rPr>
                  </m:ctrlPr>
                </m:sub>
              </m:sSub>
              <m:ctrlPr>
                <w:rPr>
                  <w:rFonts w:ascii="Cambria Math" w:hAnsi="Cambria Math"/>
                  <w:i/>
                  <w:color w:val="000000" w:themeColor="text1"/>
                  <w:kern w:val="2"/>
                  <w:szCs w:val="24"/>
                  <w:highlight w:val="none"/>
                  <w14:textFill>
                    <w14:solidFill>
                      <w14:schemeClr w14:val="tx1"/>
                    </w14:solidFill>
                  </w14:textFill>
                </w:rPr>
              </m:ctrlPr>
            </m:den>
          </m:f>
          <m:r>
            <m:rPr>
              <m:sty m:val="p"/>
            </m:rPr>
            <w:rPr>
              <w:rFonts w:ascii="Cambria Math" w:hAnsi="Cambria Math"/>
              <w:color w:val="000000" w:themeColor="text1"/>
              <w:szCs w:val="24"/>
              <w:highlight w:val="none"/>
              <w14:textFill>
                <w14:solidFill>
                  <w14:schemeClr w14:val="tx1"/>
                </w14:solidFill>
              </w14:textFill>
            </w:rPr>
            <m:t>×100%</m:t>
          </m:r>
        </m:oMath>
      </m:oMathPara>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Pi——为第i个污染物的最大监测浓度占标率，%；</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Ci——为第i个污染因子的最大实测浓度（mg/m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Coi——为第i个污染物相对应的评价标准（mg/m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w:t>
      </w:r>
    </w:p>
    <w:p>
      <w:pPr>
        <w:pStyle w:val="25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根据HJ2.2-2018，现状监测结果以列表的方式给出各监测点大气污染物的不同取值时间的变化范围，并给出各取值时间最大浓度值占相应标准浓度限值的百分比和超标率，并评价达标情况。</w:t>
      </w:r>
    </w:p>
    <w:p>
      <w:pPr>
        <w:pStyle w:val="21"/>
        <w:spacing w:before="0"/>
        <w:ind w:left="0" w:firstLine="480"/>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（7）监测结果及评价结论见</w:t>
      </w:r>
      <w:r>
        <w:rPr>
          <w:rFonts w:ascii="Times New Roman" w:hAnsi="Times New Roman"/>
          <w:color w:val="000000" w:themeColor="text1"/>
          <w:highlight w:val="none"/>
          <w:lang w:eastAsia="zh-CN"/>
          <w14:textFill>
            <w14:solidFill>
              <w14:schemeClr w14:val="tx1"/>
            </w14:solidFill>
          </w14:textFill>
        </w:rPr>
        <w:fldChar w:fldCharType="begin"/>
      </w:r>
      <w:r>
        <w:rPr>
          <w:rFonts w:ascii="Times New Roman" w:hAnsi="Times New Roman"/>
          <w:color w:val="000000" w:themeColor="text1"/>
          <w:highlight w:val="none"/>
          <w:lang w:eastAsia="zh-CN"/>
          <w14:textFill>
            <w14:solidFill>
              <w14:schemeClr w14:val="tx1"/>
            </w14:solidFill>
          </w14:textFill>
        </w:rPr>
        <w:instrText xml:space="preserve"> REF _Ref142907081 \h  \* MERGEFORMAT </w:instrText>
      </w:r>
      <w:r>
        <w:rPr>
          <w:rFonts w:ascii="Times New Roman" w:hAnsi="Times New Roman"/>
          <w:color w:val="000000" w:themeColor="text1"/>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4.2</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2</w:t>
      </w:r>
      <w:r>
        <w:rPr>
          <w:rFonts w:ascii="Times New Roman" w:hAnsi="Times New Roman"/>
          <w:color w:val="000000" w:themeColor="text1"/>
          <w:highlight w:val="none"/>
          <w:lang w:eastAsia="zh-CN"/>
          <w14:textFill>
            <w14:solidFill>
              <w14:schemeClr w14:val="tx1"/>
            </w14:solidFill>
          </w14:textFill>
        </w:rPr>
        <w:fldChar w:fldCharType="end"/>
      </w:r>
      <w:r>
        <w:rPr>
          <w:rFonts w:ascii="Times New Roman" w:hAnsi="Times New Roman"/>
          <w:color w:val="000000" w:themeColor="text1"/>
          <w:highlight w:val="none"/>
          <w:lang w:eastAsia="zh-CN"/>
          <w14:textFill>
            <w14:solidFill>
              <w14:schemeClr w14:val="tx1"/>
            </w14:solidFill>
          </w14:textFill>
        </w:rPr>
        <w:t>~</w:t>
      </w:r>
      <w:r>
        <w:rPr>
          <w:rFonts w:ascii="Times New Roman" w:hAnsi="Times New Roman"/>
          <w:color w:val="000000" w:themeColor="text1"/>
          <w:highlight w:val="none"/>
          <w:lang w:eastAsia="zh-CN"/>
          <w14:textFill>
            <w14:solidFill>
              <w14:schemeClr w14:val="tx1"/>
            </w14:solidFill>
          </w14:textFill>
        </w:rPr>
        <w:fldChar w:fldCharType="begin"/>
      </w:r>
      <w:r>
        <w:rPr>
          <w:rFonts w:ascii="Times New Roman" w:hAnsi="Times New Roman"/>
          <w:color w:val="000000" w:themeColor="text1"/>
          <w:highlight w:val="none"/>
          <w:lang w:eastAsia="zh-CN"/>
          <w14:textFill>
            <w14:solidFill>
              <w14:schemeClr w14:val="tx1"/>
            </w14:solidFill>
          </w14:textFill>
        </w:rPr>
        <w:instrText xml:space="preserve"> REF _Ref142907107 \h  \* MERGEFORMAT </w:instrText>
      </w:r>
      <w:r>
        <w:rPr>
          <w:rFonts w:ascii="Times New Roman" w:hAnsi="Times New Roman"/>
          <w:color w:val="000000" w:themeColor="text1"/>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4.2</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4</w:t>
      </w:r>
      <w:r>
        <w:rPr>
          <w:rFonts w:ascii="Times New Roman" w:hAnsi="Times New Roman"/>
          <w:color w:val="000000" w:themeColor="text1"/>
          <w:highlight w:val="none"/>
          <w:lang w:eastAsia="zh-CN"/>
          <w14:textFill>
            <w14:solidFill>
              <w14:schemeClr w14:val="tx1"/>
            </w14:solidFill>
          </w14:textFill>
        </w:rPr>
        <w:fldChar w:fldCharType="end"/>
      </w:r>
      <w:r>
        <w:rPr>
          <w:rFonts w:ascii="Times New Roman" w:hAnsi="Times New Roman"/>
          <w:color w:val="000000" w:themeColor="text1"/>
          <w:highlight w:val="none"/>
          <w:lang w:eastAsia="zh-CN"/>
          <w14:textFill>
            <w14:solidFill>
              <w14:schemeClr w14:val="tx1"/>
            </w14:solidFill>
          </w14:textFill>
        </w:rPr>
        <w:t>。</w:t>
      </w:r>
    </w:p>
    <w:p>
      <w:pPr>
        <w:pStyle w:val="201"/>
        <w:keepNext/>
        <w:keepLines w:val="0"/>
        <w:pageBreakBefore w:val="0"/>
        <w:widowControl/>
        <w:kinsoku/>
        <w:wordWrap/>
        <w:overflowPunct/>
        <w:topLinePunct w:val="0"/>
        <w:autoSpaceDE/>
        <w:autoSpaceDN/>
        <w:bidi w:val="0"/>
        <w:adjustRightInd w:val="0"/>
        <w:snapToGrid w:val="0"/>
        <w:spacing w:before="0" w:beforeLines="0"/>
        <w:textAlignment w:val="baseline"/>
        <w:rPr>
          <w:color w:val="000000" w:themeColor="text1"/>
          <w:highlight w:val="none"/>
          <w14:textFill>
            <w14:solidFill>
              <w14:schemeClr w14:val="tx1"/>
            </w14:solidFill>
          </w14:textFill>
        </w:rPr>
      </w:pPr>
      <w:bookmarkStart w:id="217" w:name="_Ref14290708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217"/>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环境空气质量现状监测结果</w:t>
      </w:r>
      <w:r>
        <w:rPr>
          <w:color w:val="000000" w:themeColor="text1"/>
          <w:highlight w:val="none"/>
          <w14:textFill>
            <w14:solidFill>
              <w14:schemeClr w14:val="tx1"/>
            </w14:solidFill>
          </w14:textFill>
        </w:rPr>
        <w:t xml:space="preserve">  单位：mg/m</w:t>
      </w:r>
      <w:r>
        <w:rPr>
          <w:color w:val="000000" w:themeColor="text1"/>
          <w:highlight w:val="none"/>
          <w:vertAlign w:val="superscript"/>
          <w14:textFill>
            <w14:solidFill>
              <w14:schemeClr w14:val="tx1"/>
            </w14:solidFill>
          </w14:textFill>
        </w:rPr>
        <w:t>3</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716"/>
        <w:gridCol w:w="1783"/>
        <w:gridCol w:w="1100"/>
        <w:gridCol w:w="905"/>
        <w:gridCol w:w="905"/>
        <w:gridCol w:w="905"/>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监测点位</w:t>
            </w: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监测日期</w:t>
            </w:r>
          </w:p>
        </w:tc>
        <w:tc>
          <w:tcPr>
            <w:tcW w:w="1100"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项目</w:t>
            </w:r>
          </w:p>
        </w:tc>
        <w:tc>
          <w:tcPr>
            <w:tcW w:w="905"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第一次</w:t>
            </w:r>
          </w:p>
        </w:tc>
        <w:tc>
          <w:tcPr>
            <w:tcW w:w="905"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第二次</w:t>
            </w:r>
          </w:p>
        </w:tc>
        <w:tc>
          <w:tcPr>
            <w:tcW w:w="905"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第三次</w:t>
            </w:r>
          </w:p>
        </w:tc>
        <w:tc>
          <w:tcPr>
            <w:tcW w:w="906"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eastAsia="zh-CN"/>
                <w14:textFill>
                  <w14:solidFill>
                    <w14:schemeClr w14:val="tx1"/>
                  </w14:solidFill>
                </w14:textFill>
              </w:rPr>
            </w:pPr>
            <w:r>
              <w:rPr>
                <w:rFonts w:hint="eastAsia" w:cs="Times New Roman"/>
                <w:color w:val="000000" w:themeColor="text1"/>
                <w:szCs w:val="20"/>
                <w:highlight w:val="none"/>
                <w:shd w:val="clear" w:color="auto" w:fill="FFFFFF"/>
                <w:lang w:eastAsia="zh-CN"/>
                <w14:textFill>
                  <w14:solidFill>
                    <w14:schemeClr w14:val="tx1"/>
                  </w14:solidFill>
                </w14:textFill>
              </w:rPr>
              <w:t>井场拟建地下风向西南侧处</w:t>
            </w: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2024.6.12</w:t>
            </w:r>
          </w:p>
        </w:tc>
        <w:tc>
          <w:tcPr>
            <w:tcW w:w="1100"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非甲烷总烃</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2024.6.13</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2024.6.14</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2024.6.15</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2024.6.16</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2024.6.17</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71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14:textFill>
                  <w14:solidFill>
                    <w14:schemeClr w14:val="tx1"/>
                  </w14:solidFill>
                </w14:textFill>
              </w:rPr>
            </w:pPr>
          </w:p>
        </w:tc>
        <w:tc>
          <w:tcPr>
            <w:tcW w:w="17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2024.6.18</w:t>
            </w:r>
          </w:p>
        </w:tc>
        <w:tc>
          <w:tcPr>
            <w:tcW w:w="1100"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c>
          <w:tcPr>
            <w:tcW w:w="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bl>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环境空气质量现状监测结果</w:t>
      </w:r>
      <w:r>
        <w:rPr>
          <w:color w:val="000000" w:themeColor="text1"/>
          <w:highlight w:val="none"/>
          <w14:textFill>
            <w14:solidFill>
              <w14:schemeClr w14:val="tx1"/>
            </w14:solidFill>
          </w14:textFill>
        </w:rPr>
        <w:t xml:space="preserve">  单位：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µ</w:t>
      </w:r>
      <w:r>
        <w:rPr>
          <w:color w:val="000000" w:themeColor="text1"/>
          <w:highlight w:val="none"/>
          <w14:textFill>
            <w14:solidFill>
              <w14:schemeClr w14:val="tx1"/>
            </w14:solidFill>
          </w14:textFill>
        </w:rPr>
        <w:t>g/m</w:t>
      </w:r>
      <w:r>
        <w:rPr>
          <w:color w:val="000000" w:themeColor="text1"/>
          <w:highlight w:val="none"/>
          <w:vertAlign w:val="superscript"/>
          <w14:textFill>
            <w14:solidFill>
              <w14:schemeClr w14:val="tx1"/>
            </w14:solidFill>
          </w14:textFill>
        </w:rPr>
        <w:t>3</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456"/>
        <w:gridCol w:w="4683"/>
        <w:gridCol w:w="101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监测点位</w:t>
            </w:r>
          </w:p>
        </w:tc>
        <w:tc>
          <w:tcPr>
            <w:tcW w:w="4683"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监测日期</w:t>
            </w:r>
          </w:p>
        </w:tc>
        <w:tc>
          <w:tcPr>
            <w:tcW w:w="1010"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w:t>
            </w:r>
          </w:p>
        </w:tc>
        <w:tc>
          <w:tcPr>
            <w:tcW w:w="1071" w:type="dxa"/>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井场拟建地下风向西南侧处</w:t>
            </w: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2024.6.12~2024.6.13</w:t>
            </w:r>
          </w:p>
        </w:tc>
        <w:tc>
          <w:tcPr>
            <w:tcW w:w="1010" w:type="dxa"/>
            <w:vMerge w:val="restart"/>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总悬浮颗粒物</w:t>
            </w: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2024.6.13~2024.6.14</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2024.6.14~2024.6.15</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2024.6.15~2024.6.16</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2024.6.16~2024.6.17</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2024.6.17~2024.6.18</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456"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83"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2024.6.18~2024.6.19</w:t>
            </w:r>
          </w:p>
        </w:tc>
        <w:tc>
          <w:tcPr>
            <w:tcW w:w="1010" w:type="dxa"/>
            <w:vMerge w:val="continue"/>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7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rPr>
              <w:t>***</w:t>
            </w:r>
          </w:p>
        </w:tc>
      </w:tr>
    </w:tbl>
    <w:p>
      <w:pPr>
        <w:pStyle w:val="201"/>
        <w:spacing w:before="120"/>
        <w:rPr>
          <w:color w:val="000000" w:themeColor="text1"/>
          <w:highlight w:val="none"/>
          <w14:textFill>
            <w14:solidFill>
              <w14:schemeClr w14:val="tx1"/>
            </w14:solidFill>
          </w14:textFill>
        </w:rPr>
      </w:pPr>
      <w:bookmarkStart w:id="218" w:name="_Ref14290710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21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环境空气质量现状及评价</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66"/>
        <w:gridCol w:w="916"/>
        <w:gridCol w:w="817"/>
        <w:gridCol w:w="600"/>
        <w:gridCol w:w="1167"/>
        <w:gridCol w:w="983"/>
        <w:gridCol w:w="1367"/>
        <w:gridCol w:w="600"/>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16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监测点位</w:t>
            </w:r>
          </w:p>
        </w:tc>
        <w:tc>
          <w:tcPr>
            <w:tcW w:w="91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采样时间</w:t>
            </w:r>
          </w:p>
        </w:tc>
        <w:tc>
          <w:tcPr>
            <w:tcW w:w="81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监测项目</w:t>
            </w:r>
          </w:p>
        </w:tc>
        <w:tc>
          <w:tcPr>
            <w:tcW w:w="6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采样个数</w:t>
            </w:r>
          </w:p>
        </w:tc>
        <w:tc>
          <w:tcPr>
            <w:tcW w:w="11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浓度范围</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m</w:t>
            </w:r>
            <w:r>
              <w:rPr>
                <w:rFonts w:hint="default"/>
                <w:b/>
                <w:bCs/>
                <w:color w:val="000000" w:themeColor="text1"/>
                <w:szCs w:val="20"/>
                <w:highlight w:val="none"/>
                <w:lang w:val="zh-CN"/>
                <w14:textFill>
                  <w14:solidFill>
                    <w14:schemeClr w14:val="tx1"/>
                  </w14:solidFill>
                </w14:textFill>
              </w:rPr>
              <w:t>g</w:t>
            </w:r>
            <w:r>
              <w:rPr>
                <w:rFonts w:hint="default"/>
                <w:b/>
                <w:bCs/>
                <w:color w:val="000000" w:themeColor="text1"/>
                <w:szCs w:val="20"/>
                <w:highlight w:val="none"/>
                <w14:textFill>
                  <w14:solidFill>
                    <w14:schemeClr w14:val="tx1"/>
                  </w14:solidFill>
                </w14:textFill>
              </w:rPr>
              <w:t>/m</w:t>
            </w:r>
            <w:r>
              <w:rPr>
                <w:rFonts w:hint="default"/>
                <w:b/>
                <w:bCs/>
                <w:color w:val="000000" w:themeColor="text1"/>
                <w:szCs w:val="20"/>
                <w:highlight w:val="none"/>
                <w:vertAlign w:val="superscript"/>
                <w14:textFill>
                  <w14:solidFill>
                    <w14:schemeClr w14:val="tx1"/>
                  </w14:solidFill>
                </w14:textFill>
              </w:rPr>
              <w:t>3</w:t>
            </w:r>
          </w:p>
        </w:tc>
        <w:tc>
          <w:tcPr>
            <w:tcW w:w="983" w:type="dxa"/>
            <w:vAlign w:val="center"/>
          </w:tcPr>
          <w:p>
            <w:pPr>
              <w:pStyle w:val="295"/>
              <w:keepNext w:val="0"/>
              <w:keepLines w:val="0"/>
              <w:widowControl/>
              <w:suppressLineNumbers w:val="0"/>
              <w:spacing w:before="0" w:beforeAutospacing="0" w:after="0" w:afterAutospacing="0"/>
              <w:ind w:left="0" w:right="0"/>
              <w:rPr>
                <w:rFonts w:hint="default"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标准限值</w:t>
            </w:r>
            <w:r>
              <w:rPr>
                <w:rFonts w:hint="default"/>
                <w:b/>
                <w:bCs/>
                <w:color w:val="000000" w:themeColor="text1"/>
                <w:szCs w:val="20"/>
                <w:highlight w:val="none"/>
                <w14:textFill>
                  <w14:solidFill>
                    <w14:schemeClr w14:val="tx1"/>
                  </w14:solidFill>
                </w14:textFill>
              </w:rPr>
              <w:t>m</w:t>
            </w:r>
            <w:r>
              <w:rPr>
                <w:rFonts w:hint="default"/>
                <w:b/>
                <w:bCs/>
                <w:color w:val="000000" w:themeColor="text1"/>
                <w:szCs w:val="20"/>
                <w:highlight w:val="none"/>
                <w:lang w:val="zh-CN"/>
                <w14:textFill>
                  <w14:solidFill>
                    <w14:schemeClr w14:val="tx1"/>
                  </w14:solidFill>
                </w14:textFill>
              </w:rPr>
              <w:t>g</w:t>
            </w:r>
            <w:r>
              <w:rPr>
                <w:rFonts w:hint="default"/>
                <w:b/>
                <w:bCs/>
                <w:color w:val="000000" w:themeColor="text1"/>
                <w:szCs w:val="20"/>
                <w:highlight w:val="none"/>
                <w14:textFill>
                  <w14:solidFill>
                    <w14:schemeClr w14:val="tx1"/>
                  </w14:solidFill>
                </w14:textFill>
              </w:rPr>
              <w:t>/m</w:t>
            </w:r>
            <w:r>
              <w:rPr>
                <w:rFonts w:hint="default"/>
                <w:b/>
                <w:bCs/>
                <w:color w:val="000000" w:themeColor="text1"/>
                <w:szCs w:val="20"/>
                <w:highlight w:val="none"/>
                <w:vertAlign w:val="superscript"/>
                <w14:textFill>
                  <w14:solidFill>
                    <w14:schemeClr w14:val="tx1"/>
                  </w14:solidFill>
                </w14:textFill>
              </w:rPr>
              <w:t>3</w:t>
            </w:r>
          </w:p>
        </w:tc>
        <w:tc>
          <w:tcPr>
            <w:tcW w:w="13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最大浓度占标率P</w:t>
            </w:r>
            <w:r>
              <w:rPr>
                <w:rFonts w:hint="default"/>
                <w:b/>
                <w:bCs/>
                <w:color w:val="000000" w:themeColor="text1"/>
                <w:szCs w:val="20"/>
                <w:highlight w:val="none"/>
                <w:vertAlign w:val="subscript"/>
                <w14:textFill>
                  <w14:solidFill>
                    <w14:schemeClr w14:val="tx1"/>
                  </w14:solidFill>
                </w14:textFill>
              </w:rPr>
              <w:t>i</w:t>
            </w:r>
            <w:r>
              <w:rPr>
                <w:rFonts w:hint="eastAsia"/>
                <w:b/>
                <w:bCs/>
                <w:color w:val="000000" w:themeColor="text1"/>
                <w:szCs w:val="20"/>
                <w:highlight w:val="none"/>
                <w14:textFill>
                  <w14:solidFill>
                    <w14:schemeClr w14:val="tx1"/>
                  </w14:solidFill>
                </w14:textFill>
              </w:rPr>
              <w:t>（%）</w:t>
            </w:r>
          </w:p>
        </w:tc>
        <w:tc>
          <w:tcPr>
            <w:tcW w:w="6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超标率</w:t>
            </w:r>
          </w:p>
        </w:tc>
        <w:tc>
          <w:tcPr>
            <w:tcW w:w="60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达标</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166" w:type="dxa"/>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井场拟建地下风向西南侧处</w:t>
            </w:r>
          </w:p>
        </w:tc>
        <w:tc>
          <w:tcPr>
            <w:tcW w:w="91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2024年</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月</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日</w:t>
            </w:r>
            <w:r>
              <w:rPr>
                <w:rFonts w:hint="eastAsia" w:cs="Times New Roman"/>
                <w:color w:val="000000" w:themeColor="text1"/>
                <w:sz w:val="21"/>
                <w:szCs w:val="21"/>
                <w:highlight w:val="none"/>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2024年</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月</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19</w:t>
            </w:r>
            <w:r>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日</w:t>
            </w:r>
          </w:p>
        </w:tc>
        <w:tc>
          <w:tcPr>
            <w:tcW w:w="81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6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28</w:t>
            </w:r>
          </w:p>
        </w:tc>
        <w:tc>
          <w:tcPr>
            <w:tcW w:w="1167" w:type="dxa"/>
            <w:vAlign w:val="center"/>
          </w:tcPr>
          <w:p>
            <w:pPr>
              <w:keepNext w:val="0"/>
              <w:keepLines w:val="0"/>
              <w:widowControl/>
              <w:suppressLineNumbers w:val="0"/>
              <w:spacing w:before="0" w:beforeAutospacing="0" w:after="0" w:afterAutospacing="0"/>
              <w:ind w:left="0" w:right="0" w:firstLine="48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rPr>
              <w:t>***</w:t>
            </w:r>
          </w:p>
        </w:tc>
        <w:tc>
          <w:tcPr>
            <w:tcW w:w="983" w:type="dxa"/>
            <w:vAlign w:val="center"/>
          </w:tcPr>
          <w:p>
            <w:pPr>
              <w:keepNext w:val="0"/>
              <w:keepLines w:val="0"/>
              <w:widowControl/>
              <w:suppressLineNumbers w:val="0"/>
              <w:spacing w:before="0" w:beforeAutospacing="0" w:after="0" w:afterAutospacing="0"/>
              <w:ind w:left="0" w:right="0" w:firstLine="48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rPr>
              <w:t>***</w:t>
            </w:r>
          </w:p>
        </w:tc>
        <w:tc>
          <w:tcPr>
            <w:tcW w:w="1367"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 w:val="21"/>
                <w:szCs w:val="21"/>
                <w:highlight w:val="none"/>
                <w14:textFill>
                  <w14:solidFill>
                    <w14:schemeClr w14:val="tx1"/>
                  </w14:solidFill>
                </w14:textFill>
              </w:rPr>
            </w:pPr>
            <w:r>
              <w:rPr>
                <w:rFonts w:hint="eastAsia"/>
              </w:rPr>
              <w:t>***</w:t>
            </w:r>
          </w:p>
        </w:tc>
        <w:tc>
          <w:tcPr>
            <w:tcW w:w="6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60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16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91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81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总悬浮颗粒物</w:t>
            </w:r>
          </w:p>
        </w:tc>
        <w:tc>
          <w:tcPr>
            <w:tcW w:w="6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w:t>
            </w:r>
          </w:p>
        </w:tc>
        <w:tc>
          <w:tcPr>
            <w:tcW w:w="1167" w:type="dxa"/>
            <w:vAlign w:val="center"/>
          </w:tcPr>
          <w:p>
            <w:pPr>
              <w:keepNext w:val="0"/>
              <w:keepLines w:val="0"/>
              <w:widowControl/>
              <w:suppressLineNumbers w:val="0"/>
              <w:spacing w:before="0" w:beforeAutospacing="0" w:after="0" w:afterAutospacing="0"/>
              <w:ind w:left="0" w:right="0" w:firstLine="48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rPr>
              <w:t>***</w:t>
            </w:r>
          </w:p>
        </w:tc>
        <w:tc>
          <w:tcPr>
            <w:tcW w:w="983" w:type="dxa"/>
            <w:vAlign w:val="center"/>
          </w:tcPr>
          <w:p>
            <w:pPr>
              <w:keepNext w:val="0"/>
              <w:keepLines w:val="0"/>
              <w:widowControl/>
              <w:suppressLineNumbers w:val="0"/>
              <w:spacing w:before="0" w:beforeAutospacing="0" w:after="0" w:afterAutospacing="0"/>
              <w:ind w:left="0" w:right="0" w:firstLine="48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rPr>
              <w:t>***</w:t>
            </w:r>
          </w:p>
        </w:tc>
        <w:tc>
          <w:tcPr>
            <w:tcW w:w="1367" w:type="dxa"/>
            <w:vAlign w:val="center"/>
          </w:tcPr>
          <w:p>
            <w:pPr>
              <w:keepNext w:val="0"/>
              <w:keepLines w:val="0"/>
              <w:widowControl/>
              <w:suppressLineNumbers w:val="0"/>
              <w:spacing w:before="0" w:beforeAutospacing="0" w:after="0" w:afterAutospacing="0"/>
              <w:ind w:left="0" w:right="0" w:firstLine="480" w:firstLineChars="200"/>
              <w:rPr>
                <w:rFonts w:hint="default"/>
                <w:color w:val="000000" w:themeColor="text1"/>
                <w:sz w:val="21"/>
                <w:szCs w:val="21"/>
                <w:highlight w:val="none"/>
                <w14:textFill>
                  <w14:solidFill>
                    <w14:schemeClr w14:val="tx1"/>
                  </w14:solidFill>
                </w14:textFill>
              </w:rPr>
            </w:pPr>
            <w:r>
              <w:rPr>
                <w:rFonts w:hint="eastAsia"/>
              </w:rPr>
              <w:t>***</w:t>
            </w:r>
          </w:p>
        </w:tc>
        <w:tc>
          <w:tcPr>
            <w:tcW w:w="6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p>
        </w:tc>
        <w:tc>
          <w:tcPr>
            <w:tcW w:w="60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bl>
    <w:p>
      <w:pPr>
        <w:spacing w:before="120" w:beforeLines="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评价结论：本项目所在地环境空气中特征污染物</w:t>
      </w:r>
      <w:bookmarkStart w:id="219" w:name="_Hlk100174264"/>
      <w:bookmarkStart w:id="220" w:name="_Hlk100174299"/>
      <w:r>
        <w:rPr>
          <w:color w:val="000000" w:themeColor="text1"/>
          <w:highlight w:val="none"/>
          <w14:textFill>
            <w14:solidFill>
              <w14:schemeClr w14:val="tx1"/>
            </w14:solidFill>
          </w14:textFill>
        </w:rPr>
        <w:t>非甲烷总烃</w:t>
      </w:r>
      <w:bookmarkEnd w:id="219"/>
      <w:r>
        <w:rPr>
          <w:color w:val="000000" w:themeColor="text1"/>
          <w:highlight w:val="none"/>
          <w14:textFill>
            <w14:solidFill>
              <w14:schemeClr w14:val="tx1"/>
            </w14:solidFill>
          </w14:textFill>
        </w:rPr>
        <w:t>现状监测值均低于《大气污染物综合排放标准详解》浓度限值；总悬浮颗粒物现状监测值均低于环境空气质量标准（GB3095-2012）二级标准限值。</w:t>
      </w:r>
      <w:bookmarkEnd w:id="220"/>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21" w:name="_Toc120173129"/>
      <w:r>
        <w:rPr>
          <w:color w:val="000000" w:themeColor="text1"/>
          <w:highlight w:val="none"/>
          <w:lang w:eastAsia="zh-CN"/>
          <w14:textFill>
            <w14:solidFill>
              <w14:schemeClr w14:val="tx1"/>
            </w14:solidFill>
          </w14:textFill>
        </w:rPr>
        <w:t>地表水环境质量现状</w:t>
      </w:r>
      <w:bookmarkEnd w:id="221"/>
    </w:p>
    <w:p>
      <w:pPr>
        <w:pStyle w:val="21"/>
        <w:adjustRightInd w:val="0"/>
        <w:snapToGrid w:val="0"/>
        <w:spacing w:before="120" w:line="360" w:lineRule="auto"/>
        <w:ind w:firstLine="480" w:firstLineChars="200"/>
        <w:jc w:val="both"/>
        <w:rPr>
          <w:rFonts w:ascii="Times New Roman" w:hAnsi="Times New Roman"/>
          <w:bCs/>
          <w:color w:val="000000" w:themeColor="text1"/>
          <w:kern w:val="2"/>
          <w:lang w:eastAsia="zh-CN"/>
          <w14:textFill>
            <w14:solidFill>
              <w14:schemeClr w14:val="tx1"/>
            </w14:solidFill>
          </w14:textFill>
        </w:rPr>
      </w:pPr>
      <w:r>
        <w:rPr>
          <w:rFonts w:ascii="Times New Roman" w:hAnsi="Times New Roman"/>
          <w:bCs/>
          <w:color w:val="000000" w:themeColor="text1"/>
          <w:kern w:val="2"/>
          <w:lang w:eastAsia="zh-CN"/>
          <w14:textFill>
            <w14:solidFill>
              <w14:schemeClr w14:val="tx1"/>
            </w14:solidFill>
          </w14:textFill>
        </w:rPr>
        <w:t>本项目位于州河流域，州河属于渠江流域，根据《202</w:t>
      </w:r>
      <w:r>
        <w:rPr>
          <w:rFonts w:hint="eastAsia" w:ascii="Times New Roman" w:hAnsi="Times New Roman"/>
          <w:bCs/>
          <w:color w:val="000000" w:themeColor="text1"/>
          <w:kern w:val="2"/>
          <w:lang w:eastAsia="zh-CN"/>
          <w14:textFill>
            <w14:solidFill>
              <w14:schemeClr w14:val="tx1"/>
            </w14:solidFill>
          </w14:textFill>
        </w:rPr>
        <w:t>4</w:t>
      </w:r>
      <w:r>
        <w:rPr>
          <w:rFonts w:ascii="Times New Roman" w:hAnsi="Times New Roman"/>
          <w:bCs/>
          <w:color w:val="000000" w:themeColor="text1"/>
          <w:kern w:val="2"/>
          <w:lang w:eastAsia="zh-CN"/>
          <w14:textFill>
            <w14:solidFill>
              <w14:schemeClr w14:val="tx1"/>
            </w14:solidFill>
          </w14:textFill>
        </w:rPr>
        <w:t>年</w:t>
      </w:r>
      <w:r>
        <w:rPr>
          <w:rFonts w:hint="eastAsia" w:ascii="Times New Roman" w:hAnsi="Times New Roman"/>
          <w:bCs/>
          <w:color w:val="000000" w:themeColor="text1"/>
          <w:kern w:val="2"/>
          <w:lang w:eastAsia="zh-CN"/>
          <w14:textFill>
            <w14:solidFill>
              <w14:schemeClr w14:val="tx1"/>
            </w14:solidFill>
          </w14:textFill>
        </w:rPr>
        <w:t>2</w:t>
      </w:r>
      <w:r>
        <w:rPr>
          <w:rFonts w:ascii="Times New Roman" w:hAnsi="Times New Roman"/>
          <w:bCs/>
          <w:color w:val="000000" w:themeColor="text1"/>
          <w:kern w:val="2"/>
          <w:lang w:eastAsia="zh-CN"/>
          <w14:textFill>
            <w14:solidFill>
              <w14:schemeClr w14:val="tx1"/>
            </w14:solidFill>
          </w14:textFill>
        </w:rPr>
        <w:t>月达州市地表水水质月报》：202</w:t>
      </w:r>
      <w:r>
        <w:rPr>
          <w:rFonts w:hint="eastAsia" w:ascii="Times New Roman" w:hAnsi="Times New Roman"/>
          <w:bCs/>
          <w:color w:val="000000" w:themeColor="text1"/>
          <w:kern w:val="2"/>
          <w:lang w:eastAsia="zh-CN"/>
          <w14:textFill>
            <w14:solidFill>
              <w14:schemeClr w14:val="tx1"/>
            </w14:solidFill>
          </w14:textFill>
        </w:rPr>
        <w:t>4</w:t>
      </w:r>
      <w:r>
        <w:rPr>
          <w:rFonts w:ascii="Times New Roman" w:hAnsi="Times New Roman"/>
          <w:bCs/>
          <w:color w:val="000000" w:themeColor="text1"/>
          <w:kern w:val="2"/>
          <w:lang w:eastAsia="zh-CN"/>
          <w14:textFill>
            <w14:solidFill>
              <w14:schemeClr w14:val="tx1"/>
            </w14:solidFill>
          </w14:textFill>
        </w:rPr>
        <w:t>年</w:t>
      </w:r>
      <w:r>
        <w:rPr>
          <w:rFonts w:hint="eastAsia" w:ascii="Times New Roman" w:hAnsi="Times New Roman"/>
          <w:bCs/>
          <w:color w:val="000000" w:themeColor="text1"/>
          <w:kern w:val="2"/>
          <w:lang w:eastAsia="zh-CN"/>
          <w14:textFill>
            <w14:solidFill>
              <w14:schemeClr w14:val="tx1"/>
            </w14:solidFill>
          </w14:textFill>
        </w:rPr>
        <w:t>2</w:t>
      </w:r>
      <w:r>
        <w:rPr>
          <w:rFonts w:ascii="Times New Roman" w:hAnsi="Times New Roman"/>
          <w:bCs/>
          <w:color w:val="000000" w:themeColor="text1"/>
          <w:kern w:val="2"/>
          <w:lang w:eastAsia="zh-CN"/>
          <w14:textFill>
            <w14:solidFill>
              <w14:schemeClr w14:val="tx1"/>
            </w14:solidFill>
          </w14:textFill>
        </w:rPr>
        <w:t>月全市3</w:t>
      </w:r>
      <w:r>
        <w:rPr>
          <w:rFonts w:hint="eastAsia" w:ascii="Times New Roman" w:hAnsi="Times New Roman"/>
          <w:bCs/>
          <w:color w:val="000000" w:themeColor="text1"/>
          <w:kern w:val="2"/>
          <w:lang w:eastAsia="zh-CN"/>
          <w14:textFill>
            <w14:solidFill>
              <w14:schemeClr w14:val="tx1"/>
            </w14:solidFill>
          </w14:textFill>
        </w:rPr>
        <w:t>7</w:t>
      </w:r>
      <w:r>
        <w:rPr>
          <w:rFonts w:ascii="Times New Roman" w:hAnsi="Times New Roman"/>
          <w:bCs/>
          <w:color w:val="000000" w:themeColor="text1"/>
          <w:kern w:val="2"/>
          <w:lang w:eastAsia="zh-CN"/>
          <w14:textFill>
            <w14:solidFill>
              <w14:schemeClr w14:val="tx1"/>
            </w14:solidFill>
          </w14:textFill>
        </w:rPr>
        <w:t>个河流断面</w:t>
      </w:r>
      <w:r>
        <w:rPr>
          <w:rFonts w:hint="eastAsia" w:ascii="Times New Roman" w:hAnsi="Times New Roman"/>
          <w:bCs/>
          <w:color w:val="000000" w:themeColor="text1"/>
          <w:kern w:val="2"/>
          <w:lang w:eastAsia="zh-CN"/>
          <w14:textFill>
            <w14:solidFill>
              <w14:schemeClr w14:val="tx1"/>
            </w14:solidFill>
          </w14:textFill>
        </w:rPr>
        <w:t>均为</w:t>
      </w:r>
      <w:r>
        <w:rPr>
          <w:rFonts w:ascii="Times New Roman" w:hAnsi="Times New Roman"/>
          <w:bCs/>
          <w:color w:val="000000" w:themeColor="text1"/>
          <w:kern w:val="2"/>
          <w:lang w:eastAsia="zh-CN"/>
          <w14:textFill>
            <w14:solidFill>
              <w14:schemeClr w14:val="tx1"/>
            </w14:solidFill>
          </w14:textFill>
        </w:rPr>
        <w:t>优（Ⅰ~Ⅱ类）良（Ⅲ类）水质，占比</w:t>
      </w:r>
      <w:r>
        <w:rPr>
          <w:rFonts w:hint="eastAsia" w:ascii="Times New Roman" w:hAnsi="Times New Roman"/>
          <w:bCs/>
          <w:color w:val="000000" w:themeColor="text1"/>
          <w:kern w:val="2"/>
          <w:lang w:eastAsia="zh-CN"/>
          <w14:textFill>
            <w14:solidFill>
              <w14:schemeClr w14:val="tx1"/>
            </w14:solidFill>
          </w14:textFill>
        </w:rPr>
        <w:t>100</w:t>
      </w:r>
      <w:r>
        <w:rPr>
          <w:rFonts w:ascii="Times New Roman" w:hAnsi="Times New Roman"/>
          <w:bCs/>
          <w:color w:val="000000" w:themeColor="text1"/>
          <w:kern w:val="2"/>
          <w:lang w:eastAsia="zh-CN"/>
          <w14:textFill>
            <w14:solidFill>
              <w14:schemeClr w14:val="tx1"/>
            </w14:solidFill>
          </w14:textFill>
        </w:rPr>
        <w:t>%。</w:t>
      </w:r>
    </w:p>
    <w:p>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达州市生态环境局于202</w:t>
      </w: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年</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月</w:t>
      </w:r>
      <w:r>
        <w:rPr>
          <w:rFonts w:hint="eastAsia"/>
          <w:bCs/>
          <w:color w:val="000000" w:themeColor="text1"/>
          <w14:textFill>
            <w14:solidFill>
              <w14:schemeClr w14:val="tx1"/>
            </w14:solidFill>
          </w14:textFill>
        </w:rPr>
        <w:t>13</w:t>
      </w:r>
      <w:r>
        <w:rPr>
          <w:bCs/>
          <w:color w:val="000000" w:themeColor="text1"/>
          <w14:textFill>
            <w14:solidFill>
              <w14:schemeClr w14:val="tx1"/>
            </w14:solidFill>
          </w14:textFill>
        </w:rPr>
        <w:t>日公布了202</w:t>
      </w: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年</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月达州市地表水水质月报，根据月报可知，202</w:t>
      </w: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年</w:t>
      </w: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月</w:t>
      </w:r>
      <w:r>
        <w:rPr>
          <w:rFonts w:hint="eastAsia"/>
          <w:bCs/>
          <w:color w:val="000000" w:themeColor="text1"/>
          <w14:textFill>
            <w14:solidFill>
              <w14:schemeClr w14:val="tx1"/>
            </w14:solidFill>
          </w14:textFill>
        </w:rPr>
        <w:t>州河</w:t>
      </w:r>
      <w:r>
        <w:rPr>
          <w:bCs/>
          <w:color w:val="000000" w:themeColor="text1"/>
          <w14:textFill>
            <w14:solidFill>
              <w14:schemeClr w14:val="tx1"/>
            </w14:solidFill>
          </w14:textFill>
        </w:rPr>
        <w:t>位于</w:t>
      </w:r>
      <w:r>
        <w:rPr>
          <w:rFonts w:hint="eastAsia"/>
          <w:color w:val="000000" w:themeColor="text1"/>
          <w14:textFill>
            <w14:solidFill>
              <w14:schemeClr w14:val="tx1"/>
            </w14:solidFill>
          </w14:textFill>
        </w:rPr>
        <w:t>张鼓坪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宣汉县→通川区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省控考核评价</w:t>
      </w:r>
      <w:r>
        <w:rPr>
          <w:color w:val="000000" w:themeColor="text1"/>
          <w14:textFill>
            <w14:solidFill>
              <w14:schemeClr w14:val="tx1"/>
            </w14:solidFill>
          </w14:textFill>
        </w:rPr>
        <w:t>监测断面的地表水水质满足</w:t>
      </w:r>
      <w:r>
        <w:rPr>
          <w:bCs/>
          <w:color w:val="000000" w:themeColor="text1"/>
          <w14:textFill>
            <w14:solidFill>
              <w14:schemeClr w14:val="tx1"/>
            </w14:solidFill>
          </w14:textFill>
        </w:rPr>
        <w:t>《地表水环境质量标准》（GB3838-2002）中Ⅱ类水质标准限值要求</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因此</w:t>
      </w:r>
      <w:r>
        <w:rPr>
          <w:rFonts w:hint="eastAsia"/>
          <w:bCs/>
          <w:color w:val="000000" w:themeColor="text1"/>
          <w14:textFill>
            <w14:solidFill>
              <w14:schemeClr w14:val="tx1"/>
            </w14:solidFill>
          </w14:textFill>
        </w:rPr>
        <w:t>区域地表水</w:t>
      </w:r>
      <w:r>
        <w:rPr>
          <w:bCs/>
          <w:color w:val="000000" w:themeColor="text1"/>
          <w14:textFill>
            <w14:solidFill>
              <w14:schemeClr w14:val="tx1"/>
            </w14:solidFill>
          </w14:textFill>
        </w:rPr>
        <w:t>满足《地表水环境质量标准》（GB3838-2002）中Ⅲ类水质标准限值要求。</w:t>
      </w:r>
    </w:p>
    <w:p>
      <w:pPr>
        <w:pStyle w:val="93"/>
        <w:keepNex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6850" cy="3449320"/>
            <wp:effectExtent l="0" t="0" r="0" b="8255"/>
            <wp:docPr id="920888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88445" name="图片 1"/>
                    <pic:cNvPicPr>
                      <a:picLocks noChangeAspect="1"/>
                    </pic:cNvPicPr>
                  </pic:nvPicPr>
                  <pic:blipFill>
                    <a:blip r:embed="rId33"/>
                    <a:stretch>
                      <a:fillRect/>
                    </a:stretch>
                  </pic:blipFill>
                  <pic:spPr>
                    <a:xfrm>
                      <a:off x="0" y="0"/>
                      <a:ext cx="5276850" cy="3449320"/>
                    </a:xfrm>
                    <a:prstGeom prst="rect">
                      <a:avLst/>
                    </a:prstGeom>
                  </pic:spPr>
                </pic:pic>
              </a:graphicData>
            </a:graphic>
          </wp:inline>
        </w:drawing>
      </w:r>
    </w:p>
    <w:p>
      <w:pPr>
        <w:pStyle w:val="163"/>
        <w:rPr>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地表水环境质量现状结果切</w:t>
      </w:r>
      <w:r>
        <w:rPr>
          <w:rFonts w:hint="eastAsia"/>
          <w:color w:val="000000" w:themeColor="text1"/>
          <w:highlight w:val="none"/>
          <w14:textFill>
            <w14:solidFill>
              <w14:schemeClr w14:val="tx1"/>
            </w14:solidFill>
          </w14:textFill>
        </w:rPr>
        <w:t>图</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22" w:name="_Toc120173130"/>
      <w:r>
        <w:rPr>
          <w:color w:val="000000" w:themeColor="text1"/>
          <w:highlight w:val="none"/>
          <w:lang w:eastAsia="zh-CN"/>
          <w14:textFill>
            <w14:solidFill>
              <w14:schemeClr w14:val="tx1"/>
            </w14:solidFill>
          </w14:textFill>
        </w:rPr>
        <w:t>声环境质量现状监测与评价</w:t>
      </w:r>
      <w:bookmarkEnd w:id="222"/>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为了了解项目建设对声环境的影响，本次评价对区域声环境质量进行了现状监测。</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（1）监测方案</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监测布点：根据外环境关系根据项目情况及环境特征，本次环评布设噪声监测点</w:t>
      </w:r>
      <w:r>
        <w:rPr>
          <w:rFonts w:hint="eastAsia" w:ascii="Times New Roman" w:hAnsi="Times New Roman"/>
          <w:bCs/>
          <w:color w:val="000000" w:themeColor="text1"/>
          <w:kern w:val="2"/>
          <w:highlight w:val="none"/>
          <w:lang w:val="en-US" w:eastAsia="zh-CN"/>
          <w14:textFill>
            <w14:solidFill>
              <w14:schemeClr w14:val="tx1"/>
            </w14:solidFill>
          </w14:textFill>
        </w:rPr>
        <w:t>6</w:t>
      </w:r>
      <w:r>
        <w:rPr>
          <w:rFonts w:ascii="Times New Roman" w:hAnsi="Times New Roman"/>
          <w:bCs/>
          <w:color w:val="000000" w:themeColor="text1"/>
          <w:kern w:val="2"/>
          <w:highlight w:val="none"/>
          <w:lang w:eastAsia="zh-CN"/>
          <w14:textFill>
            <w14:solidFill>
              <w14:schemeClr w14:val="tx1"/>
            </w14:solidFill>
          </w14:textFill>
        </w:rPr>
        <w:t>个，噪声监测布点统计见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_Ref142599910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4.2</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5</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23" w:name="_Ref142599910"/>
      <w:bookmarkStart w:id="224" w:name="_Ref142599905"/>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22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项目噪声监测点位一览表</w:t>
      </w:r>
      <w:bookmarkEnd w:id="224"/>
    </w:p>
    <w:tbl>
      <w:tblPr>
        <w:tblStyle w:val="5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61"/>
        <w:gridCol w:w="1085"/>
        <w:gridCol w:w="3618"/>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t>井号</w:t>
            </w:r>
          </w:p>
        </w:tc>
        <w:tc>
          <w:tcPr>
            <w:tcW w:w="10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t>编号</w:t>
            </w:r>
          </w:p>
        </w:tc>
        <w:tc>
          <w:tcPr>
            <w:tcW w:w="3618"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监测带我内</w:t>
            </w:r>
          </w:p>
        </w:tc>
        <w:tc>
          <w:tcPr>
            <w:tcW w:w="2540" w:type="dxa"/>
            <w:tcBorders>
              <w:top w:val="single" w:color="auto" w:sz="4" w:space="0"/>
              <w:left w:val="single" w:color="auto" w:sz="4" w:space="0"/>
              <w:right w:val="single" w:color="auto" w:sz="4" w:space="0"/>
            </w:tcBorders>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restart"/>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本项目拟建雷页1试验井组</w:t>
            </w: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3618"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雷页1试验井组拟建地</w:t>
            </w:r>
          </w:p>
        </w:tc>
        <w:tc>
          <w:tcPr>
            <w:tcW w:w="2540" w:type="dxa"/>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618"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现有雷页1井台东侧</w:t>
            </w:r>
          </w:p>
        </w:tc>
        <w:tc>
          <w:tcPr>
            <w:tcW w:w="2540"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361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现有雷页1井台南侧</w:t>
            </w:r>
          </w:p>
        </w:tc>
        <w:tc>
          <w:tcPr>
            <w:tcW w:w="2540"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3618"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现有雷页1井台西侧</w:t>
            </w:r>
          </w:p>
        </w:tc>
        <w:tc>
          <w:tcPr>
            <w:tcW w:w="2540"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3618"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现有雷页1井台北侧</w:t>
            </w:r>
          </w:p>
        </w:tc>
        <w:tc>
          <w:tcPr>
            <w:tcW w:w="2540"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3618"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雷页1试验井组北侧居民处</w:t>
            </w:r>
          </w:p>
        </w:tc>
        <w:tc>
          <w:tcPr>
            <w:tcW w:w="2540"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361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雷页1试验井组西侧居民处</w:t>
            </w:r>
          </w:p>
        </w:tc>
        <w:tc>
          <w:tcPr>
            <w:tcW w:w="2540" w:type="dxa"/>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61" w:type="dxa"/>
            <w:vMerge w:val="continue"/>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85"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361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雷页1试验井组西南侧居民处</w:t>
            </w:r>
          </w:p>
        </w:tc>
        <w:tc>
          <w:tcPr>
            <w:tcW w:w="2540" w:type="dxa"/>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r>
    </w:tbl>
    <w:p>
      <w:pPr>
        <w:pStyle w:val="21"/>
        <w:spacing w:before="120" w:beforeLines="5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监测因子：连续A声级。</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监测频率及时间：连续2天（202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年</w:t>
      </w:r>
      <w:r>
        <w:rPr>
          <w:rFonts w:hint="eastAsia"/>
          <w:color w:val="000000" w:themeColor="text1"/>
          <w:highlight w:val="none"/>
          <w:lang w:eastAsia="zh-CN"/>
          <w14:textFill>
            <w14:solidFill>
              <w14:schemeClr w14:val="tx1"/>
            </w14:solidFill>
          </w14:textFill>
        </w:rPr>
        <w:t>6月15日～6月16日</w:t>
      </w:r>
      <w:r>
        <w:rPr>
          <w:color w:val="000000" w:themeColor="text1"/>
          <w:highlight w:val="none"/>
          <w14:textFill>
            <w14:solidFill>
              <w14:schemeClr w14:val="tx1"/>
            </w14:solidFill>
          </w14:textFill>
        </w:rPr>
        <w:t>），每天昼、夜间各一次，监测方法按《声环境质量标准》（GB3096-2008）中规定测量方法进行。</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（2）监测及评价结果</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监测及评价结果见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_Ref142599929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4.2</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6</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25" w:name="_Ref14259992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22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环境噪声监测结果（单位：</w:t>
      </w:r>
      <w:r>
        <w:rPr>
          <w:color w:val="000000" w:themeColor="text1"/>
          <w:highlight w:val="none"/>
          <w14:textFill>
            <w14:solidFill>
              <w14:schemeClr w14:val="tx1"/>
            </w14:solidFill>
          </w14:textFill>
        </w:rPr>
        <w:t>dB（A））</w:t>
      </w:r>
    </w:p>
    <w:tbl>
      <w:tblPr>
        <w:tblStyle w:val="52"/>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1"/>
        <w:gridCol w:w="2126"/>
        <w:gridCol w:w="991"/>
        <w:gridCol w:w="991"/>
        <w:gridCol w:w="1027"/>
        <w:gridCol w:w="95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编号</w:t>
            </w:r>
          </w:p>
        </w:tc>
        <w:tc>
          <w:tcPr>
            <w:tcW w:w="212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监测日期</w:t>
            </w:r>
          </w:p>
        </w:tc>
        <w:tc>
          <w:tcPr>
            <w:tcW w:w="99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6月15日昼间</w:t>
            </w:r>
          </w:p>
        </w:tc>
        <w:tc>
          <w:tcPr>
            <w:tcW w:w="99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6月16日夜间</w:t>
            </w:r>
          </w:p>
        </w:tc>
        <w:tc>
          <w:tcPr>
            <w:tcW w:w="1027"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6月15日昼间</w:t>
            </w:r>
          </w:p>
        </w:tc>
        <w:tc>
          <w:tcPr>
            <w:tcW w:w="95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6月16日夜间</w:t>
            </w:r>
          </w:p>
        </w:tc>
        <w:tc>
          <w:tcPr>
            <w:tcW w:w="156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b/>
                <w:bCs/>
                <w:color w:val="000000" w:themeColor="text1"/>
                <w:szCs w:val="20"/>
                <w:highlight w:val="none"/>
                <w:shd w:val="clear" w:color="auto" w:fill="FFFFFF"/>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雷页1试验井组拟建地</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《声环境质量标准》（GB3096-2008）2类昼间60；夜间50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现有雷页1井台东侧</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default"/>
                <w:color w:val="000000" w:themeColor="text1"/>
                <w:szCs w:val="20"/>
                <w:highlight w:val="none"/>
                <w14:textFill>
                  <w14:solidFill>
                    <w14:schemeClr w14:val="tx1"/>
                  </w14:solidFill>
                </w14:textFill>
              </w:rPr>
              <w:t>《工业企业厂界环境噪声排放标准》（GB 12348-2008）</w:t>
            </w: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2类昼间60；夜间50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现有雷页1井台南侧</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现有雷页1井台西侧</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现有雷页1井台北侧</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126" w:type="dxa"/>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雷页1试验井组北侧居民处</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《声环境质量标准》（GB3096-2008）2类昼间60；夜间50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126"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雷页1试验井组西侧居民处</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561"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2126"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雷页1试验井组西南侧居民处</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91"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027"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956" w:type="dxa"/>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rPr>
              <w:t>***</w:t>
            </w:r>
          </w:p>
        </w:tc>
        <w:tc>
          <w:tcPr>
            <w:tcW w:w="1563"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1"/>
                <w:highlight w:val="none"/>
                <w14:textFill>
                  <w14:solidFill>
                    <w14:schemeClr w14:val="tx1"/>
                  </w14:solidFill>
                </w14:textFill>
              </w:rPr>
            </w:pPr>
          </w:p>
        </w:tc>
      </w:tr>
    </w:tbl>
    <w:p>
      <w:pPr>
        <w:spacing w:before="120" w:beforeLines="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由表4.2-5可知，</w:t>
      </w:r>
      <w:r>
        <w:rPr>
          <w:rFonts w:hint="eastAsia"/>
          <w:bCs/>
          <w:color w:val="000000" w:themeColor="text1"/>
          <w:highlight w:val="none"/>
          <w:lang w:val="en-US" w:eastAsia="zh-CN"/>
          <w14:textFill>
            <w14:solidFill>
              <w14:schemeClr w14:val="tx1"/>
            </w14:solidFill>
          </w14:textFill>
        </w:rPr>
        <w:t>项目拟建地和</w:t>
      </w:r>
      <w:r>
        <w:rPr>
          <w:bCs/>
          <w:color w:val="000000" w:themeColor="text1"/>
          <w:highlight w:val="none"/>
          <w14:textFill>
            <w14:solidFill>
              <w14:schemeClr w14:val="tx1"/>
            </w14:solidFill>
          </w14:textFill>
        </w:rPr>
        <w:t>周边</w:t>
      </w:r>
      <w:r>
        <w:rPr>
          <w:rFonts w:hint="eastAsia"/>
          <w:bCs/>
          <w:color w:val="000000" w:themeColor="text1"/>
          <w:highlight w:val="none"/>
          <w:lang w:val="en-US" w:eastAsia="zh-CN"/>
          <w14:textFill>
            <w14:solidFill>
              <w14:schemeClr w14:val="tx1"/>
            </w14:solidFill>
          </w14:textFill>
        </w:rPr>
        <w:t>居民点</w:t>
      </w:r>
      <w:r>
        <w:rPr>
          <w:bCs/>
          <w:color w:val="000000" w:themeColor="text1"/>
          <w:highlight w:val="none"/>
          <w14:textFill>
            <w14:solidFill>
              <w14:schemeClr w14:val="tx1"/>
            </w14:solidFill>
          </w14:textFill>
        </w:rPr>
        <w:t>噪声监测点昼间</w:t>
      </w:r>
      <w:r>
        <w:rPr>
          <w:rFonts w:hint="eastAsia"/>
          <w:bCs/>
          <w:color w:val="000000" w:themeColor="text1"/>
          <w:highlight w:val="none"/>
          <w:lang w:eastAsia="zh-CN"/>
          <w14:textFill>
            <w14:solidFill>
              <w14:schemeClr w14:val="tx1"/>
            </w14:solidFill>
          </w14:textFill>
        </w:rPr>
        <w:t>、</w:t>
      </w:r>
      <w:r>
        <w:rPr>
          <w:bCs/>
          <w:color w:val="000000" w:themeColor="text1"/>
          <w:highlight w:val="none"/>
          <w14:textFill>
            <w14:solidFill>
              <w14:schemeClr w14:val="tx1"/>
            </w14:solidFill>
          </w14:textFill>
        </w:rPr>
        <w:t>夜间噪声监测值</w:t>
      </w:r>
      <w:r>
        <w:rPr>
          <w:rFonts w:hint="eastAsia"/>
          <w:bCs/>
          <w:color w:val="000000" w:themeColor="text1"/>
          <w:highlight w:val="none"/>
          <w:lang w:val="en-US" w:eastAsia="zh-CN"/>
          <w14:textFill>
            <w14:solidFill>
              <w14:schemeClr w14:val="tx1"/>
            </w14:solidFill>
          </w14:textFill>
        </w:rPr>
        <w:t>均</w:t>
      </w:r>
      <w:r>
        <w:rPr>
          <w:bCs/>
          <w:color w:val="000000" w:themeColor="text1"/>
          <w:highlight w:val="none"/>
          <w14:textFill>
            <w14:solidFill>
              <w14:schemeClr w14:val="tx1"/>
            </w14:solidFill>
          </w14:textFill>
        </w:rPr>
        <w:t>满足《声环境质量标准》（GB3096-2008）2类功能区标准，</w:t>
      </w:r>
      <w:r>
        <w:rPr>
          <w:rFonts w:hint="eastAsia"/>
          <w:bCs/>
          <w:color w:val="000000" w:themeColor="text1"/>
          <w:highlight w:val="none"/>
          <w:lang w:val="en-US" w:eastAsia="zh-CN"/>
          <w14:textFill>
            <w14:solidFill>
              <w14:schemeClr w14:val="tx1"/>
            </w14:solidFill>
          </w14:textFill>
        </w:rPr>
        <w:t>既有雷页井场厂界四周满足</w:t>
      </w:r>
      <w:r>
        <w:rPr>
          <w:color w:val="000000" w:themeColor="text1"/>
          <w:highlight w:val="none"/>
          <w14:textFill>
            <w14:solidFill>
              <w14:schemeClr w14:val="tx1"/>
            </w14:solidFill>
          </w14:textFill>
        </w:rPr>
        <w:t>《工业企业厂界环境噪声排放标准》（GB 12348-2008）</w:t>
      </w: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2类</w:t>
      </w:r>
      <w:r>
        <w:rPr>
          <w:bCs/>
          <w:color w:val="000000" w:themeColor="text1"/>
          <w:highlight w:val="none"/>
          <w14:textFill>
            <w14:solidFill>
              <w14:schemeClr w14:val="tx1"/>
            </w14:solidFill>
          </w14:textFill>
        </w:rPr>
        <w:t>功能区标准</w:t>
      </w:r>
      <w:r>
        <w:rPr>
          <w:rFonts w:hint="eastAsia" w:ascii="Times New Roman" w:hAnsi="Times New Roman" w:eastAsia="宋体" w:cs="Times New Roman"/>
          <w:color w:val="000000" w:themeColor="text1"/>
          <w:szCs w:val="20"/>
          <w:highlight w:val="none"/>
          <w:shd w:val="clear" w:color="auto" w:fill="FFFFFF"/>
          <w:lang w:val="en-US" w:eastAsia="zh-CN"/>
          <w14:textFill>
            <w14:solidFill>
              <w14:schemeClr w14:val="tx1"/>
            </w14:solidFill>
          </w14:textFill>
        </w:rPr>
        <w:t>。</w:t>
      </w:r>
      <w:r>
        <w:rPr>
          <w:bCs/>
          <w:color w:val="000000" w:themeColor="text1"/>
          <w:highlight w:val="none"/>
          <w14:textFill>
            <w14:solidFill>
              <w14:schemeClr w14:val="tx1"/>
            </w14:solidFill>
          </w14:textFill>
        </w:rPr>
        <w:t>项目拟建地声环境质量良好</w:t>
      </w:r>
      <w:r>
        <w:rPr>
          <w:color w:val="000000" w:themeColor="text1"/>
          <w:highlight w:val="none"/>
          <w14:textFill>
            <w14:solidFill>
              <w14:schemeClr w14:val="tx1"/>
            </w14:solidFill>
          </w14:textFill>
        </w:rPr>
        <w:t>。</w:t>
      </w:r>
    </w:p>
    <w:p>
      <w:pPr>
        <w:pStyle w:val="4"/>
        <w:spacing w:before="120"/>
        <w:rPr>
          <w:b/>
          <w:color w:val="000000" w:themeColor="text1"/>
          <w:highlight w:val="none"/>
          <w:lang w:eastAsia="zh-CN"/>
          <w14:textFill>
            <w14:solidFill>
              <w14:schemeClr w14:val="tx1"/>
            </w14:solidFill>
          </w14:textFill>
        </w:rPr>
      </w:pPr>
      <w:bookmarkStart w:id="226" w:name="_Toc120173131"/>
      <w:r>
        <w:rPr>
          <w:color w:val="000000" w:themeColor="text1"/>
          <w:highlight w:val="none"/>
          <w:lang w:eastAsia="zh-CN"/>
          <w14:textFill>
            <w14:solidFill>
              <w14:schemeClr w14:val="tx1"/>
            </w14:solidFill>
          </w14:textFill>
        </w:rPr>
        <w:t>地下水质量现状</w:t>
      </w:r>
      <w:bookmarkEnd w:id="226"/>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为了了解项目建设对地下水环境的影响，本次评价对区域地下水质量进行了监测。</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（1）监测布点</w:t>
      </w:r>
    </w:p>
    <w:p>
      <w:pPr>
        <w:ind w:firstLine="480"/>
        <w:rPr>
          <w:rFonts w:cs="Times New Roman"/>
          <w:bCs/>
          <w:color w:val="000000" w:themeColor="text1"/>
          <w:szCs w:val="24"/>
          <w:highlight w:val="none"/>
          <w14:textFill>
            <w14:solidFill>
              <w14:schemeClr w14:val="tx1"/>
            </w14:solidFill>
          </w14:textFill>
        </w:rPr>
      </w:pPr>
      <w:r>
        <w:rPr>
          <w:bCs/>
          <w:color w:val="000000" w:themeColor="text1"/>
          <w:szCs w:val="24"/>
          <w14:textFill>
            <w14:solidFill>
              <w14:schemeClr w14:val="tx1"/>
            </w14:solidFill>
          </w14:textFill>
        </w:rPr>
        <w:t>本项目为《环境影响评价技术导则</w:t>
      </w:r>
      <w:r>
        <w:rPr>
          <w:rFonts w:hint="eastAsia"/>
          <w:bCs/>
          <w:color w:val="000000" w:themeColor="text1"/>
          <w:szCs w:val="24"/>
          <w14:textFill>
            <w14:solidFill>
              <w14:schemeClr w14:val="tx1"/>
            </w14:solidFill>
          </w14:textFill>
        </w:rPr>
        <w:t xml:space="preserve"> </w:t>
      </w:r>
      <w:r>
        <w:rPr>
          <w:bCs/>
          <w:color w:val="000000" w:themeColor="text1"/>
          <w:szCs w:val="24"/>
          <w14:textFill>
            <w14:solidFill>
              <w14:schemeClr w14:val="tx1"/>
            </w14:solidFill>
          </w14:textFill>
        </w:rPr>
        <w:t>地下水环境》（HJ610-2016）中</w:t>
      </w:r>
      <w:r>
        <w:rPr>
          <w:bCs/>
          <w:color w:val="000000" w:themeColor="text1"/>
          <w:szCs w:val="24"/>
          <w14:textFill>
            <w14:solidFill>
              <w14:schemeClr w14:val="tx1"/>
            </w14:solidFill>
          </w14:textFill>
        </w:rPr>
        <w:fldChar w:fldCharType="begin"/>
      </w:r>
      <w:r>
        <w:rPr>
          <w:bCs/>
          <w:color w:val="000000" w:themeColor="text1"/>
          <w:szCs w:val="24"/>
          <w14:textFill>
            <w14:solidFill>
              <w14:schemeClr w14:val="tx1"/>
            </w14:solidFill>
          </w14:textFill>
        </w:rPr>
        <w:instrText xml:space="preserve"> = 2 \* ROMAN </w:instrText>
      </w:r>
      <w:r>
        <w:rPr>
          <w:bCs/>
          <w:color w:val="000000" w:themeColor="text1"/>
          <w:szCs w:val="24"/>
          <w14:textFill>
            <w14:solidFill>
              <w14:schemeClr w14:val="tx1"/>
            </w14:solidFill>
          </w14:textFill>
        </w:rPr>
        <w:fldChar w:fldCharType="separate"/>
      </w:r>
      <w:r>
        <w:rPr>
          <w:bCs/>
          <w:color w:val="000000" w:themeColor="text1"/>
          <w:szCs w:val="24"/>
          <w14:textFill>
            <w14:solidFill>
              <w14:schemeClr w14:val="tx1"/>
            </w14:solidFill>
          </w14:textFill>
        </w:rPr>
        <w:t>II</w:t>
      </w:r>
      <w:r>
        <w:rPr>
          <w:bCs/>
          <w:color w:val="000000" w:themeColor="text1"/>
          <w:szCs w:val="24"/>
          <w14:textFill>
            <w14:solidFill>
              <w14:schemeClr w14:val="tx1"/>
            </w14:solidFill>
          </w14:textFill>
        </w:rPr>
        <w:fldChar w:fldCharType="end"/>
      </w:r>
      <w:r>
        <w:rPr>
          <w:bCs/>
          <w:color w:val="000000" w:themeColor="text1"/>
          <w:szCs w:val="24"/>
          <w14:textFill>
            <w14:solidFill>
              <w14:schemeClr w14:val="tx1"/>
            </w14:solidFill>
          </w14:textFill>
        </w:rPr>
        <w:t>类建设项目，根据外环境调查，周边居民主要采用井水或山泉水为饮用水源。根据本项目的所在位置的特点、地下水环评导则要求以及地下水污染扩散特点等</w:t>
      </w:r>
      <w:r>
        <w:rPr>
          <w:rFonts w:cs="Times New Roman"/>
          <w:bCs/>
          <w:color w:val="000000" w:themeColor="text1"/>
          <w:szCs w:val="24"/>
          <w14:textFill>
            <w14:solidFill>
              <w14:schemeClr w14:val="tx1"/>
            </w14:solidFill>
          </w14:textFill>
        </w:rPr>
        <w:t>，共布设</w:t>
      </w:r>
      <w:r>
        <w:rPr>
          <w:rFonts w:hint="eastAsia" w:cs="Times New Roman"/>
          <w:bCs/>
          <w:color w:val="000000" w:themeColor="text1"/>
          <w:szCs w:val="24"/>
          <w14:textFill>
            <w14:solidFill>
              <w14:schemeClr w14:val="tx1"/>
            </w14:solidFill>
          </w14:textFill>
        </w:rPr>
        <w:t>6</w:t>
      </w:r>
      <w:r>
        <w:rPr>
          <w:rFonts w:cs="Times New Roman"/>
          <w:bCs/>
          <w:color w:val="000000" w:themeColor="text1"/>
          <w:szCs w:val="24"/>
          <w14:textFill>
            <w14:solidFill>
              <w14:schemeClr w14:val="tx1"/>
            </w14:solidFill>
          </w14:textFill>
        </w:rPr>
        <w:t>个地下水水质现状监测点</w:t>
      </w:r>
      <w:r>
        <w:rPr>
          <w:rFonts w:hint="eastAsia" w:cs="Times New Roman"/>
          <w:bCs/>
          <w:color w:val="000000" w:themeColor="text1"/>
          <w:szCs w:val="24"/>
          <w14:textFill>
            <w14:solidFill>
              <w14:schemeClr w14:val="tx1"/>
            </w14:solidFill>
          </w14:textFill>
        </w:rPr>
        <w:t>（其中5个点位位于雷页1井试采站四周，均引用雷页1井天然气回收工程地下水监测数据（YNX202308168检01号），地下水监测时期为2023年</w:t>
      </w:r>
      <w:r>
        <w:rPr>
          <w:rFonts w:cs="Times New Roman"/>
          <w:bCs/>
          <w:color w:val="000000" w:themeColor="text1"/>
          <w:szCs w:val="24"/>
          <w14:textFill>
            <w14:solidFill>
              <w14:schemeClr w14:val="tx1"/>
            </w14:solidFill>
          </w14:textFill>
        </w:rPr>
        <w:t>8</w:t>
      </w:r>
      <w:r>
        <w:rPr>
          <w:rFonts w:hint="eastAsia" w:cs="Times New Roman"/>
          <w:bCs/>
          <w:color w:val="000000" w:themeColor="text1"/>
          <w:szCs w:val="24"/>
          <w14:textFill>
            <w14:solidFill>
              <w14:schemeClr w14:val="tx1"/>
            </w14:solidFill>
          </w14:textFill>
        </w:rPr>
        <w:t>月，引用可行）、</w:t>
      </w:r>
      <w:r>
        <w:rPr>
          <w:rFonts w:cs="Times New Roman"/>
          <w:bCs/>
          <w:color w:val="000000" w:themeColor="text1"/>
          <w:szCs w:val="24"/>
          <w14:textFill>
            <w14:solidFill>
              <w14:schemeClr w14:val="tx1"/>
            </w14:solidFill>
          </w14:textFill>
        </w:rPr>
        <w:t>1</w:t>
      </w:r>
      <w:r>
        <w:rPr>
          <w:rFonts w:hint="eastAsia" w:cs="Times New Roman"/>
          <w:bCs/>
          <w:color w:val="000000" w:themeColor="text1"/>
          <w:szCs w:val="24"/>
          <w14:textFill>
            <w14:solidFill>
              <w14:schemeClr w14:val="tx1"/>
            </w14:solidFill>
          </w14:textFill>
        </w:rPr>
        <w:t>个点位位于外输管线附近</w:t>
      </w:r>
      <w:r>
        <w:rPr>
          <w:rFonts w:cs="Times New Roman"/>
          <w:bCs/>
          <w:color w:val="000000" w:themeColor="text1"/>
          <w:szCs w:val="24"/>
          <w14:textFill>
            <w14:solidFill>
              <w14:schemeClr w14:val="tx1"/>
            </w14:solidFill>
          </w14:textFill>
        </w:rPr>
        <w:t>，具体监测点位分布见附图</w:t>
      </w:r>
      <w:r>
        <w:rPr>
          <w:rFonts w:hint="eastAsia" w:cs="Times New Roman"/>
          <w:bCs/>
          <w:color w:val="000000" w:themeColor="text1"/>
          <w:szCs w:val="24"/>
          <w:lang w:val="en-US" w:eastAsia="zh-CN"/>
          <w14:textFill>
            <w14:solidFill>
              <w14:schemeClr w14:val="tx1"/>
            </w14:solidFill>
          </w14:textFill>
        </w:rPr>
        <w:t>4</w:t>
      </w:r>
      <w:r>
        <w:rPr>
          <w:rFonts w:hint="eastAsia" w:cs="Times New Roman"/>
          <w:bCs/>
          <w:color w:val="000000" w:themeColor="text1"/>
          <w:szCs w:val="24"/>
          <w:highlight w:val="none"/>
          <w:lang w:val="en-US" w:eastAsia="zh-CN"/>
          <w14:textFill>
            <w14:solidFill>
              <w14:schemeClr w14:val="tx1"/>
            </w14:solidFill>
          </w14:textFill>
        </w:rPr>
        <w:t>和</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_Ref142599951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7</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27" w:name="_Ref14259995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22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项目井场地下水监测点位统计表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4167"/>
        <w:gridCol w:w="1263"/>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编号</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方位</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距离</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416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000000" w:themeColor="text1"/>
                <w:kern w:val="0"/>
                <w:szCs w:val="21"/>
                <w:highlight w:val="none"/>
                <w14:textFill>
                  <w14:solidFill>
                    <w14:schemeClr w14:val="tx1"/>
                  </w14:solidFill>
                </w14:textFill>
              </w:rPr>
            </w:pPr>
            <w:r>
              <w:rPr>
                <w:rFonts w:hint="default" w:cs="Times New Roman"/>
                <w:color w:val="000000" w:themeColor="text1"/>
                <w:sz w:val="21"/>
                <w:szCs w:val="21"/>
                <w14:textFill>
                  <w14:solidFill>
                    <w14:schemeClr w14:val="tx1"/>
                  </w14:solidFill>
                </w14:textFill>
              </w:rPr>
              <w:t>雷页1井</w:t>
            </w:r>
            <w:r>
              <w:rPr>
                <w:rFonts w:hint="eastAsia" w:cs="Times New Roman"/>
                <w:color w:val="000000" w:themeColor="text1"/>
                <w:sz w:val="21"/>
                <w:szCs w:val="21"/>
                <w:lang w:val="en-US" w:eastAsia="zh-CN"/>
                <w14:textFill>
                  <w14:solidFill>
                    <w14:schemeClr w14:val="tx1"/>
                  </w14:solidFill>
                </w14:textFill>
              </w:rPr>
              <w:t>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西南侧</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kern w:val="0"/>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约</w:t>
            </w:r>
            <w:r>
              <w:rPr>
                <w:rFonts w:hint="eastAsia"/>
                <w:color w:val="000000" w:themeColor="text1"/>
                <w:szCs w:val="21"/>
                <w:highlight w:val="none"/>
                <w:lang w:val="en-US" w:eastAsia="zh-CN"/>
                <w14:textFill>
                  <w14:solidFill>
                    <w14:schemeClr w14:val="tx1"/>
                  </w14:solidFill>
                </w14:textFill>
              </w:rPr>
              <w:t>489</w:t>
            </w:r>
            <w:r>
              <w:rPr>
                <w:rFonts w:hint="default"/>
                <w:color w:val="000000" w:themeColor="text1"/>
                <w:szCs w:val="21"/>
                <w:highlight w:val="none"/>
                <w14:textFill>
                  <w14:solidFill>
                    <w14:schemeClr w14:val="tx1"/>
                  </w14:solidFill>
                </w14:textFill>
              </w:rPr>
              <w:t>m</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泉涌水</w:t>
            </w:r>
            <w:r>
              <w:rPr>
                <w:rFonts w:hint="default"/>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2#</w:t>
            </w:r>
          </w:p>
        </w:tc>
        <w:tc>
          <w:tcPr>
            <w:tcW w:w="416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000000" w:themeColor="text1"/>
                <w:sz w:val="21"/>
                <w:szCs w:val="21"/>
                <w14:textFill>
                  <w14:solidFill>
                    <w14:schemeClr w14:val="tx1"/>
                  </w14:solidFill>
                </w14:textFill>
              </w:rPr>
              <w:t>雷页1井</w:t>
            </w:r>
            <w:r>
              <w:rPr>
                <w:rFonts w:hint="eastAsia" w:cs="Times New Roman"/>
                <w:color w:val="000000" w:themeColor="text1"/>
                <w:sz w:val="21"/>
                <w:szCs w:val="21"/>
                <w:lang w:val="en-US" w:eastAsia="zh-CN"/>
                <w14:textFill>
                  <w14:solidFill>
                    <w14:schemeClr w14:val="tx1"/>
                  </w14:solidFill>
                </w14:textFill>
              </w:rPr>
              <w:t>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西侧</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约</w:t>
            </w:r>
            <w:r>
              <w:rPr>
                <w:rFonts w:hint="eastAsia" w:cs="Times New Roman"/>
                <w:color w:val="000000" w:themeColor="text1"/>
                <w:szCs w:val="21"/>
                <w:highlight w:val="none"/>
                <w:lang w:val="en-US" w:eastAsia="zh-CN"/>
                <w14:textFill>
                  <w14:solidFill>
                    <w14:schemeClr w14:val="tx1"/>
                  </w14:solidFill>
                </w14:textFill>
              </w:rPr>
              <w:t>212</w:t>
            </w:r>
            <w:r>
              <w:rPr>
                <w:rFonts w:hint="eastAsia" w:ascii="Times New Roman" w:hAnsi="Times New Roman" w:eastAsia="宋体" w:cs="Times New Roman"/>
                <w:color w:val="000000" w:themeColor="text1"/>
                <w:szCs w:val="21"/>
                <w:highlight w:val="none"/>
                <w14:textFill>
                  <w14:solidFill>
                    <w14:schemeClr w14:val="tx1"/>
                  </w14:solidFill>
                </w14:textFill>
              </w:rPr>
              <w:t>m</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泉涌水，</w:t>
            </w:r>
            <w:r>
              <w:rPr>
                <w:rFonts w:hint="eastAsia" w:cs="Times New Roman"/>
                <w:color w:val="000000" w:themeColor="text1"/>
                <w:szCs w:val="21"/>
                <w:highlight w:val="none"/>
                <w:lang w:val="en-US" w:eastAsia="zh-CN"/>
                <w14:textFill>
                  <w14:solidFill>
                    <w14:schemeClr w14:val="tx1"/>
                  </w14:solidFill>
                </w14:textFill>
              </w:rPr>
              <w:t>侧</w:t>
            </w:r>
            <w:r>
              <w:rPr>
                <w:rFonts w:hint="eastAsia" w:ascii="Times New Roman" w:hAnsi="Times New Roman" w:eastAsia="宋体" w:cs="Times New Roman"/>
                <w:color w:val="000000" w:themeColor="text1"/>
                <w:szCs w:val="21"/>
                <w:highlight w:val="none"/>
                <w14:textFill>
                  <w14:solidFill>
                    <w14:schemeClr w14:val="tx1"/>
                  </w14:solidFill>
                </w14:textFill>
              </w:rPr>
              <w:t>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3#</w:t>
            </w:r>
          </w:p>
        </w:tc>
        <w:tc>
          <w:tcPr>
            <w:tcW w:w="416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000000" w:themeColor="text1"/>
                <w:sz w:val="21"/>
                <w:szCs w:val="21"/>
                <w14:textFill>
                  <w14:solidFill>
                    <w14:schemeClr w14:val="tx1"/>
                  </w14:solidFill>
                </w14:textFill>
              </w:rPr>
              <w:t>雷页1井</w:t>
            </w:r>
            <w:r>
              <w:rPr>
                <w:rFonts w:hint="eastAsia" w:cs="Times New Roman"/>
                <w:color w:val="000000" w:themeColor="text1"/>
                <w:sz w:val="21"/>
                <w:szCs w:val="21"/>
                <w:lang w:val="en-US" w:eastAsia="zh-CN"/>
                <w14:textFill>
                  <w14:solidFill>
                    <w14:schemeClr w14:val="tx1"/>
                  </w14:solidFill>
                </w14:textFill>
              </w:rPr>
              <w:t>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东北侧</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约</w:t>
            </w:r>
            <w:r>
              <w:rPr>
                <w:rFonts w:hint="eastAsia" w:cs="Times New Roman"/>
                <w:color w:val="000000" w:themeColor="text1"/>
                <w:szCs w:val="21"/>
                <w:highlight w:val="none"/>
                <w:lang w:val="en-US" w:eastAsia="zh-CN"/>
                <w14:textFill>
                  <w14:solidFill>
                    <w14:schemeClr w14:val="tx1"/>
                  </w14:solidFill>
                </w14:textFill>
              </w:rPr>
              <w:t>89</w:t>
            </w:r>
            <w:r>
              <w:rPr>
                <w:rFonts w:hint="eastAsia" w:ascii="Times New Roman" w:hAnsi="Times New Roman" w:eastAsia="宋体" w:cs="Times New Roman"/>
                <w:color w:val="000000" w:themeColor="text1"/>
                <w:szCs w:val="21"/>
                <w:highlight w:val="none"/>
                <w14:textFill>
                  <w14:solidFill>
                    <w14:schemeClr w14:val="tx1"/>
                  </w14:solidFill>
                </w14:textFill>
              </w:rPr>
              <w:t>m</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泉涌水，</w:t>
            </w:r>
            <w:r>
              <w:rPr>
                <w:rFonts w:hint="eastAsia" w:cs="Times New Roman"/>
                <w:color w:val="000000" w:themeColor="text1"/>
                <w:szCs w:val="21"/>
                <w:highlight w:val="none"/>
                <w:lang w:val="en-US" w:eastAsia="zh-CN"/>
                <w14:textFill>
                  <w14:solidFill>
                    <w14:schemeClr w14:val="tx1"/>
                  </w14:solidFill>
                </w14:textFill>
              </w:rPr>
              <w:t>上</w:t>
            </w:r>
            <w:r>
              <w:rPr>
                <w:rFonts w:hint="eastAsia" w:ascii="Times New Roman" w:hAnsi="Times New Roman" w:eastAsia="宋体" w:cs="Times New Roman"/>
                <w:color w:val="000000" w:themeColor="text1"/>
                <w:szCs w:val="21"/>
                <w:highlight w:val="none"/>
                <w14:textFill>
                  <w14:solidFill>
                    <w14:schemeClr w14:val="tx1"/>
                  </w14:solidFill>
                </w14:textFill>
              </w:rPr>
              <w:t>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4#</w:t>
            </w:r>
          </w:p>
        </w:tc>
        <w:tc>
          <w:tcPr>
            <w:tcW w:w="416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000000" w:themeColor="text1"/>
                <w:sz w:val="21"/>
                <w:szCs w:val="21"/>
                <w14:textFill>
                  <w14:solidFill>
                    <w14:schemeClr w14:val="tx1"/>
                  </w14:solidFill>
                </w14:textFill>
              </w:rPr>
              <w:t>雷页1井</w:t>
            </w:r>
            <w:r>
              <w:rPr>
                <w:rFonts w:hint="eastAsia" w:cs="Times New Roman"/>
                <w:color w:val="000000" w:themeColor="text1"/>
                <w:sz w:val="21"/>
                <w:szCs w:val="21"/>
                <w:lang w:val="en-US" w:eastAsia="zh-CN"/>
                <w14:textFill>
                  <w14:solidFill>
                    <w14:schemeClr w14:val="tx1"/>
                  </w14:solidFill>
                </w14:textFill>
              </w:rPr>
              <w:t>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东北侧</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约</w:t>
            </w:r>
            <w:r>
              <w:rPr>
                <w:rFonts w:hint="eastAsia" w:cs="Times New Roman"/>
                <w:color w:val="000000" w:themeColor="text1"/>
                <w:szCs w:val="21"/>
                <w:highlight w:val="none"/>
                <w:lang w:val="en-US" w:eastAsia="zh-CN"/>
                <w14:textFill>
                  <w14:solidFill>
                    <w14:schemeClr w14:val="tx1"/>
                  </w14:solidFill>
                </w14:textFill>
              </w:rPr>
              <w:t>517</w:t>
            </w:r>
            <w:r>
              <w:rPr>
                <w:rFonts w:hint="eastAsia" w:ascii="Times New Roman" w:hAnsi="Times New Roman" w:eastAsia="宋体" w:cs="Times New Roman"/>
                <w:color w:val="000000" w:themeColor="text1"/>
                <w:szCs w:val="21"/>
                <w:highlight w:val="none"/>
                <w14:textFill>
                  <w14:solidFill>
                    <w14:schemeClr w14:val="tx1"/>
                  </w14:solidFill>
                </w14:textFill>
              </w:rPr>
              <w:t>m</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泉涌水，</w:t>
            </w:r>
            <w:r>
              <w:rPr>
                <w:rFonts w:hint="eastAsia" w:cs="Times New Roman"/>
                <w:color w:val="000000" w:themeColor="text1"/>
                <w:szCs w:val="21"/>
                <w:highlight w:val="none"/>
                <w:lang w:val="en-US" w:eastAsia="zh-CN"/>
                <w14:textFill>
                  <w14:solidFill>
                    <w14:schemeClr w14:val="tx1"/>
                  </w14:solidFill>
                </w14:textFill>
              </w:rPr>
              <w:t>侧游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5#</w:t>
            </w:r>
          </w:p>
        </w:tc>
        <w:tc>
          <w:tcPr>
            <w:tcW w:w="416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000000" w:themeColor="text1"/>
                <w:sz w:val="21"/>
                <w:szCs w:val="21"/>
                <w14:textFill>
                  <w14:solidFill>
                    <w14:schemeClr w14:val="tx1"/>
                  </w14:solidFill>
                </w14:textFill>
              </w:rPr>
              <w:t>雷页1井</w:t>
            </w:r>
            <w:r>
              <w:rPr>
                <w:rFonts w:hint="eastAsia" w:cs="Times New Roman"/>
                <w:color w:val="000000" w:themeColor="text1"/>
                <w:sz w:val="21"/>
                <w:szCs w:val="21"/>
                <w:lang w:val="en-US" w:eastAsia="zh-CN"/>
                <w14:textFill>
                  <w14:solidFill>
                    <w14:schemeClr w14:val="tx1"/>
                  </w14:solidFill>
                </w14:textFill>
              </w:rPr>
              <w:t>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东侧</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约</w:t>
            </w:r>
            <w:r>
              <w:rPr>
                <w:rFonts w:hint="eastAsia" w:cs="Times New Roman"/>
                <w:color w:val="000000" w:themeColor="text1"/>
                <w:szCs w:val="21"/>
                <w:highlight w:val="none"/>
                <w:lang w:val="en-US" w:eastAsia="zh-CN"/>
                <w14:textFill>
                  <w14:solidFill>
                    <w14:schemeClr w14:val="tx1"/>
                  </w14:solidFill>
                </w14:textFill>
              </w:rPr>
              <w:t>379</w:t>
            </w:r>
            <w:r>
              <w:rPr>
                <w:rFonts w:hint="eastAsia" w:ascii="Times New Roman" w:hAnsi="Times New Roman" w:eastAsia="宋体" w:cs="Times New Roman"/>
                <w:color w:val="000000" w:themeColor="text1"/>
                <w:szCs w:val="21"/>
                <w:highlight w:val="none"/>
                <w14:textFill>
                  <w14:solidFill>
                    <w14:schemeClr w14:val="tx1"/>
                  </w14:solidFill>
                </w14:textFill>
              </w:rPr>
              <w:t>m</w:t>
            </w:r>
          </w:p>
        </w:tc>
        <w:tc>
          <w:tcPr>
            <w:tcW w:w="0" w:type="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泉涌水，下游</w:t>
            </w:r>
          </w:p>
        </w:tc>
      </w:tr>
    </w:tbl>
    <w:p>
      <w:pPr>
        <w:spacing w:before="120"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本项目所设置的5个地下水水质监测点中，</w:t>
      </w:r>
      <w:r>
        <w:rPr>
          <w:rFonts w:hint="eastAsia" w:cs="Times New Roman"/>
          <w:bCs/>
          <w:color w:val="000000" w:themeColor="text1"/>
          <w:szCs w:val="24"/>
          <w:highlight w:val="none"/>
          <w:lang w:val="en-US" w:eastAsia="zh-CN"/>
          <w14:textFill>
            <w14:solidFill>
              <w14:schemeClr w14:val="tx1"/>
            </w14:solidFill>
          </w14:textFill>
        </w:rPr>
        <w:t>2</w:t>
      </w:r>
      <w:r>
        <w:rPr>
          <w:rFonts w:cs="Times New Roman"/>
          <w:bCs/>
          <w:color w:val="000000" w:themeColor="text1"/>
          <w:szCs w:val="24"/>
          <w:highlight w:val="none"/>
          <w14:textFill>
            <w14:solidFill>
              <w14:schemeClr w14:val="tx1"/>
            </w14:solidFill>
          </w14:textFill>
        </w:rPr>
        <w:t>个监测点（</w:t>
      </w:r>
      <w:r>
        <w:rPr>
          <w:rFonts w:hint="eastAsia" w:cs="Times New Roman"/>
          <w:bCs/>
          <w:color w:val="000000" w:themeColor="text1"/>
          <w:szCs w:val="24"/>
          <w:highlight w:val="none"/>
          <w:lang w:val="en-US" w:eastAsia="zh-CN"/>
          <w14:textFill>
            <w14:solidFill>
              <w14:schemeClr w14:val="tx1"/>
            </w14:solidFill>
          </w14:textFill>
        </w:rPr>
        <w:t>1#、5</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）位于项目所在地地下水流向</w:t>
      </w:r>
      <w:r>
        <w:rPr>
          <w:rFonts w:hint="eastAsia" w:cs="Times New Roman"/>
          <w:bCs/>
          <w:color w:val="000000" w:themeColor="text1"/>
          <w:szCs w:val="24"/>
          <w:highlight w:val="none"/>
          <w14:textFill>
            <w14:solidFill>
              <w14:schemeClr w14:val="tx1"/>
            </w14:solidFill>
          </w14:textFill>
        </w:rPr>
        <w:t>下</w:t>
      </w:r>
      <w:r>
        <w:rPr>
          <w:rFonts w:cs="Times New Roman"/>
          <w:bCs/>
          <w:color w:val="000000" w:themeColor="text1"/>
          <w:szCs w:val="24"/>
          <w:highlight w:val="none"/>
          <w14:textFill>
            <w14:solidFill>
              <w14:schemeClr w14:val="tx1"/>
            </w14:solidFill>
          </w14:textFill>
        </w:rPr>
        <w:t>游，</w:t>
      </w:r>
      <w:r>
        <w:rPr>
          <w:rFonts w:hint="eastAsia" w:cs="Times New Roman"/>
          <w:bCs/>
          <w:color w:val="000000" w:themeColor="text1"/>
          <w:szCs w:val="24"/>
          <w:highlight w:val="none"/>
          <w:lang w:val="en-US" w:eastAsia="zh-CN"/>
          <w14:textFill>
            <w14:solidFill>
              <w14:schemeClr w14:val="tx1"/>
            </w14:solidFill>
          </w14:textFill>
        </w:rPr>
        <w:t>2</w:t>
      </w:r>
      <w:r>
        <w:rPr>
          <w:rFonts w:cs="Times New Roman"/>
          <w:bCs/>
          <w:color w:val="000000" w:themeColor="text1"/>
          <w:szCs w:val="24"/>
          <w:highlight w:val="none"/>
          <w14:textFill>
            <w14:solidFill>
              <w14:schemeClr w14:val="tx1"/>
            </w14:solidFill>
          </w14:textFill>
        </w:rPr>
        <w:t>个监测点（</w:t>
      </w:r>
      <w:r>
        <w:rPr>
          <w:rFonts w:hint="eastAsia" w:cs="Times New Roman"/>
          <w:bCs/>
          <w:color w:val="000000" w:themeColor="text1"/>
          <w:szCs w:val="24"/>
          <w:highlight w:val="none"/>
          <w:lang w:val="en-US" w:eastAsia="zh-CN"/>
          <w14:textFill>
            <w14:solidFill>
              <w14:schemeClr w14:val="tx1"/>
            </w14:solidFill>
          </w14:textFill>
        </w:rPr>
        <w:t>2</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4#</w:t>
      </w:r>
      <w:r>
        <w:rPr>
          <w:rFonts w:cs="Times New Roman"/>
          <w:bCs/>
          <w:color w:val="000000" w:themeColor="text1"/>
          <w:szCs w:val="24"/>
          <w:highlight w:val="none"/>
          <w14:textFill>
            <w14:solidFill>
              <w14:schemeClr w14:val="tx1"/>
            </w14:solidFill>
          </w14:textFill>
        </w:rPr>
        <w:t>）位于地下水流向</w:t>
      </w:r>
      <w:r>
        <w:rPr>
          <w:rFonts w:hint="eastAsia" w:cs="Times New Roman"/>
          <w:bCs/>
          <w:color w:val="000000" w:themeColor="text1"/>
          <w:szCs w:val="24"/>
          <w:highlight w:val="none"/>
          <w14:textFill>
            <w14:solidFill>
              <w14:schemeClr w14:val="tx1"/>
            </w14:solidFill>
          </w14:textFill>
        </w:rPr>
        <w:t>侧</w:t>
      </w:r>
      <w:r>
        <w:rPr>
          <w:rFonts w:cs="Times New Roman"/>
          <w:bCs/>
          <w:color w:val="000000" w:themeColor="text1"/>
          <w:szCs w:val="24"/>
          <w:highlight w:val="none"/>
          <w14:textFill>
            <w14:solidFill>
              <w14:schemeClr w14:val="tx1"/>
            </w14:solidFill>
          </w14:textFill>
        </w:rPr>
        <w:t>游，</w:t>
      </w:r>
      <w:r>
        <w:rPr>
          <w:rFonts w:hint="eastAsia" w:cs="Times New Roman"/>
          <w:bCs/>
          <w:color w:val="000000" w:themeColor="text1"/>
          <w:szCs w:val="24"/>
          <w:highlight w:val="none"/>
          <w:lang w:val="en-US" w:eastAsia="zh-CN"/>
          <w14:textFill>
            <w14:solidFill>
              <w14:schemeClr w14:val="tx1"/>
            </w14:solidFill>
          </w14:textFill>
        </w:rPr>
        <w:t>1</w:t>
      </w:r>
      <w:r>
        <w:rPr>
          <w:rFonts w:cs="Times New Roman"/>
          <w:bCs/>
          <w:color w:val="000000" w:themeColor="text1"/>
          <w:szCs w:val="24"/>
          <w:highlight w:val="none"/>
          <w14:textFill>
            <w14:solidFill>
              <w14:schemeClr w14:val="tx1"/>
            </w14:solidFill>
          </w14:textFill>
        </w:rPr>
        <w:t>个监测点（</w:t>
      </w:r>
      <w:r>
        <w:rPr>
          <w:rFonts w:hint="eastAsia" w:cs="Times New Roman"/>
          <w:bCs/>
          <w:color w:val="000000" w:themeColor="text1"/>
          <w:szCs w:val="24"/>
          <w:highlight w:val="none"/>
          <w:lang w:val="en-US" w:eastAsia="zh-CN"/>
          <w14:textFill>
            <w14:solidFill>
              <w14:schemeClr w14:val="tx1"/>
            </w14:solidFill>
          </w14:textFill>
        </w:rPr>
        <w:t>3</w:t>
      </w:r>
      <w:r>
        <w:rPr>
          <w:rFonts w:cs="Times New Roman"/>
          <w:bCs/>
          <w:color w:val="000000" w:themeColor="text1"/>
          <w:szCs w:val="24"/>
          <w:highlight w:val="none"/>
          <w14:textFill>
            <w14:solidFill>
              <w14:schemeClr w14:val="tx1"/>
            </w14:solidFill>
          </w14:textFill>
        </w:rPr>
        <w:t>#）位于地下水流向</w:t>
      </w:r>
      <w:r>
        <w:rPr>
          <w:rFonts w:hint="eastAsia" w:cs="Times New Roman"/>
          <w:bCs/>
          <w:color w:val="000000" w:themeColor="text1"/>
          <w:szCs w:val="24"/>
          <w:highlight w:val="none"/>
          <w14:textFill>
            <w14:solidFill>
              <w14:schemeClr w14:val="tx1"/>
            </w14:solidFill>
          </w14:textFill>
        </w:rPr>
        <w:t>上</w:t>
      </w:r>
      <w:r>
        <w:rPr>
          <w:rFonts w:cs="Times New Roman"/>
          <w:bCs/>
          <w:color w:val="000000" w:themeColor="text1"/>
          <w:szCs w:val="24"/>
          <w:highlight w:val="none"/>
          <w14:textFill>
            <w14:solidFill>
              <w14:schemeClr w14:val="tx1"/>
            </w14:solidFill>
          </w14:textFill>
        </w:rPr>
        <w:t>游，</w:t>
      </w:r>
      <w:r>
        <w:rPr>
          <w:rFonts w:hint="eastAsia" w:cs="Times New Roman"/>
          <w:bCs/>
          <w:color w:val="000000" w:themeColor="text1"/>
          <w:szCs w:val="24"/>
          <w:highlight w:val="none"/>
          <w:lang w:val="en-US" w:eastAsia="zh-CN"/>
          <w14:textFill>
            <w14:solidFill>
              <w14:schemeClr w14:val="tx1"/>
            </w14:solidFill>
          </w14:textFill>
        </w:rPr>
        <w:t>同时管线和井场位于同一个评价范围内，监测点位位于管线两侧和上下，因此</w:t>
      </w:r>
      <w:r>
        <w:rPr>
          <w:rFonts w:cs="Times New Roman"/>
          <w:bCs/>
          <w:color w:val="000000" w:themeColor="text1"/>
          <w:szCs w:val="24"/>
          <w:highlight w:val="none"/>
          <w14:textFill>
            <w14:solidFill>
              <w14:schemeClr w14:val="tx1"/>
            </w14:solidFill>
          </w14:textFill>
        </w:rPr>
        <w:t>该布点符合《环境影响评价导则-地下水环境》（HJ 610-2016）中相关布点原则要求。</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（2）地下水现状监测因子及监测频率</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背景离子（K</w:t>
      </w:r>
      <w:r>
        <w:rPr>
          <w:rFonts w:cs="Times New Roman"/>
          <w:bCs/>
          <w:color w:val="000000" w:themeColor="text1"/>
          <w:szCs w:val="24"/>
          <w:highlight w:val="none"/>
          <w:vertAlign w:val="superscript"/>
          <w14:textFill>
            <w14:solidFill>
              <w14:schemeClr w14:val="tx1"/>
            </w14:solidFill>
          </w14:textFill>
        </w:rPr>
        <w:t>+</w:t>
      </w:r>
      <w:r>
        <w:rPr>
          <w:rFonts w:cs="Times New Roman"/>
          <w:bCs/>
          <w:color w:val="000000" w:themeColor="text1"/>
          <w:szCs w:val="24"/>
          <w:highlight w:val="none"/>
          <w14:textFill>
            <w14:solidFill>
              <w14:schemeClr w14:val="tx1"/>
            </w14:solidFill>
          </w14:textFill>
        </w:rPr>
        <w:t>、Na</w:t>
      </w:r>
      <w:r>
        <w:rPr>
          <w:rFonts w:cs="Times New Roman"/>
          <w:bCs/>
          <w:color w:val="000000" w:themeColor="text1"/>
          <w:szCs w:val="24"/>
          <w:highlight w:val="none"/>
          <w:vertAlign w:val="superscript"/>
          <w14:textFill>
            <w14:solidFill>
              <w14:schemeClr w14:val="tx1"/>
            </w14:solidFill>
          </w14:textFill>
        </w:rPr>
        <w:t>+</w:t>
      </w:r>
      <w:r>
        <w:rPr>
          <w:rFonts w:cs="Times New Roman"/>
          <w:bCs/>
          <w:color w:val="000000" w:themeColor="text1"/>
          <w:szCs w:val="24"/>
          <w:highlight w:val="none"/>
          <w14:textFill>
            <w14:solidFill>
              <w14:schemeClr w14:val="tx1"/>
            </w14:solidFill>
          </w14:textFill>
        </w:rPr>
        <w:t>、Ca</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、Mg</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、CO</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、HCO</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vertAlign w:val="superscript"/>
          <w14:textFill>
            <w14:solidFill>
              <w14:schemeClr w14:val="tx1"/>
            </w14:solidFill>
          </w14:textFill>
        </w:rPr>
        <w:t>-</w:t>
      </w:r>
      <w:r>
        <w:rPr>
          <w:rFonts w:cs="Times New Roman"/>
          <w:bCs/>
          <w:color w:val="000000" w:themeColor="text1"/>
          <w:szCs w:val="24"/>
          <w:highlight w:val="none"/>
          <w14:textFill>
            <w14:solidFill>
              <w14:schemeClr w14:val="tx1"/>
            </w14:solidFill>
          </w14:textFill>
        </w:rPr>
        <w:t>、Cl</w:t>
      </w:r>
      <w:r>
        <w:rPr>
          <w:rFonts w:cs="Times New Roman"/>
          <w:bCs/>
          <w:color w:val="000000" w:themeColor="text1"/>
          <w:szCs w:val="24"/>
          <w:highlight w:val="none"/>
          <w:vertAlign w:val="superscript"/>
          <w14:textFill>
            <w14:solidFill>
              <w14:schemeClr w14:val="tx1"/>
            </w14:solidFill>
          </w14:textFill>
        </w:rPr>
        <w:t>-</w:t>
      </w:r>
      <w:r>
        <w:rPr>
          <w:rFonts w:cs="Times New Roman"/>
          <w:bCs/>
          <w:color w:val="000000" w:themeColor="text1"/>
          <w:szCs w:val="24"/>
          <w:highlight w:val="none"/>
          <w14:textFill>
            <w14:solidFill>
              <w14:schemeClr w14:val="tx1"/>
            </w14:solidFill>
          </w14:textFill>
        </w:rPr>
        <w:t>、SO</w:t>
      </w:r>
      <w:r>
        <w:rPr>
          <w:rFonts w:cs="Times New Roman"/>
          <w:bCs/>
          <w:color w:val="000000" w:themeColor="text1"/>
          <w:szCs w:val="24"/>
          <w:highlight w:val="none"/>
          <w:vertAlign w:val="subscript"/>
          <w14:textFill>
            <w14:solidFill>
              <w14:schemeClr w14:val="tx1"/>
            </w14:solidFill>
          </w14:textFill>
        </w:rPr>
        <w:t>4</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基本水质因子（pH、氨氮、硝酸盐、亚硝酸盐、挥发性酚类、氰化物、砷、汞、铬（六价）、总硬度、铅、氟、镉、铁、锰、溶解性总固体、耗氧量、硫酸盐、氯化物、总大肠菌群、细菌总数），项目特征因子（石油类</w:t>
      </w:r>
      <w:r>
        <w:rPr>
          <w:rFonts w:hint="eastAsia" w:cs="Times New Roman"/>
          <w:bCs/>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硫化物</w:t>
      </w:r>
      <w:r>
        <w:rPr>
          <w:rFonts w:cs="Times New Roman"/>
          <w:bCs/>
          <w:color w:val="000000" w:themeColor="text1"/>
          <w:szCs w:val="24"/>
          <w:highlight w:val="none"/>
          <w14:textFill>
            <w14:solidFill>
              <w14:schemeClr w14:val="tx1"/>
            </w14:solidFill>
          </w14:textFill>
        </w:rPr>
        <w:t>）。</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所有指标监测1天，每天一次。</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（3）评价方法</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①</w:t>
      </w:r>
      <w:r>
        <w:rPr>
          <w:rFonts w:cs="Times New Roman"/>
          <w:bCs/>
          <w:color w:val="000000" w:themeColor="text1"/>
          <w:szCs w:val="24"/>
          <w:highlight w:val="none"/>
          <w14:textFill>
            <w14:solidFill>
              <w14:schemeClr w14:val="tx1"/>
            </w14:solidFill>
          </w14:textFill>
        </w:rPr>
        <w:t>按照《地下水质量标准》（GB/T14848-2017）评价方法对基本水质因子和特殊水质因子进行评价。</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②</w:t>
      </w:r>
      <w:r>
        <w:rPr>
          <w:rFonts w:cs="Times New Roman"/>
          <w:bCs/>
          <w:color w:val="000000" w:themeColor="text1"/>
          <w:szCs w:val="24"/>
          <w:highlight w:val="none"/>
          <w14:textFill>
            <w14:solidFill>
              <w14:schemeClr w14:val="tx1"/>
            </w14:solidFill>
          </w14:textFill>
        </w:rPr>
        <w:t>用舒卡列夫分类法对本项目所在区域地下水化学类型进行分类。</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地下水化学类型的舒卡列夫分类是根据地下水中6种主要离子（钠、钙、镁、重碳酸根、硫酸根、氯离子、钾合并于钠）及矿化度划分的，具体步骤如下：</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a</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根据水质分析结果，将6种主要离子中含量大于25%毫克当量的阴离子和阳离子进行组合；</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 xml:space="preserve"> b</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按矿化度（M）的大小分为4组，A组——M≤1.5g/L；B组——1.5＜M≤10g/L；C组——10＜M≤40g/L；D组——M＞40g/L；</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c</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矿化度为阴阳离子总和减去重碳酸离子含量的二分之一；</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将地下水化学类型用阿拉伯数字（1-49）与字母（A、B、C、D）组合在一起表达的表达式表示。</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（4）评价结果及分析</w:t>
      </w:r>
    </w:p>
    <w:p>
      <w:pPr>
        <w:ind w:firstLine="480"/>
        <w:rPr>
          <w:rFonts w:cs="Times New Roman"/>
          <w:bCs/>
          <w:color w:val="000000" w:themeColor="text1"/>
          <w:szCs w:val="24"/>
          <w:highlight w:val="none"/>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r>
        <w:rPr>
          <w:rFonts w:cs="Times New Roman"/>
          <w:bCs/>
          <w:color w:val="000000" w:themeColor="text1"/>
          <w:szCs w:val="24"/>
          <w:highlight w:val="none"/>
          <w14:textFill>
            <w14:solidFill>
              <w14:schemeClr w14:val="tx1"/>
            </w14:solidFill>
          </w14:textFill>
        </w:rPr>
        <w:t>1）基本水质因子和</w:t>
      </w:r>
      <w:r>
        <w:rPr>
          <w:rFonts w:hint="eastAsia" w:cs="Times New Roman"/>
          <w:bCs/>
          <w:color w:val="000000" w:themeColor="text1"/>
          <w:szCs w:val="24"/>
          <w:highlight w:val="none"/>
          <w:lang w:val="en-US" w:eastAsia="zh-CN"/>
          <w14:textFill>
            <w14:solidFill>
              <w14:schemeClr w14:val="tx1"/>
            </w14:solidFill>
          </w14:textFill>
        </w:rPr>
        <w:t>特征</w:t>
      </w:r>
      <w:r>
        <w:rPr>
          <w:rFonts w:cs="Times New Roman"/>
          <w:bCs/>
          <w:color w:val="000000" w:themeColor="text1"/>
          <w:szCs w:val="24"/>
          <w:highlight w:val="none"/>
          <w14:textFill>
            <w14:solidFill>
              <w14:schemeClr w14:val="tx1"/>
            </w14:solidFill>
          </w14:textFill>
        </w:rPr>
        <w:t>水质因子进行评价地下水现状评价，评价结果见</w:t>
      </w:r>
      <w:r>
        <w:rPr>
          <w:rFonts w:hint="eastAsia" w:cs="Times New Roman"/>
          <w:bCs/>
          <w:color w:val="000000" w:themeColor="text1"/>
          <w:szCs w:val="24"/>
          <w:highlight w:val="none"/>
          <w14:textFill>
            <w14:solidFill>
              <w14:schemeClr w14:val="tx1"/>
            </w14:solidFill>
          </w14:textFill>
        </w:rPr>
        <w:t>表4</w:t>
      </w:r>
      <w:r>
        <w:rPr>
          <w:rFonts w:cs="Times New Roman"/>
          <w:bCs/>
          <w:color w:val="000000" w:themeColor="text1"/>
          <w:szCs w:val="24"/>
          <w:highlight w:val="none"/>
          <w14:textFill>
            <w14:solidFill>
              <w14:schemeClr w14:val="tx1"/>
            </w14:solidFill>
          </w14:textFill>
        </w:rPr>
        <w:t>.2-8。</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区域地下水质量现状监测结果</w:t>
      </w:r>
      <w:r>
        <w:rPr>
          <w:color w:val="000000" w:themeColor="text1"/>
          <w:highlight w:val="none"/>
          <w14:textFill>
            <w14:solidFill>
              <w14:schemeClr w14:val="tx1"/>
            </w14:solidFill>
          </w14:textFill>
        </w:rPr>
        <w:t xml:space="preserve"> 单位：mg/L</w:t>
      </w:r>
    </w:p>
    <w:tbl>
      <w:tblPr>
        <w:tblStyle w:val="52"/>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8" w:type="dxa"/>
        </w:tblCellMar>
      </w:tblPr>
      <w:tblGrid>
        <w:gridCol w:w="1458"/>
        <w:gridCol w:w="1467"/>
        <w:gridCol w:w="1467"/>
        <w:gridCol w:w="1467"/>
        <w:gridCol w:w="1467"/>
        <w:gridCol w:w="1470"/>
        <w:gridCol w:w="896"/>
        <w:gridCol w:w="896"/>
        <w:gridCol w:w="896"/>
        <w:gridCol w:w="896"/>
        <w:gridCol w:w="896"/>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监测因子</w:t>
            </w:r>
          </w:p>
        </w:tc>
        <w:tc>
          <w:tcPr>
            <w:tcW w:w="1467"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雷页1井</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试验井组</w:t>
            </w:r>
            <w:r>
              <w:rPr>
                <w:rFonts w:hint="default" w:ascii="Times New Roman" w:hAnsi="Times New Roman" w:eastAsia="宋体" w:cs="Times New Roman"/>
                <w:b/>
                <w:bCs/>
                <w:color w:val="000000" w:themeColor="text1"/>
                <w:szCs w:val="21"/>
                <w:highlight w:val="none"/>
                <w14:textFill>
                  <w14:solidFill>
                    <w14:schemeClr w14:val="tx1"/>
                  </w14:solidFill>
                </w14:textFill>
              </w:rPr>
              <w:t>中心西南侧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489m处1#</w:t>
            </w:r>
          </w:p>
        </w:tc>
        <w:tc>
          <w:tcPr>
            <w:tcW w:w="1467"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雷页1井</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试验井组</w:t>
            </w:r>
            <w:r>
              <w:rPr>
                <w:rFonts w:hint="default" w:ascii="Times New Roman" w:hAnsi="Times New Roman" w:eastAsia="宋体" w:cs="Times New Roman"/>
                <w:b/>
                <w:bCs/>
                <w:color w:val="000000" w:themeColor="text1"/>
                <w:szCs w:val="21"/>
                <w:highlight w:val="none"/>
                <w14:textFill>
                  <w14:solidFill>
                    <w14:schemeClr w14:val="tx1"/>
                  </w14:solidFill>
                </w14:textFill>
              </w:rPr>
              <w:t>中心西侧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212m处2#</w:t>
            </w:r>
          </w:p>
        </w:tc>
        <w:tc>
          <w:tcPr>
            <w:tcW w:w="1467"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雷页1井</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试验井组</w:t>
            </w:r>
            <w:r>
              <w:rPr>
                <w:rFonts w:hint="default" w:ascii="Times New Roman" w:hAnsi="Times New Roman" w:eastAsia="宋体" w:cs="Times New Roman"/>
                <w:b/>
                <w:bCs/>
                <w:color w:val="000000" w:themeColor="text1"/>
                <w:szCs w:val="21"/>
                <w:highlight w:val="none"/>
                <w14:textFill>
                  <w14:solidFill>
                    <w14:schemeClr w14:val="tx1"/>
                  </w14:solidFill>
                </w14:textFill>
              </w:rPr>
              <w:t>中心东北侧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89m处3#</w:t>
            </w:r>
          </w:p>
        </w:tc>
        <w:tc>
          <w:tcPr>
            <w:tcW w:w="1467"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雷页1井</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试验井组</w:t>
            </w:r>
            <w:r>
              <w:rPr>
                <w:rFonts w:hint="default" w:ascii="Times New Roman" w:hAnsi="Times New Roman" w:eastAsia="宋体" w:cs="Times New Roman"/>
                <w:b/>
                <w:bCs/>
                <w:color w:val="000000" w:themeColor="text1"/>
                <w:szCs w:val="21"/>
                <w:highlight w:val="none"/>
                <w14:textFill>
                  <w14:solidFill>
                    <w14:schemeClr w14:val="tx1"/>
                  </w14:solidFill>
                </w14:textFill>
              </w:rPr>
              <w:t>中心东北侧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517m处4#</w:t>
            </w:r>
          </w:p>
        </w:tc>
        <w:tc>
          <w:tcPr>
            <w:tcW w:w="1470"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雷页1井</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试验井组</w:t>
            </w:r>
            <w:r>
              <w:rPr>
                <w:rFonts w:hint="default" w:ascii="Times New Roman" w:hAnsi="Times New Roman" w:eastAsia="宋体" w:cs="Times New Roman"/>
                <w:b/>
                <w:bCs/>
                <w:color w:val="000000" w:themeColor="text1"/>
                <w:szCs w:val="21"/>
                <w:highlight w:val="none"/>
                <w14:textFill>
                  <w14:solidFill>
                    <w14:schemeClr w14:val="tx1"/>
                  </w14:solidFill>
                </w14:textFill>
              </w:rPr>
              <w:t>中心东侧</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379m处5#</w:t>
            </w:r>
          </w:p>
        </w:tc>
        <w:tc>
          <w:tcPr>
            <w:tcW w:w="89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标准</w:t>
            </w:r>
            <w:r>
              <w:rPr>
                <w:rFonts w:hint="eastAsia"/>
                <w:b/>
                <w:bCs/>
                <w:color w:val="000000" w:themeColor="text1"/>
                <w:szCs w:val="21"/>
                <w:highlight w:val="none"/>
                <w14:textFill>
                  <w14:solidFill>
                    <w14:schemeClr w14:val="tx1"/>
                  </w14:solidFill>
                </w14:textFill>
              </w:rPr>
              <w:t>值</w:t>
            </w:r>
          </w:p>
        </w:tc>
        <w:tc>
          <w:tcPr>
            <w:tcW w:w="89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最</w:t>
            </w:r>
            <w:r>
              <w:rPr>
                <w:rFonts w:hint="eastAsia"/>
                <w:b/>
                <w:bCs/>
                <w:color w:val="000000" w:themeColor="text1"/>
                <w:szCs w:val="21"/>
                <w:highlight w:val="none"/>
                <w:lang w:val="en-US" w:eastAsia="zh-CN"/>
                <w14:textFill>
                  <w14:solidFill>
                    <w14:schemeClr w14:val="tx1"/>
                  </w14:solidFill>
                </w14:textFill>
              </w:rPr>
              <w:t>小</w:t>
            </w:r>
            <w:r>
              <w:rPr>
                <w:rFonts w:hint="eastAsia"/>
                <w:b/>
                <w:bCs/>
                <w:color w:val="000000" w:themeColor="text1"/>
                <w:szCs w:val="21"/>
                <w:highlight w:val="none"/>
                <w14:textFill>
                  <w14:solidFill>
                    <w14:schemeClr w14:val="tx1"/>
                  </w14:solidFill>
                </w14:textFill>
              </w:rPr>
              <w:t>值</w:t>
            </w:r>
          </w:p>
        </w:tc>
        <w:tc>
          <w:tcPr>
            <w:tcW w:w="89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最</w:t>
            </w:r>
            <w:r>
              <w:rPr>
                <w:rFonts w:hint="eastAsia"/>
                <w:b/>
                <w:bCs/>
                <w:color w:val="000000" w:themeColor="text1"/>
                <w:szCs w:val="21"/>
                <w:highlight w:val="none"/>
                <w:lang w:val="en-US" w:eastAsia="zh-CN"/>
                <w14:textFill>
                  <w14:solidFill>
                    <w14:schemeClr w14:val="tx1"/>
                  </w14:solidFill>
                </w14:textFill>
              </w:rPr>
              <w:t>大</w:t>
            </w:r>
            <w:r>
              <w:rPr>
                <w:rFonts w:hint="eastAsia"/>
                <w:b/>
                <w:bCs/>
                <w:color w:val="000000" w:themeColor="text1"/>
                <w:szCs w:val="21"/>
                <w:highlight w:val="none"/>
                <w14:textFill>
                  <w14:solidFill>
                    <w14:schemeClr w14:val="tx1"/>
                  </w14:solidFill>
                </w14:textFill>
              </w:rPr>
              <w:t>值</w:t>
            </w:r>
          </w:p>
        </w:tc>
        <w:tc>
          <w:tcPr>
            <w:tcW w:w="89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最</w:t>
            </w:r>
            <w:r>
              <w:rPr>
                <w:rFonts w:hint="eastAsia"/>
                <w:b/>
                <w:bCs/>
                <w:color w:val="000000" w:themeColor="text1"/>
                <w:szCs w:val="21"/>
                <w:highlight w:val="none"/>
                <w:lang w:val="en-US" w:eastAsia="zh-CN"/>
                <w14:textFill>
                  <w14:solidFill>
                    <w14:schemeClr w14:val="tx1"/>
                  </w14:solidFill>
                </w14:textFill>
              </w:rPr>
              <w:t>小</w:t>
            </w:r>
            <w:r>
              <w:rPr>
                <w:rFonts w:hint="eastAsia"/>
                <w:b/>
                <w:bCs/>
                <w:color w:val="000000" w:themeColor="text1"/>
                <w:szCs w:val="21"/>
                <w:highlight w:val="none"/>
                <w14:textFill>
                  <w14:solidFill>
                    <w14:schemeClr w14:val="tx1"/>
                  </w14:solidFill>
                </w14:textFill>
              </w:rPr>
              <w:t>标准指数</w:t>
            </w:r>
          </w:p>
        </w:tc>
        <w:tc>
          <w:tcPr>
            <w:tcW w:w="896"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最</w:t>
            </w:r>
            <w:r>
              <w:rPr>
                <w:rFonts w:hint="eastAsia"/>
                <w:b/>
                <w:bCs/>
                <w:color w:val="000000" w:themeColor="text1"/>
                <w:szCs w:val="21"/>
                <w:highlight w:val="none"/>
                <w:lang w:val="en-US" w:eastAsia="zh-CN"/>
                <w14:textFill>
                  <w14:solidFill>
                    <w14:schemeClr w14:val="tx1"/>
                  </w14:solidFill>
                </w14:textFill>
              </w:rPr>
              <w:t>大</w:t>
            </w:r>
            <w:r>
              <w:rPr>
                <w:rFonts w:hint="eastAsia"/>
                <w:b/>
                <w:bCs/>
                <w:color w:val="000000" w:themeColor="text1"/>
                <w:szCs w:val="21"/>
                <w:highlight w:val="none"/>
                <w14:textFill>
                  <w14:solidFill>
                    <w14:schemeClr w14:val="tx1"/>
                  </w14:solidFill>
                </w14:textFill>
              </w:rPr>
              <w:t>标准指数</w:t>
            </w:r>
          </w:p>
        </w:tc>
        <w:tc>
          <w:tcPr>
            <w:tcW w:w="897" w:type="dxa"/>
            <w:vMerge w:val="restart"/>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eastAsia="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监测时间</w:t>
            </w:r>
          </w:p>
        </w:tc>
        <w:tc>
          <w:tcPr>
            <w:tcW w:w="7338" w:type="dxa"/>
            <w:gridSpan w:val="5"/>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2024.6.14</w:t>
            </w:r>
          </w:p>
        </w:tc>
        <w:tc>
          <w:tcPr>
            <w:tcW w:w="89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lang w:val="en-US" w:eastAsia="zh-CN"/>
                <w14:textFill>
                  <w14:solidFill>
                    <w14:schemeClr w14:val="tx1"/>
                  </w14:solidFill>
                </w14:textFill>
              </w:rPr>
            </w:pPr>
          </w:p>
        </w:tc>
        <w:tc>
          <w:tcPr>
            <w:tcW w:w="89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14:textFill>
                  <w14:solidFill>
                    <w14:schemeClr w14:val="tx1"/>
                  </w14:solidFill>
                </w14:textFill>
              </w:rPr>
            </w:pPr>
          </w:p>
        </w:tc>
        <w:tc>
          <w:tcPr>
            <w:tcW w:w="89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14:textFill>
                  <w14:solidFill>
                    <w14:schemeClr w14:val="tx1"/>
                  </w14:solidFill>
                </w14:textFill>
              </w:rPr>
            </w:pPr>
          </w:p>
        </w:tc>
        <w:tc>
          <w:tcPr>
            <w:tcW w:w="89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14:textFill>
                  <w14:solidFill>
                    <w14:schemeClr w14:val="tx1"/>
                  </w14:solidFill>
                </w14:textFill>
              </w:rPr>
            </w:pPr>
          </w:p>
        </w:tc>
        <w:tc>
          <w:tcPr>
            <w:tcW w:w="896"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14:textFill>
                  <w14:solidFill>
                    <w14:schemeClr w14:val="tx1"/>
                  </w14:solidFill>
                </w14:textFill>
              </w:rPr>
            </w:pPr>
          </w:p>
        </w:tc>
        <w:tc>
          <w:tcPr>
            <w:tcW w:w="897" w:type="dxa"/>
            <w:vMerge w:val="continue"/>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239" w:hRule="atLeast"/>
          <w:jc w:val="center"/>
        </w:trPr>
        <w:tc>
          <w:tcPr>
            <w:tcW w:w="145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pH</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6.5~8.5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总硬度（钙和镁总量）</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溶解性总固体</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≤1000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高锰酸盐指数</w:t>
            </w:r>
          </w:p>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（耗氧量）</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≤3.0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氨氮</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硝酸根</w:t>
            </w:r>
          </w:p>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（硝酸盐氮）</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≤20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亚硝酸根</w:t>
            </w:r>
          </w:p>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14:textFill>
                  <w14:solidFill>
                    <w14:schemeClr w14:val="tx1"/>
                  </w14:solidFill>
                </w14:textFill>
              </w:rPr>
              <w:t>（亚硝酸盐氮）</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≤1.0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氟化物</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≤1.0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硫酸盐</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≤250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氯化物</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≤250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挥发酚</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≤0.002</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氰化物</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≤0.05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砷</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≤10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汞</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≤1.0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铬（六价）</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≤0.05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铁</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≤0.3</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锰</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2"/>
                <w:rFonts w:eastAsia="宋体"/>
                <w:color w:val="000000" w:themeColor="text1"/>
                <w:highlight w:val="none"/>
                <w:lang w:val="en-US" w:eastAsia="zh-CN" w:bidi="ar"/>
                <w14:textFill>
                  <w14:solidFill>
                    <w14:schemeClr w14:val="tx1"/>
                  </w14:solidFill>
                </w14:textFill>
              </w:rPr>
              <w:t>≤0.1</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铅</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≤0.01</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镉</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石油类</w:t>
            </w:r>
            <w:r>
              <w:rPr>
                <w:rFonts w:hint="default" w:ascii="宋体" w:hAnsi="宋体" w:eastAsia="宋体" w:cs="Times New Roman"/>
                <w:b/>
                <w:bCs/>
                <w:color w:val="000000" w:themeColor="text1"/>
                <w:szCs w:val="21"/>
                <w:highlight w:val="none"/>
                <w:lang w:val="en-US" w:eastAsia="zh-CN"/>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≤0.05*</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总大肠菌群（</w:t>
            </w:r>
            <w:r>
              <w:rPr>
                <w:rFonts w:hint="default" w:ascii="宋体" w:hAnsi="宋体" w:eastAsia="宋体" w:cs="Times New Roman"/>
                <w:b/>
                <w:bCs/>
                <w:color w:val="000000" w:themeColor="text1"/>
                <w:szCs w:val="21"/>
                <w:highlight w:val="none"/>
                <w:lang w:val="en-US" w:eastAsia="zh-CN"/>
                <w14:textFill>
                  <w14:solidFill>
                    <w14:schemeClr w14:val="tx1"/>
                  </w14:solidFill>
                </w14:textFill>
              </w:rPr>
              <w:t>MPN/L</w:t>
            </w:r>
            <w:r>
              <w:rPr>
                <w:rFonts w:hint="eastAsia" w:ascii="宋体" w:hAnsi="宋体" w:eastAsia="宋体" w:cs="Times New Roman"/>
                <w:b/>
                <w:bCs/>
                <w:color w:val="000000" w:themeColor="text1"/>
                <w:szCs w:val="21"/>
                <w:highlight w:val="none"/>
                <w:lang w:val="en-US" w:eastAsia="zh-CN"/>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&lt;3</w:t>
            </w:r>
            <w:r>
              <w:rPr>
                <w:rStyle w:val="623"/>
                <w:color w:val="000000" w:themeColor="text1"/>
                <w:highlight w:val="none"/>
                <w:lang w:val="en-US" w:eastAsia="zh-CN" w:bidi="ar"/>
                <w14:textFill>
                  <w14:solidFill>
                    <w14:schemeClr w14:val="tx1"/>
                  </w14:solidFill>
                </w14:textFill>
              </w:rPr>
              <w:t>个</w:t>
            </w:r>
            <w:r>
              <w:rPr>
                <w:rStyle w:val="620"/>
                <w:rFonts w:eastAsia="宋体"/>
                <w:color w:val="000000" w:themeColor="text1"/>
                <w:highlight w:val="none"/>
                <w:lang w:val="en-US" w:eastAsia="zh-CN" w:bidi="ar"/>
                <w14:textFill>
                  <w14:solidFill>
                    <w14:schemeClr w14:val="tx1"/>
                  </w14:solidFill>
                </w14:textFill>
              </w:rPr>
              <w:t>/L</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default" w:ascii="宋体" w:hAnsi="宋体" w:eastAsia="宋体" w:cs="Times New Roman"/>
                <w:b/>
                <w:bCs/>
                <w:color w:val="000000" w:themeColor="text1"/>
                <w:szCs w:val="21"/>
                <w:highlight w:val="none"/>
                <w:lang w:val="en-US" w:eastAsia="zh-CN"/>
                <w14:textFill>
                  <w14:solidFill>
                    <w14:schemeClr w14:val="tx1"/>
                  </w14:solidFill>
                </w14:textFill>
              </w:rPr>
              <w:t>细菌总数</w:t>
            </w:r>
            <w:r>
              <w:rPr>
                <w:rFonts w:hint="eastAsia" w:ascii="宋体" w:hAnsi="宋体" w:eastAsia="宋体" w:cs="Times New Roman"/>
                <w:b/>
                <w:bCs/>
                <w:color w:val="000000" w:themeColor="text1"/>
                <w:szCs w:val="21"/>
                <w:highlight w:val="none"/>
                <w:lang w:val="en-US" w:eastAsia="zh-CN"/>
                <w14:textFill>
                  <w14:solidFill>
                    <w14:schemeClr w14:val="tx1"/>
                  </w14:solidFill>
                </w14:textFill>
              </w:rPr>
              <w:t>（</w:t>
            </w:r>
            <w:r>
              <w:rPr>
                <w:rFonts w:hint="default" w:ascii="宋体" w:hAnsi="宋体" w:eastAsia="宋体" w:cs="Times New Roman"/>
                <w:b/>
                <w:bCs/>
                <w:color w:val="000000" w:themeColor="text1"/>
                <w:szCs w:val="21"/>
                <w:highlight w:val="none"/>
                <w:lang w:val="en-US" w:eastAsia="zh-CN"/>
                <w14:textFill>
                  <w14:solidFill>
                    <w14:schemeClr w14:val="tx1"/>
                  </w14:solidFill>
                </w14:textFill>
              </w:rPr>
              <w:t>CFU/mL</w:t>
            </w:r>
            <w:r>
              <w:rPr>
                <w:rFonts w:hint="eastAsia" w:ascii="宋体" w:hAnsi="宋体" w:eastAsia="宋体" w:cs="Times New Roman"/>
                <w:b/>
                <w:bCs/>
                <w:color w:val="000000" w:themeColor="text1"/>
                <w:szCs w:val="21"/>
                <w:highlight w:val="none"/>
                <w:lang w:val="en-US" w:eastAsia="zh-CN"/>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≤100</w:t>
            </w:r>
            <w:r>
              <w:rPr>
                <w:rStyle w:val="623"/>
                <w:color w:val="000000" w:themeColor="text1"/>
                <w:highlight w:val="none"/>
                <w:lang w:val="en-US" w:eastAsia="zh-CN" w:bidi="ar"/>
                <w14:textFill>
                  <w14:solidFill>
                    <w14:schemeClr w14:val="tx1"/>
                  </w14:solidFill>
                </w14:textFill>
              </w:rPr>
              <w:t>个</w:t>
            </w:r>
            <w:r>
              <w:rPr>
                <w:rStyle w:val="620"/>
                <w:rFonts w:eastAsia="宋体"/>
                <w:color w:val="000000" w:themeColor="text1"/>
                <w:highlight w:val="none"/>
                <w:lang w:val="en-US" w:eastAsia="zh-CN" w:bidi="ar"/>
                <w14:textFill>
                  <w14:solidFill>
                    <w14:schemeClr w14:val="tx1"/>
                  </w14:solidFill>
                </w14:textFill>
              </w:rPr>
              <w:t>/</w:t>
            </w:r>
            <w:r>
              <w:rPr>
                <w:rStyle w:val="620"/>
                <w:rFonts w:hint="eastAsia" w:eastAsia="宋体"/>
                <w:color w:val="000000" w:themeColor="text1"/>
                <w:highlight w:val="none"/>
                <w:lang w:val="en-US" w:eastAsia="zh-CN" w:bidi="ar"/>
                <w14:textFill>
                  <w14:solidFill>
                    <w14:schemeClr w14:val="tx1"/>
                  </w14:solidFill>
                </w14:textFill>
              </w:rPr>
              <w:t>m</w:t>
            </w:r>
            <w:r>
              <w:rPr>
                <w:rStyle w:val="620"/>
                <w:rFonts w:eastAsia="宋体"/>
                <w:color w:val="000000" w:themeColor="text1"/>
                <w:highlight w:val="none"/>
                <w:lang w:val="en-US" w:eastAsia="zh-CN" w:bidi="ar"/>
                <w14:textFill>
                  <w14:solidFill>
                    <w14:schemeClr w14:val="tx1"/>
                  </w14:solidFill>
                </w14:textFill>
              </w:rPr>
              <w:t>L</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钠</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000000" w:themeColor="text1"/>
                <w:szCs w:val="21"/>
                <w:highlight w:val="none"/>
                <w14:textFill>
                  <w14:solidFill>
                    <w14:schemeClr w14:val="tx1"/>
                  </w14:solidFill>
                </w14:textFill>
              </w:rPr>
            </w:pPr>
            <w:r>
              <w:rPr>
                <w:rStyle w:val="620"/>
                <w:rFonts w:eastAsia="宋体"/>
                <w:color w:val="000000" w:themeColor="text1"/>
                <w:highlight w:val="none"/>
                <w:lang w:val="en-US" w:eastAsia="zh-CN" w:bidi="ar"/>
                <w14:textFill>
                  <w14:solidFill>
                    <w14:schemeClr w14:val="tx1"/>
                  </w14:solidFill>
                </w14:textFill>
              </w:rPr>
              <w:t>≤200</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0" w:hRule="atLeast"/>
          <w:jc w:val="center"/>
        </w:trPr>
        <w:tc>
          <w:tcPr>
            <w:tcW w:w="1458" w:type="dxa"/>
            <w:shd w:val="clear" w:color="auto" w:fill="auto"/>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宋体" w:hAnsi="宋体" w:eastAsia="宋体" w:cs="Times New Roman"/>
                <w:b/>
                <w:bCs/>
                <w:color w:val="000000" w:themeColor="text1"/>
                <w:szCs w:val="21"/>
                <w:highlight w:val="none"/>
                <w:lang w:val="en-US" w:eastAsia="zh-CN"/>
                <w14:textFill>
                  <w14:solidFill>
                    <w14:schemeClr w14:val="tx1"/>
                  </w14:solidFill>
                </w14:textFill>
              </w:rPr>
            </w:pPr>
            <w:r>
              <w:rPr>
                <w:rFonts w:hint="eastAsia" w:ascii="宋体" w:hAnsi="宋体" w:eastAsia="宋体" w:cs="Times New Roman"/>
                <w:b/>
                <w:bCs/>
                <w:color w:val="000000" w:themeColor="text1"/>
                <w:szCs w:val="21"/>
                <w:highlight w:val="none"/>
                <w:lang w:val="en-US" w:eastAsia="zh-CN"/>
                <w14:textFill>
                  <w14:solidFill>
                    <w14:schemeClr w14:val="tx1"/>
                  </w14:solidFill>
                </w14:textFill>
              </w:rPr>
              <w:t>硫化物</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6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4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9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bl>
    <w:p>
      <w:pPr>
        <w:pStyle w:val="14"/>
        <w:ind w:firstLine="0" w:firstLineChars="0"/>
        <w:jc w:val="left"/>
        <w:rPr>
          <w:rFonts w:hint="eastAsia" w:ascii="仿宋" w:hAnsi="仿宋" w:eastAsia="仿宋"/>
          <w:color w:val="000000" w:themeColor="text1"/>
          <w:sz w:val="21"/>
          <w:szCs w:val="18"/>
          <w:highlight w:val="none"/>
          <w:lang w:val="en-US" w:eastAsia="zh-CN"/>
          <w14:textFill>
            <w14:solidFill>
              <w14:schemeClr w14:val="tx1"/>
            </w14:solidFill>
          </w14:textFill>
        </w:rPr>
      </w:pPr>
      <w:r>
        <w:rPr>
          <w:rFonts w:hint="eastAsia" w:ascii="仿宋" w:hAnsi="仿宋" w:eastAsia="仿宋"/>
          <w:color w:val="000000" w:themeColor="text1"/>
          <w:sz w:val="21"/>
          <w:szCs w:val="18"/>
          <w:highlight w:val="none"/>
          <w:lang w:val="en-US" w:eastAsia="zh-CN"/>
          <w14:textFill>
            <w14:solidFill>
              <w14:schemeClr w14:val="tx1"/>
            </w14:solidFill>
          </w14:textFill>
        </w:rPr>
        <w:t>注：*为参考地表水标准</w:t>
      </w:r>
    </w:p>
    <w:p>
      <w:pPr>
        <w:rPr>
          <w:color w:val="000000" w:themeColor="text1"/>
          <w:highlight w:val="none"/>
          <w14:textFill>
            <w14:solidFill>
              <w14:schemeClr w14:val="tx1"/>
            </w14:solidFill>
          </w14:textFill>
        </w:rPr>
        <w:sectPr>
          <w:pgSz w:w="16840" w:h="11910" w:orient="landscape"/>
          <w:pgMar w:top="1800" w:right="1440" w:bottom="1800" w:left="1440" w:header="964" w:footer="964" w:gutter="0"/>
          <w:pgBorders>
            <w:top w:val="none" w:sz="0" w:space="0"/>
            <w:left w:val="none" w:sz="0" w:space="0"/>
            <w:bottom w:val="none" w:sz="0" w:space="0"/>
            <w:right w:val="none" w:sz="0" w:space="0"/>
          </w:pgBorders>
          <w:cols w:space="720" w:num="1"/>
          <w:docGrid w:linePitch="326" w:charSpace="0"/>
        </w:sectPr>
      </w:pP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由上表可见，项目区域地下水现状监测指标均未超过《地下水质量标准》（GB/T14848-2017）中的Ⅲ类标准限值要求，可知本项目所在地区地下水质量总体上良好，施工期</w:t>
      </w:r>
      <w:r>
        <w:rPr>
          <w:rFonts w:hint="eastAsia" w:cs="Times New Roman"/>
          <w:bCs/>
          <w:color w:val="000000" w:themeColor="text1"/>
          <w:szCs w:val="24"/>
          <w:highlight w:val="none"/>
          <w:lang w:val="en-US" w:eastAsia="zh-CN"/>
          <w14:textFill>
            <w14:solidFill>
              <w14:schemeClr w14:val="tx1"/>
            </w14:solidFill>
          </w14:textFill>
        </w:rPr>
        <w:t>和试采期</w:t>
      </w:r>
      <w:r>
        <w:rPr>
          <w:rFonts w:cs="Times New Roman"/>
          <w:bCs/>
          <w:color w:val="000000" w:themeColor="text1"/>
          <w:szCs w:val="24"/>
          <w:highlight w:val="none"/>
          <w14:textFill>
            <w14:solidFill>
              <w14:schemeClr w14:val="tx1"/>
            </w14:solidFill>
          </w14:textFill>
        </w:rPr>
        <w:t>间应加强项目建设期间的水污染管理工作，杜绝跑冒滴漏和做好防渗，避免对项目周围地下水的污染。</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2）地下水化学类型分类</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根据评价方法中介绍的使用舒卡列夫法对地下水类型进行分类，需要找到主要离子中含量大于25%毫克当量的阴离子及阳离子进行组合，计算各水样的矿化度，计算结果见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_Ref142600232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9</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28" w:name="_Ref14260023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bookmarkEnd w:id="22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区域地下水阴阳离子含量比例及各水样矿化度一览表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85"/>
        <w:gridCol w:w="1266"/>
        <w:gridCol w:w="1101"/>
        <w:gridCol w:w="1266"/>
        <w:gridCol w:w="1101"/>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Merge w:val="restart"/>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监测因子</w:t>
            </w:r>
          </w:p>
        </w:tc>
        <w:tc>
          <w:tcPr>
            <w:tcW w:w="5835" w:type="dxa"/>
            <w:gridSpan w:val="5"/>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监测点位及时间、监测结果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p>
        </w:tc>
        <w:tc>
          <w:tcPr>
            <w:tcW w:w="12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w:t>
            </w:r>
          </w:p>
        </w:tc>
        <w:tc>
          <w:tcPr>
            <w:tcW w:w="11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2#</w:t>
            </w:r>
          </w:p>
        </w:tc>
        <w:tc>
          <w:tcPr>
            <w:tcW w:w="1266"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3#</w:t>
            </w:r>
          </w:p>
        </w:tc>
        <w:tc>
          <w:tcPr>
            <w:tcW w:w="11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4</w:t>
            </w:r>
            <w:r>
              <w:rPr>
                <w:rFonts w:hint="default"/>
                <w:b/>
                <w:bCs/>
                <w:color w:val="000000" w:themeColor="text1"/>
                <w:szCs w:val="20"/>
                <w:highlight w:val="none"/>
                <w14:textFill>
                  <w14:solidFill>
                    <w14:schemeClr w14:val="tx1"/>
                  </w14:solidFill>
                </w14:textFill>
              </w:rPr>
              <w:t>#</w:t>
            </w:r>
          </w:p>
        </w:tc>
        <w:tc>
          <w:tcPr>
            <w:tcW w:w="1101"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5</w:t>
            </w:r>
            <w:r>
              <w:rPr>
                <w:rFonts w:hint="default"/>
                <w:b/>
                <w:bCs/>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Merge w:val="continue"/>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p>
        </w:tc>
        <w:tc>
          <w:tcPr>
            <w:tcW w:w="5835" w:type="dxa"/>
            <w:gridSpan w:val="5"/>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2024.6.14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220" w:type="dxa"/>
            <w:gridSpan w:val="6"/>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监测结果（mg/l）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钠</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钾</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钙</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重碳酸根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硫酸盐</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氯化物</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220" w:type="dxa"/>
            <w:gridSpan w:val="6"/>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当量浓度（meq/L）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钠</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钾</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钙</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重碳酸根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硫酸盐</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氯化物</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矿化度mg/L</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220" w:type="dxa"/>
            <w:gridSpan w:val="6"/>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当量浓度比例</w:t>
            </w:r>
            <w:r>
              <w:rPr>
                <w:rFonts w:hint="eastAsia"/>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钠+钾</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钙</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镁</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重碳酸根</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硫酸盐</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385" w:type="dxa"/>
            <w:vAlign w:val="center"/>
          </w:tcPr>
          <w:p>
            <w:pPr>
              <w:pStyle w:val="29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baseline"/>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氯化物</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baseline"/>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pPr>
        <w:spacing w:before="120"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由表4.2-9可以看出，本次评价各水样监测结果各水样的矿化度范围在</w:t>
      </w:r>
      <w:r>
        <w:rPr>
          <w:rFonts w:hint="eastAsia" w:cs="Times New Roman"/>
          <w:bCs/>
          <w:color w:val="000000" w:themeColor="text1"/>
          <w:szCs w:val="24"/>
          <w:highlight w:val="none"/>
          <w:lang w:val="en-US" w:eastAsia="zh-CN"/>
          <w14:textFill>
            <w14:solidFill>
              <w14:schemeClr w14:val="tx1"/>
            </w14:solidFill>
          </w14:textFill>
        </w:rPr>
        <w:t>150.14</w:t>
      </w:r>
      <w:r>
        <w:rPr>
          <w:rFonts w:cs="Times New Roman"/>
          <w:bCs/>
          <w:color w:val="000000" w:themeColor="text1"/>
          <w:szCs w:val="24"/>
          <w:highlight w:val="none"/>
          <w14:textFill>
            <w14:solidFill>
              <w14:schemeClr w14:val="tx1"/>
            </w14:solidFill>
          </w14:textFill>
        </w:rPr>
        <w:t>mg/L-</w:t>
      </w:r>
      <w:r>
        <w:rPr>
          <w:rFonts w:hint="eastAsia" w:cs="Times New Roman"/>
          <w:bCs/>
          <w:color w:val="000000" w:themeColor="text1"/>
          <w:szCs w:val="24"/>
          <w:highlight w:val="none"/>
          <w:lang w:val="en-US" w:eastAsia="zh-CN"/>
          <w14:textFill>
            <w14:solidFill>
              <w14:schemeClr w14:val="tx1"/>
            </w14:solidFill>
          </w14:textFill>
        </w:rPr>
        <w:t>485.71</w:t>
      </w:r>
      <w:r>
        <w:rPr>
          <w:rFonts w:cs="Times New Roman"/>
          <w:bCs/>
          <w:color w:val="000000" w:themeColor="text1"/>
          <w:szCs w:val="24"/>
          <w:highlight w:val="none"/>
          <w14:textFill>
            <w14:solidFill>
              <w14:schemeClr w14:val="tx1"/>
            </w14:solidFill>
          </w14:textFill>
        </w:rPr>
        <w:t>mg/L，小于1500mg/L，主要离子的阴离子及阳离子分别为碳酸氢根和钙离子，因此，本项目所在区域地下水化学类型为矿化度不大于1.5g/L的HCO</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-Ca型水。</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（5）地下水动态变化特征</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工程区内地下水主要接受大气降水补给，地下水的动态变化同大气降水密切相关，一般随着降雨量的变化而变化，雨季时地下水水位上升，雨季之后地下水水位逐渐下降。同时受地形地貌和堰塘等蓄水体的蓄水补给影响，靠近丘谷和蓄水体边上水井水位埋深普遍较浅。本项目区域地下水水位统计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_Ref142600224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10</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29" w:name="_Ref142600224"/>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bookmarkEnd w:id="22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本项目区域地下水水位统计一览表</w:t>
      </w:r>
    </w:p>
    <w:tbl>
      <w:tblPr>
        <w:tblStyle w:val="5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396"/>
        <w:gridCol w:w="2972"/>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40"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230" w:name="_Toc120173132"/>
            <w:r>
              <w:rPr>
                <w:rFonts w:hint="default" w:ascii="Times New Roman" w:hAnsi="Times New Roman" w:eastAsia="宋体" w:cs="Times New Roman"/>
                <w:color w:val="000000" w:themeColor="text1"/>
                <w:sz w:val="21"/>
                <w:szCs w:val="21"/>
                <w14:textFill>
                  <w14:solidFill>
                    <w14:schemeClr w14:val="tx1"/>
                  </w14:solidFill>
                </w14:textFill>
              </w:rPr>
              <w:t>点位编号</w:t>
            </w:r>
          </w:p>
        </w:tc>
        <w:tc>
          <w:tcPr>
            <w:tcW w:w="1405"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检测点位</w:t>
            </w:r>
          </w:p>
        </w:tc>
        <w:tc>
          <w:tcPr>
            <w:tcW w:w="1743"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经纬度</w:t>
            </w:r>
          </w:p>
        </w:tc>
        <w:tc>
          <w:tcPr>
            <w:tcW w:w="1310"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水位（m）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雷页1井井口西南侧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雷页1井井口西侧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雷页1井井口东北侧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雷页1井井口东北侧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雷页1井井口东侧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雷页1井井口西侧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雷页1井井口西侧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雷页1井井口东南侧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雷页1井井口东北侧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雷页1井井口西北侧</w:t>
            </w:r>
          </w:p>
        </w:tc>
        <w:tc>
          <w:tcPr>
            <w:tcW w:w="1743"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pPr>
        <w:pStyle w:val="4"/>
        <w:spacing w:before="120"/>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土壤环境质量现状</w:t>
      </w:r>
      <w:bookmarkEnd w:id="230"/>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土壤理化性质调查、利用状况调查</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本次评价重点针对平台周边200m范围进行调查，通过调查相关资料，并结合国家土壤信息服务平台（中国1km土壤类型图），本项目周边土壤类型属</w:t>
      </w:r>
      <w:r>
        <w:rPr>
          <w:rFonts w:hint="eastAsia" w:cs="Times New Roman"/>
          <w:bCs/>
          <w:color w:val="000000" w:themeColor="text1"/>
          <w:szCs w:val="24"/>
          <w:highlight w:val="none"/>
          <w:lang w:val="en-US" w:eastAsia="zh-CN"/>
          <w14:textFill>
            <w14:solidFill>
              <w14:schemeClr w14:val="tx1"/>
            </w14:solidFill>
          </w14:textFill>
        </w:rPr>
        <w:t>酸性紫色土</w:t>
      </w:r>
      <w:r>
        <w:rPr>
          <w:rFonts w:cs="Times New Roman"/>
          <w:bCs/>
          <w:color w:val="000000" w:themeColor="text1"/>
          <w:szCs w:val="24"/>
          <w:highlight w:val="none"/>
          <w14:textFill>
            <w14:solidFill>
              <w14:schemeClr w14:val="tx1"/>
            </w14:solidFill>
          </w14:textFill>
        </w:rPr>
        <w:t>。为了解项目所在区域的环境质量现状，本次评价委托</w:t>
      </w:r>
      <w:r>
        <w:rPr>
          <w:rFonts w:hint="eastAsia" w:cs="Times New Roman"/>
          <w:bCs/>
          <w:color w:val="000000" w:themeColor="text1"/>
          <w:szCs w:val="24"/>
          <w:highlight w:val="none"/>
          <w:lang w:eastAsia="zh-CN"/>
          <w14:textFill>
            <w14:solidFill>
              <w14:schemeClr w14:val="tx1"/>
            </w14:solidFill>
          </w14:textFill>
        </w:rPr>
        <w:t>四川海德汇环保科技有限公司</w:t>
      </w:r>
      <w:r>
        <w:rPr>
          <w:rFonts w:cs="Times New Roman"/>
          <w:bCs/>
          <w:color w:val="000000" w:themeColor="text1"/>
          <w:szCs w:val="24"/>
          <w:highlight w:val="none"/>
          <w14:textFill>
            <w14:solidFill>
              <w14:schemeClr w14:val="tx1"/>
            </w14:solidFill>
          </w14:textFill>
        </w:rPr>
        <w:t>对项目所在区域进行了土壤环境现状监测与调查。周边土壤理化特性见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_Ref142600216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11</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keepNext/>
        <w:keepLines w:val="0"/>
        <w:pageBreakBefore w:val="0"/>
        <w:widowControl/>
        <w:kinsoku/>
        <w:wordWrap/>
        <w:overflowPunct/>
        <w:topLinePunct w:val="0"/>
        <w:autoSpaceDE/>
        <w:autoSpaceDN/>
        <w:bidi w:val="0"/>
        <w:adjustRightInd w:val="0"/>
        <w:snapToGrid w:val="0"/>
        <w:spacing w:before="0" w:beforeLines="0"/>
        <w:textAlignment w:val="baseline"/>
        <w:rPr>
          <w:color w:val="000000" w:themeColor="text1"/>
          <w:highlight w:val="none"/>
          <w14:textFill>
            <w14:solidFill>
              <w14:schemeClr w14:val="tx1"/>
            </w14:solidFill>
          </w14:textFill>
        </w:rPr>
      </w:pPr>
      <w:bookmarkStart w:id="231" w:name="_Ref14260021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bookmarkEnd w:id="23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土壤理化特性调查表</w:t>
      </w:r>
    </w:p>
    <w:tbl>
      <w:tblPr>
        <w:tblStyle w:val="52"/>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88"/>
        <w:gridCol w:w="2704"/>
        <w:gridCol w:w="1498"/>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bidi="ar"/>
                <w14:textFill>
                  <w14:solidFill>
                    <w14:schemeClr w14:val="tx1"/>
                  </w14:solidFill>
                </w14:textFill>
              </w:rPr>
              <w:t>点位名称</w:t>
            </w:r>
          </w:p>
        </w:tc>
        <w:tc>
          <w:tcPr>
            <w:tcW w:w="1639"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val="en-US" w:eastAsia="zh-CN" w:bidi="ar"/>
                <w14:textFill>
                  <w14:solidFill>
                    <w14:schemeClr w14:val="tx1"/>
                  </w14:solidFill>
                </w14:textFill>
              </w:rPr>
              <w:t>新建</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雷页1试验井组</w:t>
            </w:r>
            <w:r>
              <w:rPr>
                <w:rFonts w:hint="default" w:cs="Times New Roman"/>
                <w:b w:val="0"/>
                <w:bCs w:val="0"/>
                <w:color w:val="000000" w:themeColor="text1"/>
                <w:kern w:val="0"/>
                <w:sz w:val="21"/>
                <w:szCs w:val="21"/>
                <w:highlight w:val="none"/>
                <w:lang w:val="en-US" w:eastAsia="zh-CN" w:bidi="ar"/>
                <w14:textFill>
                  <w14:solidFill>
                    <w14:schemeClr w14:val="tx1"/>
                  </w14:solidFill>
                </w14:textFill>
              </w:rPr>
              <w:t>场</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内西南侧区域</w:t>
            </w:r>
            <w:r>
              <w:rPr>
                <w:rFonts w:hint="default" w:cs="Times New Roman"/>
                <w:b w:val="0"/>
                <w:bCs w:val="0"/>
                <w:color w:val="000000" w:themeColor="text1"/>
                <w:kern w:val="0"/>
                <w:sz w:val="21"/>
                <w:szCs w:val="21"/>
                <w:highlight w:val="none"/>
                <w:lang w:val="en-US" w:eastAsia="zh-CN" w:bidi="ar"/>
                <w14:textFill>
                  <w14:solidFill>
                    <w14:schemeClr w14:val="tx1"/>
                  </w14:solidFill>
                </w14:textFill>
              </w:rPr>
              <w:t>处4#</w:t>
            </w:r>
          </w:p>
        </w:tc>
        <w:tc>
          <w:tcPr>
            <w:tcW w:w="908"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eastAsia" w:cs="Times New Roman"/>
                <w:b w:val="0"/>
                <w:bCs w:val="0"/>
                <w:color w:val="000000" w:themeColor="text1"/>
                <w:kern w:val="0"/>
                <w:sz w:val="21"/>
                <w:szCs w:val="21"/>
                <w:highlight w:val="none"/>
                <w:lang w:bidi="ar"/>
                <w14:textFill>
                  <w14:solidFill>
                    <w14:schemeClr w14:val="tx1"/>
                  </w14:solidFill>
                </w14:textFill>
              </w:rPr>
              <w:t>调查</w:t>
            </w:r>
            <w:r>
              <w:rPr>
                <w:rFonts w:hint="default" w:cs="Times New Roman"/>
                <w:b w:val="0"/>
                <w:bCs w:val="0"/>
                <w:color w:val="000000" w:themeColor="text1"/>
                <w:kern w:val="0"/>
                <w:sz w:val="21"/>
                <w:szCs w:val="21"/>
                <w:highlight w:val="none"/>
                <w:lang w:bidi="ar"/>
                <w14:textFill>
                  <w14:solidFill>
                    <w14:schemeClr w14:val="tx1"/>
                  </w14:solidFill>
                </w14:textFill>
              </w:rPr>
              <w:t>时间</w:t>
            </w:r>
          </w:p>
        </w:tc>
        <w:tc>
          <w:tcPr>
            <w:tcW w:w="1367" w:type="pct"/>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eastAsia" w:cs="Times New Roman"/>
                <w:b w:val="0"/>
                <w:bCs w:val="0"/>
                <w:color w:val="000000" w:themeColor="text1"/>
                <w:spacing w:val="0"/>
                <w:kern w:val="21"/>
                <w:sz w:val="21"/>
                <w:szCs w:val="21"/>
                <w:highlight w:val="none"/>
                <w:u w:val="none"/>
                <w:lang w:val="en-US" w:eastAsia="zh-CN"/>
                <w14:textFill>
                  <w14:solidFill>
                    <w14:schemeClr w14:val="tx1"/>
                  </w14:solidFill>
                </w14:textFill>
              </w:rPr>
              <w:t>2024年6月13日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bidi="ar"/>
                <w14:textFill>
                  <w14:solidFill>
                    <w14:schemeClr w14:val="tx1"/>
                  </w14:solidFill>
                </w14:textFill>
              </w:rPr>
              <w:t>采样深度</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14:textFill>
                  <w14:solidFill>
                    <w14:schemeClr w14:val="tx1"/>
                  </w14:solidFill>
                </w14:textFill>
              </w:rPr>
              <w:t>0~20cm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bidi="ar"/>
                <w14:textFill>
                  <w14:solidFill>
                    <w14:schemeClr w14:val="tx1"/>
                  </w14:solidFill>
                </w14:textFill>
              </w:rPr>
              <w:t>颜色</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黄棕色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bidi="ar"/>
                <w14:textFill>
                  <w14:solidFill>
                    <w14:schemeClr w14:val="tx1"/>
                  </w14:solidFill>
                </w14:textFill>
              </w:rPr>
              <w:t>质地</w:t>
            </w:r>
          </w:p>
        </w:tc>
        <w:tc>
          <w:tcPr>
            <w:tcW w:w="3915" w:type="pct"/>
            <w:gridSpan w:val="3"/>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轻</w:t>
            </w:r>
            <w:r>
              <w:rPr>
                <w:rFonts w:hint="eastAsia" w:cs="Times New Roman"/>
                <w:b w:val="0"/>
                <w:bCs w:val="0"/>
                <w:color w:val="000000" w:themeColor="text1"/>
                <w:kern w:val="0"/>
                <w:sz w:val="21"/>
                <w:szCs w:val="21"/>
                <w:highlight w:val="none"/>
                <w:lang w:bidi="ar"/>
                <w14:textFill>
                  <w14:solidFill>
                    <w14:schemeClr w14:val="tx1"/>
                  </w14:solidFill>
                </w14:textFill>
              </w:rPr>
              <w:t>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default" w:cs="Times New Roman"/>
                <w:b w:val="0"/>
                <w:bCs w:val="0"/>
                <w:color w:val="000000" w:themeColor="text1"/>
                <w:kern w:val="0"/>
                <w:sz w:val="21"/>
                <w:szCs w:val="21"/>
                <w:highlight w:val="none"/>
                <w:lang w:bidi="ar"/>
                <w14:textFill>
                  <w14:solidFill>
                    <w14:schemeClr w14:val="tx1"/>
                  </w14:solidFill>
                </w14:textFill>
              </w:rPr>
              <w:t>砂砾含量（%）</w:t>
            </w:r>
          </w:p>
        </w:tc>
        <w:tc>
          <w:tcPr>
            <w:tcW w:w="3915" w:type="pct"/>
            <w:gridSpan w:val="3"/>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eastAsia" w:cs="Times New Roman"/>
                <w:b w:val="0"/>
                <w:bCs w:val="0"/>
                <w:color w:val="000000" w:themeColor="text1"/>
                <w:kern w:val="0"/>
                <w:sz w:val="21"/>
                <w:szCs w:val="21"/>
                <w:highlight w:val="none"/>
                <w:lang w:bidi="ar"/>
                <w14:textFill>
                  <w14:solidFill>
                    <w14:schemeClr w14:val="tx1"/>
                  </w14:solidFill>
                </w14:textFill>
              </w:rPr>
              <w:t>结构</w:t>
            </w:r>
          </w:p>
        </w:tc>
        <w:tc>
          <w:tcPr>
            <w:tcW w:w="3915" w:type="pct"/>
            <w:gridSpan w:val="3"/>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lang w:bidi="ar"/>
                <w14:textFill>
                  <w14:solidFill>
                    <w14:schemeClr w14:val="tx1"/>
                  </w14:solidFill>
                </w14:textFill>
              </w:rPr>
              <w:t>粒</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 w:val="0"/>
                <w:bCs w:val="0"/>
                <w:color w:val="000000" w:themeColor="text1"/>
                <w:kern w:val="0"/>
                <w:sz w:val="21"/>
                <w:szCs w:val="21"/>
                <w:highlight w:val="none"/>
                <w:lang w:bidi="ar"/>
                <w14:textFill>
                  <w14:solidFill>
                    <w14:schemeClr w14:val="tx1"/>
                  </w14:solidFill>
                </w14:textFill>
              </w:rPr>
            </w:pPr>
            <w:r>
              <w:rPr>
                <w:rFonts w:hint="eastAsia" w:cs="Times New Roman"/>
                <w:b w:val="0"/>
                <w:bCs w:val="0"/>
                <w:color w:val="000000" w:themeColor="text1"/>
                <w:kern w:val="0"/>
                <w:sz w:val="21"/>
                <w:szCs w:val="21"/>
                <w:highlight w:val="none"/>
                <w:lang w:bidi="ar"/>
                <w14:textFill>
                  <w14:solidFill>
                    <w14:schemeClr w14:val="tx1"/>
                  </w14:solidFill>
                </w14:textFill>
              </w:rPr>
              <w:t>其它异物</w:t>
            </w:r>
          </w:p>
        </w:tc>
        <w:tc>
          <w:tcPr>
            <w:tcW w:w="3915" w:type="pct"/>
            <w:gridSpan w:val="3"/>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eastAsia="宋体" w:cs="Times New Roman"/>
                <w:b w:val="0"/>
                <w:bCs w:val="0"/>
                <w:color w:val="000000" w:themeColor="text1"/>
                <w:kern w:val="0"/>
                <w:sz w:val="21"/>
                <w:szCs w:val="21"/>
                <w:highlight w:val="none"/>
                <w:lang w:eastAsia="zh-CN" w:bidi="ar"/>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小石子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容重</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cmol</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/kg</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阳离子交换量</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cmol</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/kg</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饱和导水率cm/s</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3.5×10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tblHeader/>
          <w:jc w:val="center"/>
        </w:trPr>
        <w:tc>
          <w:tcPr>
            <w:tcW w:w="1084" w:type="pct"/>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孔隙度%</w:t>
            </w:r>
          </w:p>
        </w:tc>
        <w:tc>
          <w:tcPr>
            <w:tcW w:w="3915" w:type="pct"/>
            <w:gridSpan w:val="3"/>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47.3</w:t>
            </w:r>
          </w:p>
        </w:tc>
      </w:tr>
    </w:tbl>
    <w:p>
      <w:pPr>
        <w:pStyle w:val="5"/>
        <w:keepNext/>
        <w:keepLines/>
        <w:pageBreakBefore w:val="0"/>
        <w:widowControl w:val="0"/>
        <w:kinsoku/>
        <w:wordWrap/>
        <w:overflowPunct/>
        <w:topLinePunct w:val="0"/>
        <w:autoSpaceDE/>
        <w:autoSpaceDN/>
        <w:bidi w:val="0"/>
        <w:adjustRightInd w:val="0"/>
        <w:snapToGrid w:val="0"/>
        <w:spacing w:before="164" w:beforeLines="50"/>
        <w:ind w:firstLine="48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土壤环境质量现状调查</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本次评价委托</w:t>
      </w:r>
      <w:r>
        <w:rPr>
          <w:rFonts w:hint="eastAsia" w:cs="Times New Roman"/>
          <w:bCs/>
          <w:color w:val="000000" w:themeColor="text1"/>
          <w:szCs w:val="24"/>
          <w:highlight w:val="none"/>
          <w:lang w:eastAsia="zh-CN"/>
          <w14:textFill>
            <w14:solidFill>
              <w14:schemeClr w14:val="tx1"/>
            </w14:solidFill>
          </w14:textFill>
        </w:rPr>
        <w:t>四川海德汇环保科技有限公司</w:t>
      </w:r>
      <w:r>
        <w:rPr>
          <w:rFonts w:cs="Times New Roman"/>
          <w:bCs/>
          <w:color w:val="000000" w:themeColor="text1"/>
          <w:szCs w:val="24"/>
          <w:highlight w:val="none"/>
          <w14:textFill>
            <w14:solidFill>
              <w14:schemeClr w14:val="tx1"/>
            </w14:solidFill>
          </w14:textFill>
        </w:rPr>
        <w:t>于</w:t>
      </w:r>
      <w:r>
        <w:rPr>
          <w:rFonts w:hint="eastAsia" w:cs="Times New Roman"/>
          <w:bCs/>
          <w:color w:val="000000" w:themeColor="text1"/>
          <w:szCs w:val="24"/>
          <w:highlight w:val="none"/>
          <w:lang w:eastAsia="zh-CN"/>
          <w14:textFill>
            <w14:solidFill>
              <w14:schemeClr w14:val="tx1"/>
            </w14:solidFill>
          </w14:textFill>
        </w:rPr>
        <w:t>2024年6月13日</w:t>
      </w:r>
      <w:r>
        <w:rPr>
          <w:rFonts w:cs="Times New Roman"/>
          <w:bCs/>
          <w:color w:val="000000" w:themeColor="text1"/>
          <w:szCs w:val="24"/>
          <w:highlight w:val="none"/>
          <w14:textFill>
            <w14:solidFill>
              <w14:schemeClr w14:val="tx1"/>
            </w14:solidFill>
          </w14:textFill>
        </w:rPr>
        <w:t>对平台厂界内外的6处土壤进行了取样监测，平台占地范围内布置3个柱状样，1个表层样；场地外</w:t>
      </w:r>
      <w:r>
        <w:rPr>
          <w:rFonts w:hint="eastAsia" w:cs="Times New Roman"/>
          <w:bCs/>
          <w:color w:val="000000" w:themeColor="text1"/>
          <w:szCs w:val="24"/>
          <w:highlight w:val="none"/>
          <w:lang w:eastAsia="zh-CN"/>
          <w14:textFill>
            <w14:solidFill>
              <w14:schemeClr w14:val="tx1"/>
            </w14:solidFill>
          </w14:textFill>
        </w:rPr>
        <w:t>布置</w:t>
      </w:r>
      <w:r>
        <w:rPr>
          <w:rFonts w:cs="Times New Roman"/>
          <w:bCs/>
          <w:color w:val="000000" w:themeColor="text1"/>
          <w:szCs w:val="24"/>
          <w:highlight w:val="none"/>
          <w14:textFill>
            <w14:solidFill>
              <w14:schemeClr w14:val="tx1"/>
            </w14:solidFill>
          </w14:textFill>
        </w:rPr>
        <w:t>2个表层样</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由于管线为临时占地，且与井场一样处于农村地区，以耕地为主，土壤类型相同，本次土壤监测点位能代表管线沿线土壤环境质量现状。因此本次土壤</w:t>
      </w:r>
      <w:r>
        <w:rPr>
          <w:rFonts w:cs="Times New Roman"/>
          <w:bCs/>
          <w:color w:val="000000" w:themeColor="text1"/>
          <w:szCs w:val="24"/>
          <w:highlight w:val="none"/>
          <w14:textFill>
            <w14:solidFill>
              <w14:schemeClr w14:val="tx1"/>
            </w14:solidFill>
          </w14:textFill>
        </w:rPr>
        <w:t>监测点位设置符合《环境影响评价技术导则 土壤环境（试行）》（HJ 964-2018）中的布点原则和现状监测点数量要求。</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（1）监测点位及监测因子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本次评价土壤监测布点情况见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_Ref142600210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12</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keepNext/>
        <w:keepLines w:val="0"/>
        <w:pageBreakBefore w:val="0"/>
        <w:widowControl/>
        <w:kinsoku/>
        <w:wordWrap/>
        <w:overflowPunct/>
        <w:topLinePunct w:val="0"/>
        <w:autoSpaceDE/>
        <w:autoSpaceDN/>
        <w:bidi w:val="0"/>
        <w:adjustRightInd w:val="0"/>
        <w:snapToGrid w:val="0"/>
        <w:spacing w:before="0" w:beforeLines="0"/>
        <w:textAlignment w:val="baseline"/>
        <w:rPr>
          <w:color w:val="000000" w:themeColor="text1"/>
          <w:highlight w:val="none"/>
          <w14:textFill>
            <w14:solidFill>
              <w14:schemeClr w14:val="tx1"/>
            </w14:solidFill>
          </w14:textFill>
        </w:rPr>
      </w:pPr>
      <w:bookmarkStart w:id="232" w:name="_Ref14260021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bookmarkEnd w:id="232"/>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本项目土壤环境监测布点情况</w:t>
      </w:r>
    </w:p>
    <w:tbl>
      <w:tblPr>
        <w:tblStyle w:val="52"/>
        <w:tblW w:w="8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597"/>
        <w:gridCol w:w="1677"/>
        <w:gridCol w:w="1350"/>
        <w:gridCol w:w="3883"/>
        <w:gridCol w:w="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编号</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坐标</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方位距离</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监测指标</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14:textFill>
                  <w14:solidFill>
                    <w14:schemeClr w14:val="tx1"/>
                  </w14:solidFill>
                </w14:textFill>
              </w:rPr>
              <w:t>#</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内西侧</w:t>
            </w:r>
            <w:r>
              <w:rPr>
                <w:rFonts w:hint="eastAsia" w:ascii="Times New Roman" w:hAnsi="Times New Roman" w:eastAsia="宋体" w:cs="Times New Roman"/>
                <w:color w:val="000000" w:themeColor="text1"/>
                <w:sz w:val="21"/>
                <w:szCs w:val="21"/>
                <w:highlight w:val="none"/>
                <w14:textFill>
                  <w14:solidFill>
                    <w14:schemeClr w14:val="tx1"/>
                  </w14:solidFill>
                </w14:textFill>
              </w:rPr>
              <w:t>区域处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default" w:cs="Times New Roman"/>
                <w:color w:val="000000" w:themeColor="text1"/>
                <w:sz w:val="21"/>
                <w:szCs w:val="21"/>
                <w:highlight w:val="none"/>
                <w14:textFill>
                  <w14:solidFill>
                    <w14:schemeClr w14:val="tx1"/>
                  </w14:solidFill>
                </w14:textFill>
              </w:rPr>
              <w:t>pH</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default" w:cs="Times New Roman"/>
                <w:color w:val="000000" w:themeColor="text1"/>
                <w:sz w:val="21"/>
                <w:szCs w:val="21"/>
                <w:highlight w:val="none"/>
                <w14:textFill>
                  <w14:solidFill>
                    <w14:schemeClr w14:val="tx1"/>
                  </w14:solidFill>
                </w14:textFill>
              </w:rPr>
              <w:t>石油烃、</w:t>
            </w:r>
            <w:r>
              <w:rPr>
                <w:rFonts w:hint="eastAsia" w:cs="Times New Roman"/>
                <w:color w:val="000000" w:themeColor="text1"/>
                <w:sz w:val="21"/>
                <w:szCs w:val="21"/>
                <w:highlight w:val="none"/>
                <w14:textFill>
                  <w14:solidFill>
                    <w14:schemeClr w14:val="tx1"/>
                  </w14:solidFill>
                </w14:textFill>
              </w:rPr>
              <w:t>全盐量</w:t>
            </w:r>
            <w:r>
              <w:rPr>
                <w:rFonts w:hint="default" w:cs="Times New Roman"/>
                <w:color w:val="000000" w:themeColor="text1"/>
                <w:sz w:val="21"/>
                <w:szCs w:val="21"/>
                <w:highlight w:val="none"/>
                <w14:textFill>
                  <w14:solidFill>
                    <w14:schemeClr w14:val="tx1"/>
                  </w14:solidFill>
                </w14:textFill>
              </w:rPr>
              <w:t>（0~0.5m、0.5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1.5m、1.5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3m分别取样）</w:t>
            </w:r>
            <w:r>
              <w:rPr>
                <w:rFonts w:hint="eastAsia" w:cs="Times New Roman"/>
                <w:color w:val="000000" w:themeColor="text1"/>
                <w:sz w:val="21"/>
                <w:szCs w:val="21"/>
                <w:highlight w:val="none"/>
                <w14:textFill>
                  <w14:solidFill>
                    <w14:schemeClr w14:val="tx1"/>
                  </w14:solidFill>
                </w14:textFill>
              </w:rPr>
              <w:t>、氯离子、硫酸根、钡</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柱状样点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w:t>
            </w:r>
            <w:r>
              <w:rPr>
                <w:rFonts w:hint="eastAsia" w:cs="Times New Roman"/>
                <w:color w:val="000000" w:themeColor="text1"/>
                <w:sz w:val="21"/>
                <w:szCs w:val="21"/>
                <w:highlight w:val="none"/>
                <w14:textFill>
                  <w14:solidFill>
                    <w14:schemeClr w14:val="tx1"/>
                  </w14:solidFill>
                </w14:textFill>
              </w:rPr>
              <w:t>#</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内北侧</w:t>
            </w:r>
            <w:r>
              <w:rPr>
                <w:rFonts w:hint="eastAsia" w:ascii="Times New Roman" w:hAnsi="Times New Roman" w:eastAsia="宋体" w:cs="Times New Roman"/>
                <w:color w:val="000000" w:themeColor="text1"/>
                <w:sz w:val="21"/>
                <w:szCs w:val="21"/>
                <w:highlight w:val="none"/>
                <w14:textFill>
                  <w14:solidFill>
                    <w14:schemeClr w14:val="tx1"/>
                  </w14:solidFill>
                </w14:textFill>
              </w:rPr>
              <w:t>区域处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default" w:cs="Times New Roman"/>
                <w:color w:val="000000" w:themeColor="text1"/>
                <w:sz w:val="21"/>
                <w:szCs w:val="21"/>
                <w:highlight w:val="none"/>
                <w14:textFill>
                  <w14:solidFill>
                    <w14:schemeClr w14:val="tx1"/>
                  </w14:solidFill>
                </w14:textFill>
              </w:rPr>
              <w:t>pH</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default" w:cs="Times New Roman"/>
                <w:color w:val="000000" w:themeColor="text1"/>
                <w:sz w:val="21"/>
                <w:szCs w:val="21"/>
                <w:highlight w:val="none"/>
                <w14:textFill>
                  <w14:solidFill>
                    <w14:schemeClr w14:val="tx1"/>
                  </w14:solidFill>
                </w14:textFill>
              </w:rPr>
              <w:t>石油烃、</w:t>
            </w:r>
            <w:r>
              <w:rPr>
                <w:rFonts w:hint="eastAsia" w:cs="Times New Roman"/>
                <w:color w:val="000000" w:themeColor="text1"/>
                <w:sz w:val="21"/>
                <w:szCs w:val="21"/>
                <w:highlight w:val="none"/>
                <w14:textFill>
                  <w14:solidFill>
                    <w14:schemeClr w14:val="tx1"/>
                  </w14:solidFill>
                </w14:textFill>
              </w:rPr>
              <w:t>全盐量</w:t>
            </w:r>
            <w:r>
              <w:rPr>
                <w:rFonts w:hint="default" w:cs="Times New Roman"/>
                <w:color w:val="000000" w:themeColor="text1"/>
                <w:sz w:val="21"/>
                <w:szCs w:val="21"/>
                <w:highlight w:val="none"/>
                <w14:textFill>
                  <w14:solidFill>
                    <w14:schemeClr w14:val="tx1"/>
                  </w14:solidFill>
                </w14:textFill>
              </w:rPr>
              <w:t>（0~0.5m、0.5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1.5m、1.5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3m分别取样）</w:t>
            </w:r>
            <w:r>
              <w:rPr>
                <w:rFonts w:hint="eastAsia" w:cs="Times New Roman"/>
                <w:color w:val="000000" w:themeColor="text1"/>
                <w:sz w:val="21"/>
                <w:szCs w:val="21"/>
                <w:highlight w:val="none"/>
                <w14:textFill>
                  <w14:solidFill>
                    <w14:schemeClr w14:val="tx1"/>
                  </w14:solidFill>
                </w14:textFill>
              </w:rPr>
              <w:t>、氯离子、硫酸根、钡</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柱状样点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3</w:t>
            </w:r>
            <w:r>
              <w:rPr>
                <w:rFonts w:hint="eastAsia" w:cs="Times New Roman"/>
                <w:color w:val="000000" w:themeColor="text1"/>
                <w:sz w:val="21"/>
                <w:szCs w:val="21"/>
                <w:highlight w:val="none"/>
                <w14:textFill>
                  <w14:solidFill>
                    <w14:schemeClr w14:val="tx1"/>
                  </w14:solidFill>
                </w14:textFill>
              </w:rPr>
              <w:t>#</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内东侧</w:t>
            </w:r>
            <w:r>
              <w:rPr>
                <w:rFonts w:hint="eastAsia" w:ascii="Times New Roman" w:hAnsi="Times New Roman" w:eastAsia="宋体" w:cs="Times New Roman"/>
                <w:color w:val="000000" w:themeColor="text1"/>
                <w:sz w:val="21"/>
                <w:szCs w:val="21"/>
                <w:highlight w:val="none"/>
                <w14:textFill>
                  <w14:solidFill>
                    <w14:schemeClr w14:val="tx1"/>
                  </w14:solidFill>
                </w14:textFill>
              </w:rPr>
              <w:t>区域处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default" w:cs="Times New Roman"/>
                <w:color w:val="000000" w:themeColor="text1"/>
                <w:sz w:val="21"/>
                <w:szCs w:val="21"/>
                <w:highlight w:val="none"/>
                <w14:textFill>
                  <w14:solidFill>
                    <w14:schemeClr w14:val="tx1"/>
                  </w14:solidFill>
                </w14:textFill>
              </w:rPr>
              <w:t>pH</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default" w:cs="Times New Roman"/>
                <w:color w:val="000000" w:themeColor="text1"/>
                <w:sz w:val="21"/>
                <w:szCs w:val="21"/>
                <w:highlight w:val="none"/>
                <w14:textFill>
                  <w14:solidFill>
                    <w14:schemeClr w14:val="tx1"/>
                  </w14:solidFill>
                </w14:textFill>
              </w:rPr>
              <w:t>石油烃、</w:t>
            </w:r>
            <w:r>
              <w:rPr>
                <w:rFonts w:hint="eastAsia" w:cs="Times New Roman"/>
                <w:color w:val="000000" w:themeColor="text1"/>
                <w:sz w:val="21"/>
                <w:szCs w:val="21"/>
                <w:highlight w:val="none"/>
                <w14:textFill>
                  <w14:solidFill>
                    <w14:schemeClr w14:val="tx1"/>
                  </w14:solidFill>
                </w14:textFill>
              </w:rPr>
              <w:t>全盐量</w:t>
            </w:r>
            <w:r>
              <w:rPr>
                <w:rFonts w:hint="default" w:cs="Times New Roman"/>
                <w:color w:val="000000" w:themeColor="text1"/>
                <w:sz w:val="21"/>
                <w:szCs w:val="21"/>
                <w:highlight w:val="none"/>
                <w14:textFill>
                  <w14:solidFill>
                    <w14:schemeClr w14:val="tx1"/>
                  </w14:solidFill>
                </w14:textFill>
              </w:rPr>
              <w:t>（0~0.5m、0.5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1.5m、1.5</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3m分别取样）</w:t>
            </w:r>
            <w:r>
              <w:rPr>
                <w:rFonts w:hint="eastAsia" w:cs="Times New Roman"/>
                <w:color w:val="000000" w:themeColor="text1"/>
                <w:sz w:val="21"/>
                <w:szCs w:val="21"/>
                <w:highlight w:val="none"/>
                <w14:textFill>
                  <w14:solidFill>
                    <w14:schemeClr w14:val="tx1"/>
                  </w14:solidFill>
                </w14:textFill>
              </w:rPr>
              <w:t>、氯离子、硫酸根、钡</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柱状样点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14:textFill>
                  <w14:solidFill>
                    <w14:schemeClr w14:val="tx1"/>
                  </w14:solidFill>
                </w14:textFill>
              </w:rPr>
              <w:t>#</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内西南侧</w:t>
            </w:r>
            <w:r>
              <w:rPr>
                <w:rFonts w:hint="eastAsia" w:ascii="Times New Roman" w:hAnsi="Times New Roman" w:eastAsia="宋体" w:cs="Times New Roman"/>
                <w:color w:val="000000" w:themeColor="text1"/>
                <w:sz w:val="21"/>
                <w:szCs w:val="21"/>
                <w:highlight w:val="none"/>
                <w14:textFill>
                  <w14:solidFill>
                    <w14:schemeClr w14:val="tx1"/>
                  </w14:solidFill>
                </w14:textFill>
              </w:rPr>
              <w:t>域处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基本因子：</w:t>
            </w:r>
            <w:r>
              <w:rPr>
                <w:rFonts w:hint="default" w:cs="Times New Roman"/>
                <w:color w:val="000000" w:themeColor="text1"/>
                <w:sz w:val="21"/>
                <w:szCs w:val="21"/>
                <w:highlight w:val="none"/>
                <w14:textFill>
                  <w14:solidFill>
                    <w14:schemeClr w14:val="tx1"/>
                  </w14:solidFill>
                </w14:textFill>
              </w:rPr>
              <w:t>《土壤环境质量 建设用地土壤污染风险管控标准（试行）</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GB36600—2018)》中表1基本项目，共45个</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eastAsia" w:cs="Times New Roman"/>
                <w:color w:val="000000" w:themeColor="text1"/>
                <w:sz w:val="21"/>
                <w:szCs w:val="21"/>
                <w:highlight w:val="none"/>
                <w14:textFill>
                  <w14:solidFill>
                    <w14:schemeClr w14:val="tx1"/>
                  </w14:solidFill>
                </w14:textFill>
              </w:rPr>
              <w:t>石油烃、氯离子、硫酸根、钡、</w:t>
            </w:r>
            <w:r>
              <w:rPr>
                <w:rFonts w:hint="default" w:cs="Times New Roman"/>
                <w:color w:val="000000" w:themeColor="text1"/>
                <w:sz w:val="21"/>
                <w:szCs w:val="21"/>
                <w:highlight w:val="none"/>
                <w14:textFill>
                  <w14:solidFill>
                    <w14:schemeClr w14:val="tx1"/>
                  </w14:solidFill>
                </w14:textFill>
              </w:rPr>
              <w:t>全盐量</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eastAsia" w:cs="Times New Roman"/>
                <w:color w:val="000000" w:themeColor="text1"/>
                <w:sz w:val="21"/>
                <w:szCs w:val="21"/>
                <w:highlight w:val="none"/>
                <w14:textFill>
                  <w14:solidFill>
                    <w14:schemeClr w14:val="tx1"/>
                  </w14:solidFill>
                </w14:textFill>
              </w:rPr>
              <w:t>具体内容见表4</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表层样点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5</w:t>
            </w:r>
            <w:r>
              <w:rPr>
                <w:rFonts w:hint="eastAsia" w:cs="Times New Roman"/>
                <w:color w:val="000000" w:themeColor="text1"/>
                <w:sz w:val="21"/>
                <w:szCs w:val="21"/>
                <w:highlight w:val="none"/>
                <w14:textFill>
                  <w14:solidFill>
                    <w14:schemeClr w14:val="tx1"/>
                  </w14:solidFill>
                </w14:textFill>
              </w:rPr>
              <w:t>#</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外东北</w:t>
            </w:r>
            <w:r>
              <w:rPr>
                <w:rFonts w:hint="eastAsia" w:ascii="Times New Roman" w:hAnsi="Times New Roman" w:eastAsia="宋体" w:cs="Times New Roman"/>
                <w:color w:val="000000" w:themeColor="text1"/>
                <w:sz w:val="21"/>
                <w:szCs w:val="21"/>
                <w:highlight w:val="none"/>
                <w14:textFill>
                  <w14:solidFill>
                    <w14:schemeClr w14:val="tx1"/>
                  </w14:solidFill>
                </w14:textFill>
              </w:rPr>
              <w:t>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20m</w:t>
            </w:r>
            <w:r>
              <w:rPr>
                <w:rFonts w:hint="eastAsia" w:ascii="Times New Roman" w:hAnsi="Times New Roman" w:eastAsia="宋体" w:cs="Times New Roman"/>
                <w:color w:val="000000" w:themeColor="text1"/>
                <w:sz w:val="21"/>
                <w:szCs w:val="21"/>
                <w:highlight w:val="none"/>
                <w14:textFill>
                  <w14:solidFill>
                    <w14:schemeClr w14:val="tx1"/>
                  </w14:solidFill>
                </w14:textFill>
              </w:rPr>
              <w:t>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default" w:cs="Times New Roman"/>
                <w:color w:val="000000" w:themeColor="text1"/>
                <w:sz w:val="21"/>
                <w:szCs w:val="21"/>
                <w:highlight w:val="none"/>
                <w14:textFill>
                  <w14:solidFill>
                    <w14:schemeClr w14:val="tx1"/>
                  </w14:solidFill>
                </w14:textFill>
              </w:rPr>
              <w:t>pH</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基本因子：</w:t>
            </w:r>
            <w:r>
              <w:rPr>
                <w:rFonts w:hint="default" w:cs="Times New Roman"/>
                <w:color w:val="000000" w:themeColor="text1"/>
                <w:sz w:val="21"/>
                <w:szCs w:val="21"/>
                <w:highlight w:val="none"/>
                <w14:textFill>
                  <w14:solidFill>
                    <w14:schemeClr w14:val="tx1"/>
                  </w14:solidFill>
                </w14:textFill>
              </w:rPr>
              <w:t>《土壤环境质量 农用地土壤污染风险管控标准（试行）</w:t>
            </w:r>
            <w:r>
              <w:rPr>
                <w:rFonts w:hint="eastAsia" w:cs="Times New Roman"/>
                <w:color w:val="000000" w:themeColor="text1"/>
                <w:sz w:val="21"/>
                <w:szCs w:val="21"/>
                <w:highlight w:val="none"/>
                <w:lang w:eastAsia="zh-CN"/>
                <w14:textFill>
                  <w14:solidFill>
                    <w14:schemeClr w14:val="tx1"/>
                  </w14:solidFill>
                </w14:textFill>
              </w:rPr>
              <w:t>（</w:t>
            </w:r>
            <w:r>
              <w:rPr>
                <w:rFonts w:hint="default" w:cs="Times New Roman"/>
                <w:color w:val="000000" w:themeColor="text1"/>
                <w:sz w:val="21"/>
                <w:szCs w:val="21"/>
                <w:highlight w:val="none"/>
                <w14:textFill>
                  <w14:solidFill>
                    <w14:schemeClr w14:val="tx1"/>
                  </w14:solidFill>
                </w14:textFill>
              </w:rPr>
              <w:t>GB15618—2018)》中表1基本项目，共8个</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eastAsia" w:cs="Times New Roman"/>
                <w:color w:val="000000" w:themeColor="text1"/>
                <w:sz w:val="21"/>
                <w:szCs w:val="21"/>
                <w:highlight w:val="none"/>
                <w14:textFill>
                  <w14:solidFill>
                    <w14:schemeClr w14:val="tx1"/>
                  </w14:solidFill>
                </w14:textFill>
              </w:rPr>
              <w:t>石油烃、氯离子、硫酸根、钡、</w:t>
            </w:r>
            <w:r>
              <w:rPr>
                <w:rFonts w:hint="default" w:cs="Times New Roman"/>
                <w:color w:val="000000" w:themeColor="text1"/>
                <w:sz w:val="21"/>
                <w:szCs w:val="21"/>
                <w:highlight w:val="none"/>
                <w14:textFill>
                  <w14:solidFill>
                    <w14:schemeClr w14:val="tx1"/>
                  </w14:solidFill>
                </w14:textFill>
              </w:rPr>
              <w:t>全盐量</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表层样点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trHeight w:val="0" w:hRule="atLeast"/>
          <w:jc w:val="center"/>
        </w:trPr>
        <w:tc>
          <w:tcPr>
            <w:tcW w:w="597" w:type="dxa"/>
            <w:tcBorders>
              <w:right w:val="single" w:color="auto" w:sz="4" w:space="0"/>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6#</w:t>
            </w:r>
          </w:p>
        </w:tc>
        <w:tc>
          <w:tcPr>
            <w:tcW w:w="1677" w:type="dxa"/>
            <w:vAlign w:val="center"/>
          </w:tcPr>
          <w:p>
            <w:pPr>
              <w:keepNext w:val="0"/>
              <w:keepLines w:val="0"/>
              <w:suppressLineNumbers w:val="0"/>
              <w:adjustRightInd/>
              <w:snapToGrid/>
              <w:spacing w:before="0" w:beforeAutospacing="0" w:after="0" w:afterAutospacing="0" w:line="240" w:lineRule="auto"/>
              <w:ind w:left="0" w:right="0" w:firstLine="420" w:firstLineChars="200"/>
              <w:jc w:val="center"/>
              <w:rPr>
                <w:rFonts w:hint="default"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350"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雷页1试验井组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外</w:t>
            </w:r>
            <w:r>
              <w:rPr>
                <w:rFonts w:hint="eastAsia" w:ascii="Times New Roman" w:hAnsi="Times New Roman" w:eastAsia="宋体" w:cs="Times New Roman"/>
                <w:color w:val="000000" w:themeColor="text1"/>
                <w:sz w:val="21"/>
                <w:szCs w:val="21"/>
                <w:highlight w:val="none"/>
                <w14:textFill>
                  <w14:solidFill>
                    <w14:schemeClr w14:val="tx1"/>
                  </w14:solidFill>
                </w14:textFill>
              </w:rPr>
              <w:t>西南侧20m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w:t>
            </w:r>
          </w:p>
        </w:tc>
        <w:tc>
          <w:tcPr>
            <w:tcW w:w="3883" w:type="dxa"/>
            <w:vAlign w:val="center"/>
          </w:tcPr>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理化性质：</w:t>
            </w:r>
            <w:r>
              <w:rPr>
                <w:rFonts w:hint="default" w:cs="Times New Roman"/>
                <w:color w:val="000000" w:themeColor="text1"/>
                <w:sz w:val="21"/>
                <w:szCs w:val="21"/>
                <w:highlight w:val="none"/>
                <w14:textFill>
                  <w14:solidFill>
                    <w14:schemeClr w14:val="tx1"/>
                  </w14:solidFill>
                </w14:textFill>
              </w:rPr>
              <w:t>pH</w:t>
            </w:r>
          </w:p>
          <w:p>
            <w:pPr>
              <w:keepNext w:val="0"/>
              <w:keepLines w:val="0"/>
              <w:suppressLineNumbers w:val="0"/>
              <w:adjustRightInd/>
              <w:snapToGrid/>
              <w:spacing w:before="0" w:beforeAutospacing="0" w:after="0" w:afterAutospacing="0" w:line="240" w:lineRule="auto"/>
              <w:ind w:left="0" w:right="0" w:firstLine="0" w:firstLineChars="0"/>
              <w:rPr>
                <w:rFonts w:hint="default" w:cs="Times New Roman"/>
                <w:b/>
                <w:color w:val="000000" w:themeColor="text1"/>
                <w:sz w:val="21"/>
                <w:szCs w:val="21"/>
                <w:highlight w:val="none"/>
                <w14:textFill>
                  <w14:solidFill>
                    <w14:schemeClr w14:val="tx1"/>
                  </w14:solidFill>
                </w14:textFill>
              </w:rPr>
            </w:pPr>
            <w:r>
              <w:rPr>
                <w:rFonts w:hint="default" w:cs="Times New Roman"/>
                <w:b/>
                <w:color w:val="000000" w:themeColor="text1"/>
                <w:sz w:val="21"/>
                <w:szCs w:val="21"/>
                <w:highlight w:val="none"/>
                <w14:textFill>
                  <w14:solidFill>
                    <w14:schemeClr w14:val="tx1"/>
                  </w14:solidFill>
                </w14:textFill>
              </w:rPr>
              <w:t>特征因子：</w:t>
            </w:r>
            <w:r>
              <w:rPr>
                <w:rFonts w:hint="eastAsia" w:cs="Times New Roman"/>
                <w:color w:val="000000" w:themeColor="text1"/>
                <w:sz w:val="21"/>
                <w:szCs w:val="21"/>
                <w:highlight w:val="none"/>
                <w14:textFill>
                  <w14:solidFill>
                    <w14:schemeClr w14:val="tx1"/>
                  </w14:solidFill>
                </w14:textFill>
              </w:rPr>
              <w:t>石油烃、氯离子、硫酸根、钡、</w:t>
            </w:r>
            <w:r>
              <w:rPr>
                <w:rFonts w:hint="default" w:cs="Times New Roman"/>
                <w:color w:val="000000" w:themeColor="text1"/>
                <w:sz w:val="21"/>
                <w:szCs w:val="21"/>
                <w:highlight w:val="none"/>
                <w14:textFill>
                  <w14:solidFill>
                    <w14:schemeClr w14:val="tx1"/>
                  </w14:solidFill>
                </w14:textFill>
              </w:rPr>
              <w:t>全盐量</w:t>
            </w:r>
          </w:p>
        </w:tc>
        <w:tc>
          <w:tcPr>
            <w:tcW w:w="713" w:type="dxa"/>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表层样点</w:t>
            </w:r>
          </w:p>
        </w:tc>
      </w:tr>
    </w:tbl>
    <w:p>
      <w:pPr>
        <w:spacing w:before="120"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（2）评价标准</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占地范围内执行《土壤环境质量 建设用地土壤污染风险管控标准（试行）》（GB36600-2018）中的第二类用地筛选值标准，用地范围外执行《土壤环境质量 农用地土壤污染风险管控标准》（GB15618-2018）中土壤污染风险筛选值标准。</w:t>
      </w:r>
      <w:r>
        <w:rPr>
          <w:rFonts w:hint="eastAsia" w:cs="Times New Roman"/>
          <w:bCs/>
          <w:color w:val="000000" w:themeColor="text1"/>
          <w:szCs w:val="24"/>
          <w:highlight w:val="none"/>
          <w:lang w:val="en-US" w:eastAsia="zh-CN"/>
          <w14:textFill>
            <w14:solidFill>
              <w14:schemeClr w14:val="tx1"/>
            </w14:solidFill>
          </w14:textFill>
        </w:rPr>
        <w:t>工业用地钡参考《四川省建设用地土壤污染风险管控标准》（</w:t>
      </w:r>
      <w:r>
        <w:rPr>
          <w:rFonts w:hint="default" w:cs="Times New Roman"/>
          <w:bCs/>
          <w:color w:val="000000" w:themeColor="text1"/>
          <w:szCs w:val="24"/>
          <w:highlight w:val="none"/>
          <w:lang w:val="en-US" w:eastAsia="zh-CN"/>
          <w14:textFill>
            <w14:solidFill>
              <w14:schemeClr w14:val="tx1"/>
            </w14:solidFill>
          </w14:textFill>
        </w:rPr>
        <w:t>DB51/2978</w:t>
      </w:r>
      <w:r>
        <w:rPr>
          <w:rFonts w:hint="eastAsia" w:cs="Times New Roman"/>
          <w:bCs/>
          <w:color w:val="000000" w:themeColor="text1"/>
          <w:szCs w:val="24"/>
          <w:highlight w:val="none"/>
          <w:lang w:val="en-US" w:eastAsia="zh-CN"/>
          <w14:textFill>
            <w14:solidFill>
              <w14:schemeClr w14:val="tx1"/>
            </w14:solidFill>
          </w14:textFill>
        </w:rPr>
        <w:t>—</w:t>
      </w:r>
      <w:r>
        <w:rPr>
          <w:rFonts w:hint="default" w:cs="Times New Roman"/>
          <w:bCs/>
          <w:color w:val="000000" w:themeColor="text1"/>
          <w:szCs w:val="24"/>
          <w:highlight w:val="none"/>
          <w:lang w:val="en-US" w:eastAsia="zh-CN"/>
          <w14:textFill>
            <w14:solidFill>
              <w14:schemeClr w14:val="tx1"/>
            </w14:solidFill>
          </w14:textFill>
        </w:rPr>
        <w:t>2023</w:t>
      </w:r>
      <w:r>
        <w:rPr>
          <w:rFonts w:hint="eastAsia" w:cs="Times New Roman"/>
          <w:bCs/>
          <w:color w:val="000000" w:themeColor="text1"/>
          <w:szCs w:val="24"/>
          <w:highlight w:val="none"/>
          <w:lang w:val="en-US" w:eastAsia="zh-CN"/>
          <w14:textFill>
            <w14:solidFill>
              <w14:schemeClr w14:val="tx1"/>
            </w14:solidFill>
          </w14:textFill>
        </w:rPr>
        <w:t>）第二类用地筛选值为</w:t>
      </w:r>
      <w:r>
        <w:rPr>
          <w:rFonts w:hint="default" w:cs="Times New Roman"/>
          <w:bCs/>
          <w:color w:val="000000" w:themeColor="text1"/>
          <w:szCs w:val="24"/>
          <w:highlight w:val="none"/>
          <w:lang w:val="en-US" w:eastAsia="zh-CN"/>
          <w14:textFill>
            <w14:solidFill>
              <w14:schemeClr w14:val="tx1"/>
            </w14:solidFill>
          </w14:textFill>
        </w:rPr>
        <w:t>8660mg/kg</w:t>
      </w:r>
      <w:r>
        <w:rPr>
          <w:rFonts w:hint="eastAsia" w:cs="Times New Roman"/>
          <w:bCs/>
          <w:color w:val="000000" w:themeColor="text1"/>
          <w:szCs w:val="24"/>
          <w:highlight w:val="none"/>
          <w:lang w:val="en-US" w:eastAsia="zh-CN"/>
          <w14:textFill>
            <w14:solidFill>
              <w14:schemeClr w14:val="tx1"/>
            </w14:solidFill>
          </w14:textFill>
        </w:rPr>
        <w:t>，农用地石油烃参考第一类建设用地筛选值为</w:t>
      </w:r>
      <w:r>
        <w:rPr>
          <w:rFonts w:hint="default" w:cs="Times New Roman"/>
          <w:bCs/>
          <w:color w:val="000000" w:themeColor="text1"/>
          <w:szCs w:val="24"/>
          <w:highlight w:val="none"/>
          <w:lang w:val="en-US" w:eastAsia="zh-CN"/>
          <w14:textFill>
            <w14:solidFill>
              <w14:schemeClr w14:val="tx1"/>
            </w14:solidFill>
          </w14:textFill>
        </w:rPr>
        <w:t>826mg/kg</w:t>
      </w:r>
      <w:r>
        <w:rPr>
          <w:rFonts w:hint="eastAsia" w:cs="Times New Roman"/>
          <w:bCs/>
          <w:color w:val="000000" w:themeColor="text1"/>
          <w:szCs w:val="24"/>
          <w:highlight w:val="none"/>
          <w:lang w:val="en-US" w:eastAsia="zh-CN"/>
          <w14:textFill>
            <w14:solidFill>
              <w14:schemeClr w14:val="tx1"/>
            </w14:solidFill>
          </w14:textFill>
        </w:rPr>
        <w:t>。</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（3）土壤环境现状监测统计</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土壤环境现状监测及评价结果见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_Ref142600179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13</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_Ref142600183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14</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_Ref142600187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15</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keepNext/>
        <w:keepLines w:val="0"/>
        <w:pageBreakBefore w:val="0"/>
        <w:widowControl/>
        <w:kinsoku/>
        <w:wordWrap/>
        <w:overflowPunct/>
        <w:topLinePunct w:val="0"/>
        <w:autoSpaceDE/>
        <w:autoSpaceDN/>
        <w:bidi w:val="0"/>
        <w:adjustRightInd w:val="0"/>
        <w:snapToGrid w:val="0"/>
        <w:spacing w:before="0" w:beforeLines="0"/>
        <w:textAlignment w:val="baseline"/>
        <w:rPr>
          <w:color w:val="000000" w:themeColor="text1"/>
          <w:highlight w:val="none"/>
          <w14:textFill>
            <w14:solidFill>
              <w14:schemeClr w14:val="tx1"/>
            </w14:solidFill>
          </w14:textFill>
        </w:rPr>
      </w:pPr>
      <w:bookmarkStart w:id="233" w:name="_Ref14260017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bookmarkEnd w:id="23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本项目场外土壤环境现状监测及评价表</w:t>
      </w:r>
      <w:r>
        <w:rPr>
          <w:color w:val="000000" w:themeColor="text1"/>
          <w:highlight w:val="none"/>
          <w14:textFill>
            <w14:solidFill>
              <w14:schemeClr w14:val="tx1"/>
            </w14:solidFill>
          </w14:textFill>
        </w:rPr>
        <w:t xml:space="preserve">  单位：mg/kg，pH无量纲</w:t>
      </w:r>
    </w:p>
    <w:tbl>
      <w:tblPr>
        <w:tblStyle w:val="52"/>
        <w:tblW w:w="8220" w:type="dxa"/>
        <w:jc w:val="center"/>
        <w:tblLayout w:type="fixed"/>
        <w:tblCellMar>
          <w:top w:w="0" w:type="dxa"/>
          <w:left w:w="17" w:type="dxa"/>
          <w:bottom w:w="0" w:type="dxa"/>
          <w:right w:w="17" w:type="dxa"/>
        </w:tblCellMar>
      </w:tblPr>
      <w:tblGrid>
        <w:gridCol w:w="365"/>
        <w:gridCol w:w="1226"/>
        <w:gridCol w:w="473"/>
        <w:gridCol w:w="473"/>
        <w:gridCol w:w="473"/>
        <w:gridCol w:w="473"/>
        <w:gridCol w:w="473"/>
        <w:gridCol w:w="473"/>
        <w:gridCol w:w="473"/>
        <w:gridCol w:w="473"/>
        <w:gridCol w:w="473"/>
        <w:gridCol w:w="473"/>
        <w:gridCol w:w="473"/>
        <w:gridCol w:w="552"/>
        <w:gridCol w:w="394"/>
        <w:gridCol w:w="480"/>
      </w:tblGrid>
      <w:tr>
        <w:tblPrEx>
          <w:tblCellMar>
            <w:top w:w="0" w:type="dxa"/>
            <w:left w:w="17" w:type="dxa"/>
            <w:bottom w:w="0" w:type="dxa"/>
            <w:right w:w="17" w:type="dxa"/>
          </w:tblCellMar>
        </w:tblPrEx>
        <w:trPr>
          <w:trHeight w:val="0" w:hRule="atLeast"/>
          <w:jc w:val="center"/>
        </w:trPr>
        <w:tc>
          <w:tcPr>
            <w:tcW w:w="1591" w:type="dxa"/>
            <w:gridSpan w:val="2"/>
            <w:tcBorders>
              <w:top w:val="single" w:color="auto" w:sz="4" w:space="0"/>
              <w:left w:val="single" w:color="auto" w:sz="4" w:space="0"/>
              <w:bottom w:val="single" w:color="auto" w:sz="4" w:space="0"/>
              <w:right w:val="single" w:color="auto" w:sz="4" w:space="0"/>
              <w:tl2br w:val="single" w:color="auto" w:sz="4" w:space="0"/>
            </w:tcBorders>
            <w:noWrap/>
            <w:vAlign w:val="center"/>
          </w:tcPr>
          <w:p>
            <w:pPr>
              <w:pStyle w:val="295"/>
              <w:keepNext w:val="0"/>
              <w:keepLines w:val="0"/>
              <w:widowControl/>
              <w:suppressLineNumbers w:val="0"/>
              <w:spacing w:before="0" w:beforeAutospacing="0" w:after="0" w:afterAutospacing="0"/>
              <w:ind w:left="0" w:right="0"/>
              <w:jc w:val="right"/>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监测项目</w:t>
            </w:r>
          </w:p>
          <w:p>
            <w:pPr>
              <w:pStyle w:val="295"/>
              <w:keepNext w:val="0"/>
              <w:keepLines w:val="0"/>
              <w:widowControl/>
              <w:suppressLineNumbers w:val="0"/>
              <w:spacing w:before="0" w:beforeAutospacing="0" w:after="0" w:afterAutospacing="0"/>
              <w:ind w:left="0" w:right="0"/>
              <w:jc w:val="left"/>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监测点</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pH</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砷</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镉</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铜</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铅</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汞</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镍</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铬</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锌</w:t>
            </w:r>
          </w:p>
        </w:tc>
        <w:tc>
          <w:tcPr>
            <w:tcW w:w="47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石油烃</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全盐量</w:t>
            </w:r>
          </w:p>
        </w:tc>
        <w:tc>
          <w:tcPr>
            <w:tcW w:w="55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氯离子</w:t>
            </w:r>
          </w:p>
        </w:tc>
        <w:tc>
          <w:tcPr>
            <w:tcW w:w="39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钡</w:t>
            </w:r>
          </w:p>
        </w:tc>
        <w:tc>
          <w:tcPr>
            <w:tcW w:w="48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硫酸根</w:t>
            </w:r>
          </w:p>
        </w:tc>
      </w:tr>
      <w:tr>
        <w:tblPrEx>
          <w:tblCellMar>
            <w:top w:w="0" w:type="dxa"/>
            <w:left w:w="17" w:type="dxa"/>
            <w:bottom w:w="0" w:type="dxa"/>
            <w:right w:w="17" w:type="dxa"/>
          </w:tblCellMar>
        </w:tblPrEx>
        <w:trPr>
          <w:trHeight w:val="0" w:hRule="atLeast"/>
          <w:jc w:val="center"/>
        </w:trPr>
        <w:tc>
          <w:tcPr>
            <w:tcW w:w="365" w:type="dxa"/>
            <w:vMerge w:val="restart"/>
            <w:tcBorders>
              <w:top w:val="single" w:color="auto" w:sz="4" w:space="0"/>
              <w:left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监测值</w:t>
            </w:r>
          </w:p>
        </w:tc>
        <w:tc>
          <w:tcPr>
            <w:tcW w:w="1226"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jc w:val="both"/>
              <w:rPr>
                <w:rFonts w:hint="default"/>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17" w:type="dxa"/>
            <w:bottom w:w="0" w:type="dxa"/>
            <w:right w:w="17" w:type="dxa"/>
          </w:tblCellMar>
        </w:tblPrEx>
        <w:trPr>
          <w:trHeight w:val="0" w:hRule="atLeast"/>
          <w:jc w:val="center"/>
        </w:trPr>
        <w:tc>
          <w:tcPr>
            <w:tcW w:w="365" w:type="dxa"/>
            <w:vMerge w:val="continue"/>
            <w:tcBorders>
              <w:left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226"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达标情况</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无酸化或碱化</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CellMar>
            <w:top w:w="0" w:type="dxa"/>
            <w:left w:w="17" w:type="dxa"/>
            <w:bottom w:w="0" w:type="dxa"/>
            <w:right w:w="17" w:type="dxa"/>
          </w:tblCellMar>
        </w:tblPrEx>
        <w:trPr>
          <w:trHeight w:val="0" w:hRule="atLeast"/>
          <w:jc w:val="center"/>
        </w:trPr>
        <w:tc>
          <w:tcPr>
            <w:tcW w:w="365"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226"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17" w:type="dxa"/>
            <w:bottom w:w="0" w:type="dxa"/>
            <w:right w:w="17" w:type="dxa"/>
          </w:tblCellMar>
        </w:tblPrEx>
        <w:trPr>
          <w:trHeight w:val="0" w:hRule="atLeast"/>
          <w:jc w:val="center"/>
        </w:trPr>
        <w:tc>
          <w:tcPr>
            <w:tcW w:w="365" w:type="dxa"/>
            <w:vMerge w:val="continue"/>
            <w:tcBorders>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226"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达标情况</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无酸化或碱化</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达标</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CellMar>
            <w:top w:w="0" w:type="dxa"/>
            <w:left w:w="17" w:type="dxa"/>
            <w:bottom w:w="0" w:type="dxa"/>
            <w:right w:w="17" w:type="dxa"/>
          </w:tblCellMar>
        </w:tblPrEx>
        <w:trPr>
          <w:trHeight w:val="0" w:hRule="atLeast"/>
          <w:jc w:val="center"/>
        </w:trPr>
        <w:tc>
          <w:tcPr>
            <w:tcW w:w="365" w:type="dxa"/>
            <w:vMerge w:val="restart"/>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标准值</w:t>
            </w:r>
          </w:p>
        </w:tc>
        <w:tc>
          <w:tcPr>
            <w:tcW w:w="122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w:t>
            </w:r>
            <w:r>
              <w:rPr>
                <w:rFonts w:hint="eastAsia"/>
                <w:color w:val="000000" w:themeColor="text1"/>
                <w:sz w:val="21"/>
                <w:szCs w:val="21"/>
                <w:highlight w:val="none"/>
                <w14:textFill>
                  <w14:solidFill>
                    <w14:schemeClr w14:val="tx1"/>
                  </w14:solidFill>
                </w14:textFill>
              </w:rPr>
              <w:t>＞7</w:t>
            </w:r>
            <w:r>
              <w:rPr>
                <w:rFonts w:hint="default"/>
                <w:color w:val="000000" w:themeColor="text1"/>
                <w:sz w:val="21"/>
                <w:szCs w:val="21"/>
                <w:highlight w:val="none"/>
                <w14:textFill>
                  <w14:solidFill>
                    <w14:schemeClr w14:val="tx1"/>
                  </w14:solidFill>
                </w14:textFill>
              </w:rPr>
              <w:t>.5（其他）</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25</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0.6</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170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3.4</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190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250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300</w:t>
            </w:r>
          </w:p>
        </w:tc>
        <w:tc>
          <w:tcPr>
            <w:tcW w:w="473" w:type="dxa"/>
            <w:vMerge w:val="restart"/>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826</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CellMar>
            <w:top w:w="0" w:type="dxa"/>
            <w:left w:w="17" w:type="dxa"/>
            <w:bottom w:w="0" w:type="dxa"/>
            <w:right w:w="17" w:type="dxa"/>
          </w:tblCellMar>
        </w:tblPrEx>
        <w:trPr>
          <w:trHeight w:val="0" w:hRule="atLeast"/>
          <w:jc w:val="center"/>
        </w:trPr>
        <w:tc>
          <w:tcPr>
            <w:tcW w:w="365" w:type="dxa"/>
            <w:vMerge w:val="continue"/>
            <w:tcBorders>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226"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6.5＜pH≤7.5（其他）</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r>
              <w:rPr>
                <w:rFonts w:hint="default"/>
                <w:color w:val="000000" w:themeColor="text1"/>
                <w:sz w:val="21"/>
                <w:szCs w:val="21"/>
                <w:highlight w:val="none"/>
                <w14:textFill>
                  <w14:solidFill>
                    <w14:schemeClr w14:val="tx1"/>
                  </w14:solidFill>
                </w14:textFill>
              </w:rPr>
              <w:t>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default"/>
                <w:color w:val="000000" w:themeColor="text1"/>
                <w:sz w:val="21"/>
                <w:szCs w:val="21"/>
                <w:highlight w:val="none"/>
                <w14:textFill>
                  <w14:solidFill>
                    <w14:schemeClr w14:val="tx1"/>
                  </w14:solidFill>
                </w14:textFill>
              </w:rPr>
              <w:t>.3</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default"/>
                <w:color w:val="000000" w:themeColor="text1"/>
                <w:sz w:val="21"/>
                <w:szCs w:val="21"/>
                <w:highlight w:val="none"/>
                <w14:textFill>
                  <w14:solidFill>
                    <w14:schemeClr w14:val="tx1"/>
                  </w14:solidFill>
                </w14:textFill>
              </w:rPr>
              <w:t>00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default"/>
                <w:color w:val="000000" w:themeColor="text1"/>
                <w:sz w:val="21"/>
                <w:szCs w:val="21"/>
                <w:highlight w:val="none"/>
                <w14:textFill>
                  <w14:solidFill>
                    <w14:schemeClr w14:val="tx1"/>
                  </w14:solidFill>
                </w14:textFill>
              </w:rPr>
              <w:t>20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default"/>
                <w:color w:val="000000" w:themeColor="text1"/>
                <w:sz w:val="21"/>
                <w:szCs w:val="21"/>
                <w:highlight w:val="none"/>
                <w14:textFill>
                  <w14:solidFill>
                    <w14:schemeClr w14:val="tx1"/>
                  </w14:solidFill>
                </w14:textFill>
              </w:rPr>
              <w:t>.4</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default"/>
                <w:color w:val="000000" w:themeColor="text1"/>
                <w:sz w:val="21"/>
                <w:szCs w:val="21"/>
                <w:highlight w:val="none"/>
                <w14:textFill>
                  <w14:solidFill>
                    <w14:schemeClr w14:val="tx1"/>
                  </w14:solidFill>
                </w14:textFill>
              </w:rPr>
              <w:t>00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default"/>
                <w:color w:val="000000" w:themeColor="text1"/>
                <w:sz w:val="21"/>
                <w:szCs w:val="21"/>
                <w:highlight w:val="none"/>
                <w14:textFill>
                  <w14:solidFill>
                    <w14:schemeClr w14:val="tx1"/>
                  </w14:solidFill>
                </w14:textFill>
              </w:rPr>
              <w:t>00</w:t>
            </w: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default"/>
                <w:color w:val="000000" w:themeColor="text1"/>
                <w:sz w:val="21"/>
                <w:szCs w:val="21"/>
                <w:highlight w:val="none"/>
                <w14:textFill>
                  <w14:solidFill>
                    <w14:schemeClr w14:val="tx1"/>
                  </w14:solidFill>
                </w14:textFill>
              </w:rPr>
              <w:t>50</w:t>
            </w:r>
          </w:p>
        </w:tc>
        <w:tc>
          <w:tcPr>
            <w:tcW w:w="473" w:type="dxa"/>
            <w:vMerge w:val="continue"/>
            <w:tcBorders>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473" w:type="dxa"/>
            <w:tcBorders>
              <w:top w:val="single" w:color="auto" w:sz="4" w:space="0"/>
              <w:left w:val="single" w:color="auto" w:sz="4" w:space="0"/>
              <w:bottom w:val="single" w:color="auto" w:sz="4" w:space="0"/>
              <w:right w:val="single" w:color="auto" w:sz="4" w:space="0"/>
            </w:tcBorders>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552"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48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bl>
    <w:p>
      <w:pPr>
        <w:pStyle w:val="201"/>
        <w:spacing w:before="120"/>
        <w:rPr>
          <w:color w:val="000000" w:themeColor="text1"/>
          <w:highlight w:val="none"/>
          <w14:textFill>
            <w14:solidFill>
              <w14:schemeClr w14:val="tx1"/>
            </w14:solidFill>
          </w14:textFill>
        </w:rPr>
      </w:pPr>
      <w:bookmarkStart w:id="234" w:name="_Ref14260018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bookmarkEnd w:id="23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本项目场内土壤环境现状监测及评价表</w:t>
      </w:r>
    </w:p>
    <w:tbl>
      <w:tblPr>
        <w:tblStyle w:val="52"/>
        <w:tblW w:w="8220" w:type="dxa"/>
        <w:jc w:val="center"/>
        <w:tblLayout w:type="fixed"/>
        <w:tblCellMar>
          <w:top w:w="0" w:type="dxa"/>
          <w:left w:w="0" w:type="dxa"/>
          <w:bottom w:w="0" w:type="dxa"/>
          <w:right w:w="0" w:type="dxa"/>
        </w:tblCellMar>
      </w:tblPr>
      <w:tblGrid>
        <w:gridCol w:w="557"/>
        <w:gridCol w:w="1123"/>
        <w:gridCol w:w="1090"/>
        <w:gridCol w:w="1090"/>
        <w:gridCol w:w="1090"/>
        <w:gridCol w:w="1090"/>
        <w:gridCol w:w="1090"/>
        <w:gridCol w:w="1090"/>
      </w:tblGrid>
      <w:tr>
        <w:tblPrEx>
          <w:tblCellMar>
            <w:top w:w="0" w:type="dxa"/>
            <w:left w:w="0" w:type="dxa"/>
            <w:bottom w:w="0" w:type="dxa"/>
            <w:right w:w="0" w:type="dxa"/>
          </w:tblCellMar>
        </w:tblPrEx>
        <w:trPr>
          <w:jc w:val="center"/>
        </w:trPr>
        <w:tc>
          <w:tcPr>
            <w:tcW w:w="1680"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jc w:val="right"/>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监测因子</w:t>
            </w:r>
          </w:p>
          <w:p>
            <w:pPr>
              <w:pStyle w:val="295"/>
              <w:keepNext w:val="0"/>
              <w:keepLines w:val="0"/>
              <w:widowControl/>
              <w:suppressLineNumbers w:val="0"/>
              <w:spacing w:before="0" w:beforeAutospacing="0" w:after="0" w:afterAutospacing="0"/>
              <w:ind w:left="0" w:right="0"/>
              <w:jc w:val="both"/>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监测点</w:t>
            </w:r>
          </w:p>
        </w:tc>
        <w:tc>
          <w:tcPr>
            <w:tcW w:w="1090" w:type="dxa"/>
            <w:tcBorders>
              <w:top w:val="single" w:color="auto" w:sz="4" w:space="0"/>
              <w:left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pH</w:t>
            </w:r>
          </w:p>
        </w:tc>
        <w:tc>
          <w:tcPr>
            <w:tcW w:w="1090" w:type="dxa"/>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石油烃〔C</w:t>
            </w:r>
            <w:r>
              <w:rPr>
                <w:rFonts w:hint="default"/>
                <w:b/>
                <w:bCs/>
                <w:color w:val="000000" w:themeColor="text1"/>
                <w:szCs w:val="20"/>
                <w:highlight w:val="none"/>
                <w:vertAlign w:val="subscript"/>
                <w14:textFill>
                  <w14:solidFill>
                    <w14:schemeClr w14:val="tx1"/>
                  </w14:solidFill>
                </w14:textFill>
              </w:rPr>
              <w:t>10</w:t>
            </w:r>
            <w:r>
              <w:rPr>
                <w:rFonts w:hint="default"/>
                <w:b/>
                <w:bCs/>
                <w:color w:val="000000" w:themeColor="text1"/>
                <w:szCs w:val="20"/>
                <w:highlight w:val="none"/>
                <w14:textFill>
                  <w14:solidFill>
                    <w14:schemeClr w14:val="tx1"/>
                  </w14:solidFill>
                </w14:textFill>
              </w:rPr>
              <w:t>-C</w:t>
            </w:r>
            <w:r>
              <w:rPr>
                <w:rFonts w:hint="default"/>
                <w:b/>
                <w:bCs/>
                <w:color w:val="000000" w:themeColor="text1"/>
                <w:szCs w:val="20"/>
                <w:highlight w:val="none"/>
                <w:vertAlign w:val="subscript"/>
                <w14:textFill>
                  <w14:solidFill>
                    <w14:schemeClr w14:val="tx1"/>
                  </w14:solidFill>
                </w14:textFill>
              </w:rPr>
              <w:t>40</w:t>
            </w:r>
            <w:r>
              <w:rPr>
                <w:rFonts w:hint="default"/>
                <w:b/>
                <w:bCs/>
                <w:color w:val="000000" w:themeColor="text1"/>
                <w:szCs w:val="20"/>
                <w:highlight w:val="none"/>
                <w14:textFill>
                  <w14:solidFill>
                    <w14:schemeClr w14:val="tx1"/>
                  </w14:solidFill>
                </w14:textFill>
              </w:rPr>
              <w:t>〕（mg/kg）</w:t>
            </w:r>
          </w:p>
        </w:tc>
        <w:tc>
          <w:tcPr>
            <w:tcW w:w="1090" w:type="dxa"/>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全盐量（g/kg）</w:t>
            </w:r>
          </w:p>
        </w:tc>
        <w:tc>
          <w:tcPr>
            <w:tcW w:w="1090" w:type="dxa"/>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14:textFill>
                  <w14:solidFill>
                    <w14:schemeClr w14:val="tx1"/>
                  </w14:solidFill>
                </w14:textFill>
              </w:rPr>
              <w:t>氯离子</w:t>
            </w:r>
            <w:r>
              <w:rPr>
                <w:rFonts w:hint="default"/>
                <w:b/>
                <w:bCs/>
                <w:color w:val="000000" w:themeColor="text1"/>
                <w:szCs w:val="20"/>
                <w:highlight w:val="none"/>
                <w14:textFill>
                  <w14:solidFill>
                    <w14:schemeClr w14:val="tx1"/>
                  </w14:solidFill>
                </w14:textFill>
              </w:rPr>
              <w:t>（g/kg）</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硫酸根</w:t>
            </w:r>
            <w:r>
              <w:rPr>
                <w:rFonts w:hint="default"/>
                <w:b/>
                <w:bCs/>
                <w:color w:val="000000" w:themeColor="text1"/>
                <w:szCs w:val="20"/>
                <w:highlight w:val="none"/>
                <w14:textFill>
                  <w14:solidFill>
                    <w14:schemeClr w14:val="tx1"/>
                  </w14:solidFill>
                </w14:textFill>
              </w:rPr>
              <w:t>（mg/kg）</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eastAsia="宋体"/>
                <w:b/>
                <w:bCs/>
                <w:color w:val="000000" w:themeColor="text1"/>
                <w:szCs w:val="20"/>
                <w:highlight w:val="none"/>
                <w:lang w:val="en-US" w:eastAsia="zh-CN"/>
                <w14:textFill>
                  <w14:solidFill>
                    <w14:schemeClr w14:val="tx1"/>
                  </w14:solidFill>
                </w14:textFill>
              </w:rPr>
            </w:pPr>
            <w:r>
              <w:rPr>
                <w:rFonts w:hint="eastAsia"/>
                <w:b/>
                <w:bCs/>
                <w:color w:val="000000" w:themeColor="text1"/>
                <w:szCs w:val="20"/>
                <w:highlight w:val="none"/>
                <w:lang w:val="en-US" w:eastAsia="zh-CN"/>
                <w14:textFill>
                  <w14:solidFill>
                    <w14:schemeClr w14:val="tx1"/>
                  </w14:solidFill>
                </w14:textFill>
              </w:rPr>
              <w:t>钡</w:t>
            </w:r>
            <w:r>
              <w:rPr>
                <w:rFonts w:hint="default"/>
                <w:b/>
                <w:bCs/>
                <w:color w:val="000000" w:themeColor="text1"/>
                <w:szCs w:val="20"/>
                <w:highlight w:val="none"/>
                <w14:textFill>
                  <w14:solidFill>
                    <w14:schemeClr w14:val="tx1"/>
                  </w14:solidFill>
                </w14:textFill>
              </w:rPr>
              <w:t>（mg/kg）</w:t>
            </w:r>
          </w:p>
        </w:tc>
      </w:tr>
      <w:tr>
        <w:tblPrEx>
          <w:tblCellMar>
            <w:top w:w="0" w:type="dxa"/>
            <w:left w:w="0" w:type="dxa"/>
            <w:bottom w:w="0" w:type="dxa"/>
            <w:right w:w="0" w:type="dxa"/>
          </w:tblCellMar>
        </w:tblPrEx>
        <w:trPr>
          <w:jc w:val="center"/>
        </w:trPr>
        <w:tc>
          <w:tcPr>
            <w:tcW w:w="557" w:type="dxa"/>
            <w:vMerge w:val="restart"/>
            <w:tcBorders>
              <w:top w:val="single" w:color="auto" w:sz="4" w:space="0"/>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r>
              <w:rPr>
                <w:rFonts w:hint="default"/>
                <w:color w:val="000000" w:themeColor="text1"/>
                <w:szCs w:val="20"/>
                <w:highlight w:val="none"/>
                <w14:textFill>
                  <w14:solidFill>
                    <w14:schemeClr w14:val="tx1"/>
                  </w14:solidFill>
                </w14:textFill>
              </w:rPr>
              <w:t>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w:t>
            </w:r>
            <w:r>
              <w:rPr>
                <w:rFonts w:hint="default"/>
                <w:color w:val="000000" w:themeColor="text1"/>
                <w:szCs w:val="20"/>
                <w:highlight w:val="none"/>
                <w14:textFill>
                  <w14:solidFill>
                    <w14:schemeClr w14:val="tx1"/>
                  </w14:solidFill>
                </w14:textFill>
              </w:rPr>
              <w:t>150cm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150～</w:t>
            </w:r>
            <w:r>
              <w:rPr>
                <w:rFonts w:hint="default"/>
                <w:color w:val="000000" w:themeColor="text1"/>
                <w:szCs w:val="20"/>
                <w:highlight w:val="none"/>
                <w14:textFill>
                  <w14:solidFill>
                    <w14:schemeClr w14:val="tx1"/>
                  </w14:solidFill>
                </w14:textFill>
              </w:rPr>
              <w:t>300cm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restart"/>
            <w:tcBorders>
              <w:top w:val="single" w:color="auto" w:sz="4" w:space="0"/>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r>
              <w:rPr>
                <w:rFonts w:hint="default"/>
                <w:color w:val="000000" w:themeColor="text1"/>
                <w:szCs w:val="20"/>
                <w:highlight w:val="none"/>
                <w14:textFill>
                  <w14:solidFill>
                    <w14:schemeClr w14:val="tx1"/>
                  </w14:solidFill>
                </w14:textFill>
              </w:rPr>
              <w:t>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w:t>
            </w:r>
            <w:r>
              <w:rPr>
                <w:rFonts w:hint="default"/>
                <w:color w:val="000000" w:themeColor="text1"/>
                <w:szCs w:val="20"/>
                <w:highlight w:val="none"/>
                <w14:textFill>
                  <w14:solidFill>
                    <w14:schemeClr w14:val="tx1"/>
                  </w14:solidFill>
                </w14:textFill>
              </w:rPr>
              <w:t>150cm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150～</w:t>
            </w:r>
            <w:r>
              <w:rPr>
                <w:rFonts w:hint="default"/>
                <w:color w:val="000000" w:themeColor="text1"/>
                <w:szCs w:val="20"/>
                <w:highlight w:val="none"/>
                <w14:textFill>
                  <w14:solidFill>
                    <w14:schemeClr w14:val="tx1"/>
                  </w14:solidFill>
                </w14:textFill>
              </w:rPr>
              <w:t>300cm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restart"/>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r>
              <w:rPr>
                <w:rFonts w:hint="default"/>
                <w:color w:val="000000" w:themeColor="text1"/>
                <w:szCs w:val="20"/>
                <w:highlight w:val="none"/>
                <w14:textFill>
                  <w14:solidFill>
                    <w14:schemeClr w14:val="tx1"/>
                  </w14:solidFill>
                </w14:textFill>
              </w:rPr>
              <w:t>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w:t>
            </w:r>
            <w:r>
              <w:rPr>
                <w:rFonts w:hint="default"/>
                <w:color w:val="000000" w:themeColor="text1"/>
                <w:szCs w:val="20"/>
                <w:highlight w:val="none"/>
                <w14:textFill>
                  <w14:solidFill>
                    <w14:schemeClr w14:val="tx1"/>
                  </w14:solidFill>
                </w14:textFill>
              </w:rPr>
              <w:t>150cm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150～</w:t>
            </w:r>
            <w:r>
              <w:rPr>
                <w:rFonts w:hint="default"/>
                <w:color w:val="000000" w:themeColor="text1"/>
                <w:szCs w:val="20"/>
                <w:highlight w:val="none"/>
                <w14:textFill>
                  <w14:solidFill>
                    <w14:schemeClr w14:val="tx1"/>
                  </w14:solidFill>
                </w14:textFill>
              </w:rPr>
              <w:t>300cm</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Cs w:val="20"/>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等线"/>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557" w:type="dxa"/>
            <w:vMerge w:val="continue"/>
            <w:tcBorders>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达标情况</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tblPrEx>
          <w:tblCellMar>
            <w:top w:w="0" w:type="dxa"/>
            <w:left w:w="0" w:type="dxa"/>
            <w:bottom w:w="0" w:type="dxa"/>
            <w:right w:w="0" w:type="dxa"/>
          </w:tblCellMar>
        </w:tblPrEx>
        <w:trPr>
          <w:jc w:val="center"/>
        </w:trPr>
        <w:tc>
          <w:tcPr>
            <w:tcW w:w="16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标准值</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等线"/>
                <w:color w:val="000000" w:themeColor="text1"/>
                <w:szCs w:val="21"/>
                <w:highlight w:val="none"/>
                <w:lang w:val="en-US" w:eastAsia="zh-CN"/>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8660</w:t>
            </w:r>
          </w:p>
        </w:tc>
      </w:tr>
    </w:tbl>
    <w:p>
      <w:pPr>
        <w:pStyle w:val="201"/>
        <w:spacing w:before="120"/>
        <w:rPr>
          <w:color w:val="000000" w:themeColor="text1"/>
          <w:highlight w:val="none"/>
          <w14:textFill>
            <w14:solidFill>
              <w14:schemeClr w14:val="tx1"/>
            </w14:solidFill>
          </w14:textFill>
        </w:rPr>
      </w:pPr>
      <w:bookmarkStart w:id="235" w:name="_Ref14260018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bookmarkEnd w:id="23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场内土壤环境现状监测结果</w:t>
      </w:r>
    </w:p>
    <w:tbl>
      <w:tblPr>
        <w:tblStyle w:val="52"/>
        <w:tblW w:w="8220" w:type="dxa"/>
        <w:jc w:val="center"/>
        <w:tblLayout w:type="autofit"/>
        <w:tblCellMar>
          <w:top w:w="0" w:type="dxa"/>
          <w:left w:w="0" w:type="dxa"/>
          <w:bottom w:w="0" w:type="dxa"/>
          <w:right w:w="0" w:type="dxa"/>
        </w:tblCellMar>
      </w:tblPr>
      <w:tblGrid>
        <w:gridCol w:w="2010"/>
        <w:gridCol w:w="702"/>
        <w:gridCol w:w="1252"/>
        <w:gridCol w:w="3381"/>
        <w:gridCol w:w="875"/>
      </w:tblGrid>
      <w:tr>
        <w:tblPrEx>
          <w:tblCellMar>
            <w:top w:w="0" w:type="dxa"/>
            <w:left w:w="0" w:type="dxa"/>
            <w:bottom w:w="0" w:type="dxa"/>
            <w:right w:w="0" w:type="dxa"/>
          </w:tblCellMar>
        </w:tblPrEx>
        <w:trPr>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监测因子</w:t>
            </w:r>
          </w:p>
        </w:tc>
        <w:tc>
          <w:tcPr>
            <w:tcW w:w="0" w:type="auto"/>
            <w:vMerge w:val="restart"/>
            <w:tcBorders>
              <w:top w:val="single" w:color="auto" w:sz="4" w:space="0"/>
              <w:left w:val="nil"/>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单位</w:t>
            </w:r>
          </w:p>
        </w:tc>
        <w:tc>
          <w:tcPr>
            <w:tcW w:w="46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4#</w:t>
            </w:r>
            <w:r>
              <w:rPr>
                <w:rFonts w:hint="eastAsia"/>
                <w:b/>
                <w:bCs/>
                <w:color w:val="000000" w:themeColor="text1"/>
                <w:sz w:val="21"/>
                <w:szCs w:val="21"/>
                <w:highlight w:val="none"/>
                <w14:textFill>
                  <w14:solidFill>
                    <w14:schemeClr w14:val="tx1"/>
                  </w14:solidFill>
                </w14:textFill>
              </w:rPr>
              <w:t>新建</w:t>
            </w:r>
            <w:r>
              <w:rPr>
                <w:rFonts w:hint="eastAsia"/>
                <w:b/>
                <w:bCs/>
                <w:color w:val="000000" w:themeColor="text1"/>
                <w:sz w:val="21"/>
                <w:szCs w:val="21"/>
                <w:highlight w:val="none"/>
                <w:lang w:eastAsia="zh-CN"/>
                <w14:textFill>
                  <w14:solidFill>
                    <w14:schemeClr w14:val="tx1"/>
                  </w14:solidFill>
                </w14:textFill>
              </w:rPr>
              <w:t>雷页1试验井组</w:t>
            </w:r>
            <w:r>
              <w:rPr>
                <w:rFonts w:hint="eastAsia"/>
                <w:b/>
                <w:bCs/>
                <w:color w:val="000000" w:themeColor="text1"/>
                <w:sz w:val="21"/>
                <w:szCs w:val="21"/>
                <w:highlight w:val="none"/>
                <w:lang w:val="en-US" w:eastAsia="zh-CN"/>
                <w14:textFill>
                  <w14:solidFill>
                    <w14:schemeClr w14:val="tx1"/>
                  </w14:solidFill>
                </w14:textFill>
              </w:rPr>
              <w:t>场外放喷池</w:t>
            </w:r>
            <w:r>
              <w:rPr>
                <w:rFonts w:hint="eastAsia"/>
                <w:b/>
                <w:bCs/>
                <w:color w:val="000000" w:themeColor="text1"/>
                <w:sz w:val="21"/>
                <w:szCs w:val="21"/>
                <w:highlight w:val="none"/>
                <w14:textFill>
                  <w14:solidFill>
                    <w14:schemeClr w14:val="tx1"/>
                  </w14:solidFill>
                </w14:textFill>
              </w:rPr>
              <w:t>处</w:t>
            </w:r>
            <w:r>
              <w:rPr>
                <w:rFonts w:hint="default"/>
                <w:b/>
                <w:bCs/>
                <w:color w:val="000000" w:themeColor="text1"/>
                <w:sz w:val="21"/>
                <w:szCs w:val="21"/>
                <w:highlight w:val="none"/>
                <w14:textFill>
                  <w14:solidFill>
                    <w14:schemeClr w14:val="tx1"/>
                  </w14:solidFill>
                </w14:textFill>
              </w:rPr>
              <w:t>（20cm）</w:t>
            </w:r>
          </w:p>
        </w:tc>
        <w:tc>
          <w:tcPr>
            <w:tcW w:w="87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标准值</w:t>
            </w:r>
          </w:p>
        </w:tc>
      </w:tr>
      <w:tr>
        <w:tblPrEx>
          <w:tblCellMar>
            <w:top w:w="0" w:type="dxa"/>
            <w:left w:w="0" w:type="dxa"/>
            <w:bottom w:w="0" w:type="dxa"/>
            <w:right w:w="0"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p>
        </w:tc>
        <w:tc>
          <w:tcPr>
            <w:tcW w:w="0" w:type="auto"/>
            <w:vMerge w:val="continue"/>
            <w:tcBorders>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p>
        </w:tc>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监测值</w:t>
            </w:r>
          </w:p>
        </w:tc>
        <w:tc>
          <w:tcPr>
            <w:tcW w:w="3381" w:type="dxa"/>
            <w:tcBorders>
              <w:top w:val="nil"/>
              <w:left w:val="nil"/>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是否达标</w:t>
            </w:r>
          </w:p>
        </w:tc>
        <w:tc>
          <w:tcPr>
            <w:tcW w:w="87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无量纲</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无酸化或碱化</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CellMar>
            <w:top w:w="0" w:type="dxa"/>
            <w:left w:w="0" w:type="dxa"/>
            <w:bottom w:w="0" w:type="dxa"/>
            <w:right w:w="0" w:type="dxa"/>
          </w:tblCellMar>
        </w:tblPrEx>
        <w:trPr>
          <w:jc w:val="center"/>
        </w:trPr>
        <w:tc>
          <w:tcPr>
            <w:tcW w:w="2010" w:type="dxa"/>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全盐量</w:t>
            </w:r>
          </w:p>
        </w:tc>
        <w:tc>
          <w:tcPr>
            <w:tcW w:w="702" w:type="dxa"/>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中度盐化</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CellMar>
            <w:top w:w="0" w:type="dxa"/>
            <w:left w:w="0" w:type="dxa"/>
            <w:bottom w:w="0" w:type="dxa"/>
            <w:right w:w="0" w:type="dxa"/>
          </w:tblCellMar>
        </w:tblPrEx>
        <w:trPr>
          <w:jc w:val="center"/>
        </w:trPr>
        <w:tc>
          <w:tcPr>
            <w:tcW w:w="2010" w:type="dxa"/>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氯离子</w:t>
            </w:r>
          </w:p>
        </w:tc>
        <w:tc>
          <w:tcPr>
            <w:tcW w:w="702" w:type="dxa"/>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CellMar>
            <w:top w:w="0" w:type="dxa"/>
            <w:left w:w="0" w:type="dxa"/>
            <w:bottom w:w="0" w:type="dxa"/>
            <w:right w:w="0" w:type="dxa"/>
          </w:tblCellMar>
        </w:tblPrEx>
        <w:trPr>
          <w:jc w:val="center"/>
        </w:trPr>
        <w:tc>
          <w:tcPr>
            <w:tcW w:w="2010" w:type="dxa"/>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硫酸根</w:t>
            </w:r>
          </w:p>
        </w:tc>
        <w:tc>
          <w:tcPr>
            <w:tcW w:w="702" w:type="dxa"/>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CellMar>
            <w:top w:w="0" w:type="dxa"/>
            <w:left w:w="0" w:type="dxa"/>
            <w:bottom w:w="0" w:type="dxa"/>
            <w:right w:w="0" w:type="dxa"/>
          </w:tblCellMar>
        </w:tblPrEx>
        <w:trPr>
          <w:jc w:val="center"/>
        </w:trPr>
        <w:tc>
          <w:tcPr>
            <w:tcW w:w="2010" w:type="dxa"/>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钡</w:t>
            </w:r>
          </w:p>
        </w:tc>
        <w:tc>
          <w:tcPr>
            <w:tcW w:w="702" w:type="dxa"/>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镉</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六价铬</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5.7</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铜</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18000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铅</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800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汞</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125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38</w:t>
            </w:r>
          </w:p>
        </w:tc>
      </w:tr>
      <w:tr>
        <w:tblPrEx>
          <w:tblCellMar>
            <w:top w:w="0" w:type="dxa"/>
            <w:left w:w="0" w:type="dxa"/>
            <w:bottom w:w="0" w:type="dxa"/>
            <w:right w:w="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镍</w:t>
            </w:r>
          </w:p>
        </w:tc>
        <w:tc>
          <w:tcPr>
            <w:tcW w:w="0" w:type="auto"/>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900</w:t>
            </w:r>
          </w:p>
        </w:tc>
      </w:tr>
      <w:tr>
        <w:tblPrEx>
          <w:tblCellMar>
            <w:top w:w="0" w:type="dxa"/>
            <w:left w:w="0" w:type="dxa"/>
            <w:bottom w:w="0" w:type="dxa"/>
            <w:right w:w="0" w:type="dxa"/>
          </w:tblCellMar>
        </w:tblPrEx>
        <w:trPr>
          <w:trHeight w:val="172"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石油烃〔C10-C40〕</w:t>
            </w:r>
          </w:p>
        </w:tc>
        <w:tc>
          <w:tcPr>
            <w:tcW w:w="0" w:type="auto"/>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4500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四氯化碳</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2.8</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氯仿</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0.9</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氯甲烷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37</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1,1-二氯乙烷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1,2-二氯乙烷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1,1-二氯乙烯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66</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顺-1,2 -二氯乙烯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596</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反-1,2 -二氯乙烯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54</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二氯甲烷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616</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1,2-二氯丙烷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1,1,1,2- 四氯乙烷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1,1,2,2-四氯乙烷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6.8</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四氯乙烯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53</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w:t>
            </w:r>
            <w:r>
              <w:rPr>
                <w:rFonts w:hint="eastAsia"/>
                <w:color w:val="000000" w:themeColor="text1"/>
                <w:sz w:val="21"/>
                <w:szCs w:val="21"/>
                <w:highlight w:val="none"/>
                <w:lang w:eastAsia="zh-CN"/>
                <w14:textFill>
                  <w14:solidFill>
                    <w14:schemeClr w14:val="tx1"/>
                  </w14:solidFill>
                </w14:textFill>
              </w:rPr>
              <w:t>1</w:t>
            </w:r>
            <w:r>
              <w:rPr>
                <w:rFonts w:hint="default"/>
                <w:color w:val="000000" w:themeColor="text1"/>
                <w:sz w:val="21"/>
                <w:szCs w:val="21"/>
                <w:highlight w:val="none"/>
                <w14:textFill>
                  <w14:solidFill>
                    <w14:schemeClr w14:val="tx1"/>
                  </w14:solidFill>
                </w14:textFill>
              </w:rPr>
              <w:t>-三氯乙烷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840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1,1,2-三氯乙烷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2.8</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三氯乙烯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2.8</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1,2,3-三氯丙烷</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0.43</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氯苯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270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1,2-二氯苯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560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1,4-二氯苯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乙苯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28</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苯乙烯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1290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甲苯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1200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间，对-二甲苯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570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邻-二甲苯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640</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硝基苯</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76</w:t>
            </w:r>
          </w:p>
        </w:tc>
      </w:tr>
      <w:tr>
        <w:tblPrEx>
          <w:tblCellMar>
            <w:top w:w="0" w:type="dxa"/>
            <w:left w:w="0" w:type="dxa"/>
            <w:bottom w:w="0" w:type="dxa"/>
            <w:right w:w="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苯胺</w:t>
            </w:r>
          </w:p>
        </w:tc>
        <w:tc>
          <w:tcPr>
            <w:tcW w:w="0" w:type="auto"/>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260</w:t>
            </w:r>
          </w:p>
        </w:tc>
      </w:tr>
      <w:tr>
        <w:tblPrEx>
          <w:tblCellMar>
            <w:top w:w="0" w:type="dxa"/>
            <w:left w:w="0" w:type="dxa"/>
            <w:bottom w:w="0" w:type="dxa"/>
            <w:right w:w="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2-氯酚</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single" w:color="auto" w:sz="4" w:space="0"/>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single" w:color="auto" w:sz="4" w:space="0"/>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2256</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苯并（a）蒽</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苯并（a）芘</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苯并（b）荧蒽</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苯并（k）荧蒽</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151</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䓛</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1293</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二苯并（a,h）蒽</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w:t>
            </w:r>
          </w:p>
        </w:tc>
      </w:tr>
      <w:tr>
        <w:tblPrEx>
          <w:tblCellMar>
            <w:top w:w="0" w:type="dxa"/>
            <w:left w:w="0" w:type="dxa"/>
            <w:bottom w:w="0" w:type="dxa"/>
            <w:right w:w="0"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茚并（1,2,3-c,d）芘</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nil"/>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15</w:t>
            </w:r>
          </w:p>
        </w:tc>
      </w:tr>
      <w:tr>
        <w:tblPrEx>
          <w:tblCellMar>
            <w:top w:w="0" w:type="dxa"/>
            <w:left w:w="0" w:type="dxa"/>
            <w:bottom w:w="0" w:type="dxa"/>
            <w:right w:w="0"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萘</w:t>
            </w:r>
          </w:p>
        </w:tc>
        <w:tc>
          <w:tcPr>
            <w:tcW w:w="0" w:type="auto"/>
            <w:tcBorders>
              <w:top w:val="single" w:color="auto" w:sz="4" w:space="0"/>
              <w:left w:val="nil"/>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mg/kg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3381" w:type="dxa"/>
            <w:tcBorders>
              <w:top w:val="single" w:color="auto" w:sz="4" w:space="0"/>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c>
          <w:tcPr>
            <w:tcW w:w="875" w:type="dxa"/>
            <w:tcBorders>
              <w:top w:val="single" w:color="auto" w:sz="4" w:space="0"/>
              <w:left w:val="nil"/>
              <w:bottom w:val="single" w:color="auto" w:sz="4" w:space="0"/>
              <w:right w:val="single" w:color="auto" w:sz="4" w:space="0"/>
            </w:tcBorders>
            <w:shd w:val="clear" w:color="auto" w:fill="auto"/>
            <w:noWrap/>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70</w:t>
            </w:r>
          </w:p>
        </w:tc>
      </w:tr>
    </w:tbl>
    <w:p>
      <w:pPr>
        <w:spacing w:before="120" w:beforeLines="50"/>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_Ref142600179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13</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_Ref142600183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14</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_Ref142600187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15</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可知，平台外土壤监测点监测值均低于《土壤环境质量 农用地土壤污染风险管控标准（试行）》（GB15618-2018）风险筛选值；平台内各土壤监测点监测因子均低于《土壤环境质量 建设用地土壤污染风险管控标准（试行）》（GB36600-2018）中的第二类用地筛选值</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钡满足《四川省建设用地土壤污染风险管控标准》（</w:t>
      </w:r>
      <w:r>
        <w:rPr>
          <w:rFonts w:hint="default" w:cs="Times New Roman"/>
          <w:bCs/>
          <w:color w:val="000000" w:themeColor="text1"/>
          <w:szCs w:val="24"/>
          <w:highlight w:val="none"/>
          <w:lang w:val="en-US" w:eastAsia="zh-CN"/>
          <w14:textFill>
            <w14:solidFill>
              <w14:schemeClr w14:val="tx1"/>
            </w14:solidFill>
          </w14:textFill>
        </w:rPr>
        <w:t>DB51/2978</w:t>
      </w:r>
      <w:r>
        <w:rPr>
          <w:rFonts w:hint="eastAsia" w:cs="Times New Roman"/>
          <w:bCs/>
          <w:color w:val="000000" w:themeColor="text1"/>
          <w:szCs w:val="24"/>
          <w:highlight w:val="none"/>
          <w:lang w:val="en-US" w:eastAsia="zh-CN"/>
          <w14:textFill>
            <w14:solidFill>
              <w14:schemeClr w14:val="tx1"/>
            </w14:solidFill>
          </w14:textFill>
        </w:rPr>
        <w:t>—</w:t>
      </w:r>
      <w:r>
        <w:rPr>
          <w:rFonts w:hint="default" w:cs="Times New Roman"/>
          <w:bCs/>
          <w:color w:val="000000" w:themeColor="text1"/>
          <w:szCs w:val="24"/>
          <w:highlight w:val="none"/>
          <w:lang w:val="en-US" w:eastAsia="zh-CN"/>
          <w14:textFill>
            <w14:solidFill>
              <w14:schemeClr w14:val="tx1"/>
            </w14:solidFill>
          </w14:textFill>
        </w:rPr>
        <w:t>2023</w:t>
      </w:r>
      <w:r>
        <w:rPr>
          <w:rFonts w:hint="eastAsia" w:cs="Times New Roman"/>
          <w:bCs/>
          <w:color w:val="000000" w:themeColor="text1"/>
          <w:szCs w:val="24"/>
          <w:highlight w:val="none"/>
          <w:lang w:val="en-US" w:eastAsia="zh-CN"/>
          <w14:textFill>
            <w14:solidFill>
              <w14:schemeClr w14:val="tx1"/>
            </w14:solidFill>
          </w14:textFill>
        </w:rPr>
        <w:t>）第二类用地筛选值要求</w:t>
      </w:r>
      <w:r>
        <w:rPr>
          <w:rFonts w:cs="Times New Roman"/>
          <w:bCs/>
          <w:color w:val="000000" w:themeColor="text1"/>
          <w:szCs w:val="24"/>
          <w:highlight w:val="none"/>
          <w14:textFill>
            <w14:solidFill>
              <w14:schemeClr w14:val="tx1"/>
            </w14:solidFill>
          </w14:textFill>
        </w:rPr>
        <w:t>。</w:t>
      </w:r>
    </w:p>
    <w:p>
      <w:pPr>
        <w:pStyle w:val="3"/>
        <w:spacing w:before="120"/>
        <w:rPr>
          <w:color w:val="000000" w:themeColor="text1"/>
          <w:highlight w:val="none"/>
          <w:lang w:eastAsia="zh-CN"/>
          <w14:textFill>
            <w14:solidFill>
              <w14:schemeClr w14:val="tx1"/>
            </w14:solidFill>
          </w14:textFill>
        </w:rPr>
      </w:pPr>
      <w:bookmarkStart w:id="236" w:name="_Toc1684"/>
      <w:r>
        <w:rPr>
          <w:color w:val="000000" w:themeColor="text1"/>
          <w:highlight w:val="none"/>
          <w:lang w:eastAsia="zh-CN"/>
          <w14:textFill>
            <w14:solidFill>
              <w14:schemeClr w14:val="tx1"/>
            </w14:solidFill>
          </w14:textFill>
        </w:rPr>
        <w:t>生态环境调查与评价</w:t>
      </w:r>
      <w:bookmarkEnd w:id="236"/>
    </w:p>
    <w:p>
      <w:pPr>
        <w:pStyle w:val="130"/>
        <w:ind w:firstLine="480"/>
        <w:rPr>
          <w:b/>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本项目所有生产废水均不外排，</w:t>
      </w:r>
      <w:r>
        <w:rPr>
          <w:rFonts w:hint="eastAsia"/>
          <w:color w:val="000000" w:themeColor="text1"/>
          <w:highlight w:val="none"/>
          <w:lang w:val="en-US" w:eastAsia="zh-CN"/>
          <w14:textFill>
            <w14:solidFill>
              <w14:schemeClr w14:val="tx1"/>
            </w14:solidFill>
          </w14:textFill>
        </w:rPr>
        <w:t>项目占地及周边无天然地表水体，</w:t>
      </w:r>
      <w:r>
        <w:rPr>
          <w:color w:val="000000" w:themeColor="text1"/>
          <w:highlight w:val="none"/>
          <w14:textFill>
            <w14:solidFill>
              <w14:schemeClr w14:val="tx1"/>
            </w14:solidFill>
          </w14:textFill>
        </w:rPr>
        <w:t>不涉及水生生态，因此本项目生态环境现状调查仅针对陆生生态进行调查。</w:t>
      </w:r>
    </w:p>
    <w:p>
      <w:pPr>
        <w:pStyle w:val="4"/>
        <w:spacing w:before="120"/>
        <w:rPr>
          <w:b/>
          <w:color w:val="000000" w:themeColor="text1"/>
          <w:highlight w:val="none"/>
          <w:lang w:eastAsia="zh-CN"/>
          <w14:textFill>
            <w14:solidFill>
              <w14:schemeClr w14:val="tx1"/>
            </w14:solidFill>
          </w14:textFill>
        </w:rPr>
      </w:pPr>
      <w:bookmarkStart w:id="237" w:name="_Toc120173135"/>
      <w:bookmarkStart w:id="238" w:name="_Hlk84604214"/>
      <w:r>
        <w:rPr>
          <w:color w:val="000000" w:themeColor="text1"/>
          <w:highlight w:val="none"/>
          <w:lang w:eastAsia="zh-CN"/>
          <w14:textFill>
            <w14:solidFill>
              <w14:schemeClr w14:val="tx1"/>
            </w14:solidFill>
          </w14:textFill>
        </w:rPr>
        <w:t>生态功能区划</w:t>
      </w:r>
      <w:bookmarkEnd w:id="237"/>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四川盆地亚热带湿润气候生态区，属于盆北深丘农林与土壤保持生态功能区（I-2-1），该生态功能区的主导功能是农林产品提供功能，土壤保持功能。面临的主要环境问题是水土流失较严重，滑坡崩塌中等发育。项目区的生态功能区划见下</w:t>
      </w:r>
      <w:r>
        <w:rPr>
          <w:rFonts w:hint="eastAsia"/>
          <w:color w:val="000000" w:themeColor="text1"/>
          <w:highlight w:val="none"/>
          <w:lang w:eastAsia="zh-CN"/>
          <w14:textFill>
            <w14:solidFill>
              <w14:schemeClr w14:val="tx1"/>
            </w14:solidFill>
          </w14:textFill>
        </w:rPr>
        <w:t>表</w:t>
      </w:r>
      <w:r>
        <w:rPr>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39" w:name="_Ref142600299"/>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23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项目区生态功能区划及主要生态环境问题</w:t>
      </w:r>
    </w:p>
    <w:tbl>
      <w:tblPr>
        <w:tblStyle w:val="52"/>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9"/>
        <w:gridCol w:w="1030"/>
        <w:gridCol w:w="1090"/>
        <w:gridCol w:w="1078"/>
        <w:gridCol w:w="786"/>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485"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生态区</w:t>
            </w:r>
          </w:p>
        </w:tc>
        <w:tc>
          <w:tcPr>
            <w:tcW w:w="61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生态亚区</w:t>
            </w:r>
          </w:p>
        </w:tc>
        <w:tc>
          <w:tcPr>
            <w:tcW w:w="65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生态功能区</w:t>
            </w:r>
          </w:p>
        </w:tc>
        <w:tc>
          <w:tcPr>
            <w:tcW w:w="64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主要环境问题</w:t>
            </w:r>
          </w:p>
        </w:tc>
        <w:tc>
          <w:tcPr>
            <w:tcW w:w="47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服务功能</w:t>
            </w:r>
          </w:p>
        </w:tc>
        <w:tc>
          <w:tcPr>
            <w:tcW w:w="212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保护与发展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5"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I四川盆地亚热带湿润气候生态区</w:t>
            </w:r>
          </w:p>
        </w:tc>
        <w:tc>
          <w:tcPr>
            <w:tcW w:w="617"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I-2盆中丘陵农林复合生态亚区</w:t>
            </w:r>
          </w:p>
        </w:tc>
        <w:tc>
          <w:tcPr>
            <w:tcW w:w="6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I-2-1盆北深丘农林与土壤保持生态功能区</w:t>
            </w:r>
          </w:p>
        </w:tc>
        <w:tc>
          <w:tcPr>
            <w:tcW w:w="64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水土流失较严重，滑坡崩塌中等发育</w:t>
            </w:r>
          </w:p>
        </w:tc>
        <w:tc>
          <w:tcPr>
            <w:tcW w:w="47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农林产品提供功能，土壤保持功能</w:t>
            </w:r>
          </w:p>
        </w:tc>
        <w:tc>
          <w:tcPr>
            <w:tcW w:w="2128" w:type="pct"/>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kern w:val="0"/>
                <w:szCs w:val="21"/>
                <w:highlight w:val="none"/>
                <w14:textFill>
                  <w14:solidFill>
                    <w14:schemeClr w14:val="tx1"/>
                  </w14:solidFill>
                </w14:textFill>
              </w:rPr>
              <w:t>巩固长江上游防护林建设、天然林保护和退耕还林成果。发挥山区资源优势，建立商品林基地，保护野生生物资源，发展生态农业和中药材产业。建设以天然气为主的基础原料和能源化工基地。开发人文景观资源，发展旅游业及相关产业链。用地养地结合，加强水土保持建设。严禁无序开发矿产、水力、生物资源</w:t>
            </w:r>
            <w:r>
              <w:rPr>
                <w:rFonts w:hint="eastAsia"/>
                <w:color w:val="000000" w:themeColor="text1"/>
                <w:kern w:val="0"/>
                <w:szCs w:val="21"/>
                <w:highlight w:val="none"/>
                <w:lang w:eastAsia="zh-CN"/>
                <w14:textFill>
                  <w14:solidFill>
                    <w14:schemeClr w14:val="tx1"/>
                  </w14:solidFill>
                </w14:textFill>
              </w:rPr>
              <w:t>。</w:t>
            </w:r>
          </w:p>
        </w:tc>
      </w:tr>
    </w:tbl>
    <w:p>
      <w:pPr>
        <w:pStyle w:val="4"/>
        <w:spacing w:before="120"/>
        <w:rPr>
          <w:b/>
          <w:color w:val="000000" w:themeColor="text1"/>
          <w:highlight w:val="none"/>
          <w:lang w:eastAsia="zh-CN"/>
          <w14:textFill>
            <w14:solidFill>
              <w14:schemeClr w14:val="tx1"/>
            </w14:solidFill>
          </w14:textFill>
        </w:rPr>
      </w:pPr>
      <w:bookmarkStart w:id="240" w:name="_Toc120173136"/>
      <w:r>
        <w:rPr>
          <w:color w:val="000000" w:themeColor="text1"/>
          <w:highlight w:val="none"/>
          <w:lang w:eastAsia="zh-CN"/>
          <w14:textFill>
            <w14:solidFill>
              <w14:schemeClr w14:val="tx1"/>
            </w14:solidFill>
          </w14:textFill>
        </w:rPr>
        <w:t>生态环境现状调查方法</w:t>
      </w:r>
      <w:bookmarkEnd w:id="240"/>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1、基础资料收集</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收集整理项目涉及区域现有生物资料，包括市志、统计年鉴以及林业、环保、水利、农业、国土资源等部门提供的相关资料，并且参考《中国植物志</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中国高等植物图鉴</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四川植物志》和《四川资源动物志》系列等专著。</w:t>
      </w:r>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2、生物资源调查方法</w:t>
      </w:r>
    </w:p>
    <w:p>
      <w:pPr>
        <w:pStyle w:val="130"/>
        <w:ind w:firstLine="482"/>
        <w:rPr>
          <w:b/>
          <w:bCs/>
          <w:color w:val="000000" w:themeColor="text1"/>
          <w:highlight w:val="none"/>
          <w14:textFill>
            <w14:solidFill>
              <w14:schemeClr w14:val="tx1"/>
            </w14:solidFill>
          </w14:textFill>
        </w:rPr>
      </w:pPr>
      <w:bookmarkStart w:id="241" w:name="_Toc280781526"/>
      <w:r>
        <w:rPr>
          <w:rFonts w:hint="eastAsia"/>
          <w:b/>
          <w:bCs/>
          <w:color w:val="000000" w:themeColor="text1"/>
          <w:highlight w:val="none"/>
          <w14:textFill>
            <w14:solidFill>
              <w14:schemeClr w14:val="tx1"/>
            </w14:solidFill>
          </w14:textFill>
        </w:rPr>
        <w:t>（1）时间安排</w:t>
      </w:r>
    </w:p>
    <w:p>
      <w:pPr>
        <w:pStyle w:val="130"/>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本项目现场调查安排在202</w:t>
      </w:r>
      <w:r>
        <w:rPr>
          <w:rFonts w:hint="eastAsia"/>
          <w:bCs/>
          <w:color w:val="000000" w:themeColor="text1"/>
          <w:highlight w:val="none"/>
          <w:lang w:val="en-US" w:eastAsia="zh-CN"/>
          <w14:textFill>
            <w14:solidFill>
              <w14:schemeClr w14:val="tx1"/>
            </w14:solidFill>
          </w14:textFill>
        </w:rPr>
        <w:t>4</w:t>
      </w:r>
      <w:r>
        <w:rPr>
          <w:bCs/>
          <w:color w:val="000000" w:themeColor="text1"/>
          <w:highlight w:val="none"/>
          <w14:textFill>
            <w14:solidFill>
              <w14:schemeClr w14:val="tx1"/>
            </w14:solidFill>
          </w14:textFill>
        </w:rPr>
        <w:t>年</w:t>
      </w:r>
      <w:r>
        <w:rPr>
          <w:rFonts w:hint="eastAsia"/>
          <w:bCs/>
          <w:color w:val="000000" w:themeColor="text1"/>
          <w:highlight w:val="none"/>
          <w:lang w:val="en-US" w:eastAsia="zh-CN"/>
          <w14:textFill>
            <w14:solidFill>
              <w14:schemeClr w14:val="tx1"/>
            </w14:solidFill>
          </w14:textFill>
        </w:rPr>
        <w:t>7</w:t>
      </w:r>
      <w:r>
        <w:rPr>
          <w:bCs/>
          <w:color w:val="000000" w:themeColor="text1"/>
          <w:highlight w:val="none"/>
          <w14:textFill>
            <w14:solidFill>
              <w14:schemeClr w14:val="tx1"/>
            </w14:solidFill>
          </w14:textFill>
        </w:rPr>
        <w:t>月进行，可满足生态二级评价现状调查要求</w:t>
      </w:r>
      <w:r>
        <w:rPr>
          <w:color w:val="000000" w:themeColor="text1"/>
          <w:highlight w:val="none"/>
          <w14:textFill>
            <w14:solidFill>
              <w14:schemeClr w14:val="tx1"/>
            </w14:solidFill>
          </w14:textFill>
        </w:rPr>
        <w:t>。</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2</w:t>
      </w:r>
      <w:r>
        <w:rPr>
          <w:b/>
          <w:bCs/>
          <w:color w:val="000000" w:themeColor="text1"/>
          <w:highlight w:val="none"/>
          <w14:textFill>
            <w14:solidFill>
              <w14:schemeClr w14:val="tx1"/>
            </w14:solidFill>
          </w14:textFill>
        </w:rPr>
        <w:t>）野外生态信息数据的采集与处理</w:t>
      </w:r>
    </w:p>
    <w:p>
      <w:pPr>
        <w:ind w:firstLine="480"/>
        <w:rPr>
          <w:rFonts w:cs="Times New Roman"/>
          <w:bCs/>
          <w:color w:val="000000" w:themeColor="text1"/>
          <w:szCs w:val="20"/>
          <w:highlight w:val="none"/>
          <w14:textFill>
            <w14:solidFill>
              <w14:schemeClr w14:val="tx1"/>
            </w14:solidFill>
          </w14:textFill>
        </w:rPr>
      </w:pPr>
      <w:r>
        <w:rPr>
          <w:rFonts w:cs="Times New Roman"/>
          <w:bCs/>
          <w:color w:val="000000" w:themeColor="text1"/>
          <w:szCs w:val="20"/>
          <w:highlight w:val="none"/>
          <w14:textFill>
            <w14:solidFill>
              <w14:schemeClr w14:val="tx1"/>
            </w14:solidFill>
          </w14:textFill>
        </w:rPr>
        <w:t>野外生态信息数据的采集主要借助HOLUX M-241蓝牙GPS记录器获取及尼康单反数码相机。HOLUX M-241蓝牙GPS</w:t>
      </w:r>
      <w:r>
        <w:rPr>
          <w:rFonts w:hint="eastAsia" w:cs="Times New Roman"/>
          <w:bCs/>
          <w:color w:val="000000" w:themeColor="text1"/>
          <w:szCs w:val="20"/>
          <w:highlight w:val="none"/>
          <w:lang w:eastAsia="zh-CN"/>
          <w14:textFill>
            <w14:solidFill>
              <w14:schemeClr w14:val="tx1"/>
            </w14:solidFill>
          </w14:textFill>
        </w:rPr>
        <w:t>记录器</w:t>
      </w:r>
      <w:r>
        <w:rPr>
          <w:rFonts w:cs="Times New Roman"/>
          <w:bCs/>
          <w:color w:val="000000" w:themeColor="text1"/>
          <w:szCs w:val="20"/>
          <w:highlight w:val="none"/>
          <w14:textFill>
            <w14:solidFill>
              <w14:schemeClr w14:val="tx1"/>
            </w14:solidFill>
          </w14:textFill>
        </w:rPr>
        <w:t>可以记录高达13万个位置，每个位置都含有经度、纬度、时间和高度资料；野外生态考察中开机让记</w:t>
      </w:r>
      <w:r>
        <w:rPr>
          <w:rFonts w:cs="Times New Roman"/>
          <w:bCs/>
          <w:color w:val="000000" w:themeColor="text1"/>
          <w:szCs w:val="24"/>
          <w:highlight w:val="none"/>
          <w14:textFill>
            <w14:solidFill>
              <w14:schemeClr w14:val="tx1"/>
            </w14:solidFill>
          </w14:textFill>
        </w:rPr>
        <w:t>录器始终处</w:t>
      </w:r>
      <w:r>
        <w:rPr>
          <w:rFonts w:cs="Times New Roman"/>
          <w:bCs/>
          <w:color w:val="000000" w:themeColor="text1"/>
          <w:szCs w:val="20"/>
          <w:highlight w:val="none"/>
          <w14:textFill>
            <w14:solidFill>
              <w14:schemeClr w14:val="tx1"/>
            </w14:solidFill>
          </w14:textFill>
        </w:rPr>
        <w:t>于运行状态，每5秒自动存储一个GPS点位，以保证野外考察中生态信息采集的完整性，同时于不同生态系统及重要生态考察点上采集照片。</w:t>
      </w:r>
    </w:p>
    <w:p>
      <w:pPr>
        <w:ind w:firstLine="480"/>
        <w:rPr>
          <w:rFonts w:cs="Times New Roman"/>
          <w:bCs/>
          <w:color w:val="000000" w:themeColor="text1"/>
          <w:szCs w:val="20"/>
          <w:highlight w:val="none"/>
          <w14:textFill>
            <w14:solidFill>
              <w14:schemeClr w14:val="tx1"/>
            </w14:solidFill>
          </w14:textFill>
        </w:rPr>
      </w:pPr>
      <w:r>
        <w:rPr>
          <w:rFonts w:cs="Times New Roman"/>
          <w:bCs/>
          <w:color w:val="000000" w:themeColor="text1"/>
          <w:szCs w:val="20"/>
          <w:highlight w:val="none"/>
          <w14:textFill>
            <w14:solidFill>
              <w14:schemeClr w14:val="tx1"/>
            </w14:solidFill>
          </w14:textFill>
        </w:rPr>
        <w:t>将野外采集的GPS轨迹及照片导入电脑，运用GPicSync软件将航迹文件中各个记录点的时间信息与照片中exif信息中的时间信息进行匹配，当某个记录点的时间与某张照片中的时间匹配时（匹配的精度可以任意设置，软件默认300秒），即认为航迹文件中这个点的坐标即为照片拍摄地点的坐标，并将这个坐标写入照片的exif信息中并形成kml格式文件。最后可在ArcGIS及Google earth中调取相应生态考察点照片并结合卫片判读考察点生态现状，同时也为土地利用、水土流失、植被类型等生态图件的编绘提供依据并校正相应图件。</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3</w:t>
      </w:r>
      <w:r>
        <w:rPr>
          <w:b/>
          <w:bCs/>
          <w:color w:val="000000" w:themeColor="text1"/>
          <w:highlight w:val="none"/>
          <w14:textFill>
            <w14:solidFill>
              <w14:schemeClr w14:val="tx1"/>
            </w14:solidFill>
          </w14:textFill>
        </w:rPr>
        <w:t>）GPS地面类型及植被调查取样</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GPS样点是卫星遥感影像判读各种景观类型的基础，根据室内判读的植被与土地利用类型图，现场核实判读的正误率，并对每个GPS取样点</w:t>
      </w:r>
      <w:r>
        <w:rPr>
          <w:rFonts w:hint="eastAsia"/>
          <w:color w:val="000000" w:themeColor="text1"/>
          <w:highlight w:val="none"/>
          <w:lang w:eastAsia="zh-CN"/>
          <w14:textFill>
            <w14:solidFill>
              <w14:schemeClr w14:val="tx1"/>
            </w14:solidFill>
          </w14:textFill>
        </w:rPr>
        <w:t>做如下</w:t>
      </w:r>
      <w:r>
        <w:rPr>
          <w:color w:val="000000" w:themeColor="text1"/>
          <w:highlight w:val="none"/>
          <w14:textFill>
            <w14:solidFill>
              <w14:schemeClr w14:val="tx1"/>
            </w14:solidFill>
          </w14:textFill>
        </w:rPr>
        <w:t>记录：</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1）GPS读出测点的海拔值和经纬度；</w:t>
      </w:r>
    </w:p>
    <w:p>
      <w:pPr>
        <w:pStyle w:val="13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2）记录样点植被类型，以群系或群丛为单位，同时记录样点坡向、坡度；</w:t>
      </w:r>
    </w:p>
    <w:p>
      <w:pPr>
        <w:pStyle w:val="13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3）记录样点优势植物以及观察动物活动的情况；</w:t>
      </w:r>
    </w:p>
    <w:p>
      <w:pPr>
        <w:pStyle w:val="130"/>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4）拍摄典型植被外貌与结构特征。</w:t>
      </w:r>
    </w:p>
    <w:p>
      <w:pPr>
        <w:keepNext w:val="0"/>
        <w:keepLines w:val="0"/>
        <w:pageBreakBefore w:val="0"/>
        <w:widowControl w:val="0"/>
        <w:tabs>
          <w:tab w:val="left" w:pos="364"/>
        </w:tabs>
        <w:kinsoku/>
        <w:wordWrap/>
        <w:overflowPunct/>
        <w:topLinePunct w:val="0"/>
        <w:autoSpaceDE/>
        <w:autoSpaceDN/>
        <w:bidi w:val="0"/>
        <w:adjustRightInd w:val="0"/>
        <w:snapToGrid w:val="0"/>
        <w:spacing w:line="360" w:lineRule="auto"/>
        <w:ind w:firstLine="482"/>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）陆生植被调查</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样方布点原则：</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植被调查取样的目的是要通过样地的研究准确地推测评价范围植被的总体情况，所选取的样地要具有代表性，能通过尽可能少的抽样获得较为准确的评价范围内植被总体的特征。按照如下原则：</w:t>
      </w:r>
      <w:r>
        <w:rPr>
          <w:bCs/>
          <w:color w:val="000000" w:themeColor="text1"/>
          <w:szCs w:val="24"/>
          <w:highlight w:val="none"/>
          <w14:textFill>
            <w14:solidFill>
              <w14:schemeClr w14:val="tx1"/>
            </w14:solidFill>
          </w14:textFill>
        </w:rPr>
        <w:fldChar w:fldCharType="begin"/>
      </w:r>
      <w:r>
        <w:rPr>
          <w:bCs/>
          <w:color w:val="000000" w:themeColor="text1"/>
          <w:szCs w:val="24"/>
          <w:highlight w:val="none"/>
          <w14:textFill>
            <w14:solidFill>
              <w14:schemeClr w14:val="tx1"/>
            </w14:solidFill>
          </w14:textFill>
        </w:rPr>
        <w:instrText xml:space="preserve"> = 1 \* GB3 </w:instrText>
      </w:r>
      <w:r>
        <w:rPr>
          <w:bCs/>
          <w:color w:val="000000" w:themeColor="text1"/>
          <w:szCs w:val="24"/>
          <w:highlight w:val="none"/>
          <w14:textFill>
            <w14:solidFill>
              <w14:schemeClr w14:val="tx1"/>
            </w14:solidFill>
          </w14:textFill>
        </w:rPr>
        <w:fldChar w:fldCharType="separate"/>
      </w:r>
      <w:r>
        <w:rPr>
          <w:rFonts w:hint="eastAsia"/>
          <w:bCs/>
          <w:color w:val="000000" w:themeColor="text1"/>
          <w:szCs w:val="24"/>
          <w:highlight w:val="none"/>
          <w14:textFill>
            <w14:solidFill>
              <w14:schemeClr w14:val="tx1"/>
            </w14:solidFill>
          </w14:textFill>
        </w:rPr>
        <w:t>①</w:t>
      </w:r>
      <w:r>
        <w:rPr>
          <w:bCs/>
          <w:color w:val="000000" w:themeColor="text1"/>
          <w:szCs w:val="24"/>
          <w:highlight w:val="none"/>
          <w14:textFill>
            <w14:solidFill>
              <w14:schemeClr w14:val="tx1"/>
            </w14:solidFill>
          </w14:textFill>
        </w:rPr>
        <w:fldChar w:fldCharType="end"/>
      </w:r>
      <w:r>
        <w:rPr>
          <w:bCs/>
          <w:color w:val="000000" w:themeColor="text1"/>
          <w:szCs w:val="24"/>
          <w:highlight w:val="none"/>
          <w14:textFill>
            <w14:solidFill>
              <w14:schemeClr w14:val="tx1"/>
            </w14:solidFill>
          </w14:textFill>
        </w:rPr>
        <w:t>尽量在对生态影响较大区域内设置样地，并考虑评价范围内布点的均匀性、不同植被类型的全面性等特点；②样方设置避免对同一种植被类型进行重复设点，特别是对植物变化较大的地段进行增加设点。</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szCs w:val="24"/>
          <w:highlight w:val="none"/>
          <w14:textFill>
            <w14:solidFill>
              <w14:schemeClr w14:val="tx1"/>
            </w14:solidFill>
          </w14:textFill>
        </w:rPr>
      </w:pPr>
      <w:r>
        <w:rPr>
          <w:bCs/>
          <w:color w:val="000000" w:themeColor="text1"/>
          <w:szCs w:val="24"/>
          <w:highlight w:val="none"/>
          <w14:textFill>
            <w14:solidFill>
              <w14:schemeClr w14:val="tx1"/>
            </w14:solidFill>
          </w14:textFill>
        </w:rPr>
        <w:t>样方调查方法：</w:t>
      </w:r>
    </w:p>
    <w:p>
      <w:pPr>
        <w:pStyle w:val="130"/>
        <w:spacing w:line="480" w:lineRule="exact"/>
        <w:ind w:firstLine="480" w:firstLineChars="200"/>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根据评价范围内不同植被类型设置调查样地，并对典型样地进行拍照，对评价范围植被类型、农业生态环境、野生动植物资源进行较为详细的勘察。</w:t>
      </w:r>
    </w:p>
    <w:p>
      <w:pPr>
        <w:pStyle w:val="130"/>
        <w:spacing w:line="480" w:lineRule="exact"/>
        <w:ind w:firstLine="480" w:firstLineChars="200"/>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zh-CN"/>
          <w14:textFill>
            <w14:solidFill>
              <w14:schemeClr w14:val="tx1"/>
            </w14:solidFill>
          </w14:textFill>
        </w:rPr>
        <w:t>乔木林样方面积为</w:t>
      </w:r>
      <w:r>
        <w:rPr>
          <w:rFonts w:hint="default" w:ascii="Times New Roman" w:hAnsi="Times New Roman" w:eastAsia="宋体" w:cs="Times New Roman"/>
          <w:b w:val="0"/>
          <w:bCs/>
          <w:color w:val="000000" w:themeColor="text1"/>
          <w:sz w:val="24"/>
          <w:szCs w:val="24"/>
          <w14:textFill>
            <w14:solidFill>
              <w14:schemeClr w14:val="tx1"/>
            </w14:solidFill>
          </w14:textFill>
        </w:rPr>
        <w:t>20</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20</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m，灌</w:t>
      </w:r>
      <w:r>
        <w:rPr>
          <w:rFonts w:hint="default" w:ascii="Times New Roman" w:hAnsi="Times New Roman" w:eastAsia="宋体" w:cs="Times New Roman"/>
          <w:b w:val="0"/>
          <w:bCs/>
          <w:color w:val="000000" w:themeColor="text1"/>
          <w:sz w:val="24"/>
          <w:szCs w:val="24"/>
          <w14:textFill>
            <w14:solidFill>
              <w14:schemeClr w14:val="tx1"/>
            </w14:solidFill>
          </w14:textFill>
        </w:rPr>
        <w:t>草</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丛样方为</w:t>
      </w:r>
      <w:r>
        <w:rPr>
          <w:rFonts w:hint="default" w:ascii="Times New Roman" w:hAnsi="Times New Roman" w:eastAsia="宋体" w:cs="Times New Roman"/>
          <w:b w:val="0"/>
          <w:bCs/>
          <w:color w:val="000000" w:themeColor="text1"/>
          <w:sz w:val="24"/>
          <w:szCs w:val="24"/>
          <w14:textFill>
            <w14:solidFill>
              <w14:schemeClr w14:val="tx1"/>
            </w14:solidFill>
          </w14:textFill>
        </w:rPr>
        <w:t>5</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14:textFill>
            <w14:solidFill>
              <w14:schemeClr w14:val="tx1"/>
            </w14:solidFill>
          </w14:textFill>
        </w:rPr>
        <w:t>5</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m，</w:t>
      </w:r>
      <w:r>
        <w:rPr>
          <w:rFonts w:hint="default" w:ascii="Times New Roman" w:hAnsi="Times New Roman" w:eastAsia="宋体" w:cs="Times New Roman"/>
          <w:b w:val="0"/>
          <w:bCs/>
          <w:color w:val="000000" w:themeColor="text1"/>
          <w:sz w:val="24"/>
          <w:szCs w:val="24"/>
          <w14:textFill>
            <w14:solidFill>
              <w14:schemeClr w14:val="tx1"/>
            </w14:solidFill>
          </w14:textFill>
        </w:rPr>
        <w:t>草丛</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样方</w:t>
      </w:r>
      <w:r>
        <w:rPr>
          <w:rFonts w:hint="default" w:ascii="Times New Roman" w:hAnsi="Times New Roman" w:eastAsia="宋体" w:cs="Times New Roman"/>
          <w:b w:val="0"/>
          <w:bCs/>
          <w:color w:val="000000" w:themeColor="text1"/>
          <w:sz w:val="24"/>
          <w:szCs w:val="24"/>
          <w14:textFill>
            <w14:solidFill>
              <w14:schemeClr w14:val="tx1"/>
            </w14:solidFill>
          </w14:textFill>
        </w:rPr>
        <w:t>设置为1×1m，</w:t>
      </w:r>
      <w:r>
        <w:rPr>
          <w:rFonts w:hint="default" w:ascii="Times New Roman" w:hAnsi="Times New Roman" w:eastAsia="宋体" w:cs="Times New Roman"/>
          <w:b w:val="0"/>
          <w:bCs/>
          <w:color w:val="000000" w:themeColor="text1"/>
          <w:sz w:val="24"/>
          <w:szCs w:val="24"/>
          <w:lang w:val="zh-CN"/>
          <w14:textFill>
            <w14:solidFill>
              <w14:schemeClr w14:val="tx1"/>
            </w14:solidFill>
          </w14:textFill>
        </w:rPr>
        <w:t>根据实际情况可以略有改变。乔木林</w:t>
      </w:r>
      <w:r>
        <w:rPr>
          <w:rFonts w:hint="default" w:ascii="Times New Roman" w:hAnsi="Times New Roman" w:eastAsia="宋体" w:cs="Times New Roman"/>
          <w:b w:val="0"/>
          <w:bCs/>
          <w:color w:val="000000" w:themeColor="text1"/>
          <w:sz w:val="24"/>
          <w:szCs w:val="24"/>
          <w14:textFill>
            <w14:solidFill>
              <w14:schemeClr w14:val="tx1"/>
            </w14:solidFill>
          </w14:textFill>
        </w:rPr>
        <w:t>对乔木层进行全面调查，再设置小样方调查灌木层和草本层；灌草丛和草丛对样地内植物进行全面调查。</w:t>
      </w:r>
    </w:p>
    <w:p>
      <w:pPr>
        <w:pStyle w:val="130"/>
        <w:spacing w:line="480" w:lineRule="exact"/>
        <w:ind w:firstLine="480" w:firstLineChars="200"/>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样方调查</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合理性分析</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pPr>
        <w:pStyle w:val="130"/>
        <w:spacing w:line="480" w:lineRule="exact"/>
        <w:ind w:firstLine="480" w:firstLineChars="200"/>
        <w:rPr>
          <w:color w:val="000000" w:themeColor="text1"/>
          <w:szCs w:val="24"/>
          <w:highlight w:val="none"/>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根据现场调查，评价区植被类型主要包括马尾松为主的针叶林植被，麻栎、青冈为主的阔叶林植被，</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野桐、盐肤木</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为主的灌丛植被以及</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马桑</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黄荆</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火棘</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荚蒾</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为主的灌丛植被，</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芒、白茅</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为主的草丛植被，这五种植被类型在评价区均有着广泛分布，本次样方调查考虑到评价范围内布点的均匀性、不同植被类型的全面性等特点，共设置样地</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15</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个</w:t>
      </w:r>
      <w:r>
        <w:rPr>
          <w:rFonts w:hint="default" w:ascii="Times New Roman" w:hAnsi="Times New Roman" w:eastAsia="宋体" w:cs="Times New Roman"/>
          <w:b w:val="0"/>
          <w:bCs/>
          <w:color w:val="000000" w:themeColor="text1"/>
          <w:sz w:val="24"/>
          <w:szCs w:val="24"/>
          <w14:textFill>
            <w14:solidFill>
              <w14:schemeClr w14:val="tx1"/>
            </w14:solidFill>
          </w14:textFill>
        </w:rPr>
        <w:t>，涵盖乔灌草多种地类，</w:t>
      </w: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样方布点具有一定的</w:t>
      </w:r>
      <w:r>
        <w:rPr>
          <w:rFonts w:hint="eastAsia" w:ascii="Times New Roman" w:hAnsi="Times New Roman" w:eastAsia="宋体" w:cs="Times New Roman"/>
          <w:b w:val="0"/>
          <w:bCs/>
          <w:color w:val="000000" w:themeColor="text1"/>
          <w:sz w:val="24"/>
          <w:szCs w:val="24"/>
          <w14:textFill>
            <w14:solidFill>
              <w14:schemeClr w14:val="tx1"/>
            </w14:solidFill>
          </w14:textFill>
        </w:rPr>
        <w:t>代表性和合理性</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cs="Times New Roman"/>
          <w:bCs/>
          <w:color w:val="000000" w:themeColor="text1"/>
          <w:szCs w:val="24"/>
          <w14:textFill>
            <w14:solidFill>
              <w14:schemeClr w14:val="tx1"/>
            </w14:solidFill>
          </w14:textFill>
        </w:rPr>
        <w:t>样地布点情况</w:t>
      </w:r>
      <w:r>
        <w:rPr>
          <w:rFonts w:cs="Times New Roman"/>
          <w:bCs/>
          <w:color w:val="000000" w:themeColor="text1"/>
          <w:szCs w:val="24"/>
          <w:lang w:val="zh-CN"/>
          <w14:textFill>
            <w14:solidFill>
              <w14:schemeClr w14:val="tx1"/>
            </w14:solidFill>
          </w14:textFill>
        </w:rPr>
        <w:t>详见</w:t>
      </w:r>
      <w:r>
        <w:rPr>
          <w:bCs/>
          <w:color w:val="000000" w:themeColor="text1"/>
          <w:szCs w:val="24"/>
          <w:lang w:val="zh-CN"/>
          <w14:textFill>
            <w14:solidFill>
              <w14:schemeClr w14:val="tx1"/>
            </w14:solidFill>
          </w14:textFill>
        </w:rPr>
        <w:t>表</w:t>
      </w:r>
      <w:r>
        <w:rPr>
          <w:bCs/>
          <w:color w:val="000000" w:themeColor="text1"/>
          <w:szCs w:val="24"/>
          <w:highlight w:val="none"/>
          <w14:textFill>
            <w14:solidFill>
              <w14:schemeClr w14:val="tx1"/>
            </w14:solidFill>
          </w14:textFill>
        </w:rPr>
        <w:t>4.3-2</w:t>
      </w:r>
      <w:r>
        <w:rPr>
          <w:color w:val="000000" w:themeColor="text1"/>
          <w:szCs w:val="24"/>
          <w:highlight w:val="none"/>
          <w14:textFill>
            <w14:solidFill>
              <w14:schemeClr w14:val="tx1"/>
            </w14:solidFill>
          </w14:textFill>
        </w:rPr>
        <w:t>。</w:t>
      </w:r>
    </w:p>
    <w:tbl>
      <w:tblPr>
        <w:tblStyle w:val="90"/>
        <w:tblpPr w:leftFromText="180" w:rightFromText="180" w:vertAnchor="text" w:horzAnchor="page" w:tblpX="1850" w:tblpY="274"/>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6"/>
        <w:gridCol w:w="1081"/>
        <w:gridCol w:w="1758"/>
        <w:gridCol w:w="1622"/>
        <w:gridCol w:w="1081"/>
        <w:gridCol w:w="1350"/>
        <w:gridCol w:w="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blHeader/>
        </w:trPr>
        <w:tc>
          <w:tcPr>
            <w:tcW w:w="484" w:type="pct"/>
            <w:tcBorders>
              <w:top w:val="single" w:color="000000" w:sz="2" w:space="0"/>
              <w:bottom w:val="single" w:color="000000" w:sz="2" w:space="0"/>
            </w:tcBorders>
            <w:textDirection w:val="tbRlV"/>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序号</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样方面积</w:t>
            </w:r>
          </w:p>
        </w:tc>
        <w:tc>
          <w:tcPr>
            <w:tcW w:w="1056"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坐标</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群系名称</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关键种、建群种</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优势种</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
                <w:color w:val="000000" w:themeColor="text1"/>
                <w:kern w:val="0"/>
                <w:sz w:val="21"/>
                <w:szCs w:val="21"/>
                <w:lang w:eastAsia="en-US"/>
                <w14:textFill>
                  <w14:solidFill>
                    <w14:schemeClr w14:val="tx1"/>
                  </w14:solidFill>
                </w14:textFill>
              </w:rPr>
            </w:pPr>
            <w:r>
              <w:rPr>
                <w:rFonts w:cs="Times New Roman"/>
                <w:b/>
                <w:color w:val="000000" w:themeColor="text1"/>
                <w:kern w:val="0"/>
                <w:sz w:val="21"/>
                <w:szCs w:val="21"/>
                <w:lang w:eastAsia="en-US"/>
                <w14:textFill>
                  <w14:solidFill>
                    <w14:schemeClr w14:val="tx1"/>
                  </w14:solidFill>
                </w14:textFill>
              </w:rPr>
              <w:t>海拔m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样地2</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样地3</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马尾松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样地4</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样地5</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样地6</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20m×20m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麻栎、青冈</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样地7</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r>
              <w:rPr>
                <w:rFonts w:hint="eastAsia" w:cs="Times New Roman"/>
                <w:bCs/>
                <w:color w:val="000000" w:themeColor="text1"/>
                <w:kern w:val="0"/>
                <w:sz w:val="21"/>
                <w:szCs w:val="21"/>
                <w:lang w:eastAsia="en-US"/>
                <w14:textFill>
                  <w14:solidFill>
                    <w14:schemeClr w14:val="tx1"/>
                  </w14:solidFill>
                </w14:textFill>
              </w:rPr>
              <w:t>灌丛</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样地8</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r>
              <w:rPr>
                <w:rFonts w:hint="eastAsia" w:cs="Times New Roman"/>
                <w:bCs/>
                <w:color w:val="000000" w:themeColor="text1"/>
                <w:kern w:val="0"/>
                <w:sz w:val="21"/>
                <w:szCs w:val="21"/>
                <w:lang w:eastAsia="en-US"/>
                <w14:textFill>
                  <w14:solidFill>
                    <w14:schemeClr w14:val="tx1"/>
                  </w14:solidFill>
                </w14:textFill>
              </w:rPr>
              <w:t>灌丛</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样地9</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r>
              <w:rPr>
                <w:rFonts w:hint="eastAsia" w:cs="Times New Roman"/>
                <w:bCs/>
                <w:color w:val="000000" w:themeColor="text1"/>
                <w:kern w:val="0"/>
                <w:sz w:val="21"/>
                <w:szCs w:val="21"/>
                <w:lang w:eastAsia="en-US"/>
                <w14:textFill>
                  <w14:solidFill>
                    <w14:schemeClr w14:val="tx1"/>
                  </w14:solidFill>
                </w14:textFill>
              </w:rPr>
              <w:t>灌丛</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野桐、盐肤木</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样地10</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zh-CN"/>
                <w14:textFill>
                  <w14:solidFill>
                    <w14:schemeClr w14:val="tx1"/>
                  </w14:solidFill>
                </w14:textFill>
              </w:rPr>
            </w:pPr>
            <w:r>
              <w:rPr>
                <w:rFonts w:cs="Times New Roman"/>
                <w:bCs/>
                <w:color w:val="000000" w:themeColor="text1"/>
                <w:kern w:val="0"/>
                <w:sz w:val="21"/>
                <w:szCs w:val="21"/>
                <w:lang w:eastAsia="zh-CN"/>
                <w14:textFill>
                  <w14:solidFill>
                    <w14:schemeClr w14:val="tx1"/>
                  </w14:solidFill>
                </w14:textFill>
              </w:rPr>
              <w:t>马桑+黄荆+火棘+荚蒾灌丛群系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马桑</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黄荆、火棘、荚蒾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样地11</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马桑+黄荆+火棘+荚蒾灌丛群系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马桑</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黄荆、火棘、荚蒾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样地12</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5m×5m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马桑+黄荆+火棘+荚蒾灌丛群系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马桑</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黄荆、火棘、荚蒾</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样地13</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1</w:t>
            </w:r>
            <w:r>
              <w:rPr>
                <w:rFonts w:cs="Times New Roman"/>
                <w:bCs/>
                <w:color w:val="000000" w:themeColor="text1"/>
                <w:kern w:val="0"/>
                <w:sz w:val="21"/>
                <w:szCs w:val="21"/>
                <w:lang w:val="zh-CN" w:eastAsia="en-US"/>
                <w14:textFill>
                  <w14:solidFill>
                    <w14:schemeClr w14:val="tx1"/>
                  </w14:solidFill>
                </w14:textFill>
              </w:rPr>
              <w:t>m</w:t>
            </w:r>
            <w:r>
              <w:rPr>
                <w:rFonts w:cs="Times New Roman"/>
                <w:bCs/>
                <w:color w:val="000000" w:themeColor="text1"/>
                <w:kern w:val="0"/>
                <w:sz w:val="21"/>
                <w:szCs w:val="21"/>
                <w:lang w:eastAsia="en-US"/>
                <w14:textFill>
                  <w14:solidFill>
                    <w14:schemeClr w14:val="tx1"/>
                  </w14:solidFill>
                </w14:textFill>
              </w:rPr>
              <w:t>×1m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芒、白茅草丛群系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芒、白茅、五节芒</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样地14</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1</w:t>
            </w:r>
            <w:r>
              <w:rPr>
                <w:rFonts w:cs="Times New Roman"/>
                <w:bCs/>
                <w:color w:val="000000" w:themeColor="text1"/>
                <w:kern w:val="0"/>
                <w:sz w:val="21"/>
                <w:szCs w:val="21"/>
                <w:lang w:val="zh-CN" w:eastAsia="en-US"/>
                <w14:textFill>
                  <w14:solidFill>
                    <w14:schemeClr w14:val="tx1"/>
                  </w14:solidFill>
                </w14:textFill>
              </w:rPr>
              <w:t>m</w:t>
            </w:r>
            <w:r>
              <w:rPr>
                <w:rFonts w:cs="Times New Roman"/>
                <w:bCs/>
                <w:color w:val="000000" w:themeColor="text1"/>
                <w:kern w:val="0"/>
                <w:sz w:val="21"/>
                <w:szCs w:val="21"/>
                <w:lang w:eastAsia="en-US"/>
                <w14:textFill>
                  <w14:solidFill>
                    <w14:schemeClr w14:val="tx1"/>
                  </w14:solidFill>
                </w14:textFill>
              </w:rPr>
              <w:t>×1m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芒、白茅草丛群系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芒、白茅、五节芒</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364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8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样地15</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1</w:t>
            </w:r>
            <w:r>
              <w:rPr>
                <w:rFonts w:cs="Times New Roman"/>
                <w:bCs/>
                <w:color w:val="000000" w:themeColor="text1"/>
                <w:kern w:val="0"/>
                <w:sz w:val="21"/>
                <w:szCs w:val="21"/>
                <w:lang w:val="zh-CN" w:eastAsia="en-US"/>
                <w14:textFill>
                  <w14:solidFill>
                    <w14:schemeClr w14:val="tx1"/>
                  </w14:solidFill>
                </w14:textFill>
              </w:rPr>
              <w:t>m</w:t>
            </w:r>
            <w:r>
              <w:rPr>
                <w:rFonts w:cs="Times New Roman"/>
                <w:bCs/>
                <w:color w:val="000000" w:themeColor="text1"/>
                <w:kern w:val="0"/>
                <w:sz w:val="21"/>
                <w:szCs w:val="21"/>
                <w:lang w:eastAsia="en-US"/>
                <w14:textFill>
                  <w14:solidFill>
                    <w14:schemeClr w14:val="tx1"/>
                  </w14:solidFill>
                </w14:textFill>
              </w:rPr>
              <w:t>×1m</w:t>
            </w:r>
          </w:p>
        </w:tc>
        <w:tc>
          <w:tcPr>
            <w:tcW w:w="1056" w:type="pct"/>
            <w:tcBorders>
              <w:top w:val="single" w:color="000000" w:sz="2" w:space="0"/>
              <w:bottom w:val="single" w:color="000000" w:sz="2" w:space="0"/>
            </w:tcBorders>
            <w:vAlign w:val="center"/>
          </w:tcPr>
          <w:p>
            <w:pPr>
              <w:snapToGrid/>
              <w:spacing w:line="240" w:lineRule="auto"/>
              <w:ind w:firstLine="420" w:firstLineChars="200"/>
              <w:jc w:val="center"/>
              <w:textAlignment w:val="baseline"/>
              <w:rPr>
                <w:rFonts w:cs="Times New Roman"/>
                <w:bCs/>
                <w:color w:val="000000" w:themeColor="text1"/>
                <w:kern w:val="0"/>
                <w:sz w:val="21"/>
                <w:szCs w:val="21"/>
                <w:lang w:eastAsia="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74"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芒、白茅草丛群系</w:t>
            </w:r>
          </w:p>
        </w:tc>
        <w:tc>
          <w:tcPr>
            <w:tcW w:w="649"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w:t>
            </w:r>
          </w:p>
        </w:tc>
        <w:tc>
          <w:tcPr>
            <w:tcW w:w="811"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芒、白茅、五节芒</w:t>
            </w:r>
          </w:p>
        </w:tc>
        <w:tc>
          <w:tcPr>
            <w:tcW w:w="372" w:type="pct"/>
            <w:tcBorders>
              <w:top w:val="single" w:color="000000" w:sz="2" w:space="0"/>
              <w:bottom w:val="single" w:color="000000" w:sz="2" w:space="0"/>
            </w:tcBorders>
            <w:vAlign w:val="center"/>
          </w:tcPr>
          <w:p>
            <w:pPr>
              <w:snapToGrid/>
              <w:spacing w:line="240" w:lineRule="auto"/>
              <w:ind w:firstLine="0" w:firstLineChars="0"/>
              <w:jc w:val="center"/>
              <w:textAlignment w:val="baseline"/>
              <w:rPr>
                <w:rFonts w:cs="Times New Roman"/>
                <w:bCs/>
                <w:color w:val="000000" w:themeColor="text1"/>
                <w:kern w:val="0"/>
                <w:sz w:val="21"/>
                <w:szCs w:val="21"/>
                <w:lang w:eastAsia="en-US"/>
                <w14:textFill>
                  <w14:solidFill>
                    <w14:schemeClr w14:val="tx1"/>
                  </w14:solidFill>
                </w14:textFill>
              </w:rPr>
            </w:pPr>
            <w:r>
              <w:rPr>
                <w:rFonts w:cs="Times New Roman"/>
                <w:bCs/>
                <w:color w:val="000000" w:themeColor="text1"/>
                <w:kern w:val="0"/>
                <w:sz w:val="21"/>
                <w:szCs w:val="21"/>
                <w:lang w:eastAsia="en-US"/>
                <w14:textFill>
                  <w14:solidFill>
                    <w14:schemeClr w14:val="tx1"/>
                  </w14:solidFill>
                </w14:textFill>
              </w:rPr>
              <w:t>462</w:t>
            </w:r>
          </w:p>
        </w:tc>
      </w:tr>
    </w:tbl>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项目评价范围内植被群系样方调查点分布情况</w:t>
      </w:r>
    </w:p>
    <w:bookmarkEnd w:id="238"/>
    <w:bookmarkEnd w:id="241"/>
    <w:p>
      <w:pPr>
        <w:spacing w:before="120" w:beforeLines="50"/>
        <w:ind w:firstLine="482"/>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（5）景观生态和生态系统类型调查</w:t>
      </w:r>
    </w:p>
    <w:p>
      <w:pPr>
        <w:ind w:firstLine="480"/>
        <w:rPr>
          <w:color w:val="000000" w:themeColor="text1"/>
          <w14:textFill>
            <w14:solidFill>
              <w14:schemeClr w14:val="tx1"/>
            </w14:solidFill>
          </w14:textFill>
        </w:rPr>
      </w:pPr>
      <w:r>
        <w:rPr>
          <w:bCs/>
          <w:color w:val="000000" w:themeColor="text1"/>
          <w:szCs w:val="24"/>
          <w14:textFill>
            <w14:solidFill>
              <w14:schemeClr w14:val="tx1"/>
            </w14:solidFill>
          </w14:textFill>
        </w:rPr>
        <w:t>以能够获得的近期卫星影像图为工作用图，采用路线调查法和主要景观地段重点观测相结合，区划记录评价范围不同自然景观类型、范围、特征及生态系统类型，以此分析生态系统服务功能</w:t>
      </w:r>
      <w:r>
        <w:rPr>
          <w:color w:val="000000" w:themeColor="text1"/>
          <w14:textFill>
            <w14:solidFill>
              <w14:schemeClr w14:val="tx1"/>
            </w14:solidFill>
          </w14:textFill>
        </w:rPr>
        <w:t>。</w:t>
      </w:r>
    </w:p>
    <w:p>
      <w:pPr>
        <w:ind w:firstLine="482"/>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（6）陆生野生动物调查</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野生动物调查采用野外实地调查、访问、查阅相关文献资料等三种方式进行，记录到种。</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资料检索法：主要收集、查阅项目区域相关科学研究和野外调查资料</w:t>
      </w:r>
      <w:r>
        <w:rPr>
          <w:rFonts w:hint="eastAsia"/>
          <w:bCs/>
          <w:color w:val="000000" w:themeColor="text1"/>
          <w:sz w:val="24"/>
          <w:szCs w:val="24"/>
          <w14:textFill>
            <w14:solidFill>
              <w14:schemeClr w14:val="tx1"/>
            </w14:solidFill>
          </w14:textFill>
        </w:rPr>
        <w:t>以及其他</w:t>
      </w:r>
      <w:r>
        <w:rPr>
          <w:bCs/>
          <w:color w:val="000000" w:themeColor="text1"/>
          <w:sz w:val="24"/>
          <w:szCs w:val="24"/>
          <w14:textFill>
            <w14:solidFill>
              <w14:schemeClr w14:val="tx1"/>
            </w14:solidFill>
          </w14:textFill>
        </w:rPr>
        <w:t>专家、学者发表的涉及项目区域的学术论文。应用这些文献资料时，尤其是在动物物种多样性方面，属当时调查获得的资料，直接引用或应用；属查阅资料获得的信息，如</w:t>
      </w:r>
      <w:r>
        <w:rPr>
          <w:rFonts w:hint="eastAsia"/>
          <w:bCs/>
          <w:color w:val="000000" w:themeColor="text1"/>
          <w:sz w:val="24"/>
          <w:szCs w:val="24"/>
          <w14:textFill>
            <w14:solidFill>
              <w14:schemeClr w14:val="tx1"/>
            </w14:solidFill>
          </w14:textFill>
        </w:rPr>
        <w:t>有其他</w:t>
      </w:r>
      <w:r>
        <w:rPr>
          <w:bCs/>
          <w:color w:val="000000" w:themeColor="text1"/>
          <w:sz w:val="24"/>
          <w:szCs w:val="24"/>
          <w14:textFill>
            <w14:solidFill>
              <w14:schemeClr w14:val="tx1"/>
            </w14:solidFill>
          </w14:textFill>
        </w:rPr>
        <w:t>文献资料佐证的也应用，否则，不应用。</w:t>
      </w:r>
    </w:p>
    <w:p>
      <w:pPr>
        <w:pStyle w:val="130"/>
        <w:spacing w:line="360" w:lineRule="auto"/>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野外实地调查方法：主要为样线法，辅以样方法进行，具体如下：</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1）兽类</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在评价区内采用样线法进行调查，现场记录遇见的动物，并对粪便、毛发、脚印</w:t>
      </w:r>
      <w:r>
        <w:rPr>
          <w:rFonts w:hint="eastAsia"/>
          <w:bCs/>
          <w:color w:val="000000" w:themeColor="text1"/>
          <w:sz w:val="24"/>
          <w:szCs w:val="24"/>
          <w14:textFill>
            <w14:solidFill>
              <w14:schemeClr w14:val="tx1"/>
            </w14:solidFill>
          </w14:textFill>
        </w:rPr>
        <w:t>和其他</w:t>
      </w:r>
      <w:r>
        <w:rPr>
          <w:bCs/>
          <w:color w:val="000000" w:themeColor="text1"/>
          <w:sz w:val="24"/>
          <w:szCs w:val="24"/>
          <w14:textFill>
            <w14:solidFill>
              <w14:schemeClr w14:val="tx1"/>
            </w14:solidFill>
          </w14:textFill>
        </w:rPr>
        <w:t>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2）鸟类</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在评价区内用样线法统计调查鸟类鸣声、羽毛和个体等</w:t>
      </w:r>
      <w:r>
        <w:rPr>
          <w:rFonts w:hint="eastAsia"/>
          <w:bCs/>
          <w:color w:val="000000" w:themeColor="text1"/>
          <w:sz w:val="24"/>
          <w:szCs w:val="24"/>
          <w14:textFill>
            <w14:solidFill>
              <w14:schemeClr w14:val="tx1"/>
            </w14:solidFill>
          </w14:textFill>
        </w:rPr>
        <w:t>形迹</w:t>
      </w:r>
      <w:r>
        <w:rPr>
          <w:bCs/>
          <w:color w:val="000000" w:themeColor="text1"/>
          <w:sz w:val="24"/>
          <w:szCs w:val="24"/>
          <w14:textFill>
            <w14:solidFill>
              <w14:schemeClr w14:val="tx1"/>
            </w14:solidFill>
          </w14:textFill>
        </w:rPr>
        <w:t>，同时结合文献资料确定其种类组成及其种群数量。此外对珍稀鸟类或大型鸟类则进行访问调查，并参考《四川鸟类原色图鉴》进行确认，同时结合文献资料进行整理和分析。</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3）两栖、爬行类</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四川爬行类动物原色图鉴》确定其种类。</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综合实地调查、访问调查和资料查阅，通过分析归纳和总结，得出项目区及其周边地区动物物种、种群数量和分布资料，为评价和保护提供科学依据。</w:t>
      </w:r>
    </w:p>
    <w:p>
      <w:pPr>
        <w:ind w:firstLine="48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3、水生生物资源调查方法</w:t>
      </w:r>
    </w:p>
    <w:p>
      <w:pPr>
        <w:ind w:firstLine="480"/>
        <w:rPr>
          <w:rFonts w:cs="Times New Roman"/>
          <w:bCs/>
          <w:color w:val="000000" w:themeColor="text1"/>
          <w:szCs w:val="24"/>
          <w14:textFill>
            <w14:solidFill>
              <w14:schemeClr w14:val="tx1"/>
            </w14:solidFill>
          </w14:textFill>
        </w:rPr>
      </w:pPr>
      <w:r>
        <w:rPr>
          <w:rFonts w:hint="eastAsia" w:cs="Times New Roman"/>
          <w:bCs/>
          <w:color w:val="000000" w:themeColor="text1"/>
          <w:szCs w:val="24"/>
          <w14:textFill>
            <w14:solidFill>
              <w14:schemeClr w14:val="tx1"/>
            </w14:solidFill>
          </w14:textFill>
        </w:rPr>
        <w:t>根据《环境影响评价技术导则——生态影响》（HJ 19—2022）</w:t>
      </w:r>
      <w:r>
        <w:rPr>
          <w:rFonts w:cs="Times New Roman"/>
          <w:bCs/>
          <w:color w:val="000000" w:themeColor="text1"/>
          <w:szCs w:val="24"/>
          <w14:textFill>
            <w14:solidFill>
              <w14:schemeClr w14:val="tx1"/>
            </w14:solidFill>
          </w14:textFill>
        </w:rPr>
        <w:t>7.3.6</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三级评价现状调查以收集有效资料为主，可开展必要的遥感调查或现场校核。</w:t>
      </w:r>
      <w:r>
        <w:rPr>
          <w:rFonts w:hint="eastAsia" w:cs="Times New Roman"/>
          <w:bCs/>
          <w:color w:val="000000" w:themeColor="text1"/>
          <w:szCs w:val="24"/>
          <w14:textFill>
            <w14:solidFill>
              <w14:schemeClr w14:val="tx1"/>
            </w14:solidFill>
          </w14:textFill>
        </w:rPr>
        <w:t>本项目主要参考《G542 改建工程巴河特大桥对巴河、蹬子河大桥对蹬子河流域水生生物多样性影响评价报告</w:t>
      </w:r>
      <w:r>
        <w:rPr>
          <w:rFonts w:hint="eastAsia" w:cs="Times New Roman"/>
          <w:bCs/>
          <w:color w:val="000000" w:themeColor="text1"/>
          <w:szCs w:val="24"/>
          <w:lang w:eastAsia="zh-CN"/>
          <w14:textFill>
            <w14:solidFill>
              <w14:schemeClr w14:val="tx1"/>
            </w14:solidFill>
          </w14:textFill>
        </w:rPr>
        <w:t>》《</w:t>
      </w:r>
      <w:r>
        <w:rPr>
          <w:rFonts w:hint="eastAsia" w:cs="Times New Roman"/>
          <w:bCs/>
          <w:color w:val="000000" w:themeColor="text1"/>
          <w:szCs w:val="24"/>
          <w14:textFill>
            <w14:solidFill>
              <w14:schemeClr w14:val="tx1"/>
            </w14:solidFill>
          </w14:textFill>
        </w:rPr>
        <w:t>达州市高家坝大桥建设项目对州河流域水生生物多样性影响专题评价报告》等项目周边相关水生生态论证结果，并结合现场采访当地居民了解鱼类分布种类相关情况。</w:t>
      </w:r>
    </w:p>
    <w:p>
      <w:pPr>
        <w:ind w:firstLine="480"/>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4</w:t>
      </w:r>
      <w:r>
        <w:rPr>
          <w:rFonts w:cs="Times New Roman"/>
          <w:bCs/>
          <w:color w:val="000000" w:themeColor="text1"/>
          <w14:textFill>
            <w14:solidFill>
              <w14:schemeClr w14:val="tx1"/>
            </w14:solidFill>
          </w14:textFill>
        </w:rPr>
        <w:t>、生态制图</w:t>
      </w:r>
    </w:p>
    <w:p>
      <w:pPr>
        <w:pStyle w:val="130"/>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在现场调查和群系样地调查的基础上，采用GPS、RS和GIS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pPr>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本次研究选用国产资源卫星zy-3卫片，融合后地面精度为2.1m，采用地表植被特征的“近红外、红外、绿”三个波段，其中植被影响主要反映为红色。植被类型不同，色彩和色调都发生相应变化，因此可区分出植被亚型以上的植被类型以及农田、居民用地等地面类型。同时也参考了美国wordview卫片作为参考，分辨率1.24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（1）评价范围植被资源现状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评价范围内植被概况见表4.3-3及《附图评价区植被类型图》。</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评价范围内主要植被类型面积统计表</w:t>
      </w:r>
    </w:p>
    <w:tbl>
      <w:tblPr>
        <w:tblStyle w:val="90"/>
        <w:tblW w:w="51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4"/>
        <w:gridCol w:w="854"/>
        <w:gridCol w:w="934"/>
        <w:gridCol w:w="1345"/>
        <w:gridCol w:w="1940"/>
        <w:gridCol w:w="1464"/>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399"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植被型组</w:t>
            </w:r>
          </w:p>
        </w:tc>
        <w:tc>
          <w:tcPr>
            <w:tcW w:w="498"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植被型</w:t>
            </w:r>
          </w:p>
        </w:tc>
        <w:tc>
          <w:tcPr>
            <w:tcW w:w="545"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植被亚型</w:t>
            </w:r>
          </w:p>
        </w:tc>
        <w:tc>
          <w:tcPr>
            <w:tcW w:w="785" w:type="pct"/>
            <w:vAlign w:val="center"/>
          </w:tcPr>
          <w:p>
            <w:pPr>
              <w:adjustRightInd/>
              <w:snapToGrid/>
              <w:spacing w:before="120" w:line="214" w:lineRule="auto"/>
              <w:ind w:firstLine="0" w:firstLineChars="0"/>
              <w:jc w:val="center"/>
              <w:rPr>
                <w:rFonts w:cs="Times New Roman"/>
                <w:b/>
                <w:color w:val="000000" w:themeColor="text1"/>
                <w:spacing w:val="-3"/>
                <w:sz w:val="21"/>
                <w:szCs w:val="21"/>
                <w:lang w:eastAsia="en-US"/>
                <w14:textFill>
                  <w14:solidFill>
                    <w14:schemeClr w14:val="tx1"/>
                  </w14:solidFill>
                </w14:textFill>
              </w:rPr>
            </w:pPr>
            <w:r>
              <w:rPr>
                <w:rFonts w:cs="Times New Roman"/>
                <w:b/>
                <w:color w:val="000000" w:themeColor="text1"/>
                <w:spacing w:val="-3"/>
                <w:sz w:val="21"/>
                <w:szCs w:val="21"/>
                <w:lang w:eastAsia="en-US"/>
                <w14:textFill>
                  <w14:solidFill>
                    <w14:schemeClr w14:val="tx1"/>
                  </w14:solidFill>
                </w14:textFill>
              </w:rPr>
              <w:t>群系组</w:t>
            </w:r>
          </w:p>
        </w:tc>
        <w:tc>
          <w:tcPr>
            <w:tcW w:w="1132" w:type="pct"/>
            <w:vAlign w:val="center"/>
          </w:tcPr>
          <w:p>
            <w:pPr>
              <w:adjustRightInd/>
              <w:snapToGrid/>
              <w:spacing w:before="120" w:line="214" w:lineRule="auto"/>
              <w:ind w:firstLine="0" w:firstLineChars="0"/>
              <w:jc w:val="center"/>
              <w:rPr>
                <w:rFonts w:cs="Times New Roman"/>
                <w:b/>
                <w:color w:val="000000" w:themeColor="text1"/>
                <w:sz w:val="21"/>
                <w:szCs w:val="21"/>
                <w:lang w:eastAsia="en-US"/>
                <w14:textFill>
                  <w14:solidFill>
                    <w14:schemeClr w14:val="tx1"/>
                  </w14:solidFill>
                </w14:textFill>
              </w:rPr>
            </w:pPr>
            <w:r>
              <w:rPr>
                <w:rFonts w:cs="Times New Roman"/>
                <w:b/>
                <w:color w:val="000000" w:themeColor="text1"/>
                <w:spacing w:val="-3"/>
                <w:sz w:val="21"/>
                <w:szCs w:val="21"/>
                <w:lang w:eastAsia="en-US"/>
                <w14:textFill>
                  <w14:solidFill>
                    <w14:schemeClr w14:val="tx1"/>
                  </w14:solidFill>
                </w14:textFill>
              </w:rPr>
              <w:t>群</w:t>
            </w:r>
            <w:r>
              <w:rPr>
                <w:rFonts w:cs="Times New Roman"/>
                <w:b/>
                <w:color w:val="000000" w:themeColor="text1"/>
                <w:spacing w:val="-2"/>
                <w:sz w:val="21"/>
                <w:szCs w:val="21"/>
                <w:lang w:eastAsia="en-US"/>
                <w14:textFill>
                  <w14:solidFill>
                    <w14:schemeClr w14:val="tx1"/>
                  </w14:solidFill>
                </w14:textFill>
              </w:rPr>
              <w:t>系</w:t>
            </w:r>
          </w:p>
        </w:tc>
        <w:tc>
          <w:tcPr>
            <w:tcW w:w="854" w:type="pct"/>
            <w:vAlign w:val="center"/>
          </w:tcPr>
          <w:p>
            <w:pPr>
              <w:adjustRightInd/>
              <w:snapToGrid/>
              <w:spacing w:line="240" w:lineRule="auto"/>
              <w:ind w:firstLine="0" w:firstLineChars="0"/>
              <w:jc w:val="center"/>
              <w:rPr>
                <w:rFonts w:cs="Times New Roman"/>
                <w:b/>
                <w:color w:val="000000" w:themeColor="text1"/>
                <w:spacing w:val="-2"/>
                <w:sz w:val="21"/>
                <w:szCs w:val="21"/>
                <w:lang w:eastAsia="en-US"/>
                <w14:textFill>
                  <w14:solidFill>
                    <w14:schemeClr w14:val="tx1"/>
                  </w14:solidFill>
                </w14:textFill>
              </w:rPr>
            </w:pPr>
            <w:r>
              <w:rPr>
                <w:rFonts w:cs="Times New Roman"/>
                <w:b/>
                <w:color w:val="000000" w:themeColor="text1"/>
                <w:sz w:val="21"/>
                <w:szCs w:val="21"/>
                <w:lang w:eastAsia="en-US"/>
                <w14:textFill>
                  <w14:solidFill>
                    <w14:schemeClr w14:val="tx1"/>
                  </w14:solidFill>
                </w14:textFill>
              </w:rPr>
              <w:t>面积</w:t>
            </w:r>
            <w:r>
              <w:rPr>
                <w:rFonts w:hint="eastAsia" w:cs="Times New Roman"/>
                <w:b/>
                <w:color w:val="000000" w:themeColor="text1"/>
                <w:sz w:val="21"/>
                <w:szCs w:val="21"/>
                <w:lang w:eastAsia="en-US"/>
                <w14:textFill>
                  <w14:solidFill>
                    <w14:schemeClr w14:val="tx1"/>
                  </w14:solidFill>
                </w14:textFill>
              </w:rPr>
              <w:t>（</w:t>
            </w:r>
            <w:r>
              <w:rPr>
                <w:rFonts w:cs="Times New Roman"/>
                <w:b/>
                <w:color w:val="000000" w:themeColor="text1"/>
                <w:sz w:val="21"/>
                <w:szCs w:val="21"/>
                <w:lang w:eastAsia="en-US"/>
                <w14:textFill>
                  <w14:solidFill>
                    <w14:schemeClr w14:val="tx1"/>
                  </w14:solidFill>
                </w14:textFill>
              </w:rPr>
              <w:t>hm²</w:t>
            </w:r>
            <w:r>
              <w:rPr>
                <w:rFonts w:hint="eastAsia" w:cs="Times New Roman"/>
                <w:b/>
                <w:color w:val="000000" w:themeColor="text1"/>
                <w:sz w:val="21"/>
                <w:szCs w:val="21"/>
                <w:lang w:eastAsia="en-US"/>
                <w14:textFill>
                  <w14:solidFill>
                    <w14:schemeClr w14:val="tx1"/>
                  </w14:solidFill>
                </w14:textFill>
              </w:rPr>
              <w:t>）</w:t>
            </w:r>
          </w:p>
        </w:tc>
        <w:tc>
          <w:tcPr>
            <w:tcW w:w="788" w:type="pct"/>
            <w:vAlign w:val="center"/>
          </w:tcPr>
          <w:p>
            <w:pPr>
              <w:adjustRightInd/>
              <w:snapToGrid/>
              <w:spacing w:line="240" w:lineRule="auto"/>
              <w:ind w:firstLine="0" w:firstLineChars="0"/>
              <w:jc w:val="center"/>
              <w:rPr>
                <w:rFonts w:cs="Times New Roman"/>
                <w:b/>
                <w:color w:val="000000" w:themeColor="text1"/>
                <w:spacing w:val="-2"/>
                <w:sz w:val="21"/>
                <w:szCs w:val="21"/>
                <w:lang w:eastAsia="en-US"/>
                <w14:textFill>
                  <w14:solidFill>
                    <w14:schemeClr w14:val="tx1"/>
                  </w14:solidFill>
                </w14:textFill>
              </w:rPr>
            </w:pPr>
            <w:r>
              <w:rPr>
                <w:rFonts w:cs="Times New Roman"/>
                <w:b/>
                <w:color w:val="000000" w:themeColor="text1"/>
                <w:sz w:val="21"/>
                <w:szCs w:val="21"/>
                <w:lang w:eastAsia="en-US"/>
                <w14:textFill>
                  <w14:solidFill>
                    <w14:schemeClr w14:val="tx1"/>
                  </w14:solidFill>
                </w14:textFill>
              </w:rPr>
              <w:t>比例</w:t>
            </w:r>
            <w:r>
              <w:rPr>
                <w:rFonts w:hint="eastAsia" w:cs="Times New Roman"/>
                <w:b/>
                <w:color w:val="000000" w:themeColor="text1"/>
                <w:sz w:val="21"/>
                <w:szCs w:val="21"/>
                <w:lang w:eastAsia="en-US"/>
                <w14:textFill>
                  <w14:solidFill>
                    <w14:schemeClr w14:val="tx1"/>
                  </w14:solidFill>
                </w14:textFill>
              </w:rPr>
              <w:t>（</w:t>
            </w:r>
            <w:r>
              <w:rPr>
                <w:rFonts w:cs="Times New Roman"/>
                <w:b/>
                <w:color w:val="000000" w:themeColor="text1"/>
                <w:sz w:val="21"/>
                <w:szCs w:val="21"/>
                <w:lang w:eastAsia="en-US"/>
                <w14:textFill>
                  <w14:solidFill>
                    <w14:schemeClr w14:val="tx1"/>
                  </w14:solidFill>
                </w14:textFill>
              </w:rPr>
              <w:t>%</w:t>
            </w:r>
            <w:r>
              <w:rPr>
                <w:rFonts w:hint="eastAsia" w:cs="Times New Roman"/>
                <w:b/>
                <w:color w:val="000000" w:themeColor="text1"/>
                <w:sz w:val="21"/>
                <w:szCs w:val="21"/>
                <w:lang w:eastAsia="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99"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针叶林</w:t>
            </w: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暖性针叶林</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12"/>
                <w:sz w:val="21"/>
                <w:szCs w:val="21"/>
                <w:lang w:eastAsia="en-US"/>
                <w14:textFill>
                  <w14:solidFill>
                    <w14:schemeClr w14:val="tx1"/>
                  </w14:solidFill>
                </w14:textFill>
              </w:rPr>
              <w:t>暖性常绿</w:t>
            </w:r>
            <w:r>
              <w:rPr>
                <w:rFonts w:cs="Times New Roman"/>
                <w:bCs/>
                <w:color w:val="000000" w:themeColor="text1"/>
                <w:spacing w:val="-4"/>
                <w:sz w:val="21"/>
                <w:szCs w:val="21"/>
                <w:lang w:eastAsia="en-US"/>
                <w14:textFill>
                  <w14:solidFill>
                    <w14:schemeClr w14:val="tx1"/>
                  </w14:solidFill>
                </w14:textFill>
              </w:rPr>
              <w:t>针叶林</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eastAsia="en-US" w:bidi="ar"/>
                <w14:textFill>
                  <w14:solidFill>
                    <w14:schemeClr w14:val="tx1"/>
                  </w14:solidFill>
                </w14:textFill>
              </w:rPr>
            </w:pPr>
            <w:r>
              <w:rPr>
                <w:rFonts w:cs="Times New Roman"/>
                <w:bCs/>
                <w:color w:val="000000" w:themeColor="text1"/>
                <w:kern w:val="0"/>
                <w:sz w:val="21"/>
                <w:szCs w:val="21"/>
                <w:lang w:eastAsia="en-US" w:bidi="ar"/>
                <w14:textFill>
                  <w14:solidFill>
                    <w14:schemeClr w14:val="tx1"/>
                  </w14:solidFill>
                </w14:textFill>
              </w:rPr>
              <w:t>暖性松林</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kern w:val="0"/>
                <w:sz w:val="21"/>
                <w:szCs w:val="21"/>
                <w:lang w:eastAsia="en-US" w:bidi="ar"/>
                <w14:textFill>
                  <w14:solidFill>
                    <w14:schemeClr w14:val="tx1"/>
                  </w14:solidFill>
                </w14:textFill>
              </w:rPr>
              <w:t>马尾松</w:t>
            </w:r>
            <w:r>
              <w:rPr>
                <w:rFonts w:cs="Times New Roman"/>
                <w:bCs/>
                <w:color w:val="000000" w:themeColor="text1"/>
                <w:spacing w:val="-3"/>
                <w:sz w:val="21"/>
                <w:szCs w:val="21"/>
                <w:lang w:eastAsia="en-US"/>
                <w14:textFill>
                  <w14:solidFill>
                    <w14:schemeClr w14:val="tx1"/>
                  </w14:solidFill>
                </w14:textFill>
              </w:rPr>
              <w:t>群</w:t>
            </w:r>
            <w:r>
              <w:rPr>
                <w:rFonts w:cs="Times New Roman"/>
                <w:bCs/>
                <w:color w:val="000000" w:themeColor="text1"/>
                <w:spacing w:val="-2"/>
                <w:sz w:val="21"/>
                <w:szCs w:val="21"/>
                <w:lang w:eastAsia="en-US"/>
                <w14:textFill>
                  <w14:solidFill>
                    <w14:schemeClr w14:val="tx1"/>
                  </w14:solidFill>
                </w14:textFill>
              </w:rPr>
              <w:t>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195.55</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30.89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399"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阔叶林</w:t>
            </w: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落叶阔叶林</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典型落叶阔叶林</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栎林</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麻栎+青冈群系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68.19</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10.77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灌丛和灌 草丛</w:t>
            </w:r>
          </w:p>
        </w:tc>
        <w:tc>
          <w:tcPr>
            <w:tcW w:w="498"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落叶阔叶灌丛</w:t>
            </w:r>
          </w:p>
        </w:tc>
        <w:tc>
          <w:tcPr>
            <w:tcW w:w="545"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暖性落叶阔叶灌丛</w:t>
            </w:r>
          </w:p>
        </w:tc>
        <w:tc>
          <w:tcPr>
            <w:tcW w:w="785"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低山丘陵落叶阔叶灌丛</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野桐+盐肤木</w:t>
            </w:r>
            <w:r>
              <w:rPr>
                <w:rFonts w:hint="eastAsia" w:cs="Times New Roman"/>
                <w:bCs/>
                <w:color w:val="000000" w:themeColor="text1"/>
                <w:spacing w:val="15"/>
                <w:sz w:val="21"/>
                <w:szCs w:val="21"/>
                <w:lang w:eastAsia="en-US"/>
                <w14:textFill>
                  <w14:solidFill>
                    <w14:schemeClr w14:val="tx1"/>
                  </w14:solidFill>
                </w14:textFill>
              </w:rPr>
              <w:t>灌丛</w:t>
            </w:r>
          </w:p>
        </w:tc>
        <w:tc>
          <w:tcPr>
            <w:tcW w:w="854"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36.49</w:t>
            </w:r>
          </w:p>
        </w:tc>
        <w:tc>
          <w:tcPr>
            <w:tcW w:w="788"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498"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545"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785"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马桑+黄荆+火棘+荚蒾灌丛群系</w:t>
            </w:r>
          </w:p>
        </w:tc>
        <w:tc>
          <w:tcPr>
            <w:tcW w:w="854"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zh-CN"/>
                <w14:textFill>
                  <w14:solidFill>
                    <w14:schemeClr w14:val="tx1"/>
                  </w14:solidFill>
                </w14:textFill>
              </w:rPr>
            </w:pPr>
          </w:p>
        </w:tc>
        <w:tc>
          <w:tcPr>
            <w:tcW w:w="788"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399"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zh-CN"/>
                <w14:textFill>
                  <w14:solidFill>
                    <w14:schemeClr w14:val="tx1"/>
                  </w14:solidFill>
                </w14:textFill>
              </w:rPr>
            </w:pP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灌草丛</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暖热性灌草丛</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禾草灌草丛</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芒+白茅草丛群系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13.72</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358" w:type="pct"/>
            <w:gridSpan w:val="5"/>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z w:val="21"/>
                <w:szCs w:val="21"/>
                <w:lang w:eastAsia="zh-CN"/>
                <w14:textFill>
                  <w14:solidFill>
                    <w14:schemeClr w14:val="tx1"/>
                  </w14:solidFill>
                </w14:textFill>
              </w:rPr>
              <w:t>水稻为主的水田作物植被</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143.34</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22.64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358" w:type="pct"/>
            <w:gridSpan w:val="5"/>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z w:val="21"/>
                <w:szCs w:val="21"/>
                <w:lang w:eastAsia="zh-CN"/>
                <w14:textFill>
                  <w14:solidFill>
                    <w14:schemeClr w14:val="tx1"/>
                  </w14:solidFill>
                </w14:textFill>
              </w:rPr>
              <w:t>玉米、红苕、棉花、花生、小麦、马铃薯、豌豆为主的旱地作物植被</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115.88</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18.30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358" w:type="pct"/>
            <w:gridSpan w:val="5"/>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水域</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10.67</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1.69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358" w:type="pct"/>
            <w:gridSpan w:val="5"/>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kern w:val="0"/>
                <w:sz w:val="21"/>
                <w:szCs w:val="21"/>
                <w:lang w:eastAsia="en-US" w:bidi="ar"/>
                <w14:textFill>
                  <w14:solidFill>
                    <w14:schemeClr w14:val="tx1"/>
                  </w14:solidFill>
                </w14:textFill>
              </w:rPr>
              <w:t>无植被</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49.22</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7.78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3358" w:type="pct"/>
            <w:gridSpan w:val="5"/>
            <w:vAlign w:val="center"/>
          </w:tcPr>
          <w:p>
            <w:pPr>
              <w:widowControl/>
              <w:adjustRightInd/>
              <w:snapToGrid/>
              <w:spacing w:line="240" w:lineRule="auto"/>
              <w:ind w:firstLine="0" w:firstLineChars="0"/>
              <w:jc w:val="center"/>
              <w:textAlignment w:val="center"/>
              <w:rPr>
                <w:rFonts w:cs="Times New Roman"/>
                <w:bCs/>
                <w:color w:val="000000" w:themeColor="text1"/>
                <w:sz w:val="21"/>
                <w:szCs w:val="21"/>
                <w:lang w:eastAsia="en-US"/>
                <w14:textFill>
                  <w14:solidFill>
                    <w14:schemeClr w14:val="tx1"/>
                  </w14:solidFill>
                </w14:textFill>
              </w:rPr>
            </w:pPr>
            <w:r>
              <w:rPr>
                <w:rFonts w:cs="Times New Roman"/>
                <w:bCs/>
                <w:color w:val="000000" w:themeColor="text1"/>
                <w:kern w:val="0"/>
                <w:sz w:val="22"/>
                <w:lang w:eastAsia="en-US" w:bidi="ar"/>
                <w14:textFill>
                  <w14:solidFill>
                    <w14:schemeClr w14:val="tx1"/>
                  </w14:solidFill>
                </w14:textFill>
              </w:rPr>
              <w:t>合计</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633.06 </w:t>
            </w:r>
          </w:p>
        </w:tc>
        <w:tc>
          <w:tcPr>
            <w:tcW w:w="788"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100.00 </w:t>
            </w:r>
          </w:p>
        </w:tc>
      </w:tr>
    </w:tbl>
    <w:p>
      <w:pPr>
        <w:spacing w:before="120" w:beforeLines="50"/>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由表4.3-3可看出，本次评价范围内以马尾松群系占比最大，占评价面积的30.89%，其次为水稻为主的水田作物植被，占评价面积的22.64 %，玉米、红苕、棉花、花生、小麦、马铃薯、豌豆为主的旱地作物植被，占评价面积的18.30%，麻栎+青冈群系，占评价面积的10.77%，其他植被类型所占比例均低于10%，综上，本项目评价范围植被类型主要以针叶林、水田、旱地植被占优</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（2）评价范围土地利用现状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评价范围内土地利用概况见表4.3-4及《附图评价区土地利用现状图》。</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本次评价范围内土地利用现状情况</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0"/>
        <w:gridCol w:w="2577"/>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土地利用类型</w:t>
            </w:r>
          </w:p>
        </w:tc>
        <w:tc>
          <w:tcPr>
            <w:tcW w:w="151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面积</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hm</w:t>
            </w:r>
            <w:r>
              <w:rPr>
                <w:rFonts w:hint="default"/>
                <w:b/>
                <w:bCs/>
                <w:color w:val="000000" w:themeColor="text1"/>
                <w:szCs w:val="20"/>
                <w:vertAlign w:val="superscript"/>
                <w14:textFill>
                  <w14:solidFill>
                    <w14:schemeClr w14:val="tx1"/>
                  </w14:solidFill>
                </w14:textFill>
              </w:rPr>
              <w:t>2</w:t>
            </w:r>
            <w:r>
              <w:rPr>
                <w:rFonts w:hint="eastAsia"/>
                <w:b/>
                <w:bCs/>
                <w:color w:val="000000" w:themeColor="text1"/>
                <w:szCs w:val="20"/>
                <w:vertAlign w:val="superscript"/>
                <w14:textFill>
                  <w14:solidFill>
                    <w14:schemeClr w14:val="tx1"/>
                  </w14:solidFill>
                </w14:textFill>
              </w:rPr>
              <w:t>）</w:t>
            </w:r>
          </w:p>
        </w:tc>
        <w:tc>
          <w:tcPr>
            <w:tcW w:w="153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百分比</w:t>
            </w:r>
            <w:r>
              <w:rPr>
                <w:rFonts w:hint="eastAsia"/>
                <w:b/>
                <w:bCs/>
                <w:color w:val="000000" w:themeColor="text1"/>
                <w:szCs w:val="20"/>
                <w14:textFill>
                  <w14:solidFill>
                    <w14:schemeClr w14:val="tx1"/>
                  </w14:solidFill>
                </w14:textFill>
              </w:rPr>
              <w:t>（</w:t>
            </w:r>
            <w:r>
              <w:rPr>
                <w:rFonts w:hint="default"/>
                <w:b/>
                <w:bCs/>
                <w:color w:val="000000" w:themeColor="text1"/>
                <w:szCs w:val="20"/>
                <w14:textFill>
                  <w14:solidFill>
                    <w14:schemeClr w14:val="tx1"/>
                  </w14:solidFill>
                </w14:textFill>
              </w:rPr>
              <w:t>%</w:t>
            </w:r>
            <w:r>
              <w:rPr>
                <w:rFonts w:hint="eastAsia"/>
                <w:b/>
                <w:bCs/>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水田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143.34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旱地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115.88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乔木林地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263.73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41.66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灌木林地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36.49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其他草地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13.72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农村宅基地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27.01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公路用地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2.65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农村道路</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10.80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工业用地</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8.77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河流水面</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2.43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坑塘水面</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8.24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5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合计</w:t>
            </w:r>
          </w:p>
        </w:tc>
        <w:tc>
          <w:tcPr>
            <w:tcW w:w="1511"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633.06 </w:t>
            </w:r>
          </w:p>
        </w:tc>
        <w:tc>
          <w:tcPr>
            <w:tcW w:w="153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100.00 </w:t>
            </w:r>
          </w:p>
        </w:tc>
      </w:tr>
    </w:tbl>
    <w:p>
      <w:pPr>
        <w:spacing w:before="120" w:beforeLines="50"/>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由表4.3-4看出，本次评价范围内乔木林地</w:t>
      </w:r>
      <w:r>
        <w:rPr>
          <w:rFonts w:cs="Times New Roman"/>
          <w:bCs/>
          <w:color w:val="000000" w:themeColor="text1"/>
          <w:kern w:val="0"/>
          <w:szCs w:val="24"/>
          <w:lang w:bidi="ar"/>
          <w14:textFill>
            <w14:solidFill>
              <w14:schemeClr w14:val="tx1"/>
            </w14:solidFill>
          </w14:textFill>
        </w:rPr>
        <w:t>263.73</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，占评价范围的</w:t>
      </w:r>
      <w:r>
        <w:rPr>
          <w:rFonts w:cs="Times New Roman"/>
          <w:bCs/>
          <w:color w:val="000000" w:themeColor="text1"/>
          <w:kern w:val="0"/>
          <w:szCs w:val="24"/>
          <w:lang w:bidi="ar"/>
          <w14:textFill>
            <w14:solidFill>
              <w14:schemeClr w14:val="tx1"/>
            </w14:solidFill>
          </w14:textFill>
        </w:rPr>
        <w:t>41.66</w:t>
      </w:r>
      <w:r>
        <w:rPr>
          <w:rFonts w:cs="Times New Roman"/>
          <w:bCs/>
          <w:color w:val="000000" w:themeColor="text1"/>
          <w:szCs w:val="24"/>
          <w14:textFill>
            <w14:solidFill>
              <w14:schemeClr w14:val="tx1"/>
            </w14:solidFill>
          </w14:textFill>
        </w:rPr>
        <w:t>%，旱地</w:t>
      </w:r>
      <w:r>
        <w:rPr>
          <w:rFonts w:cs="Times New Roman"/>
          <w:bCs/>
          <w:color w:val="000000" w:themeColor="text1"/>
          <w:kern w:val="0"/>
          <w:szCs w:val="24"/>
          <w:lang w:bidi="ar"/>
          <w14:textFill>
            <w14:solidFill>
              <w14:schemeClr w14:val="tx1"/>
            </w14:solidFill>
          </w14:textFill>
        </w:rPr>
        <w:t>115.88</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，占评价范围的</w:t>
      </w:r>
      <w:r>
        <w:rPr>
          <w:rFonts w:cs="Times New Roman"/>
          <w:bCs/>
          <w:color w:val="000000" w:themeColor="text1"/>
          <w:kern w:val="0"/>
          <w:szCs w:val="24"/>
          <w:lang w:bidi="ar"/>
          <w14:textFill>
            <w14:solidFill>
              <w14:schemeClr w14:val="tx1"/>
            </w14:solidFill>
          </w14:textFill>
        </w:rPr>
        <w:t>18.30</w:t>
      </w:r>
      <w:r>
        <w:rPr>
          <w:rFonts w:cs="Times New Roman"/>
          <w:bCs/>
          <w:color w:val="000000" w:themeColor="text1"/>
          <w:szCs w:val="24"/>
          <w14:textFill>
            <w14:solidFill>
              <w14:schemeClr w14:val="tx1"/>
            </w14:solidFill>
          </w14:textFill>
        </w:rPr>
        <w:t>%，水田</w:t>
      </w:r>
      <w:r>
        <w:rPr>
          <w:rFonts w:cs="Times New Roman"/>
          <w:bCs/>
          <w:color w:val="000000" w:themeColor="text1"/>
          <w:kern w:val="0"/>
          <w:szCs w:val="24"/>
          <w:lang w:bidi="ar"/>
          <w14:textFill>
            <w14:solidFill>
              <w14:schemeClr w14:val="tx1"/>
            </w14:solidFill>
          </w14:textFill>
        </w:rPr>
        <w:t>143.34</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，占评价范围的</w:t>
      </w:r>
      <w:r>
        <w:rPr>
          <w:rFonts w:cs="Times New Roman"/>
          <w:bCs/>
          <w:color w:val="000000" w:themeColor="text1"/>
          <w:kern w:val="0"/>
          <w:szCs w:val="24"/>
          <w:lang w:bidi="ar"/>
          <w14:textFill>
            <w14:solidFill>
              <w14:schemeClr w14:val="tx1"/>
            </w14:solidFill>
          </w14:textFill>
        </w:rPr>
        <w:t>22.64</w:t>
      </w:r>
      <w:r>
        <w:rPr>
          <w:rFonts w:cs="Times New Roman"/>
          <w:bCs/>
          <w:color w:val="000000" w:themeColor="text1"/>
          <w:szCs w:val="24"/>
          <w14:textFill>
            <w14:solidFill>
              <w14:schemeClr w14:val="tx1"/>
            </w14:solidFill>
          </w14:textFill>
        </w:rPr>
        <w:t>%，其余地类均低于10%。综上，本次评价范围内土地类型以乔木林地和水田、旱地为主</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（3）植被覆盖度分布特征</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植被覆盖度分析采用基于NDVI的像元二分模型法反演植被覆盖度。根据象元二分模型原理，可以将每个象元的NDVI值表示为植被覆盖部分和无植被覆盖部分组成的形式，用公式可表示为：</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NDVI=NDVIveg×fc+NDVIsoil×（1-fc）（a）</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式中：NDVIveg代表完全由植被覆盖的象元的NDVI值；NDVIsoil代表完全无植被覆盖的象元NDVI值；fc代表植被覆盖度。</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公式（a）经变换即可得到植被覆盖度的计算公式：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fc=（NDVI-NDVIsoil）/（NDVIveg-NDVIsoil）（b）</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公式（b），利用ERDASIMAGINE中的Modeler模块建模编写程序来计算覆盖度，得到了评价区的植被覆盖度图。根据遥感解译结果，参照《生态环境状况评价技术规范》（HJ192-2015，2015-03-13）、《土壤侵蚀分类分级标准》（SL190-2007，2008-01-04），评价区植被覆盖度划分为高覆盖度（&gt;70%）、中高覆盖度（50%～70%）、中覆盖度（30%～50%）、中低覆盖度（10%-30%）、极低覆盖度（&lt;10%）五个级别</w:t>
      </w:r>
      <w:bookmarkStart w:id="242" w:name="_Toc25682918"/>
      <w:r>
        <w:rPr>
          <w:color w:val="000000" w:themeColor="text1"/>
          <w14:textFill>
            <w14:solidFill>
              <w14:schemeClr w14:val="tx1"/>
            </w14:solidFill>
          </w14:textFill>
        </w:rPr>
        <w:t>，植被覆盖度分布特征及解译结果</w:t>
      </w:r>
      <w:bookmarkEnd w:id="242"/>
      <w:r>
        <w:rPr>
          <w:color w:val="000000" w:themeColor="text1"/>
          <w14:textFill>
            <w14:solidFill>
              <w14:schemeClr w14:val="tx1"/>
            </w14:solidFill>
          </w14:textFill>
        </w:rPr>
        <w:t>见下表。</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植被覆盖度分布面积统计表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1"/>
        <w:gridCol w:w="3502"/>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vMerge w:val="restart"/>
            <w:shd w:val="clear" w:color="auto" w:fill="auto"/>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植被覆盖度类型</w:t>
            </w:r>
          </w:p>
        </w:tc>
        <w:tc>
          <w:tcPr>
            <w:tcW w:w="3158" w:type="pct"/>
            <w:gridSpan w:val="2"/>
            <w:shd w:val="clear" w:color="000000"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评价区范围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vMerge w:val="continue"/>
            <w:shd w:val="clear" w:color="auto" w:fill="auto"/>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
                <w:color w:val="000000" w:themeColor="text1"/>
                <w:sz w:val="21"/>
                <w:szCs w:val="21"/>
                <w14:textFill>
                  <w14:solidFill>
                    <w14:schemeClr w14:val="tx1"/>
                  </w14:solidFill>
                </w14:textFill>
              </w:rPr>
            </w:pPr>
          </w:p>
        </w:tc>
        <w:tc>
          <w:tcPr>
            <w:tcW w:w="2054" w:type="pct"/>
            <w:shd w:val="clear" w:color="000000"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面积（hm</w:t>
            </w:r>
            <w:r>
              <w:rPr>
                <w:rFonts w:hint="default" w:cs="Times New Roman"/>
                <w:b/>
                <w:color w:val="000000" w:themeColor="text1"/>
                <w:sz w:val="21"/>
                <w:szCs w:val="21"/>
                <w:vertAlign w:val="superscript"/>
                <w14:textFill>
                  <w14:solidFill>
                    <w14:schemeClr w14:val="tx1"/>
                  </w14:solidFill>
                </w14:textFill>
              </w:rPr>
              <w:t>2</w:t>
            </w:r>
            <w:r>
              <w:rPr>
                <w:rFonts w:hint="default" w:cs="Times New Roman"/>
                <w:b/>
                <w:color w:val="000000" w:themeColor="text1"/>
                <w:sz w:val="21"/>
                <w:szCs w:val="21"/>
                <w14:textFill>
                  <w14:solidFill>
                    <w14:schemeClr w14:val="tx1"/>
                  </w14:solidFill>
                </w14:textFill>
              </w:rPr>
              <w:t>）</w:t>
            </w:r>
          </w:p>
        </w:tc>
        <w:tc>
          <w:tcPr>
            <w:tcW w:w="1104" w:type="pct"/>
            <w:shd w:val="clear" w:color="000000"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极低覆盖度&lt;10%</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59.90</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中低覆盖度10%-30%</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13.72</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中覆盖度30%-50%</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259.22</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40.95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中高覆盖度50%-70%</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36.49</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高覆盖度&gt;70%</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263.73</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41.66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2"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合计</w:t>
            </w:r>
          </w:p>
        </w:tc>
        <w:tc>
          <w:tcPr>
            <w:tcW w:w="205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633.06</w:t>
            </w:r>
          </w:p>
        </w:tc>
        <w:tc>
          <w:tcPr>
            <w:tcW w:w="1104" w:type="pct"/>
            <w:shd w:val="clear" w:color="auto" w:fill="FFFFFF"/>
            <w:noWrap/>
            <w:vAlign w:val="center"/>
          </w:tcPr>
          <w:p>
            <w:pPr>
              <w:keepNext w:val="0"/>
              <w:keepLines w:val="0"/>
              <w:suppressLineNumbers w:val="0"/>
              <w:spacing w:before="0" w:beforeAutospacing="0" w:after="0" w:afterAutospacing="0" w:line="260" w:lineRule="exact"/>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100.00</w:t>
            </w:r>
          </w:p>
        </w:tc>
      </w:tr>
    </w:tbl>
    <w:p>
      <w:pPr>
        <w:spacing w:before="120" w:beforeLines="50"/>
        <w:ind w:firstLine="480"/>
        <w:rPr>
          <w:color w:val="000000" w:themeColor="text1"/>
          <w14:textFill>
            <w14:solidFill>
              <w14:schemeClr w14:val="tx1"/>
            </w14:solidFill>
          </w14:textFill>
        </w:rPr>
      </w:pPr>
      <w:r>
        <w:rPr>
          <w:rFonts w:cs="Times New Roman"/>
          <w:bCs/>
          <w:color w:val="000000" w:themeColor="text1"/>
          <w14:textFill>
            <w14:solidFill>
              <w14:schemeClr w14:val="tx1"/>
            </w14:solidFill>
          </w14:textFill>
        </w:rPr>
        <w:t>项目区属中亚热带湿润季风气候区，植被区划处于亚热带常绿阔叶林区域，水热条件较好，植被总体覆盖度较高。从解译结果看，评价区范围内，高覆盖度植被主要分布在针叶林及阔叶林区，群落多为乔灌草三层，综合覆盖度较高；中高覆盖度植被主要为稀疏乔木林及灌丛植被分布区，群落结构多为灌草两层；中覆盖度多为草丛植被分布区</w:t>
      </w:r>
      <w:r>
        <w:rPr>
          <w:color w:val="000000" w:themeColor="text1"/>
          <w14:textFill>
            <w14:solidFill>
              <w14:schemeClr w14:val="tx1"/>
            </w14:solidFill>
          </w14:textFill>
        </w:rPr>
        <w:t>。</w:t>
      </w:r>
    </w:p>
    <w:p>
      <w:pPr>
        <w:pStyle w:val="4"/>
        <w:spacing w:before="120"/>
        <w:ind w:firstLine="480"/>
        <w:rPr>
          <w:b/>
          <w:color w:val="000000" w:themeColor="text1"/>
          <w:lang w:eastAsia="zh-CN"/>
          <w14:textFill>
            <w14:solidFill>
              <w14:schemeClr w14:val="tx1"/>
            </w14:solidFill>
          </w14:textFill>
        </w:rPr>
      </w:pPr>
      <w:bookmarkStart w:id="243" w:name="_Toc120173137"/>
      <w:bookmarkStart w:id="244" w:name="_Toc280781527"/>
      <w:r>
        <w:rPr>
          <w:color w:val="000000" w:themeColor="text1"/>
          <w:lang w:eastAsia="zh-CN"/>
          <w14:textFill>
            <w14:solidFill>
              <w14:schemeClr w14:val="tx1"/>
            </w14:solidFill>
          </w14:textFill>
        </w:rPr>
        <w:t>项目区域植被概况</w:t>
      </w:r>
    </w:p>
    <w:p>
      <w:pPr>
        <w:ind w:firstLine="480"/>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（1）区系分布</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评价范围位于四川省达州市宣汉县。根据《四川植被》中关于四川省内植被区划的描述，项目所在区域属IA3</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6</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川北深丘植被小区。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该小区位于盆地中部北侧，是大巴山地区向盆地内部方山丘陵过渡的地带，境内主要属单斜丘陵，</w:t>
      </w:r>
      <w:r>
        <w:rPr>
          <w:rFonts w:hint="eastAsia" w:cs="Times New Roman"/>
          <w:bCs/>
          <w:color w:val="000000" w:themeColor="text1"/>
          <w14:textFill>
            <w14:solidFill>
              <w14:schemeClr w14:val="tx1"/>
            </w14:solidFill>
          </w14:textFill>
        </w:rPr>
        <w:t>海拔</w:t>
      </w:r>
      <w:r>
        <w:rPr>
          <w:rFonts w:cs="Times New Roman"/>
          <w:bCs/>
          <w:color w:val="000000" w:themeColor="text1"/>
          <w14:textFill>
            <w14:solidFill>
              <w14:schemeClr w14:val="tx1"/>
            </w14:solidFill>
          </w14:textFill>
        </w:rPr>
        <w:t>一般为800m，相对高度100</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200m，地层多属白垩纪紫色砂岩与页岩互层，在此母质上发育的为紫色土，海拔1000m以上地区以黄壤为主。年平均温16~17℃，1月平均温5~6℃，比川中方山丘陵区气温低，而年温差较大。年降水量在1000毫米以上，比川中方山丘陵区多，但季节分配不均匀，雾日较少，无霜期约为290天，有春早</w:t>
      </w:r>
      <w:r>
        <w:rPr>
          <w:rFonts w:hint="eastAsia" w:cs="Times New Roman"/>
          <w:bCs/>
          <w:color w:val="000000" w:themeColor="text1"/>
          <w14:textFill>
            <w14:solidFill>
              <w14:schemeClr w14:val="tx1"/>
            </w14:solidFill>
          </w14:textFill>
        </w:rPr>
        <w:t>秋分</w:t>
      </w:r>
      <w:r>
        <w:rPr>
          <w:rFonts w:cs="Times New Roman"/>
          <w:bCs/>
          <w:color w:val="000000" w:themeColor="text1"/>
          <w14:textFill>
            <w14:solidFill>
              <w14:schemeClr w14:val="tx1"/>
            </w14:solidFill>
          </w14:textFill>
        </w:rPr>
        <w:t>、日照时数较多的特点。</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自然植被主要为马尾松林、柏木林、栎类灌丛、亚热带草丛及其各种过渡类型。在个别海拔1200m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w:t>
      </w:r>
      <w:r>
        <w:rPr>
          <w:rFonts w:hint="eastAsia" w:cs="Times New Roman"/>
          <w:bCs/>
          <w:color w:val="000000" w:themeColor="text1"/>
          <w14:textFill>
            <w14:solidFill>
              <w14:schemeClr w14:val="tx1"/>
            </w14:solidFill>
          </w14:textFill>
        </w:rPr>
        <w:t>在山顶</w:t>
      </w:r>
      <w:r>
        <w:rPr>
          <w:rFonts w:cs="Times New Roman"/>
          <w:bCs/>
          <w:color w:val="000000" w:themeColor="text1"/>
          <w14:textFill>
            <w14:solidFill>
              <w14:schemeClr w14:val="tx1"/>
            </w14:solidFill>
          </w14:textFill>
        </w:rPr>
        <w:t>，由麻栎、青冈、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栽培植被中大春作物本田以中稻为主，早地以玉米、红苕、棉花、花生、小麦、马铃薯、豌豆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以粮为纲，全面发展”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pPr>
        <w:ind w:firstLine="480"/>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（2）维管束植物组成情况</w:t>
      </w:r>
    </w:p>
    <w:p>
      <w:pPr>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评价区共有维管束植物有39目，82科，184属，244种：其中蕨类植物共有12科14属20种，占总科数的14.63%，总属数的7.61%，总种数的8.20%；裸子植物3科4属4种，占评价区总科数的3.66%，总属数的2.17%，总种数的1.64%；被子植物物种数最多，共有67科166属220种，占评价区总科数的81.71%，总属数的90.22%，总种数的90.98%</w:t>
      </w:r>
      <w:r>
        <w:rPr>
          <w:rFonts w:cs="Times New Roman"/>
          <w:bCs/>
          <w:color w:val="000000" w:themeColor="text1"/>
          <w14:textFill>
            <w14:solidFill>
              <w14:schemeClr w14:val="tx1"/>
            </w14:solidFill>
          </w14:textFill>
        </w:rPr>
        <w:t>。项目区域维管植物科属种情况如下表</w:t>
      </w:r>
      <w:r>
        <w:rPr>
          <w:color w:val="000000" w:themeColor="text1"/>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评价范围维管植物科属种统计表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305"/>
        <w:gridCol w:w="814"/>
        <w:gridCol w:w="1467"/>
        <w:gridCol w:w="810"/>
        <w:gridCol w:w="1393"/>
        <w:gridCol w:w="77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blHeader/>
          <w:jc w:val="center"/>
        </w:trPr>
        <w:tc>
          <w:tcPr>
            <w:tcW w:w="1211" w:type="pct"/>
            <w:gridSpan w:val="2"/>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门类</w:t>
            </w:r>
          </w:p>
        </w:tc>
        <w:tc>
          <w:tcPr>
            <w:tcW w:w="47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科数</w:t>
            </w:r>
          </w:p>
        </w:tc>
        <w:tc>
          <w:tcPr>
            <w:tcW w:w="860"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所占</w:t>
            </w:r>
            <w:r>
              <w:rPr>
                <w:rFonts w:hint="default"/>
                <w:b/>
                <w:bCs/>
                <w:color w:val="000000" w:themeColor="text1"/>
                <w:spacing w:val="8"/>
                <w:szCs w:val="20"/>
                <w14:textFill>
                  <w14:solidFill>
                    <w14:schemeClr w14:val="tx1"/>
                  </w14:solidFill>
                </w14:textFill>
              </w:rPr>
              <w:t>比例</w:t>
            </w:r>
          </w:p>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w:t>
            </w:r>
            <w:r>
              <w:rPr>
                <w:rFonts w:hint="default"/>
                <w:b/>
                <w:bCs/>
                <w:color w:val="000000" w:themeColor="text1"/>
                <w:spacing w:val="1"/>
                <w:szCs w:val="20"/>
                <w14:textFill>
                  <w14:solidFill>
                    <w14:schemeClr w14:val="tx1"/>
                  </w14:solidFill>
                </w14:textFill>
              </w:rPr>
              <w:t>）</w:t>
            </w:r>
          </w:p>
        </w:tc>
        <w:tc>
          <w:tcPr>
            <w:tcW w:w="47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属数</w:t>
            </w:r>
          </w:p>
        </w:tc>
        <w:tc>
          <w:tcPr>
            <w:tcW w:w="81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所占</w:t>
            </w:r>
            <w:r>
              <w:rPr>
                <w:rFonts w:hint="default"/>
                <w:b/>
                <w:bCs/>
                <w:color w:val="000000" w:themeColor="text1"/>
                <w:spacing w:val="8"/>
                <w:szCs w:val="20"/>
                <w14:textFill>
                  <w14:solidFill>
                    <w14:schemeClr w14:val="tx1"/>
                  </w14:solidFill>
                </w14:textFill>
              </w:rPr>
              <w:t>比例</w:t>
            </w:r>
          </w:p>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w:t>
            </w:r>
            <w:r>
              <w:rPr>
                <w:rFonts w:hint="default"/>
                <w:b/>
                <w:bCs/>
                <w:color w:val="000000" w:themeColor="text1"/>
                <w:spacing w:val="1"/>
                <w:szCs w:val="20"/>
                <w14:textFill>
                  <w14:solidFill>
                    <w14:schemeClr w14:val="tx1"/>
                  </w14:solidFill>
                </w14:textFill>
              </w:rPr>
              <w:t>）</w:t>
            </w:r>
          </w:p>
        </w:tc>
        <w:tc>
          <w:tcPr>
            <w:tcW w:w="454"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种数</w:t>
            </w:r>
          </w:p>
        </w:tc>
        <w:tc>
          <w:tcPr>
            <w:tcW w:w="70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所占</w:t>
            </w:r>
            <w:r>
              <w:rPr>
                <w:rFonts w:hint="default"/>
                <w:b/>
                <w:bCs/>
                <w:color w:val="000000" w:themeColor="text1"/>
                <w:spacing w:val="8"/>
                <w:szCs w:val="20"/>
                <w14:textFill>
                  <w14:solidFill>
                    <w14:schemeClr w14:val="tx1"/>
                  </w14:solidFill>
                </w14:textFill>
              </w:rPr>
              <w:t>比例</w:t>
            </w:r>
          </w:p>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w:t>
            </w:r>
            <w:r>
              <w:rPr>
                <w:rFonts w:hint="default"/>
                <w:b/>
                <w:bCs/>
                <w:color w:val="000000" w:themeColor="text1"/>
                <w:spacing w:val="-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11" w:type="pct"/>
            <w:gridSpan w:val="2"/>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蕨类</w:t>
            </w:r>
            <w:r>
              <w:rPr>
                <w:rFonts w:hint="default"/>
                <w:color w:val="000000" w:themeColor="text1"/>
                <w:spacing w:val="8"/>
                <w:szCs w:val="20"/>
                <w14:textFill>
                  <w14:solidFill>
                    <w14:schemeClr w14:val="tx1"/>
                  </w14:solidFill>
                </w14:textFill>
              </w:rPr>
              <w:t>植物</w:t>
            </w:r>
          </w:p>
        </w:tc>
        <w:tc>
          <w:tcPr>
            <w:tcW w:w="47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12</w:t>
            </w:r>
          </w:p>
        </w:tc>
        <w:tc>
          <w:tcPr>
            <w:tcW w:w="860"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14.63 </w:t>
            </w:r>
          </w:p>
        </w:tc>
        <w:tc>
          <w:tcPr>
            <w:tcW w:w="47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14</w:t>
            </w:r>
          </w:p>
        </w:tc>
        <w:tc>
          <w:tcPr>
            <w:tcW w:w="81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7.61 </w:t>
            </w:r>
          </w:p>
        </w:tc>
        <w:tc>
          <w:tcPr>
            <w:tcW w:w="454"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20</w:t>
            </w:r>
          </w:p>
        </w:tc>
        <w:tc>
          <w:tcPr>
            <w:tcW w:w="70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 xml:space="preserve">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6" w:type="pct"/>
            <w:vMerge w:val="restar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种子</w:t>
            </w:r>
          </w:p>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植</w:t>
            </w:r>
            <w:r>
              <w:rPr>
                <w:rFonts w:hint="default"/>
                <w:color w:val="000000" w:themeColor="text1"/>
                <w:spacing w:val="5"/>
                <w:szCs w:val="20"/>
                <w14:textFill>
                  <w14:solidFill>
                    <w14:schemeClr w14:val="tx1"/>
                  </w14:solidFill>
                </w14:textFill>
              </w:rPr>
              <w:t>物</w:t>
            </w:r>
          </w:p>
        </w:tc>
        <w:tc>
          <w:tcPr>
            <w:tcW w:w="76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裸子</w:t>
            </w:r>
            <w:r>
              <w:rPr>
                <w:rFonts w:hint="default"/>
                <w:color w:val="000000" w:themeColor="text1"/>
                <w:spacing w:val="8"/>
                <w:szCs w:val="20"/>
                <w14:textFill>
                  <w14:solidFill>
                    <w14:schemeClr w14:val="tx1"/>
                  </w14:solidFill>
                </w14:textFill>
              </w:rPr>
              <w:t>植物</w:t>
            </w:r>
          </w:p>
        </w:tc>
        <w:tc>
          <w:tcPr>
            <w:tcW w:w="47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3</w:t>
            </w:r>
          </w:p>
        </w:tc>
        <w:tc>
          <w:tcPr>
            <w:tcW w:w="860"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3.66 </w:t>
            </w:r>
          </w:p>
        </w:tc>
        <w:tc>
          <w:tcPr>
            <w:tcW w:w="47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4</w:t>
            </w:r>
          </w:p>
        </w:tc>
        <w:tc>
          <w:tcPr>
            <w:tcW w:w="81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2.17 </w:t>
            </w:r>
          </w:p>
        </w:tc>
        <w:tc>
          <w:tcPr>
            <w:tcW w:w="454"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4</w:t>
            </w:r>
          </w:p>
        </w:tc>
        <w:tc>
          <w:tcPr>
            <w:tcW w:w="70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6" w:type="pct"/>
            <w:vMerge w:val="continue"/>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76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被子</w:t>
            </w:r>
            <w:r>
              <w:rPr>
                <w:rFonts w:hint="default"/>
                <w:color w:val="000000" w:themeColor="text1"/>
                <w:spacing w:val="8"/>
                <w:szCs w:val="20"/>
                <w14:textFill>
                  <w14:solidFill>
                    <w14:schemeClr w14:val="tx1"/>
                  </w14:solidFill>
                </w14:textFill>
              </w:rPr>
              <w:t>植物</w:t>
            </w:r>
          </w:p>
        </w:tc>
        <w:tc>
          <w:tcPr>
            <w:tcW w:w="47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67</w:t>
            </w:r>
          </w:p>
        </w:tc>
        <w:tc>
          <w:tcPr>
            <w:tcW w:w="860"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81.71 </w:t>
            </w:r>
          </w:p>
        </w:tc>
        <w:tc>
          <w:tcPr>
            <w:tcW w:w="47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166</w:t>
            </w:r>
          </w:p>
        </w:tc>
        <w:tc>
          <w:tcPr>
            <w:tcW w:w="81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90.22 </w:t>
            </w:r>
          </w:p>
        </w:tc>
        <w:tc>
          <w:tcPr>
            <w:tcW w:w="454"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222</w:t>
            </w:r>
          </w:p>
        </w:tc>
        <w:tc>
          <w:tcPr>
            <w:tcW w:w="70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90.98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11" w:type="pct"/>
            <w:gridSpan w:val="2"/>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lang w:bidi="ar"/>
                <w14:textFill>
                  <w14:solidFill>
                    <w14:schemeClr w14:val="tx1"/>
                  </w14:solidFill>
                </w14:textFill>
              </w:rPr>
              <w:t>合计</w:t>
            </w:r>
          </w:p>
        </w:tc>
        <w:tc>
          <w:tcPr>
            <w:tcW w:w="47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82</w:t>
            </w:r>
          </w:p>
        </w:tc>
        <w:tc>
          <w:tcPr>
            <w:tcW w:w="860"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100.00 </w:t>
            </w:r>
          </w:p>
        </w:tc>
        <w:tc>
          <w:tcPr>
            <w:tcW w:w="47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184</w:t>
            </w:r>
          </w:p>
        </w:tc>
        <w:tc>
          <w:tcPr>
            <w:tcW w:w="817"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100.00 </w:t>
            </w:r>
          </w:p>
        </w:tc>
        <w:tc>
          <w:tcPr>
            <w:tcW w:w="454"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244</w:t>
            </w:r>
          </w:p>
        </w:tc>
        <w:tc>
          <w:tcPr>
            <w:tcW w:w="705" w:type="pct"/>
            <w:tcBorders>
              <w:tl2br w:val="nil"/>
              <w:tr2bl w:val="nil"/>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8"/>
                <w:szCs w:val="20"/>
                <w14:textFill>
                  <w14:solidFill>
                    <w14:schemeClr w14:val="tx1"/>
                  </w14:solidFill>
                </w14:textFill>
              </w:rPr>
            </w:pPr>
            <w:r>
              <w:rPr>
                <w:rFonts w:hint="default"/>
                <w:color w:val="000000" w:themeColor="text1"/>
                <w:szCs w:val="20"/>
                <w:lang w:bidi="ar"/>
                <w14:textFill>
                  <w14:solidFill>
                    <w14:schemeClr w14:val="tx1"/>
                  </w14:solidFill>
                </w14:textFill>
              </w:rPr>
              <w:t xml:space="preserve">100.00 </w:t>
            </w:r>
          </w:p>
        </w:tc>
      </w:tr>
    </w:tbl>
    <w:p>
      <w:pPr>
        <w:spacing w:before="120" w:beforeLines="50"/>
        <w:ind w:firstLine="510"/>
        <w:rPr>
          <w:rFonts w:cs="Times New Roman"/>
          <w:bCs/>
          <w:color w:val="000000" w:themeColor="text1"/>
          <w:spacing w:val="-5"/>
          <w:sz w:val="27"/>
          <w:szCs w:val="27"/>
          <w14:textFill>
            <w14:solidFill>
              <w14:schemeClr w14:val="tx1"/>
            </w14:solidFill>
          </w14:textFill>
        </w:rPr>
      </w:pPr>
      <w:r>
        <w:rPr>
          <w:rFonts w:cs="Times New Roman"/>
          <w:bCs/>
          <w:color w:val="000000" w:themeColor="text1"/>
          <w:spacing w:val="15"/>
          <w:szCs w:val="24"/>
          <w14:textFill>
            <w14:solidFill>
              <w14:schemeClr w14:val="tx1"/>
            </w14:solidFill>
          </w14:textFill>
        </w:rPr>
        <w:t>项目区域</w:t>
      </w:r>
      <w:r>
        <w:rPr>
          <w:rFonts w:cs="Times New Roman"/>
          <w:bCs/>
          <w:color w:val="000000" w:themeColor="text1"/>
          <w:szCs w:val="24"/>
          <w14:textFill>
            <w14:solidFill>
              <w14:schemeClr w14:val="tx1"/>
            </w14:solidFill>
          </w14:textFill>
        </w:rPr>
        <w:t>维管</w:t>
      </w:r>
      <w:r>
        <w:rPr>
          <w:rFonts w:cs="Times New Roman"/>
          <w:bCs/>
          <w:color w:val="000000" w:themeColor="text1"/>
          <w:spacing w:val="15"/>
          <w:szCs w:val="24"/>
          <w14:textFill>
            <w14:solidFill>
              <w14:schemeClr w14:val="tx1"/>
            </w14:solidFill>
          </w14:textFill>
        </w:rPr>
        <w:t>植物</w:t>
      </w:r>
      <w:r>
        <w:rPr>
          <w:rFonts w:cs="Times New Roman"/>
          <w:bCs/>
          <w:color w:val="000000" w:themeColor="text1"/>
          <w:szCs w:val="24"/>
          <w14:textFill>
            <w14:solidFill>
              <w14:schemeClr w14:val="tx1"/>
            </w14:solidFill>
          </w14:textFill>
        </w:rPr>
        <w:t>组成以被子植物为优势，分别占项目区域维管植物科属种总数的81.71%、90.22%和90.98%。常见的优势物种有马尾松</w:t>
      </w:r>
      <w:r>
        <w:rPr>
          <w:rFonts w:cs="Times New Roman"/>
          <w:bCs/>
          <w:i/>
          <w:iCs/>
          <w:color w:val="000000" w:themeColor="text1"/>
          <w:szCs w:val="24"/>
          <w14:textFill>
            <w14:solidFill>
              <w14:schemeClr w14:val="tx1"/>
            </w14:solidFill>
          </w14:textFill>
        </w:rPr>
        <w:t>P.massoniana</w:t>
      </w:r>
      <w:r>
        <w:rPr>
          <w:rFonts w:cs="Times New Roman"/>
          <w:bCs/>
          <w:color w:val="000000" w:themeColor="text1"/>
          <w:szCs w:val="24"/>
          <w14:textFill>
            <w14:solidFill>
              <w14:schemeClr w14:val="tx1"/>
            </w14:solidFill>
          </w14:textFill>
        </w:rPr>
        <w:t>、杉木</w:t>
      </w:r>
      <w:r>
        <w:rPr>
          <w:rFonts w:cs="Times New Roman"/>
          <w:bCs/>
          <w:color w:val="000000" w:themeColor="text1"/>
          <w14:textFill>
            <w14:solidFill>
              <w14:schemeClr w14:val="tx1"/>
            </w14:solidFill>
          </w14:textFill>
        </w:rPr>
        <w:t xml:space="preserve">Cunninghamia </w:t>
      </w:r>
      <w:r>
        <w:rPr>
          <w:rFonts w:cs="Times New Roman"/>
          <w:bCs/>
          <w:i/>
          <w:iCs/>
          <w:color w:val="000000" w:themeColor="text1"/>
          <w:szCs w:val="24"/>
          <w14:textFill>
            <w14:solidFill>
              <w14:schemeClr w14:val="tx1"/>
            </w14:solidFill>
          </w14:textFill>
        </w:rPr>
        <w:t>lanceolata</w:t>
      </w:r>
      <w:r>
        <w:rPr>
          <w:rFonts w:cs="Times New Roman"/>
          <w:bCs/>
          <w:color w:val="000000" w:themeColor="text1"/>
          <w:szCs w:val="24"/>
          <w14:textFill>
            <w14:solidFill>
              <w14:schemeClr w14:val="tx1"/>
            </w14:solidFill>
          </w14:textFill>
        </w:rPr>
        <w:t xml:space="preserve"> </w:t>
      </w:r>
      <w:r>
        <w:rPr>
          <w:rFonts w:cs="Times New Roman"/>
          <w:bCs/>
          <w:i/>
          <w:iCs/>
          <w:color w:val="000000" w:themeColor="text1"/>
          <w:spacing w:val="-2"/>
          <w:sz w:val="25"/>
          <w:szCs w:val="25"/>
          <w14:textFill>
            <w14:solidFill>
              <w14:schemeClr w14:val="tx1"/>
            </w14:solidFill>
          </w14:textFill>
        </w:rPr>
        <w:t>(</w:t>
      </w:r>
      <w:r>
        <w:rPr>
          <w:rFonts w:cs="Times New Roman"/>
          <w:bCs/>
          <w:i/>
          <w:iCs/>
          <w:color w:val="000000" w:themeColor="text1"/>
          <w:spacing w:val="-2"/>
          <w:szCs w:val="24"/>
          <w14:textFill>
            <w14:solidFill>
              <w14:schemeClr w14:val="tx1"/>
            </w14:solidFill>
          </w14:textFill>
        </w:rPr>
        <w:t>Lamb.</w:t>
      </w:r>
      <w:r>
        <w:rPr>
          <w:rFonts w:cs="Times New Roman"/>
          <w:bCs/>
          <w:i/>
          <w:iCs/>
          <w:color w:val="000000" w:themeColor="text1"/>
          <w:spacing w:val="-2"/>
          <w:sz w:val="25"/>
          <w:szCs w:val="25"/>
          <w14:textFill>
            <w14:solidFill>
              <w14:schemeClr w14:val="tx1"/>
            </w14:solidFill>
          </w14:textFill>
        </w:rPr>
        <w:t>)</w:t>
      </w:r>
      <w:r>
        <w:rPr>
          <w:rFonts w:cs="Times New Roman"/>
          <w:bCs/>
          <w:i/>
          <w:iCs/>
          <w:color w:val="000000" w:themeColor="text1"/>
          <w:spacing w:val="-2"/>
          <w:szCs w:val="24"/>
          <w14:textFill>
            <w14:solidFill>
              <w14:schemeClr w14:val="tx1"/>
            </w14:solidFill>
          </w14:textFill>
        </w:rPr>
        <w:t>Hook</w:t>
      </w:r>
      <w:r>
        <w:rPr>
          <w:rFonts w:hint="eastAsia" w:cs="Times New Roman"/>
          <w:bCs/>
          <w:i/>
          <w:iCs/>
          <w:color w:val="000000" w:themeColor="text1"/>
          <w:spacing w:val="-2"/>
          <w:szCs w:val="24"/>
          <w14:textFill>
            <w14:solidFill>
              <w14:schemeClr w14:val="tx1"/>
            </w14:solidFill>
          </w14:textFill>
        </w:rPr>
        <w:t>.</w:t>
      </w:r>
      <w:r>
        <w:rPr>
          <w:rFonts w:cs="Times New Roman"/>
          <w:bCs/>
          <w:color w:val="000000" w:themeColor="text1"/>
          <w:szCs w:val="24"/>
          <w14:textFill>
            <w14:solidFill>
              <w14:schemeClr w14:val="tx1"/>
            </w14:solidFill>
          </w14:textFill>
        </w:rPr>
        <w:t>柏木</w:t>
      </w:r>
      <w:r>
        <w:rPr>
          <w:rFonts w:cs="Times New Roman"/>
          <w:bCs/>
          <w:i/>
          <w:iCs/>
          <w:color w:val="000000" w:themeColor="text1"/>
          <w:spacing w:val="-2"/>
          <w:szCs w:val="24"/>
          <w14:textFill>
            <w14:solidFill>
              <w14:schemeClr w14:val="tx1"/>
            </w14:solidFill>
          </w14:textFill>
        </w:rPr>
        <w:t>Cupressu</w:t>
      </w:r>
      <w:r>
        <w:rPr>
          <w:rFonts w:cs="Times New Roman"/>
          <w:bCs/>
          <w:i/>
          <w:iCs/>
          <w:color w:val="000000" w:themeColor="text1"/>
          <w:spacing w:val="-1"/>
          <w:szCs w:val="24"/>
          <w14:textFill>
            <w14:solidFill>
              <w14:schemeClr w14:val="tx1"/>
            </w14:solidFill>
          </w14:textFill>
        </w:rPr>
        <w:t>s</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1"/>
          <w:szCs w:val="24"/>
          <w14:textFill>
            <w14:solidFill>
              <w14:schemeClr w14:val="tx1"/>
            </w14:solidFill>
          </w14:textFill>
        </w:rPr>
        <w:t>funebris</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1"/>
          <w:szCs w:val="24"/>
          <w14:textFill>
            <w14:solidFill>
              <w14:schemeClr w14:val="tx1"/>
            </w14:solidFill>
          </w14:textFill>
        </w:rPr>
        <w:t>Endl</w:t>
      </w:r>
      <w:r>
        <w:rPr>
          <w:rFonts w:hint="eastAsia" w:cs="Times New Roman"/>
          <w:bCs/>
          <w:i/>
          <w:iCs/>
          <w:color w:val="000000" w:themeColor="text1"/>
          <w:spacing w:val="-1"/>
          <w:szCs w:val="24"/>
          <w14:textFill>
            <w14:solidFill>
              <w14:schemeClr w14:val="tx1"/>
            </w14:solidFill>
          </w14:textFill>
        </w:rPr>
        <w:t>.</w:t>
      </w:r>
      <w:r>
        <w:rPr>
          <w:rFonts w:cs="Times New Roman"/>
          <w:bCs/>
          <w:color w:val="000000" w:themeColor="text1"/>
          <w:spacing w:val="-5"/>
          <w:szCs w:val="24"/>
          <w14:textFill>
            <w14:solidFill>
              <w14:schemeClr w14:val="tx1"/>
            </w14:solidFill>
          </w14:textFill>
        </w:rPr>
        <w:t>蔷薇</w:t>
      </w:r>
      <w:r>
        <w:rPr>
          <w:rFonts w:cs="Times New Roman"/>
          <w:bCs/>
          <w:i/>
          <w:iCs/>
          <w:color w:val="000000" w:themeColor="text1"/>
          <w:spacing w:val="-5"/>
          <w:szCs w:val="24"/>
          <w14:textFill>
            <w14:solidFill>
              <w14:schemeClr w14:val="tx1"/>
            </w14:solidFill>
          </w14:textFill>
        </w:rPr>
        <w:t>Rosa</w:t>
      </w:r>
      <w:r>
        <w:rPr>
          <w:rFonts w:cs="Times New Roman"/>
          <w:bCs/>
          <w:color w:val="000000" w:themeColor="text1"/>
          <w:spacing w:val="-5"/>
          <w:szCs w:val="24"/>
          <w14:textFill>
            <w14:solidFill>
              <w14:schemeClr w14:val="tx1"/>
            </w14:solidFill>
          </w14:textFill>
        </w:rPr>
        <w:t xml:space="preserve"> </w:t>
      </w:r>
      <w:r>
        <w:rPr>
          <w:rFonts w:cs="Times New Roman"/>
          <w:bCs/>
          <w:i/>
          <w:iCs/>
          <w:color w:val="000000" w:themeColor="text1"/>
          <w:spacing w:val="-5"/>
          <w:szCs w:val="24"/>
          <w14:textFill>
            <w14:solidFill>
              <w14:schemeClr w14:val="tx1"/>
            </w14:solidFill>
          </w14:textFill>
        </w:rPr>
        <w:t>sp</w:t>
      </w:r>
      <w:r>
        <w:rPr>
          <w:rFonts w:hint="eastAsia" w:cs="Times New Roman"/>
          <w:bCs/>
          <w:i/>
          <w:iCs/>
          <w:color w:val="000000" w:themeColor="text1"/>
          <w:spacing w:val="-5"/>
          <w:szCs w:val="24"/>
          <w14:textFill>
            <w14:solidFill>
              <w14:schemeClr w14:val="tx1"/>
            </w14:solidFill>
          </w14:textFill>
        </w:rPr>
        <w:t>.</w:t>
      </w:r>
      <w:r>
        <w:rPr>
          <w:rFonts w:cs="Times New Roman"/>
          <w:bCs/>
          <w:color w:val="000000" w:themeColor="text1"/>
          <w:szCs w:val="24"/>
          <w14:textFill>
            <w14:solidFill>
              <w14:schemeClr w14:val="tx1"/>
            </w14:solidFill>
          </w14:textFill>
        </w:rPr>
        <w:t>白茅</w:t>
      </w:r>
      <w:r>
        <w:rPr>
          <w:rFonts w:cs="Times New Roman"/>
          <w:bCs/>
          <w:i/>
          <w:iCs/>
          <w:color w:val="000000" w:themeColor="text1"/>
          <w:spacing w:val="-5"/>
          <w:szCs w:val="24"/>
          <w14:textFill>
            <w14:solidFill>
              <w14:schemeClr w14:val="tx1"/>
            </w14:solidFill>
          </w14:textFill>
        </w:rPr>
        <w:t>mperata</w:t>
      </w:r>
      <w:r>
        <w:rPr>
          <w:rFonts w:cs="Times New Roman"/>
          <w:bCs/>
          <w:color w:val="000000" w:themeColor="text1"/>
          <w:spacing w:val="-5"/>
          <w:szCs w:val="24"/>
          <w14:textFill>
            <w14:solidFill>
              <w14:schemeClr w14:val="tx1"/>
            </w14:solidFill>
          </w14:textFill>
        </w:rPr>
        <w:t xml:space="preserve"> </w:t>
      </w:r>
      <w:r>
        <w:rPr>
          <w:rFonts w:cs="Times New Roman"/>
          <w:bCs/>
          <w:i/>
          <w:iCs/>
          <w:color w:val="000000" w:themeColor="text1"/>
          <w:spacing w:val="-5"/>
          <w:szCs w:val="24"/>
          <w14:textFill>
            <w14:solidFill>
              <w14:schemeClr w14:val="tx1"/>
            </w14:solidFill>
          </w14:textFill>
        </w:rPr>
        <w:t>cylindri</w:t>
      </w:r>
      <w:r>
        <w:rPr>
          <w:rFonts w:cs="Times New Roman"/>
          <w:bCs/>
          <w:i/>
          <w:iCs/>
          <w:color w:val="000000" w:themeColor="text1"/>
          <w:spacing w:val="-4"/>
          <w:szCs w:val="24"/>
          <w14:textFill>
            <w14:solidFill>
              <w14:schemeClr w14:val="tx1"/>
            </w14:solidFill>
          </w14:textFill>
        </w:rPr>
        <w:t>c</w:t>
      </w:r>
      <w:r>
        <w:rPr>
          <w:rFonts w:cs="Times New Roman"/>
          <w:bCs/>
          <w:color w:val="000000" w:themeColor="text1"/>
          <w:spacing w:val="-5"/>
          <w:szCs w:val="24"/>
          <w14:textFill>
            <w14:solidFill>
              <w14:schemeClr w14:val="tx1"/>
            </w14:solidFill>
          </w14:textFill>
        </w:rPr>
        <w:t>等</w:t>
      </w:r>
      <w:r>
        <w:rPr>
          <w:rFonts w:cs="Times New Roman"/>
          <w:bCs/>
          <w:color w:val="000000" w:themeColor="text1"/>
          <w:spacing w:val="-5"/>
          <w:sz w:val="27"/>
          <w:szCs w:val="27"/>
          <w14:textFill>
            <w14:solidFill>
              <w14:schemeClr w14:val="tx1"/>
            </w14:solidFill>
          </w14:textFill>
        </w:rPr>
        <w:t>。</w:t>
      </w:r>
    </w:p>
    <w:p>
      <w:pPr>
        <w:ind w:firstLine="490"/>
        <w:rPr>
          <w:rFonts w:cs="Times New Roman"/>
          <w:bCs/>
          <w:color w:val="000000" w:themeColor="text1"/>
          <w:spacing w:val="5"/>
          <w:szCs w:val="24"/>
          <w14:textFill>
            <w14:solidFill>
              <w14:schemeClr w14:val="tx1"/>
            </w14:solidFill>
          </w14:textFill>
        </w:rPr>
      </w:pPr>
      <w:r>
        <w:rPr>
          <w:rFonts w:cs="Times New Roman"/>
          <w:bCs/>
          <w:color w:val="000000" w:themeColor="text1"/>
          <w:spacing w:val="5"/>
          <w:szCs w:val="24"/>
          <w14:textFill>
            <w14:solidFill>
              <w14:schemeClr w14:val="tx1"/>
            </w14:solidFill>
          </w14:textFill>
        </w:rPr>
        <w:t>（</w:t>
      </w:r>
      <w:r>
        <w:rPr>
          <w:rFonts w:hint="eastAsia" w:cs="Times New Roman"/>
          <w:bCs/>
          <w:color w:val="000000" w:themeColor="text1"/>
          <w:spacing w:val="5"/>
          <w:szCs w:val="24"/>
          <w14:textFill>
            <w14:solidFill>
              <w14:schemeClr w14:val="tx1"/>
            </w14:solidFill>
          </w14:textFill>
        </w:rPr>
        <w:t>3</w:t>
      </w:r>
      <w:r>
        <w:rPr>
          <w:rFonts w:cs="Times New Roman"/>
          <w:bCs/>
          <w:color w:val="000000" w:themeColor="text1"/>
          <w:spacing w:val="5"/>
          <w:szCs w:val="24"/>
          <w14:textFill>
            <w14:solidFill>
              <w14:schemeClr w14:val="tx1"/>
            </w14:solidFill>
          </w14:textFill>
        </w:rPr>
        <w:t>）存在的主要生态问题</w:t>
      </w:r>
    </w:p>
    <w:p>
      <w:pPr>
        <w:ind w:firstLine="490"/>
        <w:rPr>
          <w:color w:val="000000" w:themeColor="text1"/>
          <w14:textFill>
            <w14:solidFill>
              <w14:schemeClr w14:val="tx1"/>
            </w14:solidFill>
          </w14:textFill>
        </w:rPr>
      </w:pPr>
      <w:r>
        <w:rPr>
          <w:rFonts w:cs="Times New Roman"/>
          <w:bCs/>
          <w:color w:val="000000" w:themeColor="text1"/>
          <w:spacing w:val="5"/>
          <w:szCs w:val="24"/>
          <w14:textFill>
            <w14:solidFill>
              <w14:schemeClr w14:val="tx1"/>
            </w14:solidFill>
          </w14:textFill>
        </w:rPr>
        <w:t>项目所在区域现有植被以次生性森林为主。过去由于人们对生态效益认识不足，在经济建设过程中对阔叶林资源进行掠夺式的开发利用，经历上50年代“大跃进”式的毁林开荒，以及80年代初期的“分林到户”而引发的乱砍滥伐，宣汉县境内天然阔叶林资源遭到严重破坏，许多天然阔叶林由于强度砍伐目前只留下灌草丛，有的甚至已退化成坡耕地，虽然目前经过退耕还林封山育林，</w:t>
      </w:r>
      <w:r>
        <w:rPr>
          <w:rFonts w:hint="eastAsia" w:cs="Times New Roman"/>
          <w:bCs/>
          <w:color w:val="000000" w:themeColor="text1"/>
          <w:spacing w:val="5"/>
          <w:szCs w:val="24"/>
          <w14:textFill>
            <w14:solidFill>
              <w14:schemeClr w14:val="tx1"/>
            </w14:solidFill>
          </w14:textFill>
        </w:rPr>
        <w:t>不少</w:t>
      </w:r>
      <w:r>
        <w:rPr>
          <w:rFonts w:cs="Times New Roman"/>
          <w:bCs/>
          <w:color w:val="000000" w:themeColor="text1"/>
          <w:spacing w:val="5"/>
          <w:szCs w:val="24"/>
          <w14:textFill>
            <w14:solidFill>
              <w14:schemeClr w14:val="tx1"/>
            </w14:solidFill>
          </w14:textFill>
        </w:rPr>
        <w:t>区域已经变为乔木林，但多为次生人工幼林，生态效益不高。项目区域周边人口较多，日益增长的人口压力将对山地森林生态系统及其物种资源构成极大的威胁。一旦遭受破坏，极容易引起水土流失，造成生态环境的恶化。生态系统要想恢复到破坏前的状态，至少也要几十年，乃至上百年的时间。若不采取措施，及时保护，若干年后，将不复存在。由此可见，评价范围的森林生态系统和物种资源是非常脆弱的</w:t>
      </w:r>
      <w:r>
        <w:rPr>
          <w:rFonts w:hint="eastAsia" w:cs="Times New Roman"/>
          <w:bCs/>
          <w:color w:val="000000" w:themeColor="text1"/>
          <w:spacing w:val="5"/>
          <w:szCs w:val="24"/>
          <w14:textFill>
            <w14:solidFill>
              <w14:schemeClr w14:val="tx1"/>
            </w14:solidFill>
          </w14:textFill>
        </w:rPr>
        <w:t>。</w:t>
      </w:r>
    </w:p>
    <w:p>
      <w:pPr>
        <w:pStyle w:val="4"/>
        <w:spacing w:before="120"/>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评价范围</w:t>
      </w:r>
      <w:r>
        <w:rPr>
          <w:color w:val="000000" w:themeColor="text1"/>
          <w14:textFill>
            <w14:solidFill>
              <w14:schemeClr w14:val="tx1"/>
            </w14:solidFill>
          </w14:textFill>
        </w:rPr>
        <w:t>植被概况</w:t>
      </w:r>
      <w:bookmarkEnd w:id="243"/>
    </w:p>
    <w:p>
      <w:pPr>
        <w:ind w:firstLine="480"/>
        <w:rPr>
          <w:color w:val="000000" w:themeColor="text1"/>
          <w14:textFill>
            <w14:solidFill>
              <w14:schemeClr w14:val="tx1"/>
            </w14:solidFill>
          </w14:textFill>
        </w:rPr>
      </w:pPr>
      <w:r>
        <w:rPr>
          <w:color w:val="000000" w:themeColor="text1"/>
          <w14:textFill>
            <w14:solidFill>
              <w14:schemeClr w14:val="tx1"/>
            </w14:solidFill>
          </w14:textFill>
        </w:rPr>
        <w:t>1、评价范围内植被概况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现场调查情况，评价区植被覆盖度较高，亚热带针叶林、阔叶林植被，亚热带灌丛、热性草丛植被较常见，有明显的热带特征，评价区内天然植被和人工栽植植被均广泛分布。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植物群落结构及演替规律</w:t>
      </w:r>
    </w:p>
    <w:p>
      <w:pPr>
        <w:ind w:firstLine="480"/>
        <w:rPr>
          <w:color w:val="000000" w:themeColor="text1"/>
          <w14:textFill>
            <w14:solidFill>
              <w14:schemeClr w14:val="tx1"/>
            </w14:solidFill>
          </w14:textFill>
        </w:rPr>
      </w:pPr>
      <w:r>
        <w:rPr>
          <w:rFonts w:cs="Times New Roman"/>
          <w:bCs/>
          <w:color w:val="000000" w:themeColor="text1"/>
          <w14:textFill>
            <w14:solidFill>
              <w14:schemeClr w14:val="tx1"/>
            </w14:solidFill>
          </w14:textFill>
        </w:rPr>
        <w:t>评价区植物群落主要为乔木、灌木、草本为主的结构特征，其中乔木群落结构多为乔灌草三层植被，灌木群落结构多为灌草双层植被，草本群落则多为草丛单层植被。群落自然演替规律总体呈现草本-灌丛-乔木方向演替。同时，随着近年退耕还林等人为活动影响，还存在草本-园地、草本-乔木、灌丛-乔木、旱地-园地、旱地-乔木等结构演替，总之，项目区植物群落总体朝向生物多样性更加复杂、生产力和生物量更加丰富、生态系统结构更加稳定的方向演变</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3、评价范围内维管束植物组成</w:t>
      </w:r>
    </w:p>
    <w:p>
      <w:pPr>
        <w:ind w:firstLine="494"/>
        <w:rPr>
          <w:color w:val="000000" w:themeColor="text1"/>
          <w14:textFill>
            <w14:solidFill>
              <w14:schemeClr w14:val="tx1"/>
            </w14:solidFill>
          </w14:textFill>
        </w:rPr>
      </w:pPr>
      <w:r>
        <w:rPr>
          <w:rFonts w:hint="eastAsia" w:cs="Times New Roman"/>
          <w:bCs/>
          <w:color w:val="000000" w:themeColor="text1"/>
          <w:spacing w:val="7"/>
          <w:szCs w:val="24"/>
          <w14:textFill>
            <w14:solidFill>
              <w14:schemeClr w14:val="tx1"/>
            </w14:solidFill>
          </w14:textFill>
        </w:rPr>
        <w:t>评价区共有维管束植物有39目，82科，184属，244种：其中蕨类植物共有12科14属20种，占总科数的14.63%，总属数的7.61%，总种数的8.20%；裸子植物3科4属4种，占评价区总科数的3.66%，总属数的2.17%，总种数的1.64%；被子植物物种数最多，共有67科166属220种，占评价区总科数的81.71%，总属数的90.22%，总种数的90.98%</w:t>
      </w:r>
      <w:r>
        <w:rPr>
          <w:rFonts w:cs="Times New Roman"/>
          <w:bCs/>
          <w:color w:val="000000" w:themeColor="text1"/>
          <w:spacing w:val="-3"/>
          <w:szCs w:val="24"/>
          <w14:textFill>
            <w14:solidFill>
              <w14:schemeClr w14:val="tx1"/>
            </w14:solidFill>
          </w14:textFill>
        </w:rPr>
        <w:t>。具体名录见附表1</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4、项目评价范围内主要植被类型</w:t>
      </w:r>
    </w:p>
    <w:p>
      <w:pPr>
        <w:ind w:firstLine="480"/>
        <w:rPr>
          <w:color w:val="000000" w:themeColor="text1"/>
          <w14:textFill>
            <w14:solidFill>
              <w14:schemeClr w14:val="tx1"/>
            </w14:solidFill>
          </w14:textFill>
        </w:rPr>
      </w:pPr>
      <w:r>
        <w:rPr>
          <w:rFonts w:cs="Times New Roman"/>
          <w:bCs/>
          <w:color w:val="000000" w:themeColor="text1"/>
          <w14:textFill>
            <w14:solidFill>
              <w14:schemeClr w14:val="tx1"/>
            </w14:solidFill>
          </w14:textFill>
        </w:rPr>
        <w:t>采用实地踏勘和样方调查相结合的方法对评价范围内植被进行实地调查，结合卫星影像解译成果，参考现有的资料和文献，根据各类群落的特征，按照吴征镒等《中国植物志</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四川植物志》中对四川的自然、人工植被的分类系统，划分出评价范围内不同的植被类型，形成植被分类系统。评价区自然植被涉及3种植被型组，4种植被型和5种群系，自然植被分类见</w:t>
      </w:r>
      <w:r>
        <w:rPr>
          <w:color w:val="000000" w:themeColor="text1"/>
          <w14:textFill>
            <w14:solidFill>
              <w14:schemeClr w14:val="tx1"/>
            </w14:solidFill>
          </w14:textFill>
        </w:rPr>
        <w:t>表4.3-</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工程评价范围自然植被分类系统</w:t>
      </w:r>
    </w:p>
    <w:tbl>
      <w:tblPr>
        <w:tblStyle w:val="90"/>
        <w:tblW w:w="51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4"/>
        <w:gridCol w:w="854"/>
        <w:gridCol w:w="934"/>
        <w:gridCol w:w="1345"/>
        <w:gridCol w:w="1940"/>
        <w:gridCol w:w="1464"/>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399"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植被型组</w:t>
            </w:r>
          </w:p>
        </w:tc>
        <w:tc>
          <w:tcPr>
            <w:tcW w:w="498"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植被型</w:t>
            </w:r>
          </w:p>
        </w:tc>
        <w:tc>
          <w:tcPr>
            <w:tcW w:w="545" w:type="pct"/>
            <w:vAlign w:val="center"/>
          </w:tcPr>
          <w:p>
            <w:pPr>
              <w:adjustRightInd/>
              <w:snapToGrid/>
              <w:spacing w:before="120" w:line="214" w:lineRule="auto"/>
              <w:ind w:firstLine="0" w:firstLineChars="0"/>
              <w:jc w:val="center"/>
              <w:rPr>
                <w:rFonts w:cs="Times New Roman"/>
                <w:b/>
                <w:color w:val="000000" w:themeColor="text1"/>
                <w:spacing w:val="-4"/>
                <w:sz w:val="21"/>
                <w:szCs w:val="21"/>
                <w:lang w:eastAsia="en-US"/>
                <w14:textFill>
                  <w14:solidFill>
                    <w14:schemeClr w14:val="tx1"/>
                  </w14:solidFill>
                </w14:textFill>
              </w:rPr>
            </w:pPr>
            <w:r>
              <w:rPr>
                <w:rFonts w:cs="Times New Roman"/>
                <w:b/>
                <w:color w:val="000000" w:themeColor="text1"/>
                <w:spacing w:val="-4"/>
                <w:sz w:val="21"/>
                <w:szCs w:val="21"/>
                <w:lang w:eastAsia="en-US"/>
                <w14:textFill>
                  <w14:solidFill>
                    <w14:schemeClr w14:val="tx1"/>
                  </w14:solidFill>
                </w14:textFill>
              </w:rPr>
              <w:t>植被亚型</w:t>
            </w:r>
          </w:p>
        </w:tc>
        <w:tc>
          <w:tcPr>
            <w:tcW w:w="785" w:type="pct"/>
            <w:vAlign w:val="center"/>
          </w:tcPr>
          <w:p>
            <w:pPr>
              <w:adjustRightInd/>
              <w:snapToGrid/>
              <w:spacing w:before="120" w:line="214" w:lineRule="auto"/>
              <w:ind w:firstLine="0" w:firstLineChars="0"/>
              <w:jc w:val="center"/>
              <w:rPr>
                <w:rFonts w:cs="Times New Roman"/>
                <w:b/>
                <w:color w:val="000000" w:themeColor="text1"/>
                <w:spacing w:val="-3"/>
                <w:sz w:val="21"/>
                <w:szCs w:val="21"/>
                <w:lang w:eastAsia="en-US"/>
                <w14:textFill>
                  <w14:solidFill>
                    <w14:schemeClr w14:val="tx1"/>
                  </w14:solidFill>
                </w14:textFill>
              </w:rPr>
            </w:pPr>
            <w:r>
              <w:rPr>
                <w:rFonts w:cs="Times New Roman"/>
                <w:b/>
                <w:color w:val="000000" w:themeColor="text1"/>
                <w:spacing w:val="-3"/>
                <w:sz w:val="21"/>
                <w:szCs w:val="21"/>
                <w:lang w:eastAsia="en-US"/>
                <w14:textFill>
                  <w14:solidFill>
                    <w14:schemeClr w14:val="tx1"/>
                  </w14:solidFill>
                </w14:textFill>
              </w:rPr>
              <w:t>群系组</w:t>
            </w:r>
          </w:p>
        </w:tc>
        <w:tc>
          <w:tcPr>
            <w:tcW w:w="1132" w:type="pct"/>
            <w:vAlign w:val="center"/>
          </w:tcPr>
          <w:p>
            <w:pPr>
              <w:adjustRightInd/>
              <w:snapToGrid/>
              <w:spacing w:before="120" w:line="214" w:lineRule="auto"/>
              <w:ind w:firstLine="0" w:firstLineChars="0"/>
              <w:jc w:val="center"/>
              <w:rPr>
                <w:rFonts w:cs="Times New Roman"/>
                <w:b/>
                <w:color w:val="000000" w:themeColor="text1"/>
                <w:sz w:val="21"/>
                <w:szCs w:val="21"/>
                <w:lang w:eastAsia="en-US"/>
                <w14:textFill>
                  <w14:solidFill>
                    <w14:schemeClr w14:val="tx1"/>
                  </w14:solidFill>
                </w14:textFill>
              </w:rPr>
            </w:pPr>
            <w:r>
              <w:rPr>
                <w:rFonts w:cs="Times New Roman"/>
                <w:b/>
                <w:color w:val="000000" w:themeColor="text1"/>
                <w:spacing w:val="-3"/>
                <w:sz w:val="21"/>
                <w:szCs w:val="21"/>
                <w:lang w:eastAsia="en-US"/>
                <w14:textFill>
                  <w14:solidFill>
                    <w14:schemeClr w14:val="tx1"/>
                  </w14:solidFill>
                </w14:textFill>
              </w:rPr>
              <w:t>群</w:t>
            </w:r>
            <w:r>
              <w:rPr>
                <w:rFonts w:cs="Times New Roman"/>
                <w:b/>
                <w:color w:val="000000" w:themeColor="text1"/>
                <w:spacing w:val="-2"/>
                <w:sz w:val="21"/>
                <w:szCs w:val="21"/>
                <w:lang w:eastAsia="en-US"/>
                <w14:textFill>
                  <w14:solidFill>
                    <w14:schemeClr w14:val="tx1"/>
                  </w14:solidFill>
                </w14:textFill>
              </w:rPr>
              <w:t>系</w:t>
            </w:r>
          </w:p>
        </w:tc>
        <w:tc>
          <w:tcPr>
            <w:tcW w:w="854" w:type="pct"/>
            <w:vAlign w:val="center"/>
          </w:tcPr>
          <w:p>
            <w:pPr>
              <w:adjustRightInd/>
              <w:snapToGrid/>
              <w:spacing w:line="240" w:lineRule="auto"/>
              <w:ind w:firstLine="0" w:firstLineChars="0"/>
              <w:jc w:val="center"/>
              <w:rPr>
                <w:rFonts w:cs="Times New Roman"/>
                <w:b/>
                <w:color w:val="000000" w:themeColor="text1"/>
                <w:spacing w:val="-2"/>
                <w:sz w:val="21"/>
                <w:szCs w:val="21"/>
                <w:lang w:eastAsia="en-US"/>
                <w14:textFill>
                  <w14:solidFill>
                    <w14:schemeClr w14:val="tx1"/>
                  </w14:solidFill>
                </w14:textFill>
              </w:rPr>
            </w:pPr>
            <w:r>
              <w:rPr>
                <w:rFonts w:cs="Times New Roman"/>
                <w:b/>
                <w:color w:val="000000" w:themeColor="text1"/>
                <w:sz w:val="21"/>
                <w:szCs w:val="21"/>
                <w:lang w:eastAsia="en-US"/>
                <w14:textFill>
                  <w14:solidFill>
                    <w14:schemeClr w14:val="tx1"/>
                  </w14:solidFill>
                </w14:textFill>
              </w:rPr>
              <w:t>面积</w:t>
            </w:r>
            <w:r>
              <w:rPr>
                <w:rFonts w:hint="eastAsia" w:cs="Times New Roman"/>
                <w:b/>
                <w:color w:val="000000" w:themeColor="text1"/>
                <w:sz w:val="21"/>
                <w:szCs w:val="21"/>
                <w:lang w:eastAsia="en-US"/>
                <w14:textFill>
                  <w14:solidFill>
                    <w14:schemeClr w14:val="tx1"/>
                  </w14:solidFill>
                </w14:textFill>
              </w:rPr>
              <w:t>（</w:t>
            </w:r>
            <w:r>
              <w:rPr>
                <w:rFonts w:cs="Times New Roman"/>
                <w:b/>
                <w:color w:val="000000" w:themeColor="text1"/>
                <w:sz w:val="21"/>
                <w:szCs w:val="21"/>
                <w:lang w:eastAsia="en-US"/>
                <w14:textFill>
                  <w14:solidFill>
                    <w14:schemeClr w14:val="tx1"/>
                  </w14:solidFill>
                </w14:textFill>
              </w:rPr>
              <w:t>hm²</w:t>
            </w:r>
            <w:r>
              <w:rPr>
                <w:rFonts w:hint="eastAsia" w:cs="Times New Roman"/>
                <w:b/>
                <w:color w:val="000000" w:themeColor="text1"/>
                <w:sz w:val="21"/>
                <w:szCs w:val="21"/>
                <w:lang w:eastAsia="en-US"/>
                <w14:textFill>
                  <w14:solidFill>
                    <w14:schemeClr w14:val="tx1"/>
                  </w14:solidFill>
                </w14:textFill>
              </w:rPr>
              <w:t>）</w:t>
            </w:r>
          </w:p>
        </w:tc>
        <w:tc>
          <w:tcPr>
            <w:tcW w:w="787" w:type="pct"/>
            <w:vAlign w:val="center"/>
          </w:tcPr>
          <w:p>
            <w:pPr>
              <w:adjustRightInd/>
              <w:snapToGrid/>
              <w:spacing w:line="240" w:lineRule="auto"/>
              <w:ind w:firstLine="0" w:firstLineChars="0"/>
              <w:jc w:val="center"/>
              <w:rPr>
                <w:rFonts w:cs="Times New Roman"/>
                <w:b/>
                <w:color w:val="000000" w:themeColor="text1"/>
                <w:spacing w:val="-2"/>
                <w:sz w:val="21"/>
                <w:szCs w:val="21"/>
                <w:lang w:eastAsia="en-US"/>
                <w14:textFill>
                  <w14:solidFill>
                    <w14:schemeClr w14:val="tx1"/>
                  </w14:solidFill>
                </w14:textFill>
              </w:rPr>
            </w:pPr>
            <w:r>
              <w:rPr>
                <w:rFonts w:cs="Times New Roman"/>
                <w:b/>
                <w:color w:val="000000" w:themeColor="text1"/>
                <w:sz w:val="21"/>
                <w:szCs w:val="21"/>
                <w:lang w:eastAsia="en-US"/>
                <w14:textFill>
                  <w14:solidFill>
                    <w14:schemeClr w14:val="tx1"/>
                  </w14:solidFill>
                </w14:textFill>
              </w:rPr>
              <w:t>比例</w:t>
            </w:r>
            <w:r>
              <w:rPr>
                <w:rFonts w:hint="eastAsia" w:cs="Times New Roman"/>
                <w:b/>
                <w:color w:val="000000" w:themeColor="text1"/>
                <w:sz w:val="21"/>
                <w:szCs w:val="21"/>
                <w:lang w:eastAsia="en-US"/>
                <w14:textFill>
                  <w14:solidFill>
                    <w14:schemeClr w14:val="tx1"/>
                  </w14:solidFill>
                </w14:textFill>
              </w:rPr>
              <w:t>（</w:t>
            </w:r>
            <w:r>
              <w:rPr>
                <w:rFonts w:cs="Times New Roman"/>
                <w:b/>
                <w:color w:val="000000" w:themeColor="text1"/>
                <w:sz w:val="21"/>
                <w:szCs w:val="21"/>
                <w:lang w:eastAsia="en-US"/>
                <w14:textFill>
                  <w14:solidFill>
                    <w14:schemeClr w14:val="tx1"/>
                  </w14:solidFill>
                </w14:textFill>
              </w:rPr>
              <w:t>%</w:t>
            </w:r>
            <w:r>
              <w:rPr>
                <w:rFonts w:hint="eastAsia" w:cs="Times New Roman"/>
                <w:b/>
                <w:color w:val="000000" w:themeColor="text1"/>
                <w:sz w:val="21"/>
                <w:szCs w:val="21"/>
                <w:lang w:eastAsia="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99"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针叶林</w:t>
            </w: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暖性针叶林</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12"/>
                <w:sz w:val="21"/>
                <w:szCs w:val="21"/>
                <w:lang w:eastAsia="en-US"/>
                <w14:textFill>
                  <w14:solidFill>
                    <w14:schemeClr w14:val="tx1"/>
                  </w14:solidFill>
                </w14:textFill>
              </w:rPr>
              <w:t>暖性常绿</w:t>
            </w:r>
            <w:r>
              <w:rPr>
                <w:rFonts w:cs="Times New Roman"/>
                <w:bCs/>
                <w:color w:val="000000" w:themeColor="text1"/>
                <w:spacing w:val="-4"/>
                <w:sz w:val="21"/>
                <w:szCs w:val="21"/>
                <w:lang w:eastAsia="en-US"/>
                <w14:textFill>
                  <w14:solidFill>
                    <w14:schemeClr w14:val="tx1"/>
                  </w14:solidFill>
                </w14:textFill>
              </w:rPr>
              <w:t>针叶林</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eastAsia="en-US" w:bidi="ar"/>
                <w14:textFill>
                  <w14:solidFill>
                    <w14:schemeClr w14:val="tx1"/>
                  </w14:solidFill>
                </w14:textFill>
              </w:rPr>
            </w:pPr>
            <w:r>
              <w:rPr>
                <w:rFonts w:cs="Times New Roman"/>
                <w:bCs/>
                <w:color w:val="000000" w:themeColor="text1"/>
                <w:kern w:val="0"/>
                <w:sz w:val="21"/>
                <w:szCs w:val="21"/>
                <w:lang w:eastAsia="en-US" w:bidi="ar"/>
                <w14:textFill>
                  <w14:solidFill>
                    <w14:schemeClr w14:val="tx1"/>
                  </w14:solidFill>
                </w14:textFill>
              </w:rPr>
              <w:t>暖性松林</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kern w:val="0"/>
                <w:sz w:val="21"/>
                <w:szCs w:val="21"/>
                <w:lang w:eastAsia="en-US" w:bidi="ar"/>
                <w14:textFill>
                  <w14:solidFill>
                    <w14:schemeClr w14:val="tx1"/>
                  </w14:solidFill>
                </w14:textFill>
              </w:rPr>
              <w:t>马尾松</w:t>
            </w:r>
            <w:r>
              <w:rPr>
                <w:rFonts w:cs="Times New Roman"/>
                <w:bCs/>
                <w:color w:val="000000" w:themeColor="text1"/>
                <w:spacing w:val="-3"/>
                <w:sz w:val="21"/>
                <w:szCs w:val="21"/>
                <w:lang w:eastAsia="en-US"/>
                <w14:textFill>
                  <w14:solidFill>
                    <w14:schemeClr w14:val="tx1"/>
                  </w14:solidFill>
                </w14:textFill>
              </w:rPr>
              <w:t>群</w:t>
            </w:r>
            <w:r>
              <w:rPr>
                <w:rFonts w:cs="Times New Roman"/>
                <w:bCs/>
                <w:color w:val="000000" w:themeColor="text1"/>
                <w:spacing w:val="-2"/>
                <w:sz w:val="21"/>
                <w:szCs w:val="21"/>
                <w:lang w:eastAsia="en-US"/>
                <w14:textFill>
                  <w14:solidFill>
                    <w14:schemeClr w14:val="tx1"/>
                  </w14:solidFill>
                </w14:textFill>
              </w:rPr>
              <w:t>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195.55</w:t>
            </w:r>
          </w:p>
        </w:tc>
        <w:tc>
          <w:tcPr>
            <w:tcW w:w="787"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30.89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399"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阔叶林</w:t>
            </w: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落叶阔叶林</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典型落叶阔叶林</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栎林</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麻栎+青冈群系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68.19</w:t>
            </w:r>
          </w:p>
        </w:tc>
        <w:tc>
          <w:tcPr>
            <w:tcW w:w="787"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10.77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灌丛和灌 草丛</w:t>
            </w:r>
          </w:p>
        </w:tc>
        <w:tc>
          <w:tcPr>
            <w:tcW w:w="498"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落叶阔叶灌丛</w:t>
            </w:r>
          </w:p>
        </w:tc>
        <w:tc>
          <w:tcPr>
            <w:tcW w:w="545" w:type="pct"/>
            <w:vMerge w:val="restar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暖性落叶阔叶灌丛</w:t>
            </w:r>
          </w:p>
        </w:tc>
        <w:tc>
          <w:tcPr>
            <w:tcW w:w="785"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低山丘陵落叶阔叶灌丛</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野桐+盐肤木</w:t>
            </w:r>
            <w:r>
              <w:rPr>
                <w:rFonts w:hint="eastAsia" w:cs="Times New Roman"/>
                <w:bCs/>
                <w:color w:val="000000" w:themeColor="text1"/>
                <w:spacing w:val="15"/>
                <w:sz w:val="21"/>
                <w:szCs w:val="21"/>
                <w:lang w:eastAsia="en-US"/>
                <w14:textFill>
                  <w14:solidFill>
                    <w14:schemeClr w14:val="tx1"/>
                  </w14:solidFill>
                </w14:textFill>
              </w:rPr>
              <w:t>灌丛</w:t>
            </w:r>
          </w:p>
        </w:tc>
        <w:tc>
          <w:tcPr>
            <w:tcW w:w="854"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36.49</w:t>
            </w:r>
          </w:p>
        </w:tc>
        <w:tc>
          <w:tcPr>
            <w:tcW w:w="787" w:type="pct"/>
            <w:vMerge w:val="restar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498"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545"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p>
        </w:tc>
        <w:tc>
          <w:tcPr>
            <w:tcW w:w="785"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zh-CN"/>
                <w14:textFill>
                  <w14:solidFill>
                    <w14:schemeClr w14:val="tx1"/>
                  </w14:solidFill>
                </w14:textFill>
              </w:rPr>
            </w:pPr>
            <w:r>
              <w:rPr>
                <w:rFonts w:cs="Times New Roman"/>
                <w:bCs/>
                <w:color w:val="000000" w:themeColor="text1"/>
                <w:spacing w:val="15"/>
                <w:sz w:val="21"/>
                <w:szCs w:val="21"/>
                <w:lang w:eastAsia="zh-CN"/>
                <w14:textFill>
                  <w14:solidFill>
                    <w14:schemeClr w14:val="tx1"/>
                  </w14:solidFill>
                </w14:textFill>
              </w:rPr>
              <w:t>马桑+黄荆+火棘+荚蒾灌丛群系</w:t>
            </w:r>
          </w:p>
        </w:tc>
        <w:tc>
          <w:tcPr>
            <w:tcW w:w="854"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zh-CN"/>
                <w14:textFill>
                  <w14:solidFill>
                    <w14:schemeClr w14:val="tx1"/>
                  </w14:solidFill>
                </w14:textFill>
              </w:rPr>
            </w:pPr>
          </w:p>
        </w:tc>
        <w:tc>
          <w:tcPr>
            <w:tcW w:w="787" w:type="pct"/>
            <w:vMerge w:val="continue"/>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399" w:type="pct"/>
            <w:vMerge w:val="continue"/>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zh-CN"/>
                <w14:textFill>
                  <w14:solidFill>
                    <w14:schemeClr w14:val="tx1"/>
                  </w14:solidFill>
                </w14:textFill>
              </w:rPr>
            </w:pPr>
          </w:p>
        </w:tc>
        <w:tc>
          <w:tcPr>
            <w:tcW w:w="498"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灌草丛</w:t>
            </w:r>
          </w:p>
        </w:tc>
        <w:tc>
          <w:tcPr>
            <w:tcW w:w="545" w:type="pct"/>
            <w:vAlign w:val="center"/>
          </w:tcPr>
          <w:p>
            <w:pPr>
              <w:adjustRightInd/>
              <w:snapToGrid/>
              <w:spacing w:before="120" w:line="214" w:lineRule="auto"/>
              <w:ind w:firstLine="0" w:firstLineChars="0"/>
              <w:jc w:val="center"/>
              <w:rPr>
                <w:rFonts w:cs="Times New Roman"/>
                <w:bCs/>
                <w:color w:val="000000" w:themeColor="text1"/>
                <w:spacing w:val="-4"/>
                <w:sz w:val="21"/>
                <w:szCs w:val="21"/>
                <w:lang w:eastAsia="en-US"/>
                <w14:textFill>
                  <w14:solidFill>
                    <w14:schemeClr w14:val="tx1"/>
                  </w14:solidFill>
                </w14:textFill>
              </w:rPr>
            </w:pPr>
            <w:r>
              <w:rPr>
                <w:rFonts w:cs="Times New Roman"/>
                <w:bCs/>
                <w:color w:val="000000" w:themeColor="text1"/>
                <w:spacing w:val="-4"/>
                <w:sz w:val="21"/>
                <w:szCs w:val="21"/>
                <w:lang w:eastAsia="en-US"/>
                <w14:textFill>
                  <w14:solidFill>
                    <w14:schemeClr w14:val="tx1"/>
                  </w14:solidFill>
                </w14:textFill>
              </w:rPr>
              <w:t>暖热性灌草丛</w:t>
            </w:r>
          </w:p>
        </w:tc>
        <w:tc>
          <w:tcPr>
            <w:tcW w:w="785"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禾草灌草丛</w:t>
            </w:r>
          </w:p>
        </w:tc>
        <w:tc>
          <w:tcPr>
            <w:tcW w:w="1132" w:type="pct"/>
            <w:vAlign w:val="center"/>
          </w:tcPr>
          <w:p>
            <w:pPr>
              <w:widowControl/>
              <w:adjustRightInd/>
              <w:snapToGrid/>
              <w:spacing w:line="240" w:lineRule="auto"/>
              <w:ind w:firstLine="0" w:firstLineChars="0"/>
              <w:jc w:val="center"/>
              <w:textAlignment w:val="bottom"/>
              <w:rPr>
                <w:rFonts w:cs="Times New Roman"/>
                <w:bCs/>
                <w:color w:val="000000" w:themeColor="text1"/>
                <w:spacing w:val="15"/>
                <w:sz w:val="21"/>
                <w:szCs w:val="21"/>
                <w:lang w:eastAsia="en-US"/>
                <w14:textFill>
                  <w14:solidFill>
                    <w14:schemeClr w14:val="tx1"/>
                  </w14:solidFill>
                </w14:textFill>
              </w:rPr>
            </w:pPr>
            <w:r>
              <w:rPr>
                <w:rFonts w:cs="Times New Roman"/>
                <w:bCs/>
                <w:color w:val="000000" w:themeColor="text1"/>
                <w:spacing w:val="15"/>
                <w:sz w:val="21"/>
                <w:szCs w:val="21"/>
                <w:lang w:eastAsia="en-US"/>
                <w14:textFill>
                  <w14:solidFill>
                    <w14:schemeClr w14:val="tx1"/>
                  </w14:solidFill>
                </w14:textFill>
              </w:rPr>
              <w:t>芒+白茅草丛群系</w:t>
            </w:r>
          </w:p>
        </w:tc>
        <w:tc>
          <w:tcPr>
            <w:tcW w:w="854"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13.72</w:t>
            </w:r>
          </w:p>
        </w:tc>
        <w:tc>
          <w:tcPr>
            <w:tcW w:w="787" w:type="pct"/>
            <w:vAlign w:val="center"/>
          </w:tcPr>
          <w:p>
            <w:pPr>
              <w:widowControl/>
              <w:adjustRightInd/>
              <w:snapToGrid/>
              <w:spacing w:line="240" w:lineRule="auto"/>
              <w:ind w:firstLine="0" w:firstLineChars="0"/>
              <w:jc w:val="center"/>
              <w:textAlignment w:val="bottom"/>
              <w:rPr>
                <w:rFonts w:cs="Times New Roman"/>
                <w:bCs/>
                <w:color w:val="000000" w:themeColor="text1"/>
                <w:sz w:val="21"/>
                <w:szCs w:val="21"/>
                <w:lang w:eastAsia="en-US"/>
                <w14:textFill>
                  <w14:solidFill>
                    <w14:schemeClr w14:val="tx1"/>
                  </w14:solidFill>
                </w14:textFill>
              </w:rPr>
            </w:pPr>
            <w:r>
              <w:rPr>
                <w:rFonts w:cs="Times New Roman"/>
                <w:bCs/>
                <w:color w:val="000000" w:themeColor="text1"/>
                <w:sz w:val="21"/>
                <w:szCs w:val="21"/>
                <w:lang w:eastAsia="en-US"/>
                <w14:textFill>
                  <w14:solidFill>
                    <w14:schemeClr w14:val="tx1"/>
                  </w14:solidFill>
                </w14:textFill>
              </w:rPr>
              <w:t xml:space="preserve">2.17 </w:t>
            </w:r>
          </w:p>
        </w:tc>
      </w:tr>
    </w:tbl>
    <w:p>
      <w:pPr>
        <w:spacing w:before="120"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Ⅰ森林植被</w:t>
      </w:r>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马尾松群系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Form.P.massoniana</w:t>
      </w:r>
      <w:r>
        <w:rPr>
          <w:rFonts w:hint="eastAsia"/>
          <w:color w:val="000000" w:themeColor="text1"/>
          <w14:textFill>
            <w14:solidFill>
              <w14:schemeClr w14:val="tx1"/>
            </w14:solidFill>
          </w14:textFill>
        </w:rPr>
        <w:t>）</w:t>
      </w:r>
    </w:p>
    <w:p>
      <w:pPr>
        <w:ind w:firstLine="464"/>
        <w:rPr>
          <w:color w:val="000000" w:themeColor="text1"/>
          <w14:textFill>
            <w14:solidFill>
              <w14:schemeClr w14:val="tx1"/>
            </w14:solidFill>
          </w14:textFill>
        </w:rPr>
      </w:pPr>
      <w:r>
        <w:rPr>
          <w:rFonts w:cs="Times New Roman"/>
          <w:bCs/>
          <w:color w:val="000000" w:themeColor="text1"/>
          <w:spacing w:val="-8"/>
          <w:szCs w:val="24"/>
          <w14:textFill>
            <w14:solidFill>
              <w14:schemeClr w14:val="tx1"/>
            </w14:solidFill>
          </w14:textFill>
        </w:rPr>
        <w:t>评</w:t>
      </w:r>
      <w:r>
        <w:rPr>
          <w:rFonts w:cs="Times New Roman"/>
          <w:bCs/>
          <w:color w:val="000000" w:themeColor="text1"/>
          <w:spacing w:val="-4"/>
          <w:szCs w:val="24"/>
          <w14:textFill>
            <w14:solidFill>
              <w14:schemeClr w14:val="tx1"/>
            </w14:solidFill>
          </w14:textFill>
        </w:rPr>
        <w:t>价区的</w:t>
      </w:r>
      <w:r>
        <w:rPr>
          <w:rFonts w:cs="Times New Roman"/>
          <w:bCs/>
          <w:color w:val="000000" w:themeColor="text1"/>
          <w:szCs w:val="24"/>
          <w14:textFill>
            <w14:solidFill>
              <w14:schemeClr w14:val="tx1"/>
            </w14:solidFill>
          </w14:textFill>
        </w:rPr>
        <w:t>马尾</w:t>
      </w:r>
      <w:r>
        <w:rPr>
          <w:rFonts w:cs="Times New Roman"/>
          <w:bCs/>
          <w:color w:val="000000" w:themeColor="text1"/>
          <w:spacing w:val="-4"/>
          <w:szCs w:val="24"/>
          <w14:textFill>
            <w14:solidFill>
              <w14:schemeClr w14:val="tx1"/>
            </w14:solidFill>
          </w14:textFill>
        </w:rPr>
        <w:t>松林为人工起源，</w:t>
      </w:r>
      <w:r>
        <w:rPr>
          <w:rFonts w:cs="Times New Roman"/>
          <w:bCs/>
          <w:color w:val="000000" w:themeColor="text1"/>
          <w:szCs w:val="24"/>
          <w14:textFill>
            <w14:solidFill>
              <w14:schemeClr w14:val="tx1"/>
            </w14:solidFill>
          </w14:textFill>
        </w:rPr>
        <w:t>马尾松是向阳、喜温暖的树种。多分布于酸性土上。</w:t>
      </w:r>
      <w:r>
        <w:rPr>
          <w:rFonts w:cs="Times New Roman"/>
          <w:bCs/>
          <w:color w:val="000000" w:themeColor="text1"/>
          <w:spacing w:val="-8"/>
          <w:szCs w:val="24"/>
          <w14:textFill>
            <w14:solidFill>
              <w14:schemeClr w14:val="tx1"/>
            </w14:solidFill>
          </w14:textFill>
        </w:rPr>
        <w:t>评</w:t>
      </w:r>
      <w:r>
        <w:rPr>
          <w:rFonts w:cs="Times New Roman"/>
          <w:bCs/>
          <w:color w:val="000000" w:themeColor="text1"/>
          <w:spacing w:val="-4"/>
          <w:szCs w:val="24"/>
          <w14:textFill>
            <w14:solidFill>
              <w14:schemeClr w14:val="tx1"/>
            </w14:solidFill>
          </w14:textFill>
        </w:rPr>
        <w:t>价区的</w:t>
      </w:r>
      <w:r>
        <w:rPr>
          <w:rFonts w:cs="Times New Roman"/>
          <w:bCs/>
          <w:color w:val="000000" w:themeColor="text1"/>
          <w:szCs w:val="24"/>
          <w14:textFill>
            <w14:solidFill>
              <w14:schemeClr w14:val="tx1"/>
            </w14:solidFill>
          </w14:textFill>
        </w:rPr>
        <w:t>马尾</w:t>
      </w:r>
      <w:r>
        <w:rPr>
          <w:rFonts w:cs="Times New Roman"/>
          <w:bCs/>
          <w:color w:val="000000" w:themeColor="text1"/>
          <w:spacing w:val="-4"/>
          <w:szCs w:val="24"/>
          <w14:textFill>
            <w14:solidFill>
              <w14:schemeClr w14:val="tx1"/>
            </w14:solidFill>
          </w14:textFill>
        </w:rPr>
        <w:t>松（</w:t>
      </w:r>
      <w:r>
        <w:rPr>
          <w:rFonts w:cs="Times New Roman"/>
          <w:bCs/>
          <w:i/>
          <w:iCs/>
          <w:color w:val="000000" w:themeColor="text1"/>
          <w:spacing w:val="-4"/>
          <w:szCs w:val="24"/>
          <w14:textFill>
            <w14:solidFill>
              <w14:schemeClr w14:val="tx1"/>
            </w14:solidFill>
          </w14:textFill>
        </w:rPr>
        <w:t>P.massoniana</w:t>
      </w:r>
      <w:r>
        <w:rPr>
          <w:rFonts w:cs="Times New Roman"/>
          <w:bCs/>
          <w:color w:val="000000" w:themeColor="text1"/>
          <w:spacing w:val="-4"/>
          <w:szCs w:val="24"/>
          <w14:textFill>
            <w14:solidFill>
              <w14:schemeClr w14:val="tx1"/>
            </w14:solidFill>
          </w14:textFill>
        </w:rPr>
        <w:t>）林为人工起源，</w:t>
      </w:r>
      <w:r>
        <w:rPr>
          <w:rFonts w:cs="Times New Roman"/>
          <w:bCs/>
          <w:color w:val="000000" w:themeColor="text1"/>
          <w:spacing w:val="3"/>
          <w:szCs w:val="24"/>
          <w14:textFill>
            <w14:solidFill>
              <w14:schemeClr w14:val="tx1"/>
            </w14:solidFill>
          </w14:textFill>
        </w:rPr>
        <w:t>在评价区广泛分布。</w:t>
      </w:r>
      <w:r>
        <w:rPr>
          <w:rFonts w:cs="Times New Roman"/>
          <w:bCs/>
          <w:color w:val="000000" w:themeColor="text1"/>
          <w:szCs w:val="24"/>
          <w14:textFill>
            <w14:solidFill>
              <w14:schemeClr w14:val="tx1"/>
            </w14:solidFill>
          </w14:textFill>
        </w:rPr>
        <w:t>群落外貌翠绿色，林冠整齐。多为次生林或人工林。除部分幼林外，一般树龄差异大，树龄一般不超过30年。郁闭度0.6~0.8。株高10m</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20m，胸径6cm</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30cm左右</w:t>
      </w:r>
      <w:r>
        <w:rPr>
          <w:rFonts w:cs="Times New Roman"/>
          <w:bCs/>
          <w:color w:val="000000" w:themeColor="text1"/>
          <w:spacing w:val="-10"/>
          <w:szCs w:val="24"/>
          <w14:textFill>
            <w14:solidFill>
              <w14:schemeClr w14:val="tx1"/>
            </w14:solidFill>
          </w14:textFill>
        </w:rPr>
        <w:t>。主要以马尾松纯林和马尾松、杉木混交林为主。乔灌层次分明，乔木层主要有马尾松、杉木</w:t>
      </w:r>
      <w:r>
        <w:rPr>
          <w:rFonts w:cs="Times New Roman"/>
          <w:bCs/>
          <w:color w:val="000000" w:themeColor="text1"/>
          <w:spacing w:val="-4"/>
          <w:szCs w:val="24"/>
          <w14:textFill>
            <w14:solidFill>
              <w14:schemeClr w14:val="tx1"/>
            </w14:solidFill>
          </w14:textFill>
        </w:rPr>
        <w:t>、</w:t>
      </w:r>
      <w:r>
        <w:rPr>
          <w:rFonts w:cs="Times New Roman"/>
          <w:bCs/>
          <w:color w:val="000000" w:themeColor="text1"/>
          <w:spacing w:val="-3"/>
          <w:szCs w:val="24"/>
          <w14:textFill>
            <w14:solidFill>
              <w14:schemeClr w14:val="tx1"/>
            </w14:solidFill>
          </w14:textFill>
        </w:rPr>
        <w:t>枫香、栓皮栎、麻栎等。灌木层种类较多，</w:t>
      </w:r>
      <w:r>
        <w:rPr>
          <w:rFonts w:cs="Times New Roman"/>
          <w:bCs/>
          <w:color w:val="000000" w:themeColor="text1"/>
          <w:spacing w:val="14"/>
          <w:szCs w:val="24"/>
          <w14:textFill>
            <w14:solidFill>
              <w14:schemeClr w14:val="tx1"/>
            </w14:solidFill>
          </w14:textFill>
        </w:rPr>
        <w:t>常见</w:t>
      </w:r>
      <w:r>
        <w:rPr>
          <w:rFonts w:cs="Times New Roman"/>
          <w:bCs/>
          <w:color w:val="000000" w:themeColor="text1"/>
          <w:spacing w:val="12"/>
          <w:szCs w:val="24"/>
          <w14:textFill>
            <w14:solidFill>
              <w14:schemeClr w14:val="tx1"/>
            </w14:solidFill>
          </w14:textFill>
        </w:rPr>
        <w:t>为</w:t>
      </w:r>
      <w:r>
        <w:rPr>
          <w:rFonts w:cs="Times New Roman"/>
          <w:bCs/>
          <w:color w:val="000000" w:themeColor="text1"/>
          <w:spacing w:val="7"/>
          <w:szCs w:val="24"/>
          <w14:textFill>
            <w14:solidFill>
              <w14:schemeClr w14:val="tx1"/>
            </w14:solidFill>
          </w14:textFill>
        </w:rPr>
        <w:t>多种</w:t>
      </w:r>
      <w:r>
        <w:rPr>
          <w:rFonts w:cs="Times New Roman"/>
          <w:bCs/>
          <w:color w:val="000000" w:themeColor="text1"/>
          <w:spacing w:val="-5"/>
          <w:szCs w:val="24"/>
          <w14:textFill>
            <w14:solidFill>
              <w14:schemeClr w14:val="tx1"/>
            </w14:solidFill>
          </w14:textFill>
        </w:rPr>
        <w:t>米饭花、映山红、米碎花、铁仔、</w:t>
      </w:r>
      <w:r>
        <w:rPr>
          <w:rFonts w:cs="Times New Roman"/>
          <w:bCs/>
          <w:color w:val="000000" w:themeColor="text1"/>
          <w:spacing w:val="7"/>
          <w:szCs w:val="24"/>
          <w14:textFill>
            <w14:solidFill>
              <w14:schemeClr w14:val="tx1"/>
            </w14:solidFill>
          </w14:textFill>
        </w:rPr>
        <w:t>柃</w:t>
      </w:r>
      <w:r>
        <w:rPr>
          <w:rFonts w:cs="Times New Roman"/>
          <w:bCs/>
          <w:color w:val="000000" w:themeColor="text1"/>
          <w:szCs w:val="24"/>
          <w14:textFill>
            <w14:solidFill>
              <w14:schemeClr w14:val="tx1"/>
            </w14:solidFill>
          </w14:textFill>
        </w:rPr>
        <w:t>木、杜鹃、鹅掌</w:t>
      </w:r>
      <w:r>
        <w:rPr>
          <w:rFonts w:cs="Times New Roman"/>
          <w:bCs/>
          <w:color w:val="000000" w:themeColor="text1"/>
          <w:spacing w:val="7"/>
          <w:szCs w:val="24"/>
          <w14:textFill>
            <w14:solidFill>
              <w14:schemeClr w14:val="tx1"/>
            </w14:solidFill>
          </w14:textFill>
        </w:rPr>
        <w:t>柴、山矾</w:t>
      </w:r>
      <w:r>
        <w:rPr>
          <w:rFonts w:hint="eastAsia" w:cs="Times New Roman"/>
          <w:bCs/>
          <w:color w:val="000000" w:themeColor="text1"/>
          <w:spacing w:val="7"/>
          <w:szCs w:val="24"/>
          <w14:textFill>
            <w14:solidFill>
              <w14:schemeClr w14:val="tx1"/>
            </w14:solidFill>
          </w14:textFill>
        </w:rPr>
        <w:t>（</w:t>
      </w:r>
      <w:r>
        <w:rPr>
          <w:rFonts w:cs="Times New Roman"/>
          <w:bCs/>
          <w:i/>
          <w:iCs/>
          <w:color w:val="000000" w:themeColor="text1"/>
          <w:szCs w:val="24"/>
          <w14:textFill>
            <w14:solidFill>
              <w14:schemeClr w14:val="tx1"/>
            </w14:solidFill>
          </w14:textFill>
        </w:rPr>
        <w:t>Symplocos</w:t>
      </w:r>
      <w:r>
        <w:rPr>
          <w:rFonts w:cs="Times New Roman"/>
          <w:bCs/>
          <w:color w:val="000000" w:themeColor="text1"/>
          <w:spacing w:val="7"/>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spp</w:t>
      </w:r>
      <w:r>
        <w:rPr>
          <w:rFonts w:cs="Times New Roman"/>
          <w:bCs/>
          <w:i/>
          <w:iCs/>
          <w:color w:val="000000" w:themeColor="text1"/>
          <w:spacing w:val="7"/>
          <w:szCs w:val="24"/>
          <w14:textFill>
            <w14:solidFill>
              <w14:schemeClr w14:val="tx1"/>
            </w14:solidFill>
          </w14:textFill>
        </w:rPr>
        <w:t>.</w:t>
      </w:r>
      <w:r>
        <w:rPr>
          <w:rFonts w:hint="eastAsia" w:cs="Times New Roman"/>
          <w:bCs/>
          <w:i/>
          <w:iCs/>
          <w:color w:val="000000" w:themeColor="text1"/>
          <w:spacing w:val="7"/>
          <w:szCs w:val="24"/>
          <w14:textFill>
            <w14:solidFill>
              <w14:schemeClr w14:val="tx1"/>
            </w14:solidFill>
          </w14:textFill>
        </w:rPr>
        <w:t>）</w:t>
      </w:r>
      <w:r>
        <w:rPr>
          <w:rFonts w:cs="Times New Roman"/>
          <w:bCs/>
          <w:color w:val="000000" w:themeColor="text1"/>
          <w:spacing w:val="7"/>
          <w:szCs w:val="24"/>
          <w14:textFill>
            <w14:solidFill>
              <w14:schemeClr w14:val="tx1"/>
            </w14:solidFill>
          </w14:textFill>
        </w:rPr>
        <w:t>、木莓、川莓、悬钩子</w:t>
      </w:r>
      <w:r>
        <w:rPr>
          <w:rFonts w:hint="eastAsia" w:cs="Times New Roman"/>
          <w:bCs/>
          <w:color w:val="000000" w:themeColor="text1"/>
          <w:spacing w:val="7"/>
          <w:szCs w:val="24"/>
          <w14:textFill>
            <w14:solidFill>
              <w14:schemeClr w14:val="tx1"/>
            </w14:solidFill>
          </w14:textFill>
        </w:rPr>
        <w:t>（</w:t>
      </w:r>
      <w:r>
        <w:rPr>
          <w:rFonts w:cs="Times New Roman"/>
          <w:bCs/>
          <w:i/>
          <w:iCs/>
          <w:color w:val="000000" w:themeColor="text1"/>
          <w:szCs w:val="24"/>
          <w14:textFill>
            <w14:solidFill>
              <w14:schemeClr w14:val="tx1"/>
            </w14:solidFill>
          </w14:textFill>
        </w:rPr>
        <w:t>Rubus</w:t>
      </w:r>
      <w:r>
        <w:rPr>
          <w:rFonts w:cs="Times New Roman"/>
          <w:bCs/>
          <w:color w:val="000000" w:themeColor="text1"/>
          <w:spacing w:val="17"/>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spp</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15"/>
          <w:szCs w:val="24"/>
          <w14:textFill>
            <w14:solidFill>
              <w14:schemeClr w14:val="tx1"/>
            </w14:solidFill>
          </w14:textFill>
        </w:rPr>
        <w:t>、火棘、马桑等。草本层主要有芒萁</w:t>
      </w:r>
      <w:r>
        <w:rPr>
          <w:rFonts w:hint="eastAsia" w:cs="Times New Roman"/>
          <w:bCs/>
          <w:color w:val="000000" w:themeColor="text1"/>
          <w:spacing w:val="15"/>
          <w:szCs w:val="24"/>
          <w14:textFill>
            <w14:solidFill>
              <w14:schemeClr w14:val="tx1"/>
            </w14:solidFill>
          </w14:textFill>
        </w:rPr>
        <w:t>（</w:t>
      </w:r>
      <w:r>
        <w:rPr>
          <w:rFonts w:cs="Times New Roman"/>
          <w:bCs/>
          <w:i/>
          <w:iCs/>
          <w:color w:val="000000" w:themeColor="text1"/>
          <w:szCs w:val="24"/>
          <w14:textFill>
            <w14:solidFill>
              <w14:schemeClr w14:val="tx1"/>
            </w14:solidFill>
          </w14:textFill>
        </w:rPr>
        <w:t>Dicranopteris</w:t>
      </w:r>
      <w:r>
        <w:rPr>
          <w:rFonts w:cs="Times New Roman"/>
          <w:bCs/>
          <w:color w:val="000000" w:themeColor="text1"/>
          <w:spacing w:val="15"/>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dichotoma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15"/>
          <w:szCs w:val="24"/>
          <w14:textFill>
            <w14:solidFill>
              <w14:schemeClr w14:val="tx1"/>
            </w14:solidFill>
          </w14:textFill>
        </w:rPr>
        <w:t>、</w:t>
      </w:r>
      <w:r>
        <w:rPr>
          <w:rFonts w:cs="Times New Roman"/>
          <w:bCs/>
          <w:color w:val="000000" w:themeColor="text1"/>
          <w:spacing w:val="27"/>
          <w:szCs w:val="24"/>
          <w14:textFill>
            <w14:solidFill>
              <w14:schemeClr w14:val="tx1"/>
            </w14:solidFill>
          </w14:textFill>
        </w:rPr>
        <w:t>芒</w:t>
      </w:r>
      <w:r>
        <w:rPr>
          <w:rFonts w:cs="Times New Roman"/>
          <w:bCs/>
          <w:color w:val="000000" w:themeColor="text1"/>
          <w:spacing w:val="24"/>
          <w:szCs w:val="24"/>
          <w14:textFill>
            <w14:solidFill>
              <w14:schemeClr w14:val="tx1"/>
            </w14:solidFill>
          </w14:textFill>
        </w:rPr>
        <w:t>、苔草、麦冬</w:t>
      </w:r>
      <w:r>
        <w:rPr>
          <w:rFonts w:hint="eastAsia" w:cs="Times New Roman"/>
          <w:bCs/>
          <w:color w:val="000000" w:themeColor="text1"/>
          <w:spacing w:val="24"/>
          <w:szCs w:val="24"/>
          <w14:textFill>
            <w14:solidFill>
              <w14:schemeClr w14:val="tx1"/>
            </w14:solidFill>
          </w14:textFill>
        </w:rPr>
        <w:t>（</w:t>
      </w:r>
      <w:r>
        <w:rPr>
          <w:rFonts w:cs="Times New Roman"/>
          <w:bCs/>
          <w:color w:val="000000" w:themeColor="text1"/>
          <w:szCs w:val="24"/>
          <w14:textFill>
            <w14:solidFill>
              <w14:schemeClr w14:val="tx1"/>
            </w14:solidFill>
          </w14:textFill>
        </w:rPr>
        <w:t xml:space="preserve">Ophiopogon </w:t>
      </w:r>
      <w:r>
        <w:rPr>
          <w:rFonts w:cs="Times New Roman"/>
          <w:bCs/>
          <w:i/>
          <w:iCs/>
          <w:color w:val="000000" w:themeColor="text1"/>
          <w:szCs w:val="24"/>
          <w14:textFill>
            <w14:solidFill>
              <w14:schemeClr w14:val="tx1"/>
            </w14:solidFill>
          </w14:textFill>
        </w:rPr>
        <w:t>japonicus</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24"/>
          <w:szCs w:val="24"/>
          <w14:textFill>
            <w14:solidFill>
              <w14:schemeClr w14:val="tx1"/>
            </w14:solidFill>
          </w14:textFill>
        </w:rPr>
        <w:t>、翠云草</w:t>
      </w:r>
      <w:r>
        <w:rPr>
          <w:rFonts w:hint="eastAsia" w:cs="Times New Roman"/>
          <w:bCs/>
          <w:color w:val="000000" w:themeColor="text1"/>
          <w:spacing w:val="24"/>
          <w:szCs w:val="24"/>
          <w14:textFill>
            <w14:solidFill>
              <w14:schemeClr w14:val="tx1"/>
            </w14:solidFill>
          </w14:textFill>
        </w:rPr>
        <w:t>（</w:t>
      </w:r>
      <w:r>
        <w:rPr>
          <w:rFonts w:cs="Times New Roman"/>
          <w:bCs/>
          <w:i/>
          <w:iCs/>
          <w:color w:val="000000" w:themeColor="text1"/>
          <w:szCs w:val="24"/>
          <w14:textFill>
            <w14:solidFill>
              <w14:schemeClr w14:val="tx1"/>
            </w14:solidFill>
          </w14:textFill>
        </w:rPr>
        <w:t>Selaginella</w:t>
      </w:r>
      <w:r>
        <w:rPr>
          <w:rFonts w:cs="Times New Roman"/>
          <w:bCs/>
          <w:color w:val="000000" w:themeColor="text1"/>
          <w:spacing w:val="24"/>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uncinata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24"/>
          <w:szCs w:val="24"/>
          <w14:textFill>
            <w14:solidFill>
              <w14:schemeClr w14:val="tx1"/>
            </w14:solidFill>
          </w14:textFill>
        </w:rPr>
        <w:t>、蒿</w:t>
      </w:r>
      <w:r>
        <w:rPr>
          <w:rFonts w:cs="Times New Roman"/>
          <w:bCs/>
          <w:color w:val="000000" w:themeColor="text1"/>
          <w:spacing w:val="-11"/>
          <w:szCs w:val="24"/>
          <w14:textFill>
            <w14:solidFill>
              <w14:schemeClr w14:val="tx1"/>
            </w14:solidFill>
          </w14:textFill>
        </w:rPr>
        <w:t>等</w:t>
      </w:r>
      <w:r>
        <w:rPr>
          <w:color w:val="000000" w:themeColor="text1"/>
          <w14:textFill>
            <w14:solidFill>
              <w14:schemeClr w14:val="tx1"/>
            </w14:solidFill>
          </w14:textFill>
        </w:rPr>
        <w:t>。</w:t>
      </w:r>
    </w:p>
    <w:p>
      <w:pPr>
        <w:ind w:firstLine="480"/>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bCs/>
          <w:color w:val="000000" w:themeColor="text1"/>
          <w:szCs w:val="24"/>
          <w14:textFill>
            <w14:solidFill>
              <w14:schemeClr w14:val="tx1"/>
            </w14:solidFill>
          </w14:textFill>
        </w:rPr>
        <w:t>麻栎+青冈</w:t>
      </w:r>
      <w:r>
        <w:rPr>
          <w:rFonts w:cs="Times New Roman"/>
          <w:bCs/>
          <w:color w:val="000000" w:themeColor="text1"/>
          <w:spacing w:val="9"/>
          <w:szCs w:val="24"/>
          <w14:textFill>
            <w14:solidFill>
              <w14:schemeClr w14:val="tx1"/>
            </w14:solidFill>
          </w14:textFill>
        </w:rPr>
        <w:t>群落</w:t>
      </w:r>
      <w:r>
        <w:rPr>
          <w:rFonts w:hint="eastAsia" w:cs="Times New Roman"/>
          <w:bCs/>
          <w:color w:val="000000" w:themeColor="text1"/>
          <w:spacing w:val="9"/>
          <w:szCs w:val="24"/>
          <w14:textFill>
            <w14:solidFill>
              <w14:schemeClr w14:val="tx1"/>
            </w14:solidFill>
          </w14:textFill>
        </w:rPr>
        <w:t>（</w:t>
      </w:r>
      <w:r>
        <w:rPr>
          <w:rFonts w:cs="Times New Roman"/>
          <w:bCs/>
          <w:color w:val="000000" w:themeColor="text1"/>
          <w:szCs w:val="24"/>
          <w14:textFill>
            <w14:solidFill>
              <w14:schemeClr w14:val="tx1"/>
            </w14:solidFill>
          </w14:textFill>
        </w:rPr>
        <w:t>Form.</w:t>
      </w:r>
      <w:r>
        <w:rPr>
          <w:rFonts w:cs="Times New Roman"/>
          <w:bCs/>
          <w:i/>
          <w:iCs/>
          <w:color w:val="000000" w:themeColor="text1"/>
          <w:szCs w:val="24"/>
          <w14:textFill>
            <w14:solidFill>
              <w14:schemeClr w14:val="tx1"/>
            </w14:solidFill>
          </w14:textFill>
        </w:rPr>
        <w:t xml:space="preserve">Quercus acutissima </w:t>
      </w:r>
      <w:r>
        <w:rPr>
          <w:rFonts w:cs="Times New Roman"/>
          <w:bCs/>
          <w:color w:val="000000" w:themeColor="text1"/>
          <w:szCs w:val="24"/>
          <w14:textFill>
            <w14:solidFill>
              <w14:schemeClr w14:val="tx1"/>
            </w14:solidFill>
          </w14:textFill>
        </w:rPr>
        <w:t>Carruth.</w:t>
      </w:r>
      <w:r>
        <w:rPr>
          <w:rFonts w:cs="Times New Roman"/>
          <w:bCs/>
          <w:i/>
          <w:iCs/>
          <w:color w:val="000000" w:themeColor="text1"/>
          <w:szCs w:val="24"/>
          <w14:textFill>
            <w14:solidFill>
              <w14:schemeClr w14:val="tx1"/>
            </w14:solidFill>
          </w14:textFill>
        </w:rPr>
        <w:t xml:space="preserve">+Quercus variabilis </w:t>
      </w:r>
      <w:r>
        <w:rPr>
          <w:rFonts w:cs="Times New Roman"/>
          <w:bCs/>
          <w:color w:val="000000" w:themeColor="text1"/>
          <w:szCs w:val="24"/>
          <w14:textFill>
            <w14:solidFill>
              <w14:schemeClr w14:val="tx1"/>
            </w14:solidFill>
          </w14:textFill>
        </w:rPr>
        <w:t>Bl.</w:t>
      </w:r>
      <w:r>
        <w:rPr>
          <w:rFonts w:hint="eastAsia"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该植被类型</w:t>
      </w:r>
      <w:r>
        <w:rPr>
          <w:rFonts w:hint="eastAsia" w:cs="Times New Roman"/>
          <w:bCs/>
          <w:color w:val="000000" w:themeColor="text1"/>
          <w:szCs w:val="24"/>
          <w14:textFill>
            <w14:solidFill>
              <w14:schemeClr w14:val="tx1"/>
            </w14:solidFill>
          </w14:textFill>
        </w:rPr>
        <w:t>在评价</w:t>
      </w:r>
      <w:r>
        <w:rPr>
          <w:rFonts w:cs="Times New Roman"/>
          <w:bCs/>
          <w:color w:val="000000" w:themeColor="text1"/>
          <w:spacing w:val="3"/>
          <w:szCs w:val="24"/>
          <w14:textFill>
            <w14:solidFill>
              <w14:schemeClr w14:val="tx1"/>
            </w14:solidFill>
          </w14:textFill>
        </w:rPr>
        <w:t>区广泛分布</w:t>
      </w:r>
      <w:r>
        <w:rPr>
          <w:rFonts w:cs="Times New Roman"/>
          <w:bCs/>
          <w:color w:val="000000" w:themeColor="text1"/>
          <w:szCs w:val="24"/>
          <w14:textFill>
            <w14:solidFill>
              <w14:schemeClr w14:val="tx1"/>
            </w14:solidFill>
          </w14:textFill>
        </w:rPr>
        <w:t>，多为天然生成，是一个生态幅度较大的森林类型，在不同气候类型的影响下，该植被类型生长发育都较好，表现出较强的适应性。这种较强的适应性，也表现在对林地的地形、岩石及土壤等环境无严格的选择上，常混生有栓皮栎、枫香、响叶杨等混生，林内平均胸径25厘米，树高介于10-20米。常受到人类</w:t>
      </w:r>
      <w:r>
        <w:rPr>
          <w:rFonts w:hint="eastAsia" w:cs="Times New Roman"/>
          <w:bCs/>
          <w:color w:val="000000" w:themeColor="text1"/>
          <w:szCs w:val="24"/>
          <w14:textFill>
            <w14:solidFill>
              <w14:schemeClr w14:val="tx1"/>
            </w14:solidFill>
          </w14:textFill>
        </w:rPr>
        <w:t>活动</w:t>
      </w:r>
      <w:r>
        <w:rPr>
          <w:rFonts w:cs="Times New Roman"/>
          <w:bCs/>
          <w:color w:val="000000" w:themeColor="text1"/>
          <w:szCs w:val="24"/>
          <w14:textFill>
            <w14:solidFill>
              <w14:schemeClr w14:val="tx1"/>
            </w14:solidFill>
          </w14:textFill>
        </w:rPr>
        <w:t>影响，林下灌木极少。林下灌木主要为</w:t>
      </w:r>
      <w:r>
        <w:rPr>
          <w:rFonts w:cs="Times New Roman"/>
          <w:bCs/>
          <w:color w:val="000000" w:themeColor="text1"/>
          <w:spacing w:val="-2"/>
          <w:szCs w:val="24"/>
          <w14:textFill>
            <w14:solidFill>
              <w14:schemeClr w14:val="tx1"/>
            </w14:solidFill>
          </w14:textFill>
        </w:rPr>
        <w:t>烟管荚蓬、火棘、蔷薇、盐肤木、映山红、铁仔、毛黄栌</w:t>
      </w:r>
      <w:r>
        <w:rPr>
          <w:rFonts w:cs="Times New Roman"/>
          <w:bCs/>
          <w:color w:val="000000" w:themeColor="text1"/>
          <w:szCs w:val="24"/>
          <w14:textFill>
            <w14:solidFill>
              <w14:schemeClr w14:val="tx1"/>
            </w14:solidFill>
          </w14:textFill>
        </w:rPr>
        <w:t>等分布。</w:t>
      </w:r>
    </w:p>
    <w:p>
      <w:pPr>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草本植物稍多，主要种类有狗牙根（</w:t>
      </w:r>
      <w:r>
        <w:rPr>
          <w:rFonts w:cs="Times New Roman"/>
          <w:bCs/>
          <w:i/>
          <w:iCs/>
          <w:color w:val="000000" w:themeColor="text1"/>
          <w:szCs w:val="24"/>
          <w14:textFill>
            <w14:solidFill>
              <w14:schemeClr w14:val="tx1"/>
            </w14:solidFill>
          </w14:textFill>
        </w:rPr>
        <w:t>Cynodon dactylon</w:t>
      </w:r>
      <w:r>
        <w:rPr>
          <w:rFonts w:cs="Times New Roman"/>
          <w:bCs/>
          <w:color w:val="000000" w:themeColor="text1"/>
          <w:szCs w:val="24"/>
          <w14:textFill>
            <w14:solidFill>
              <w14:schemeClr w14:val="tx1"/>
            </w14:solidFill>
          </w14:textFill>
        </w:rPr>
        <w:t>）、马唐（</w:t>
      </w:r>
      <w:r>
        <w:rPr>
          <w:rFonts w:cs="Times New Roman"/>
          <w:bCs/>
          <w:i/>
          <w:iCs/>
          <w:color w:val="000000" w:themeColor="text1"/>
          <w:szCs w:val="24"/>
          <w14:textFill>
            <w14:solidFill>
              <w14:schemeClr w14:val="tx1"/>
            </w14:solidFill>
          </w14:textFill>
        </w:rPr>
        <w:t>Digitaria sanguinalis</w:t>
      </w:r>
      <w:r>
        <w:rPr>
          <w:rFonts w:cs="Times New Roman"/>
          <w:bCs/>
          <w:color w:val="000000" w:themeColor="text1"/>
          <w:szCs w:val="24"/>
          <w14:textFill>
            <w14:solidFill>
              <w14:schemeClr w14:val="tx1"/>
            </w14:solidFill>
          </w14:textFill>
        </w:rPr>
        <w:t>）、酢浆草（</w:t>
      </w:r>
      <w:r>
        <w:rPr>
          <w:rFonts w:cs="Times New Roman"/>
          <w:bCs/>
          <w:i/>
          <w:iCs/>
          <w:color w:val="000000" w:themeColor="text1"/>
          <w:szCs w:val="24"/>
          <w14:textFill>
            <w14:solidFill>
              <w14:schemeClr w14:val="tx1"/>
            </w14:solidFill>
          </w14:textFill>
        </w:rPr>
        <w:t>Oxalis corniculata</w:t>
      </w:r>
      <w:r>
        <w:rPr>
          <w:rFonts w:cs="Times New Roman"/>
          <w:bCs/>
          <w:color w:val="000000" w:themeColor="text1"/>
          <w:szCs w:val="24"/>
          <w14:textFill>
            <w14:solidFill>
              <w14:schemeClr w14:val="tx1"/>
            </w14:solidFill>
          </w14:textFill>
        </w:rPr>
        <w:t>）、堇菜（</w:t>
      </w:r>
      <w:r>
        <w:rPr>
          <w:rFonts w:cs="Times New Roman"/>
          <w:bCs/>
          <w:i/>
          <w:iCs/>
          <w:color w:val="000000" w:themeColor="text1"/>
          <w:szCs w:val="24"/>
          <w14:textFill>
            <w14:solidFill>
              <w14:schemeClr w14:val="tx1"/>
            </w14:solidFill>
          </w14:textFill>
        </w:rPr>
        <w:t>Viola spp.</w:t>
      </w:r>
      <w:r>
        <w:rPr>
          <w:rFonts w:cs="Times New Roman"/>
          <w:bCs/>
          <w:color w:val="000000" w:themeColor="text1"/>
          <w:szCs w:val="24"/>
          <w14:textFill>
            <w14:solidFill>
              <w14:schemeClr w14:val="tx1"/>
            </w14:solidFill>
          </w14:textFill>
        </w:rPr>
        <w:t>）、车前（</w:t>
      </w:r>
      <w:r>
        <w:rPr>
          <w:rFonts w:cs="Times New Roman"/>
          <w:bCs/>
          <w:i/>
          <w:iCs/>
          <w:color w:val="000000" w:themeColor="text1"/>
          <w:szCs w:val="24"/>
          <w14:textFill>
            <w14:solidFill>
              <w14:schemeClr w14:val="tx1"/>
            </w14:solidFill>
          </w14:textFill>
        </w:rPr>
        <w:t>Plantgo asiatica</w:t>
      </w:r>
      <w:r>
        <w:rPr>
          <w:rFonts w:cs="Times New Roman"/>
          <w:bCs/>
          <w:color w:val="000000" w:themeColor="text1"/>
          <w:szCs w:val="24"/>
          <w14:textFill>
            <w14:solidFill>
              <w14:schemeClr w14:val="tx1"/>
            </w14:solidFill>
          </w14:textFill>
        </w:rPr>
        <w:t>）、欧夏枯草（</w:t>
      </w:r>
      <w:r>
        <w:rPr>
          <w:rFonts w:cs="Times New Roman"/>
          <w:bCs/>
          <w:i/>
          <w:iCs/>
          <w:color w:val="000000" w:themeColor="text1"/>
          <w:szCs w:val="24"/>
          <w14:textFill>
            <w14:solidFill>
              <w14:schemeClr w14:val="tx1"/>
            </w14:solidFill>
          </w14:textFill>
        </w:rPr>
        <w:t>Prunella vulgaris</w:t>
      </w:r>
      <w:r>
        <w:rPr>
          <w:rFonts w:cs="Times New Roman"/>
          <w:bCs/>
          <w:color w:val="000000" w:themeColor="text1"/>
          <w:szCs w:val="24"/>
          <w14:textFill>
            <w14:solidFill>
              <w14:schemeClr w14:val="tx1"/>
            </w14:solidFill>
          </w14:textFill>
        </w:rPr>
        <w:t>）、龙牙草（</w:t>
      </w:r>
      <w:r>
        <w:rPr>
          <w:rFonts w:cs="Times New Roman"/>
          <w:bCs/>
          <w:i/>
          <w:iCs/>
          <w:color w:val="000000" w:themeColor="text1"/>
          <w:szCs w:val="24"/>
          <w14:textFill>
            <w14:solidFill>
              <w14:schemeClr w14:val="tx1"/>
            </w14:solidFill>
          </w14:textFill>
        </w:rPr>
        <w:t>Agrimonia pilosa</w:t>
      </w:r>
      <w:r>
        <w:rPr>
          <w:rFonts w:cs="Times New Roman"/>
          <w:bCs/>
          <w:color w:val="000000" w:themeColor="text1"/>
          <w:szCs w:val="24"/>
          <w14:textFill>
            <w14:solidFill>
              <w14:schemeClr w14:val="tx1"/>
            </w14:solidFill>
          </w14:textFill>
        </w:rPr>
        <w:t>）、蕺菜（</w:t>
      </w:r>
      <w:r>
        <w:rPr>
          <w:rFonts w:cs="Times New Roman"/>
          <w:bCs/>
          <w:i/>
          <w:iCs/>
          <w:color w:val="000000" w:themeColor="text1"/>
          <w:szCs w:val="24"/>
          <w14:textFill>
            <w14:solidFill>
              <w14:schemeClr w14:val="tx1"/>
            </w14:solidFill>
          </w14:textFill>
        </w:rPr>
        <w:t>Houttuynia cordata</w:t>
      </w:r>
      <w:r>
        <w:rPr>
          <w:rFonts w:cs="Times New Roman"/>
          <w:bCs/>
          <w:color w:val="000000" w:themeColor="text1"/>
          <w:szCs w:val="24"/>
          <w14:textFill>
            <w14:solidFill>
              <w14:schemeClr w14:val="tx1"/>
            </w14:solidFill>
          </w14:textFill>
        </w:rPr>
        <w:t>）、紫花地丁</w:t>
      </w:r>
      <w:r>
        <w:rPr>
          <w:rFonts w:hint="eastAsia" w:cs="Times New Roman"/>
          <w:bCs/>
          <w:color w:val="000000" w:themeColor="text1"/>
          <w:szCs w:val="24"/>
          <w14:textFill>
            <w14:solidFill>
              <w14:schemeClr w14:val="tx1"/>
            </w14:solidFill>
          </w14:textFill>
        </w:rPr>
        <w:t>（</w:t>
      </w:r>
      <w:r>
        <w:rPr>
          <w:rFonts w:cs="Times New Roman"/>
          <w:bCs/>
          <w:i/>
          <w:iCs/>
          <w:color w:val="000000" w:themeColor="text1"/>
          <w:szCs w:val="24"/>
          <w14:textFill>
            <w14:solidFill>
              <w14:schemeClr w14:val="tx1"/>
            </w14:solidFill>
          </w14:textFill>
        </w:rPr>
        <w:t>Viola philippica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、风轮菜</w:t>
      </w:r>
      <w:r>
        <w:rPr>
          <w:rFonts w:hint="eastAsia" w:cs="Times New Roman"/>
          <w:bCs/>
          <w:color w:val="000000" w:themeColor="text1"/>
          <w:szCs w:val="24"/>
          <w14:textFill>
            <w14:solidFill>
              <w14:schemeClr w14:val="tx1"/>
            </w14:solidFill>
          </w14:textFill>
        </w:rPr>
        <w:t>（</w:t>
      </w:r>
      <w:r>
        <w:rPr>
          <w:rFonts w:cs="Times New Roman"/>
          <w:bCs/>
          <w:i/>
          <w:iCs/>
          <w:color w:val="000000" w:themeColor="text1"/>
          <w:szCs w:val="24"/>
          <w14:textFill>
            <w14:solidFill>
              <w14:schemeClr w14:val="tx1"/>
            </w14:solidFill>
          </w14:textFill>
        </w:rPr>
        <w:t>Clinopodium chinensis</w:t>
      </w:r>
      <w:r>
        <w:rPr>
          <w:rFonts w:hint="eastAsia" w:cs="Times New Roman"/>
          <w:bCs/>
          <w:i/>
          <w:i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、茅叶荩草</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Arthr</w:t>
      </w:r>
      <w:r>
        <w:rPr>
          <w:rFonts w:cs="Times New Roman"/>
          <w:bCs/>
          <w:i/>
          <w:iCs/>
          <w:color w:val="000000" w:themeColor="text1"/>
          <w:szCs w:val="24"/>
          <w14:textFill>
            <w14:solidFill>
              <w14:schemeClr w14:val="tx1"/>
            </w14:solidFill>
          </w14:textFill>
        </w:rPr>
        <w:t>axon lanc</w:t>
      </w:r>
      <w:r>
        <w:rPr>
          <w:rFonts w:cs="Times New Roman"/>
          <w:bCs/>
          <w:i/>
          <w:color w:val="000000" w:themeColor="text1"/>
          <w:szCs w:val="24"/>
          <w14:textFill>
            <w14:solidFill>
              <w14:schemeClr w14:val="tx1"/>
            </w14:solidFill>
          </w14:textFill>
        </w:rPr>
        <w:t>eoltus</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、阿拉伯婆婆纳</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Veronica persica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、问荆</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Equ</w:t>
      </w:r>
      <w:r>
        <w:rPr>
          <w:rFonts w:cs="Times New Roman"/>
          <w:bCs/>
          <w:i/>
          <w:iCs/>
          <w:color w:val="000000" w:themeColor="text1"/>
          <w:szCs w:val="24"/>
          <w14:textFill>
            <w14:solidFill>
              <w14:schemeClr w14:val="tx1"/>
            </w14:solidFill>
          </w14:textFill>
        </w:rPr>
        <w:t>isetum arven</w:t>
      </w:r>
      <w:r>
        <w:rPr>
          <w:rFonts w:cs="Times New Roman"/>
          <w:bCs/>
          <w:i/>
          <w:color w:val="000000" w:themeColor="text1"/>
          <w:szCs w:val="24"/>
          <w14:textFill>
            <w14:solidFill>
              <w14:schemeClr w14:val="tx1"/>
            </w14:solidFill>
          </w14:textFill>
        </w:rPr>
        <w:t>se</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、马鞭草</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Verbena officinalis</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、狗牙根</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Cynodondactylon</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、稗</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Echinoc</w:t>
      </w:r>
      <w:r>
        <w:rPr>
          <w:rFonts w:cs="Times New Roman"/>
          <w:bCs/>
          <w:i/>
          <w:iCs/>
          <w:color w:val="000000" w:themeColor="text1"/>
          <w:szCs w:val="24"/>
          <w14:textFill>
            <w14:solidFill>
              <w14:schemeClr w14:val="tx1"/>
            </w14:solidFill>
          </w14:textFill>
        </w:rPr>
        <w:t>hloa crusgal</w:t>
      </w:r>
      <w:r>
        <w:rPr>
          <w:rFonts w:cs="Times New Roman"/>
          <w:bCs/>
          <w:i/>
          <w:color w:val="000000" w:themeColor="text1"/>
          <w:szCs w:val="24"/>
          <w14:textFill>
            <w14:solidFill>
              <w14:schemeClr w14:val="tx1"/>
            </w14:solidFill>
          </w14:textFill>
        </w:rPr>
        <w:t>li</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、蜈蚣草</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Pteris vittata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、三叶鬼针草</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Bidens pilosa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、野艾蒿</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Artemisia lavandulaefolia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等</w:t>
      </w:r>
      <w:r>
        <w:rPr>
          <w:color w:val="000000" w:themeColor="text1"/>
          <w14:textFill>
            <w14:solidFill>
              <w14:schemeClr w14:val="tx1"/>
            </w14:solidFill>
          </w14:textFill>
        </w:rPr>
        <w:t>。</w:t>
      </w:r>
    </w:p>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Ⅱ 灌丛植被</w:t>
      </w:r>
    </w:p>
    <w:p>
      <w:pPr>
        <w:ind w:firstLine="496"/>
        <w:rPr>
          <w:rFonts w:cs="Times New Roman"/>
          <w:bCs/>
          <w:color w:val="000000" w:themeColor="text1"/>
          <w:spacing w:val="8"/>
          <w:szCs w:val="24"/>
          <w14:textFill>
            <w14:solidFill>
              <w14:schemeClr w14:val="tx1"/>
            </w14:solidFill>
          </w14:textFill>
        </w:rPr>
      </w:pPr>
      <w:r>
        <w:rPr>
          <w:rFonts w:hint="eastAsia" w:ascii="宋体" w:hAnsi="宋体" w:cs="宋体"/>
          <w:bCs/>
          <w:color w:val="000000" w:themeColor="text1"/>
          <w:spacing w:val="8"/>
          <w:szCs w:val="24"/>
          <w14:textFill>
            <w14:solidFill>
              <w14:schemeClr w14:val="tx1"/>
            </w14:solidFill>
          </w14:textFill>
        </w:rPr>
        <w:t>①</w:t>
      </w:r>
      <w:r>
        <w:rPr>
          <w:rFonts w:cs="Times New Roman"/>
          <w:bCs/>
          <w:color w:val="000000" w:themeColor="text1"/>
          <w:spacing w:val="8"/>
          <w:szCs w:val="24"/>
          <w14:textFill>
            <w14:solidFill>
              <w14:schemeClr w14:val="tx1"/>
            </w14:solidFill>
          </w14:textFill>
        </w:rPr>
        <w:t>野桐+盐肤木灌丛</w:t>
      </w:r>
      <w:r>
        <w:rPr>
          <w:rFonts w:cs="Times New Roman"/>
          <w:bCs/>
          <w:color w:val="000000" w:themeColor="text1"/>
          <w:szCs w:val="24"/>
          <w14:textFill>
            <w14:solidFill>
              <w14:schemeClr w14:val="tx1"/>
            </w14:solidFill>
          </w14:textFill>
        </w:rPr>
        <w:t>群系</w:t>
      </w:r>
      <w:r>
        <w:rPr>
          <w:rFonts w:cs="Times New Roman"/>
          <w:bCs/>
          <w:color w:val="000000" w:themeColor="text1"/>
          <w:spacing w:val="8"/>
          <w:szCs w:val="24"/>
          <w14:textFill>
            <w14:solidFill>
              <w14:schemeClr w14:val="tx1"/>
            </w14:solidFill>
          </w14:textFill>
        </w:rPr>
        <w:t>（</w:t>
      </w:r>
      <w:r>
        <w:rPr>
          <w:rFonts w:cs="Times New Roman"/>
          <w:bCs/>
          <w:color w:val="000000" w:themeColor="text1"/>
          <w:spacing w:val="-4"/>
          <w:szCs w:val="24"/>
          <w14:textFill>
            <w14:solidFill>
              <w14:schemeClr w14:val="tx1"/>
            </w14:solidFill>
          </w14:textFill>
        </w:rPr>
        <w:t xml:space="preserve">Form. </w:t>
      </w:r>
      <w:r>
        <w:rPr>
          <w:rFonts w:cs="Times New Roman"/>
          <w:bCs/>
          <w:i/>
          <w:iCs/>
          <w:color w:val="000000" w:themeColor="text1"/>
          <w:spacing w:val="-4"/>
          <w:szCs w:val="24"/>
          <w14:textFill>
            <w14:solidFill>
              <w14:schemeClr w14:val="tx1"/>
            </w14:solidFill>
          </w14:textFill>
        </w:rPr>
        <w:t>Mallotus japonicus（</w:t>
      </w:r>
      <w:r>
        <w:rPr>
          <w:rFonts w:cs="Times New Roman"/>
          <w:bCs/>
          <w:color w:val="000000" w:themeColor="text1"/>
          <w:spacing w:val="-4"/>
          <w:szCs w:val="24"/>
          <w14:textFill>
            <w14:solidFill>
              <w14:schemeClr w14:val="tx1"/>
            </w14:solidFill>
          </w14:textFill>
        </w:rPr>
        <w:t>Thunb.）Muell</w:t>
      </w:r>
      <w:r>
        <w:rPr>
          <w:rFonts w:cs="Times New Roman"/>
          <w:bCs/>
          <w:i/>
          <w:iCs/>
          <w:color w:val="000000" w:themeColor="text1"/>
          <w:spacing w:val="-4"/>
          <w:szCs w:val="24"/>
          <w14:textFill>
            <w14:solidFill>
              <w14:schemeClr w14:val="tx1"/>
            </w14:solidFill>
          </w14:textFill>
        </w:rPr>
        <w:t>.Arg.var.floccosus</w:t>
      </w:r>
      <w:r>
        <w:rPr>
          <w:rFonts w:cs="Times New Roman"/>
          <w:bCs/>
          <w:i/>
          <w:iCs/>
          <w:color w:val="000000" w:themeColor="text1"/>
          <w:szCs w:val="24"/>
          <w14:textFill>
            <w14:solidFill>
              <w14:schemeClr w14:val="tx1"/>
            </w14:solidFill>
          </w14:textFill>
        </w:rPr>
        <w:t>+</w:t>
      </w:r>
      <w:r>
        <w:rPr>
          <w:rFonts w:cs="Times New Roman"/>
          <w:bCs/>
          <w:i/>
          <w:iCs/>
          <w:color w:val="000000" w:themeColor="text1"/>
          <w:spacing w:val="-4"/>
          <w:szCs w:val="24"/>
          <w14:textFill>
            <w14:solidFill>
              <w14:schemeClr w14:val="tx1"/>
            </w14:solidFill>
          </w14:textFill>
        </w:rPr>
        <w:t xml:space="preserve">Rhus chinensis </w:t>
      </w:r>
      <w:r>
        <w:rPr>
          <w:rFonts w:cs="Times New Roman"/>
          <w:bCs/>
          <w:color w:val="000000" w:themeColor="text1"/>
          <w:spacing w:val="-4"/>
          <w:szCs w:val="24"/>
          <w14:textFill>
            <w14:solidFill>
              <w14:schemeClr w14:val="tx1"/>
            </w14:solidFill>
          </w14:textFill>
        </w:rPr>
        <w:t>Mill.</w:t>
      </w:r>
      <w:r>
        <w:rPr>
          <w:rFonts w:cs="Times New Roman"/>
          <w:bCs/>
          <w:color w:val="000000" w:themeColor="text1"/>
          <w:spacing w:val="8"/>
          <w:szCs w:val="24"/>
          <w14:textFill>
            <w14:solidFill>
              <w14:schemeClr w14:val="tx1"/>
            </w14:solidFill>
          </w14:textFill>
        </w:rPr>
        <w:t>）</w:t>
      </w:r>
    </w:p>
    <w:p>
      <w:pPr>
        <w:ind w:left="34" w:right="108" w:firstLine="460"/>
        <w:rPr>
          <w:rFonts w:cs="Times New Roman"/>
          <w:bCs/>
          <w:color w:val="000000" w:themeColor="text1"/>
          <w:szCs w:val="24"/>
          <w14:textFill>
            <w14:solidFill>
              <w14:schemeClr w14:val="tx1"/>
            </w14:solidFill>
          </w14:textFill>
        </w:rPr>
      </w:pPr>
      <w:r>
        <w:rPr>
          <w:rFonts w:cs="Times New Roman"/>
          <w:bCs/>
          <w:color w:val="000000" w:themeColor="text1"/>
          <w:spacing w:val="-10"/>
          <w:szCs w:val="24"/>
          <w14:textFill>
            <w14:solidFill>
              <w14:schemeClr w14:val="tx1"/>
            </w14:solidFill>
          </w14:textFill>
        </w:rPr>
        <w:t>该群落类型</w:t>
      </w:r>
      <w:r>
        <w:rPr>
          <w:rFonts w:cs="Times New Roman"/>
          <w:bCs/>
          <w:color w:val="000000" w:themeColor="text1"/>
          <w:spacing w:val="-8"/>
          <w:szCs w:val="24"/>
          <w14:textFill>
            <w14:solidFill>
              <w14:schemeClr w14:val="tx1"/>
            </w14:solidFill>
          </w14:textFill>
        </w:rPr>
        <w:t>主</w:t>
      </w:r>
      <w:r>
        <w:rPr>
          <w:rFonts w:cs="Times New Roman"/>
          <w:bCs/>
          <w:color w:val="000000" w:themeColor="text1"/>
          <w:spacing w:val="-5"/>
          <w:szCs w:val="24"/>
          <w14:textFill>
            <w14:solidFill>
              <w14:schemeClr w14:val="tx1"/>
            </w14:solidFill>
          </w14:textFill>
        </w:rPr>
        <w:t>要分布于矮丘区的中上部，系人为砍伐后发育的次生类型。群落盖度约</w:t>
      </w:r>
      <w:r>
        <w:rPr>
          <w:rFonts w:cs="Times New Roman"/>
          <w:bCs/>
          <w:color w:val="000000" w:themeColor="text1"/>
          <w:spacing w:val="-3"/>
          <w:szCs w:val="24"/>
          <w14:textFill>
            <w14:solidFill>
              <w14:schemeClr w14:val="tx1"/>
            </w14:solidFill>
          </w14:textFill>
        </w:rPr>
        <w:t>65%，高度低于5m，主要以野桐</w:t>
      </w:r>
      <w:r>
        <w:rPr>
          <w:rFonts w:cs="Times New Roman"/>
          <w:bCs/>
          <w:i/>
          <w:iCs/>
          <w:color w:val="000000" w:themeColor="text1"/>
          <w:spacing w:val="-3"/>
          <w:szCs w:val="24"/>
          <w14:textFill>
            <w14:solidFill>
              <w14:schemeClr w14:val="tx1"/>
            </w14:solidFill>
          </w14:textFill>
        </w:rPr>
        <w:t>Mallotus</w:t>
      </w:r>
      <w:r>
        <w:rPr>
          <w:rFonts w:cs="Times New Roman"/>
          <w:bCs/>
          <w:color w:val="000000" w:themeColor="text1"/>
          <w:spacing w:val="-3"/>
          <w:szCs w:val="24"/>
          <w14:textFill>
            <w14:solidFill>
              <w14:schemeClr w14:val="tx1"/>
            </w14:solidFill>
          </w14:textFill>
        </w:rPr>
        <w:t xml:space="preserve"> </w:t>
      </w:r>
      <w:r>
        <w:rPr>
          <w:rFonts w:cs="Times New Roman"/>
          <w:bCs/>
          <w:i/>
          <w:iCs/>
          <w:color w:val="000000" w:themeColor="text1"/>
          <w:spacing w:val="-3"/>
          <w:szCs w:val="24"/>
          <w14:textFill>
            <w14:solidFill>
              <w14:schemeClr w14:val="tx1"/>
            </w14:solidFill>
          </w14:textFill>
        </w:rPr>
        <w:t>tenuifolius</w:t>
      </w:r>
      <w:r>
        <w:rPr>
          <w:rFonts w:cs="Times New Roman"/>
          <w:bCs/>
          <w:color w:val="000000" w:themeColor="text1"/>
          <w:spacing w:val="-3"/>
          <w:szCs w:val="24"/>
          <w14:textFill>
            <w14:solidFill>
              <w14:schemeClr w14:val="tx1"/>
            </w14:solidFill>
          </w14:textFill>
        </w:rPr>
        <w:t>和盐肤木</w:t>
      </w:r>
      <w:r>
        <w:rPr>
          <w:rFonts w:cs="Times New Roman"/>
          <w:bCs/>
          <w:i/>
          <w:iCs/>
          <w:color w:val="000000" w:themeColor="text1"/>
          <w:spacing w:val="-3"/>
          <w:szCs w:val="24"/>
          <w14:textFill>
            <w14:solidFill>
              <w14:schemeClr w14:val="tx1"/>
            </w14:solidFill>
          </w14:textFill>
        </w:rPr>
        <w:t>Rhus</w:t>
      </w:r>
      <w:r>
        <w:rPr>
          <w:rFonts w:cs="Times New Roman"/>
          <w:bCs/>
          <w:color w:val="000000" w:themeColor="text1"/>
          <w:spacing w:val="-3"/>
          <w:szCs w:val="24"/>
          <w14:textFill>
            <w14:solidFill>
              <w14:schemeClr w14:val="tx1"/>
            </w14:solidFill>
          </w14:textFill>
        </w:rPr>
        <w:t xml:space="preserve"> </w:t>
      </w:r>
      <w:r>
        <w:rPr>
          <w:rFonts w:cs="Times New Roman"/>
          <w:bCs/>
          <w:i/>
          <w:iCs/>
          <w:color w:val="000000" w:themeColor="text1"/>
          <w:spacing w:val="-3"/>
          <w:szCs w:val="24"/>
          <w14:textFill>
            <w14:solidFill>
              <w14:schemeClr w14:val="tx1"/>
            </w14:solidFill>
          </w14:textFill>
        </w:rPr>
        <w:t>chinens</w:t>
      </w:r>
      <w:r>
        <w:rPr>
          <w:rFonts w:cs="Times New Roman"/>
          <w:bCs/>
          <w:i/>
          <w:iCs/>
          <w:color w:val="000000" w:themeColor="text1"/>
          <w:szCs w:val="24"/>
          <w14:textFill>
            <w14:solidFill>
              <w14:schemeClr w14:val="tx1"/>
            </w14:solidFill>
          </w14:textFill>
        </w:rPr>
        <w:t>is</w:t>
      </w:r>
      <w:r>
        <w:rPr>
          <w:rFonts w:cs="Times New Roman"/>
          <w:bCs/>
          <w:color w:val="000000" w:themeColor="text1"/>
          <w:spacing w:val="-3"/>
          <w:szCs w:val="24"/>
          <w14:textFill>
            <w14:solidFill>
              <w14:schemeClr w14:val="tx1"/>
            </w14:solidFill>
          </w14:textFill>
        </w:rPr>
        <w:t>为优势，其</w:t>
      </w:r>
      <w:r>
        <w:rPr>
          <w:rFonts w:cs="Times New Roman"/>
          <w:bCs/>
          <w:color w:val="000000" w:themeColor="text1"/>
          <w:spacing w:val="-2"/>
          <w:szCs w:val="24"/>
          <w14:textFill>
            <w14:solidFill>
              <w14:schemeClr w14:val="tx1"/>
            </w14:solidFill>
          </w14:textFill>
        </w:rPr>
        <w:t>他还有构树幼树</w:t>
      </w:r>
      <w:r>
        <w:rPr>
          <w:rFonts w:cs="Times New Roman"/>
          <w:bCs/>
          <w:i/>
          <w:iCs/>
          <w:color w:val="000000" w:themeColor="text1"/>
          <w:spacing w:val="-2"/>
          <w:szCs w:val="24"/>
          <w14:textFill>
            <w14:solidFill>
              <w14:schemeClr w14:val="tx1"/>
            </w14:solidFill>
          </w14:textFill>
        </w:rPr>
        <w:t>Broussonetiapapyrifera</w:t>
      </w:r>
      <w:r>
        <w:rPr>
          <w:rFonts w:cs="Times New Roman"/>
          <w:bCs/>
          <w:color w:val="000000" w:themeColor="text1"/>
          <w:spacing w:val="-2"/>
          <w:szCs w:val="24"/>
          <w14:textFill>
            <w14:solidFill>
              <w14:schemeClr w14:val="tx1"/>
            </w14:solidFill>
          </w14:textFill>
        </w:rPr>
        <w:t>、皱叶荚蒾</w:t>
      </w:r>
      <w:r>
        <w:rPr>
          <w:rFonts w:cs="Times New Roman"/>
          <w:bCs/>
          <w:i/>
          <w:iCs/>
          <w:color w:val="000000" w:themeColor="text1"/>
          <w:spacing w:val="-2"/>
          <w:szCs w:val="24"/>
          <w14:textFill>
            <w14:solidFill>
              <w14:schemeClr w14:val="tx1"/>
            </w14:solidFill>
          </w14:textFill>
        </w:rPr>
        <w:t>Viburn</w:t>
      </w:r>
      <w:r>
        <w:rPr>
          <w:rFonts w:cs="Times New Roman"/>
          <w:bCs/>
          <w:i/>
          <w:iCs/>
          <w:color w:val="000000" w:themeColor="text1"/>
          <w:spacing w:val="-1"/>
          <w:szCs w:val="24"/>
          <w14:textFill>
            <w14:solidFill>
              <w14:schemeClr w14:val="tx1"/>
            </w14:solidFill>
          </w14:textFill>
        </w:rPr>
        <w:t>u</w:t>
      </w:r>
      <w:r>
        <w:rPr>
          <w:rFonts w:cs="Times New Roman"/>
          <w:bCs/>
          <w:i/>
          <w:iCs/>
          <w:color w:val="000000" w:themeColor="text1"/>
          <w:szCs w:val="24"/>
          <w14:textFill>
            <w14:solidFill>
              <w14:schemeClr w14:val="tx1"/>
            </w14:solidFill>
          </w14:textFill>
        </w:rPr>
        <w:t>m</w:t>
      </w:r>
      <w:r>
        <w:rPr>
          <w:rFonts w:cs="Times New Roman"/>
          <w:bCs/>
          <w:color w:val="000000" w:themeColor="text1"/>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rhytidophyllum</w:t>
      </w:r>
      <w:r>
        <w:rPr>
          <w:rFonts w:cs="Times New Roman"/>
          <w:bCs/>
          <w:color w:val="000000" w:themeColor="text1"/>
          <w:spacing w:val="-2"/>
          <w:szCs w:val="24"/>
          <w14:textFill>
            <w14:solidFill>
              <w14:schemeClr w14:val="tx1"/>
            </w14:solidFill>
          </w14:textFill>
        </w:rPr>
        <w:t>、宜昌悬钩子</w:t>
      </w:r>
      <w:r>
        <w:rPr>
          <w:rFonts w:cs="Times New Roman"/>
          <w:bCs/>
          <w:i/>
          <w:iCs/>
          <w:color w:val="000000" w:themeColor="text1"/>
          <w:spacing w:val="-2"/>
          <w:szCs w:val="24"/>
          <w14:textFill>
            <w14:solidFill>
              <w14:schemeClr w14:val="tx1"/>
            </w14:solidFill>
          </w14:textFill>
        </w:rPr>
        <w:t>Rubus</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ichangen</w:t>
      </w:r>
      <w:r>
        <w:rPr>
          <w:rFonts w:cs="Times New Roman"/>
          <w:bCs/>
          <w:i/>
          <w:iCs/>
          <w:color w:val="000000" w:themeColor="text1"/>
          <w:spacing w:val="-1"/>
          <w:szCs w:val="24"/>
          <w14:textFill>
            <w14:solidFill>
              <w14:schemeClr w14:val="tx1"/>
            </w14:solidFill>
          </w14:textFill>
        </w:rPr>
        <w:t>s</w:t>
      </w:r>
      <w:r>
        <w:rPr>
          <w:rFonts w:cs="Times New Roman"/>
          <w:bCs/>
          <w:i/>
          <w:iCs/>
          <w:color w:val="000000" w:themeColor="text1"/>
          <w:szCs w:val="24"/>
          <w14:textFill>
            <w14:solidFill>
              <w14:schemeClr w14:val="tx1"/>
            </w14:solidFill>
          </w14:textFill>
        </w:rPr>
        <w:t>is</w:t>
      </w:r>
      <w:r>
        <w:rPr>
          <w:rFonts w:cs="Times New Roman"/>
          <w:bCs/>
          <w:color w:val="000000" w:themeColor="text1"/>
          <w:spacing w:val="-2"/>
          <w:szCs w:val="24"/>
          <w14:textFill>
            <w14:solidFill>
              <w14:schemeClr w14:val="tx1"/>
            </w14:solidFill>
          </w14:textFill>
        </w:rPr>
        <w:t>等。</w:t>
      </w:r>
    </w:p>
    <w:p>
      <w:pPr>
        <w:spacing w:before="120"/>
        <w:ind w:left="34" w:right="99" w:firstLine="448"/>
        <w:rPr>
          <w:rFonts w:cs="Times New Roman"/>
          <w:bCs/>
          <w:color w:val="000000" w:themeColor="text1"/>
          <w:spacing w:val="-2"/>
          <w:szCs w:val="24"/>
          <w14:textFill>
            <w14:solidFill>
              <w14:schemeClr w14:val="tx1"/>
            </w14:solidFill>
          </w14:textFill>
        </w:rPr>
      </w:pPr>
      <w:r>
        <w:rPr>
          <w:rFonts w:cs="Times New Roman"/>
          <w:bCs/>
          <w:color w:val="000000" w:themeColor="text1"/>
          <w:spacing w:val="-16"/>
          <w:szCs w:val="24"/>
          <w14:textFill>
            <w14:solidFill>
              <w14:schemeClr w14:val="tx1"/>
            </w14:solidFill>
          </w14:textFill>
        </w:rPr>
        <w:t>草本层盖</w:t>
      </w:r>
      <w:r>
        <w:rPr>
          <w:rFonts w:cs="Times New Roman"/>
          <w:bCs/>
          <w:color w:val="000000" w:themeColor="text1"/>
          <w:spacing w:val="-8"/>
          <w:szCs w:val="24"/>
          <w14:textFill>
            <w14:solidFill>
              <w14:schemeClr w14:val="tx1"/>
            </w14:solidFill>
          </w14:textFill>
        </w:rPr>
        <w:t>度约30%，高度在0.1</w:t>
      </w:r>
      <w:r>
        <w:rPr>
          <w:rFonts w:hint="eastAsia" w:cs="Times New Roman"/>
          <w:bCs/>
          <w:color w:val="000000" w:themeColor="text1"/>
          <w:spacing w:val="-8"/>
          <w:szCs w:val="24"/>
          <w14:textFill>
            <w14:solidFill>
              <w14:schemeClr w14:val="tx1"/>
            </w14:solidFill>
          </w14:textFill>
        </w:rPr>
        <w:t>～</w:t>
      </w:r>
      <w:r>
        <w:rPr>
          <w:rFonts w:cs="Times New Roman"/>
          <w:bCs/>
          <w:color w:val="000000" w:themeColor="text1"/>
          <w:spacing w:val="-8"/>
          <w:szCs w:val="24"/>
          <w14:textFill>
            <w14:solidFill>
              <w14:schemeClr w14:val="tx1"/>
            </w14:solidFill>
          </w14:textFill>
        </w:rPr>
        <w:t>0.5m之间，优势种有淡竹叶</w:t>
      </w:r>
      <w:r>
        <w:rPr>
          <w:rFonts w:cs="Times New Roman"/>
          <w:bCs/>
          <w:i/>
          <w:iCs/>
          <w:color w:val="000000" w:themeColor="text1"/>
          <w:spacing w:val="-8"/>
          <w:szCs w:val="24"/>
          <w14:textFill>
            <w14:solidFill>
              <w14:schemeClr w14:val="tx1"/>
            </w14:solidFill>
          </w14:textFill>
        </w:rPr>
        <w:t>Lophatherum</w:t>
      </w:r>
      <w:r>
        <w:rPr>
          <w:rFonts w:cs="Times New Roman"/>
          <w:bCs/>
          <w:color w:val="000000" w:themeColor="text1"/>
          <w:spacing w:val="-8"/>
          <w:szCs w:val="24"/>
          <w14:textFill>
            <w14:solidFill>
              <w14:schemeClr w14:val="tx1"/>
            </w14:solidFill>
          </w14:textFill>
        </w:rPr>
        <w:t xml:space="preserve"> </w:t>
      </w:r>
      <w:r>
        <w:rPr>
          <w:rFonts w:cs="Times New Roman"/>
          <w:bCs/>
          <w:i/>
          <w:iCs/>
          <w:color w:val="000000" w:themeColor="text1"/>
          <w:spacing w:val="-8"/>
          <w:szCs w:val="24"/>
          <w14:textFill>
            <w14:solidFill>
              <w14:schemeClr w14:val="tx1"/>
            </w14:solidFill>
          </w14:textFill>
        </w:rPr>
        <w:t>gracile</w:t>
      </w:r>
      <w:r>
        <w:rPr>
          <w:rFonts w:cs="Times New Roman"/>
          <w:bCs/>
          <w:color w:val="000000" w:themeColor="text1"/>
          <w:spacing w:val="-8"/>
          <w:szCs w:val="24"/>
          <w14:textFill>
            <w14:solidFill>
              <w14:schemeClr w14:val="tx1"/>
            </w14:solidFill>
          </w14:textFill>
        </w:rPr>
        <w:t>、荩</w:t>
      </w:r>
      <w:r>
        <w:rPr>
          <w:rFonts w:cs="Times New Roman"/>
          <w:bCs/>
          <w:color w:val="000000" w:themeColor="text1"/>
          <w:spacing w:val="-4"/>
          <w:szCs w:val="24"/>
          <w14:textFill>
            <w14:solidFill>
              <w14:schemeClr w14:val="tx1"/>
            </w14:solidFill>
          </w14:textFill>
        </w:rPr>
        <w:t>草</w:t>
      </w:r>
      <w:r>
        <w:rPr>
          <w:rFonts w:cs="Times New Roman"/>
          <w:bCs/>
          <w:i/>
          <w:iCs/>
          <w:color w:val="000000" w:themeColor="text1"/>
          <w:spacing w:val="-4"/>
          <w:szCs w:val="24"/>
          <w14:textFill>
            <w14:solidFill>
              <w14:schemeClr w14:val="tx1"/>
            </w14:solidFill>
          </w14:textFill>
        </w:rPr>
        <w:t>Hedyoti</w:t>
      </w:r>
      <w:r>
        <w:rPr>
          <w:rFonts w:cs="Times New Roman"/>
          <w:bCs/>
          <w:i/>
          <w:iCs/>
          <w:color w:val="000000" w:themeColor="text1"/>
          <w:spacing w:val="-2"/>
          <w:szCs w:val="24"/>
          <w14:textFill>
            <w14:solidFill>
              <w14:schemeClr w14:val="tx1"/>
            </w14:solidFill>
          </w14:textFill>
        </w:rPr>
        <w:t>s</w:t>
      </w:r>
      <w:r>
        <w:rPr>
          <w:rFonts w:cs="Times New Roman"/>
          <w:bCs/>
          <w:color w:val="000000" w:themeColor="text1"/>
          <w:spacing w:val="-4"/>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acutangular</w:t>
      </w:r>
      <w:r>
        <w:rPr>
          <w:rFonts w:cs="Times New Roman"/>
          <w:bCs/>
          <w:color w:val="000000" w:themeColor="text1"/>
          <w:spacing w:val="-4"/>
          <w:szCs w:val="24"/>
          <w14:textFill>
            <w14:solidFill>
              <w14:schemeClr w14:val="tx1"/>
            </w14:solidFill>
          </w14:textFill>
        </w:rPr>
        <w:t>、乌蕨</w:t>
      </w:r>
      <w:r>
        <w:rPr>
          <w:rFonts w:cs="Times New Roman"/>
          <w:bCs/>
          <w:i/>
          <w:iCs/>
          <w:color w:val="000000" w:themeColor="text1"/>
          <w:spacing w:val="-2"/>
          <w:szCs w:val="24"/>
          <w14:textFill>
            <w14:solidFill>
              <w14:schemeClr w14:val="tx1"/>
            </w14:solidFill>
          </w14:textFill>
        </w:rPr>
        <w:t>Odontosoria</w:t>
      </w:r>
      <w:r>
        <w:rPr>
          <w:rFonts w:cs="Times New Roman"/>
          <w:bCs/>
          <w:color w:val="000000" w:themeColor="text1"/>
          <w:spacing w:val="-4"/>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chinensis</w:t>
      </w:r>
      <w:r>
        <w:rPr>
          <w:rFonts w:cs="Times New Roman"/>
          <w:bCs/>
          <w:color w:val="000000" w:themeColor="text1"/>
          <w:spacing w:val="-4"/>
          <w:szCs w:val="24"/>
          <w14:textFill>
            <w14:solidFill>
              <w14:schemeClr w14:val="tx1"/>
            </w14:solidFill>
          </w14:textFill>
        </w:rPr>
        <w:t>，伴生种有</w:t>
      </w:r>
      <w:r>
        <w:rPr>
          <w:rFonts w:cs="Times New Roman"/>
          <w:bCs/>
          <w:color w:val="000000" w:themeColor="text1"/>
          <w:spacing w:val="-3"/>
          <w:szCs w:val="24"/>
          <w14:textFill>
            <w14:solidFill>
              <w14:schemeClr w14:val="tx1"/>
            </w14:solidFill>
          </w14:textFill>
        </w:rPr>
        <w:t>葎草</w:t>
      </w:r>
      <w:r>
        <w:rPr>
          <w:rFonts w:cs="Times New Roman"/>
          <w:bCs/>
          <w:i/>
          <w:iCs/>
          <w:color w:val="000000" w:themeColor="text1"/>
          <w:spacing w:val="-3"/>
          <w:szCs w:val="24"/>
          <w14:textFill>
            <w14:solidFill>
              <w14:schemeClr w14:val="tx1"/>
            </w14:solidFill>
          </w14:textFill>
        </w:rPr>
        <w:t>Humulus</w:t>
      </w:r>
      <w:r>
        <w:rPr>
          <w:rFonts w:cs="Times New Roman"/>
          <w:bCs/>
          <w:color w:val="000000" w:themeColor="text1"/>
          <w:spacing w:val="-3"/>
          <w:szCs w:val="24"/>
          <w14:textFill>
            <w14:solidFill>
              <w14:schemeClr w14:val="tx1"/>
            </w14:solidFill>
          </w14:textFill>
        </w:rPr>
        <w:t xml:space="preserve"> </w:t>
      </w:r>
      <w:r>
        <w:rPr>
          <w:rFonts w:cs="Times New Roman"/>
          <w:bCs/>
          <w:i/>
          <w:iCs/>
          <w:color w:val="000000" w:themeColor="text1"/>
          <w:spacing w:val="-3"/>
          <w:szCs w:val="24"/>
          <w14:textFill>
            <w14:solidFill>
              <w14:schemeClr w14:val="tx1"/>
            </w14:solidFill>
          </w14:textFill>
        </w:rPr>
        <w:t>scandens</w:t>
      </w:r>
      <w:r>
        <w:rPr>
          <w:rFonts w:cs="Times New Roman"/>
          <w:bCs/>
          <w:color w:val="000000" w:themeColor="text1"/>
          <w:spacing w:val="-3"/>
          <w:szCs w:val="24"/>
          <w14:textFill>
            <w14:solidFill>
              <w14:schemeClr w14:val="tx1"/>
            </w14:solidFill>
          </w14:textFill>
        </w:rPr>
        <w:t>、酸模叶蓼</w:t>
      </w:r>
      <w:r>
        <w:rPr>
          <w:rFonts w:cs="Times New Roman"/>
          <w:bCs/>
          <w:i/>
          <w:iCs/>
          <w:color w:val="000000" w:themeColor="text1"/>
          <w:spacing w:val="-3"/>
          <w:szCs w:val="24"/>
          <w14:textFill>
            <w14:solidFill>
              <w14:schemeClr w14:val="tx1"/>
            </w14:solidFill>
          </w14:textFill>
        </w:rPr>
        <w:t>Rumex</w:t>
      </w:r>
      <w:r>
        <w:rPr>
          <w:rFonts w:cs="Times New Roman"/>
          <w:bCs/>
          <w:color w:val="000000" w:themeColor="text1"/>
          <w:spacing w:val="-3"/>
          <w:szCs w:val="24"/>
          <w14:textFill>
            <w14:solidFill>
              <w14:schemeClr w14:val="tx1"/>
            </w14:solidFill>
          </w14:textFill>
        </w:rPr>
        <w:t xml:space="preserve"> </w:t>
      </w:r>
      <w:r>
        <w:rPr>
          <w:rFonts w:cs="Times New Roman"/>
          <w:bCs/>
          <w:i/>
          <w:iCs/>
          <w:color w:val="000000" w:themeColor="text1"/>
          <w:spacing w:val="-3"/>
          <w:szCs w:val="24"/>
          <w14:textFill>
            <w14:solidFill>
              <w14:schemeClr w14:val="tx1"/>
            </w14:solidFill>
          </w14:textFill>
        </w:rPr>
        <w:t>hastatus</w:t>
      </w:r>
      <w:r>
        <w:rPr>
          <w:rFonts w:cs="Times New Roman"/>
          <w:bCs/>
          <w:color w:val="000000" w:themeColor="text1"/>
          <w:spacing w:val="-3"/>
          <w:szCs w:val="24"/>
          <w14:textFill>
            <w14:solidFill>
              <w14:schemeClr w14:val="tx1"/>
            </w14:solidFill>
          </w14:textFill>
        </w:rPr>
        <w:t>、蒲儿根</w:t>
      </w:r>
      <w:r>
        <w:rPr>
          <w:rFonts w:cs="Times New Roman"/>
          <w:bCs/>
          <w:i/>
          <w:iCs/>
          <w:color w:val="000000" w:themeColor="text1"/>
          <w:spacing w:val="-3"/>
          <w:szCs w:val="24"/>
          <w14:textFill>
            <w14:solidFill>
              <w14:schemeClr w14:val="tx1"/>
            </w14:solidFill>
          </w14:textFill>
        </w:rPr>
        <w:t>Sinosen</w:t>
      </w:r>
      <w:r>
        <w:rPr>
          <w:rFonts w:cs="Times New Roman"/>
          <w:bCs/>
          <w:i/>
          <w:iCs/>
          <w:color w:val="000000" w:themeColor="text1"/>
          <w:spacing w:val="-1"/>
          <w:szCs w:val="24"/>
          <w14:textFill>
            <w14:solidFill>
              <w14:schemeClr w14:val="tx1"/>
            </w14:solidFill>
          </w14:textFill>
        </w:rPr>
        <w:t>e</w:t>
      </w:r>
      <w:r>
        <w:rPr>
          <w:rFonts w:cs="Times New Roman"/>
          <w:bCs/>
          <w:i/>
          <w:iCs/>
          <w:color w:val="000000" w:themeColor="text1"/>
          <w:szCs w:val="24"/>
          <w14:textFill>
            <w14:solidFill>
              <w14:schemeClr w14:val="tx1"/>
            </w14:solidFill>
          </w14:textFill>
        </w:rPr>
        <w:t>cio</w:t>
      </w:r>
      <w:r>
        <w:rPr>
          <w:rFonts w:cs="Times New Roman"/>
          <w:bCs/>
          <w:color w:val="000000" w:themeColor="text1"/>
          <w:szCs w:val="24"/>
          <w14:textFill>
            <w14:solidFill>
              <w14:schemeClr w14:val="tx1"/>
            </w14:solidFill>
          </w14:textFill>
        </w:rPr>
        <w:t xml:space="preserve"> </w:t>
      </w:r>
      <w:r>
        <w:rPr>
          <w:rFonts w:cs="Times New Roman"/>
          <w:bCs/>
          <w:i/>
          <w:iCs/>
          <w:color w:val="000000" w:themeColor="text1"/>
          <w:spacing w:val="-5"/>
          <w:szCs w:val="24"/>
          <w14:textFill>
            <w14:solidFill>
              <w14:schemeClr w14:val="tx1"/>
            </w14:solidFill>
          </w14:textFill>
        </w:rPr>
        <w:t>oldhamianus</w:t>
      </w:r>
      <w:r>
        <w:rPr>
          <w:rFonts w:cs="Times New Roman"/>
          <w:bCs/>
          <w:color w:val="000000" w:themeColor="text1"/>
          <w:spacing w:val="-10"/>
          <w:szCs w:val="24"/>
          <w14:textFill>
            <w14:solidFill>
              <w14:schemeClr w14:val="tx1"/>
            </w14:solidFill>
          </w14:textFill>
        </w:rPr>
        <w:t>、透</w:t>
      </w:r>
      <w:r>
        <w:rPr>
          <w:rFonts w:cs="Times New Roman"/>
          <w:bCs/>
          <w:color w:val="000000" w:themeColor="text1"/>
          <w:spacing w:val="-6"/>
          <w:szCs w:val="24"/>
          <w14:textFill>
            <w14:solidFill>
              <w14:schemeClr w14:val="tx1"/>
            </w14:solidFill>
          </w14:textFill>
        </w:rPr>
        <w:t>茎</w:t>
      </w:r>
      <w:r>
        <w:rPr>
          <w:rFonts w:cs="Times New Roman"/>
          <w:bCs/>
          <w:color w:val="000000" w:themeColor="text1"/>
          <w:spacing w:val="-5"/>
          <w:szCs w:val="24"/>
          <w14:textFill>
            <w14:solidFill>
              <w14:schemeClr w14:val="tx1"/>
            </w14:solidFill>
          </w14:textFill>
        </w:rPr>
        <w:t>冷水花</w:t>
      </w:r>
      <w:r>
        <w:rPr>
          <w:rFonts w:cs="Times New Roman"/>
          <w:bCs/>
          <w:i/>
          <w:iCs/>
          <w:color w:val="000000" w:themeColor="text1"/>
          <w:spacing w:val="-5"/>
          <w:szCs w:val="24"/>
          <w14:textFill>
            <w14:solidFill>
              <w14:schemeClr w14:val="tx1"/>
            </w14:solidFill>
          </w14:textFill>
        </w:rPr>
        <w:t>Pileapumila</w:t>
      </w:r>
      <w:r>
        <w:rPr>
          <w:rFonts w:cs="Times New Roman"/>
          <w:bCs/>
          <w:color w:val="000000" w:themeColor="text1"/>
          <w:spacing w:val="-5"/>
          <w:szCs w:val="24"/>
          <w14:textFill>
            <w14:solidFill>
              <w14:schemeClr w14:val="tx1"/>
            </w14:solidFill>
          </w14:textFill>
        </w:rPr>
        <w:t xml:space="preserve">、华南毛蕨 </w:t>
      </w:r>
      <w:r>
        <w:rPr>
          <w:rFonts w:cs="Times New Roman"/>
          <w:bCs/>
          <w:i/>
          <w:iCs/>
          <w:color w:val="000000" w:themeColor="text1"/>
          <w:spacing w:val="-5"/>
          <w:szCs w:val="24"/>
          <w14:textFill>
            <w14:solidFill>
              <w14:schemeClr w14:val="tx1"/>
            </w14:solidFill>
          </w14:textFill>
        </w:rPr>
        <w:t>Cyclosorus</w:t>
      </w:r>
      <w:r>
        <w:rPr>
          <w:rFonts w:cs="Times New Roman"/>
          <w:bCs/>
          <w:color w:val="000000" w:themeColor="text1"/>
          <w:spacing w:val="-5"/>
          <w:szCs w:val="24"/>
          <w14:textFill>
            <w14:solidFill>
              <w14:schemeClr w14:val="tx1"/>
            </w14:solidFill>
          </w14:textFill>
        </w:rPr>
        <w:t xml:space="preserve"> </w:t>
      </w:r>
      <w:r>
        <w:rPr>
          <w:rFonts w:cs="Times New Roman"/>
          <w:bCs/>
          <w:i/>
          <w:iCs/>
          <w:color w:val="000000" w:themeColor="text1"/>
          <w:spacing w:val="-5"/>
          <w:szCs w:val="24"/>
          <w14:textFill>
            <w14:solidFill>
              <w14:schemeClr w14:val="tx1"/>
            </w14:solidFill>
          </w14:textFill>
        </w:rPr>
        <w:t>parasiticus</w:t>
      </w:r>
      <w:r>
        <w:rPr>
          <w:rFonts w:cs="Times New Roman"/>
          <w:bCs/>
          <w:color w:val="000000" w:themeColor="text1"/>
          <w:spacing w:val="-5"/>
          <w:szCs w:val="24"/>
          <w14:textFill>
            <w14:solidFill>
              <w14:schemeClr w14:val="tx1"/>
            </w14:solidFill>
          </w14:textFill>
        </w:rPr>
        <w:t xml:space="preserve">、刺齿凤尾蕨 </w:t>
      </w:r>
      <w:r>
        <w:rPr>
          <w:rFonts w:cs="Times New Roman"/>
          <w:bCs/>
          <w:i/>
          <w:iCs/>
          <w:color w:val="000000" w:themeColor="text1"/>
          <w:spacing w:val="-5"/>
          <w:szCs w:val="24"/>
          <w14:textFill>
            <w14:solidFill>
              <w14:schemeClr w14:val="tx1"/>
            </w14:solidFill>
          </w14:textFill>
        </w:rPr>
        <w:t>Pteris</w:t>
      </w:r>
      <w:r>
        <w:rPr>
          <w:rFonts w:cs="Times New Roman"/>
          <w:bCs/>
          <w:color w:val="000000" w:themeColor="text1"/>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dispar</w:t>
      </w:r>
      <w:r>
        <w:rPr>
          <w:rFonts w:cs="Times New Roman"/>
          <w:bCs/>
          <w:color w:val="000000" w:themeColor="text1"/>
          <w:spacing w:val="-4"/>
          <w:szCs w:val="24"/>
          <w14:textFill>
            <w14:solidFill>
              <w14:schemeClr w14:val="tx1"/>
            </w14:solidFill>
          </w14:textFill>
        </w:rPr>
        <w:t>、异叶黄鹌菜</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Youngia</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heterophylla</w:t>
      </w:r>
      <w:r>
        <w:rPr>
          <w:rFonts w:cs="Times New Roman"/>
          <w:bCs/>
          <w:color w:val="000000" w:themeColor="text1"/>
          <w:spacing w:val="-2"/>
          <w:szCs w:val="24"/>
          <w14:textFill>
            <w14:solidFill>
              <w14:schemeClr w14:val="tx1"/>
            </w14:solidFill>
          </w14:textFill>
        </w:rPr>
        <w:t xml:space="preserve">、拉拉藤 </w:t>
      </w:r>
      <w:r>
        <w:rPr>
          <w:rFonts w:cs="Times New Roman"/>
          <w:bCs/>
          <w:i/>
          <w:iCs/>
          <w:color w:val="000000" w:themeColor="text1"/>
          <w:spacing w:val="-2"/>
          <w:szCs w:val="24"/>
          <w14:textFill>
            <w14:solidFill>
              <w14:schemeClr w14:val="tx1"/>
            </w14:solidFill>
          </w14:textFill>
        </w:rPr>
        <w:t>Galium</w:t>
      </w:r>
      <w:r>
        <w:rPr>
          <w:rFonts w:cs="Times New Roman"/>
          <w:bCs/>
          <w:color w:val="000000" w:themeColor="text1"/>
          <w:spacing w:val="-2"/>
          <w:szCs w:val="24"/>
          <w14:textFill>
            <w14:solidFill>
              <w14:schemeClr w14:val="tx1"/>
            </w14:solidFill>
          </w14:textFill>
        </w:rPr>
        <w:t xml:space="preserve"> </w:t>
      </w:r>
      <w:r>
        <w:rPr>
          <w:rFonts w:cs="Times New Roman"/>
          <w:bCs/>
          <w:i/>
          <w:iCs/>
          <w:color w:val="000000" w:themeColor="text1"/>
          <w:spacing w:val="-2"/>
          <w:szCs w:val="24"/>
          <w14:textFill>
            <w14:solidFill>
              <w14:schemeClr w14:val="tx1"/>
            </w14:solidFill>
          </w14:textFill>
        </w:rPr>
        <w:t>aparine</w:t>
      </w:r>
      <w:r>
        <w:rPr>
          <w:rFonts w:cs="Times New Roman"/>
          <w:bCs/>
          <w:color w:val="000000" w:themeColor="text1"/>
          <w:spacing w:val="-2"/>
          <w:szCs w:val="24"/>
          <w14:textFill>
            <w14:solidFill>
              <w14:schemeClr w14:val="tx1"/>
            </w14:solidFill>
          </w14:textFill>
        </w:rPr>
        <w:t xml:space="preserve"> var. </w:t>
      </w:r>
      <w:r>
        <w:rPr>
          <w:rFonts w:cs="Times New Roman"/>
          <w:bCs/>
          <w:i/>
          <w:iCs/>
          <w:color w:val="000000" w:themeColor="text1"/>
          <w:spacing w:val="-2"/>
          <w:szCs w:val="24"/>
          <w14:textFill>
            <w14:solidFill>
              <w14:schemeClr w14:val="tx1"/>
            </w14:solidFill>
          </w14:textFill>
        </w:rPr>
        <w:t>Echinospermum</w:t>
      </w:r>
      <w:r>
        <w:rPr>
          <w:rFonts w:cs="Times New Roman"/>
          <w:bCs/>
          <w:color w:val="000000" w:themeColor="text1"/>
          <w:spacing w:val="-2"/>
          <w:szCs w:val="24"/>
          <w14:textFill>
            <w14:solidFill>
              <w14:schemeClr w14:val="tx1"/>
            </w14:solidFill>
          </w14:textFill>
        </w:rPr>
        <w:t xml:space="preserve"> 等。</w:t>
      </w:r>
    </w:p>
    <w:p>
      <w:pPr>
        <w:ind w:firstLine="496"/>
        <w:rPr>
          <w:rFonts w:cs="Times New Roman"/>
          <w:bCs/>
          <w:color w:val="000000" w:themeColor="text1"/>
          <w:szCs w:val="24"/>
          <w14:textFill>
            <w14:solidFill>
              <w14:schemeClr w14:val="tx1"/>
            </w14:solidFill>
          </w14:textFill>
        </w:rPr>
      </w:pPr>
      <w:r>
        <w:rPr>
          <w:rFonts w:hint="eastAsia" w:ascii="宋体" w:hAnsi="宋体" w:cs="宋体"/>
          <w:bCs/>
          <w:color w:val="000000" w:themeColor="text1"/>
          <w:spacing w:val="8"/>
          <w:szCs w:val="24"/>
          <w14:textFill>
            <w14:solidFill>
              <w14:schemeClr w14:val="tx1"/>
            </w14:solidFill>
          </w14:textFill>
        </w:rPr>
        <w:t>②</w:t>
      </w:r>
      <w:r>
        <w:rPr>
          <w:rFonts w:cs="Times New Roman"/>
          <w:bCs/>
          <w:color w:val="000000" w:themeColor="text1"/>
          <w:szCs w:val="24"/>
          <w14:textFill>
            <w14:solidFill>
              <w14:schemeClr w14:val="tx1"/>
            </w14:solidFill>
          </w14:textFill>
        </w:rPr>
        <w:t>马桑+黄荆+火棘+荚蒾灌丛群系（Form.</w:t>
      </w:r>
      <w:r>
        <w:rPr>
          <w:rFonts w:cs="Times New Roman"/>
          <w:bCs/>
          <w:i/>
          <w:iCs/>
          <w:color w:val="000000" w:themeColor="text1"/>
          <w:szCs w:val="24"/>
          <w14:textFill>
            <w14:solidFill>
              <w14:schemeClr w14:val="tx1"/>
            </w14:solidFill>
          </w14:textFill>
        </w:rPr>
        <w:t>Coriaria nepalensis+Vitex negundo+Pyracantha fortuneana+Viburnum dilatatum</w:t>
      </w:r>
      <w:r>
        <w:rPr>
          <w:rFonts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该群落多在林缘及砍伐迹地上出现，受人类活动干扰影响极大，群落结构不稳定，易向阔叶林演替。马桑、黄荆、火棘、荚蒾灌丛在评价区一些人类活动干扰较大的支沟内及居民点周围较为典型。</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群落灌木层组成种类较为庞杂，总盖度达60%以上，以马桑、黄荆、火棘、荚蒾为优势种，平均高度2.5m。其他灌木种类有杜鹃、盐肤木、野桐（</w:t>
      </w:r>
      <w:r>
        <w:rPr>
          <w:rFonts w:cs="Times New Roman"/>
          <w:bCs/>
          <w:i/>
          <w:iCs/>
          <w:color w:val="000000" w:themeColor="text1"/>
          <w:szCs w:val="24"/>
          <w14:textFill>
            <w14:solidFill>
              <w14:schemeClr w14:val="tx1"/>
            </w14:solidFill>
          </w14:textFill>
        </w:rPr>
        <w:t>Mallotus japonicus var. floccosus</w:t>
      </w:r>
      <w:r>
        <w:rPr>
          <w:rFonts w:cs="Times New Roman"/>
          <w:bCs/>
          <w:color w:val="000000" w:themeColor="text1"/>
          <w:szCs w:val="24"/>
          <w14:textFill>
            <w14:solidFill>
              <w14:schemeClr w14:val="tx1"/>
            </w14:solidFill>
          </w14:textFill>
        </w:rPr>
        <w:t>）、川莓、山合欢、多种悬钩子、美丽胡枝子（</w:t>
      </w:r>
      <w:r>
        <w:rPr>
          <w:rFonts w:cs="Times New Roman"/>
          <w:bCs/>
          <w:i/>
          <w:iCs/>
          <w:color w:val="000000" w:themeColor="text1"/>
          <w:szCs w:val="24"/>
          <w14:textFill>
            <w14:solidFill>
              <w14:schemeClr w14:val="tx1"/>
            </w14:solidFill>
          </w14:textFill>
        </w:rPr>
        <w:t>Lespedeza formosa</w:t>
      </w:r>
      <w:r>
        <w:rPr>
          <w:rFonts w:cs="Times New Roman"/>
          <w:bCs/>
          <w:color w:val="000000" w:themeColor="text1"/>
          <w:szCs w:val="24"/>
          <w14:textFill>
            <w14:solidFill>
              <w14:schemeClr w14:val="tx1"/>
            </w14:solidFill>
          </w14:textFill>
        </w:rPr>
        <w:t>）、山胡椒（</w:t>
      </w:r>
      <w:r>
        <w:rPr>
          <w:rFonts w:cs="Times New Roman"/>
          <w:bCs/>
          <w:i/>
          <w:iCs/>
          <w:color w:val="000000" w:themeColor="text1"/>
          <w:szCs w:val="24"/>
          <w14:textFill>
            <w14:solidFill>
              <w14:schemeClr w14:val="tx1"/>
            </w14:solidFill>
          </w14:textFill>
        </w:rPr>
        <w:t>Lindera sp.</w:t>
      </w:r>
      <w:r>
        <w:rPr>
          <w:rFonts w:cs="Times New Roman"/>
          <w:bCs/>
          <w:color w:val="000000" w:themeColor="text1"/>
          <w:szCs w:val="24"/>
          <w14:textFill>
            <w14:solidFill>
              <w14:schemeClr w14:val="tx1"/>
            </w14:solidFill>
          </w14:textFill>
        </w:rPr>
        <w:t>）等多种灌木类型。</w:t>
      </w:r>
    </w:p>
    <w:p>
      <w:pPr>
        <w:pStyle w:val="13"/>
        <w:spacing w:line="360" w:lineRule="auto"/>
        <w:rPr>
          <w:color w:val="000000" w:themeColor="text1"/>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草本植物生长茂盛，分层明显。芒居于草本层第Ⅰ亚层植物，高度约1.2m、千里光（</w:t>
      </w:r>
      <w:r>
        <w:rPr>
          <w:rFonts w:ascii="Times New Roman" w:hAnsi="Times New Roman"/>
          <w:bCs/>
          <w:i/>
          <w:iCs/>
          <w:color w:val="000000" w:themeColor="text1"/>
          <w:sz w:val="24"/>
          <w:szCs w:val="24"/>
          <w14:textFill>
            <w14:solidFill>
              <w14:schemeClr w14:val="tx1"/>
            </w14:solidFill>
          </w14:textFill>
        </w:rPr>
        <w:t xml:space="preserve">Senecio scandens </w:t>
      </w:r>
      <w:r>
        <w:rPr>
          <w:rFonts w:ascii="Times New Roman" w:hAnsi="Times New Roman"/>
          <w:bCs/>
          <w:color w:val="000000" w:themeColor="text1"/>
          <w:sz w:val="24"/>
          <w:szCs w:val="24"/>
          <w14:textFill>
            <w14:solidFill>
              <w14:schemeClr w14:val="tx1"/>
            </w14:solidFill>
          </w14:textFill>
        </w:rPr>
        <w:t>Buch.-Ham. ex D.Don）、糙苏（</w:t>
      </w:r>
      <w:r>
        <w:rPr>
          <w:rFonts w:ascii="Times New Roman" w:hAnsi="Times New Roman"/>
          <w:bCs/>
          <w:i/>
          <w:iCs/>
          <w:color w:val="000000" w:themeColor="text1"/>
          <w:sz w:val="24"/>
          <w:szCs w:val="24"/>
          <w14:textFill>
            <w14:solidFill>
              <w14:schemeClr w14:val="tx1"/>
            </w14:solidFill>
          </w14:textFill>
        </w:rPr>
        <w:t>Phlomis umbros</w:t>
      </w:r>
      <w:r>
        <w:rPr>
          <w:rFonts w:ascii="Times New Roman" w:hAnsi="Times New Roman"/>
          <w:bCs/>
          <w:color w:val="000000" w:themeColor="text1"/>
          <w:sz w:val="24"/>
          <w:szCs w:val="24"/>
          <w14:textFill>
            <w14:solidFill>
              <w14:schemeClr w14:val="tx1"/>
            </w14:solidFill>
          </w14:textFill>
        </w:rPr>
        <w:t>a）、白茅（</w:t>
      </w:r>
      <w:r>
        <w:rPr>
          <w:rFonts w:ascii="Times New Roman" w:hAnsi="Times New Roman"/>
          <w:bCs/>
          <w:i/>
          <w:iCs/>
          <w:color w:val="000000" w:themeColor="text1"/>
          <w:sz w:val="24"/>
          <w:szCs w:val="24"/>
          <w14:textFill>
            <w14:solidFill>
              <w14:schemeClr w14:val="tx1"/>
            </w14:solidFill>
          </w14:textFill>
        </w:rPr>
        <w:t>Imperata cylindrica （Linn.）Beauv.</w:t>
      </w:r>
      <w:r>
        <w:rPr>
          <w:rFonts w:ascii="Times New Roman" w:hAnsi="Times New Roman"/>
          <w:bCs/>
          <w:color w:val="000000" w:themeColor="text1"/>
          <w:sz w:val="24"/>
          <w:szCs w:val="24"/>
          <w14:textFill>
            <w14:solidFill>
              <w14:schemeClr w14:val="tx1"/>
            </w14:solidFill>
          </w14:textFill>
        </w:rPr>
        <w:t>）等居于第Ⅱ亚层，高度30</w:t>
      </w:r>
      <w:r>
        <w:rPr>
          <w:rFonts w:hint="eastAsia" w:ascii="Times New Roman" w:hAnsi="Times New Roman"/>
          <w:bCs/>
          <w:color w:val="000000" w:themeColor="text1"/>
          <w:sz w:val="24"/>
          <w:szCs w:val="24"/>
          <w14:textFill>
            <w14:solidFill>
              <w14:schemeClr w14:val="tx1"/>
            </w14:solidFill>
          </w14:textFill>
        </w:rPr>
        <w:t>～</w:t>
      </w:r>
      <w:r>
        <w:rPr>
          <w:rFonts w:ascii="Times New Roman" w:hAnsi="Times New Roman"/>
          <w:bCs/>
          <w:color w:val="000000" w:themeColor="text1"/>
          <w:sz w:val="24"/>
          <w:szCs w:val="24"/>
          <w14:textFill>
            <w14:solidFill>
              <w14:schemeClr w14:val="tx1"/>
            </w14:solidFill>
          </w14:textFill>
        </w:rPr>
        <w:t>60cm，车前（</w:t>
      </w:r>
      <w:r>
        <w:rPr>
          <w:rFonts w:ascii="Times New Roman" w:hAnsi="Times New Roman"/>
          <w:bCs/>
          <w:i/>
          <w:iCs/>
          <w:color w:val="000000" w:themeColor="text1"/>
          <w:sz w:val="24"/>
          <w:szCs w:val="24"/>
          <w14:textFill>
            <w14:solidFill>
              <w14:schemeClr w14:val="tx1"/>
            </w14:solidFill>
          </w14:textFill>
        </w:rPr>
        <w:t xml:space="preserve">Plantago asiatica </w:t>
      </w:r>
      <w:r>
        <w:rPr>
          <w:rFonts w:ascii="Times New Roman" w:hAnsi="Times New Roman"/>
          <w:bCs/>
          <w:color w:val="000000" w:themeColor="text1"/>
          <w:sz w:val="24"/>
          <w:szCs w:val="24"/>
          <w14:textFill>
            <w14:solidFill>
              <w14:schemeClr w14:val="tx1"/>
            </w14:solidFill>
          </w14:textFill>
        </w:rPr>
        <w:t>L.）、聚花过路黄（</w:t>
      </w:r>
      <w:r>
        <w:rPr>
          <w:rFonts w:ascii="Times New Roman" w:hAnsi="Times New Roman"/>
          <w:bCs/>
          <w:i/>
          <w:iCs/>
          <w:color w:val="000000" w:themeColor="text1"/>
          <w:sz w:val="24"/>
          <w:szCs w:val="24"/>
          <w14:textFill>
            <w14:solidFill>
              <w14:schemeClr w14:val="tx1"/>
            </w14:solidFill>
          </w14:textFill>
        </w:rPr>
        <w:t>Lysimachia congestiflora Hemsl.</w:t>
      </w:r>
      <w:r>
        <w:rPr>
          <w:rFonts w:ascii="Times New Roman" w:hAnsi="Times New Roman"/>
          <w:bCs/>
          <w:color w:val="000000" w:themeColor="text1"/>
          <w:sz w:val="24"/>
          <w:szCs w:val="24"/>
          <w14:textFill>
            <w14:solidFill>
              <w14:schemeClr w14:val="tx1"/>
            </w14:solidFill>
          </w14:textFill>
        </w:rPr>
        <w:t>）、蕺菜（</w:t>
      </w:r>
      <w:r>
        <w:rPr>
          <w:rFonts w:ascii="Times New Roman" w:hAnsi="Times New Roman"/>
          <w:bCs/>
          <w:i/>
          <w:iCs/>
          <w:color w:val="000000" w:themeColor="text1"/>
          <w:sz w:val="24"/>
          <w:szCs w:val="24"/>
          <w14:textFill>
            <w14:solidFill>
              <w14:schemeClr w14:val="tx1"/>
            </w14:solidFill>
          </w14:textFill>
        </w:rPr>
        <w:t xml:space="preserve">Houttuynia cordata </w:t>
      </w:r>
      <w:r>
        <w:rPr>
          <w:rFonts w:ascii="Times New Roman" w:hAnsi="Times New Roman"/>
          <w:bCs/>
          <w:color w:val="000000" w:themeColor="text1"/>
          <w:sz w:val="24"/>
          <w:szCs w:val="24"/>
          <w14:textFill>
            <w14:solidFill>
              <w14:schemeClr w14:val="tx1"/>
            </w14:solidFill>
          </w14:textFill>
        </w:rPr>
        <w:t>Thunb）、葎草（</w:t>
      </w:r>
      <w:r>
        <w:rPr>
          <w:rFonts w:ascii="Times New Roman" w:hAnsi="Times New Roman"/>
          <w:bCs/>
          <w:i/>
          <w:iCs/>
          <w:color w:val="000000" w:themeColor="text1"/>
          <w:sz w:val="24"/>
          <w:szCs w:val="24"/>
          <w14:textFill>
            <w14:solidFill>
              <w14:schemeClr w14:val="tx1"/>
            </w14:solidFill>
          </w14:textFill>
        </w:rPr>
        <w:t>Humulus scandens</w:t>
      </w:r>
      <w:r>
        <w:rPr>
          <w:rFonts w:ascii="Times New Roman" w:hAnsi="Times New Roman"/>
          <w:bCs/>
          <w:color w:val="000000" w:themeColor="text1"/>
          <w:sz w:val="24"/>
          <w:szCs w:val="24"/>
          <w14:textFill>
            <w14:solidFill>
              <w14:schemeClr w14:val="tx1"/>
            </w14:solidFill>
          </w14:textFill>
        </w:rPr>
        <w:t>）等居于第Ⅲ亚层，高度在20cm以下。另外还有多种蕨类植物如毛蕨（</w:t>
      </w:r>
      <w:r>
        <w:rPr>
          <w:rFonts w:ascii="Times New Roman" w:hAnsi="Times New Roman"/>
          <w:bCs/>
          <w:i/>
          <w:iCs/>
          <w:color w:val="000000" w:themeColor="text1"/>
          <w:sz w:val="24"/>
          <w:szCs w:val="24"/>
          <w14:textFill>
            <w14:solidFill>
              <w14:schemeClr w14:val="tx1"/>
            </w14:solidFill>
          </w14:textFill>
        </w:rPr>
        <w:t xml:space="preserve">Cyclosorus interruptus </w:t>
      </w:r>
      <w:r>
        <w:rPr>
          <w:rFonts w:ascii="Times New Roman" w:hAnsi="Times New Roman"/>
          <w:bCs/>
          <w:color w:val="000000" w:themeColor="text1"/>
          <w:sz w:val="24"/>
          <w:szCs w:val="24"/>
          <w14:textFill>
            <w14:solidFill>
              <w14:schemeClr w14:val="tx1"/>
            </w14:solidFill>
          </w14:textFill>
        </w:rPr>
        <w:t>（Willd.） H. Ito）、铁角蕨（</w:t>
      </w:r>
      <w:r>
        <w:rPr>
          <w:rFonts w:ascii="Times New Roman" w:hAnsi="Times New Roman"/>
          <w:bCs/>
          <w:i/>
          <w:iCs/>
          <w:color w:val="000000" w:themeColor="text1"/>
          <w:sz w:val="24"/>
          <w:szCs w:val="24"/>
          <w14:textFill>
            <w14:solidFill>
              <w14:schemeClr w14:val="tx1"/>
            </w14:solidFill>
          </w14:textFill>
        </w:rPr>
        <w:t>Asplenium trichomanes</w:t>
      </w:r>
      <w:r>
        <w:rPr>
          <w:rFonts w:ascii="Times New Roman" w:hAnsi="Times New Roman"/>
          <w:bCs/>
          <w:color w:val="000000" w:themeColor="text1"/>
          <w:sz w:val="24"/>
          <w:szCs w:val="24"/>
          <w14:textFill>
            <w14:solidFill>
              <w14:schemeClr w14:val="tx1"/>
            </w14:solidFill>
          </w14:textFill>
        </w:rPr>
        <w:t>）在草本层生长。</w:t>
      </w:r>
    </w:p>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Ⅲ草丛植被</w:t>
      </w:r>
    </w:p>
    <w:p>
      <w:pPr>
        <w:ind w:firstLine="512"/>
        <w:rPr>
          <w:rFonts w:cs="Times New Roman"/>
          <w:bCs/>
          <w:color w:val="000000" w:themeColor="text1"/>
          <w:szCs w:val="24"/>
          <w14:textFill>
            <w14:solidFill>
              <w14:schemeClr w14:val="tx1"/>
            </w14:solidFill>
          </w14:textFill>
        </w:rPr>
      </w:pPr>
      <w:r>
        <w:rPr>
          <w:rFonts w:hint="eastAsia" w:ascii="宋体" w:hAnsi="宋体" w:cs="宋体"/>
          <w:bCs/>
          <w:color w:val="000000" w:themeColor="text1"/>
          <w:spacing w:val="16"/>
          <w:szCs w:val="24"/>
          <w14:textFill>
            <w14:solidFill>
              <w14:schemeClr w14:val="tx1"/>
            </w14:solidFill>
          </w14:textFill>
        </w:rPr>
        <w:t>①</w:t>
      </w:r>
      <w:r>
        <w:rPr>
          <w:rFonts w:cs="Times New Roman"/>
          <w:bCs/>
          <w:color w:val="000000" w:themeColor="text1"/>
          <w:szCs w:val="24"/>
          <w14:textFill>
            <w14:solidFill>
              <w14:schemeClr w14:val="tx1"/>
            </w14:solidFill>
          </w14:textFill>
        </w:rPr>
        <w:t>芒+白茅</w:t>
      </w:r>
      <w:r>
        <w:rPr>
          <w:rFonts w:cs="Times New Roman"/>
          <w:bCs/>
          <w:color w:val="000000" w:themeColor="text1"/>
          <w:spacing w:val="9"/>
          <w:szCs w:val="24"/>
          <w14:textFill>
            <w14:solidFill>
              <w14:schemeClr w14:val="tx1"/>
            </w14:solidFill>
          </w14:textFill>
        </w:rPr>
        <w:t>群落</w:t>
      </w:r>
      <w:r>
        <w:rPr>
          <w:rFonts w:cs="Times New Roman"/>
          <w:bCs/>
          <w:color w:val="000000" w:themeColor="text1"/>
          <w:szCs w:val="24"/>
          <w14:textFill>
            <w14:solidFill>
              <w14:schemeClr w14:val="tx1"/>
            </w14:solidFill>
          </w14:textFill>
        </w:rPr>
        <w:t xml:space="preserve">（Form. </w:t>
      </w:r>
      <w:r>
        <w:rPr>
          <w:rFonts w:cs="Times New Roman"/>
          <w:bCs/>
          <w:i/>
          <w:iCs/>
          <w:color w:val="000000" w:themeColor="text1"/>
          <w:szCs w:val="24"/>
          <w14:textFill>
            <w14:solidFill>
              <w14:schemeClr w14:val="tx1"/>
            </w14:solidFill>
          </w14:textFill>
        </w:rPr>
        <w:t>Miscanthus sinensis+Imperata cylindrica</w:t>
      </w:r>
      <w:r>
        <w:rPr>
          <w:rFonts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芒、白茅草丛可出现在河谷、盆地、河漫滩上的阶地、山地、丘陵及海滩地带。在四川各地分布十分广泛。由于芒、白茅的生活力很强，因而可以在不同的生境条件下出现。芒、白茅对土壤的酸碱度要求亦</w:t>
      </w:r>
      <w:r>
        <w:rPr>
          <w:rFonts w:hint="eastAsia" w:cs="Times New Roman"/>
          <w:bCs/>
          <w:color w:val="000000" w:themeColor="text1"/>
          <w:szCs w:val="24"/>
          <w14:textFill>
            <w14:solidFill>
              <w14:schemeClr w14:val="tx1"/>
            </w14:solidFill>
          </w14:textFill>
        </w:rPr>
        <w:t>不</w:t>
      </w:r>
      <w:r>
        <w:rPr>
          <w:rFonts w:cs="Times New Roman"/>
          <w:bCs/>
          <w:color w:val="000000" w:themeColor="text1"/>
          <w:szCs w:val="24"/>
          <w14:textFill>
            <w14:solidFill>
              <w14:schemeClr w14:val="tx1"/>
            </w14:solidFill>
          </w14:textFill>
        </w:rPr>
        <w:t>严格，因此在石灰岩为基岩发育的石灰土或砂页岩等发育的酸性土上都有分布。在撂荒地上，首先遇到的就是芒、白茅草丛，在一些地段上，白茅生长密集，地下茎很发达，相互交织成网，其他植物很难侵入，可以形成几乎是纯白茅的草丛。</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评价范围及周边芒、白茅草本层的高度为60—300厘米，层覆盖度在</w:t>
      </w:r>
      <w:r>
        <w:rPr>
          <w:rFonts w:hint="eastAsia" w:cs="Times New Roman"/>
          <w:bCs/>
          <w:color w:val="000000" w:themeColor="text1"/>
          <w:szCs w:val="24"/>
          <w14:textFill>
            <w14:solidFill>
              <w14:schemeClr w14:val="tx1"/>
            </w14:solidFill>
          </w14:textFill>
        </w:rPr>
        <w:t>70%—90%</w:t>
      </w:r>
      <w:r>
        <w:rPr>
          <w:rFonts w:cs="Times New Roman"/>
          <w:bCs/>
          <w:color w:val="000000" w:themeColor="text1"/>
          <w:szCs w:val="24"/>
          <w14:textFill>
            <w14:solidFill>
              <w14:schemeClr w14:val="tx1"/>
            </w14:solidFill>
          </w14:textFill>
        </w:rPr>
        <w:t>之间。其伴生植物有五节芒、野古草、斑茅、婆婆针、飞蓬、蛇莓、夏枯草、黄背草、铁扫帚、歪头菜、贯叶连翘等，在群落中散生有少数灌木，如美丽胡枝子、山豆花及麻栎、白栎幼树等。</w:t>
      </w:r>
    </w:p>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Ⅳ栽培植被</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栽培植被指人类在自然环境中，根据人类生产、生活的需要，通过人为的经营、管理措施而培育形成的植被类型。在评价范围，栽培植被主要为以农业技术措施为主培育形成的农田植被以及具有一定经济效益的经济林木。现分别就各类栽培植被分析如下：</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（1）农田植被</w:t>
      </w:r>
    </w:p>
    <w:p>
      <w:pPr>
        <w:ind w:firstLine="480"/>
        <w:rPr>
          <w:rFonts w:cs="Times New Roman"/>
          <w:bCs/>
          <w:color w:val="000000" w:themeColor="text1"/>
          <w:szCs w:val="24"/>
          <w:lang w:val="de-DE"/>
          <w14:textFill>
            <w14:solidFill>
              <w14:schemeClr w14:val="tx1"/>
            </w14:solidFill>
          </w14:textFill>
        </w:rPr>
      </w:pPr>
      <w:r>
        <w:rPr>
          <w:rFonts w:hint="eastAsia" w:ascii="宋体" w:hAnsi="宋体" w:cs="宋体"/>
          <w:bCs/>
          <w:color w:val="000000" w:themeColor="text1"/>
          <w:szCs w:val="24"/>
          <w:lang w:val="de-DE"/>
          <w14:textFill>
            <w14:solidFill>
              <w14:schemeClr w14:val="tx1"/>
            </w14:solidFill>
          </w14:textFill>
        </w:rPr>
        <w:t>①</w:t>
      </w:r>
      <w:r>
        <w:rPr>
          <w:rFonts w:cs="Times New Roman"/>
          <w:bCs/>
          <w:color w:val="000000" w:themeColor="text1"/>
          <w:szCs w:val="24"/>
          <w:lang w:val="de-DE"/>
          <w14:textFill>
            <w14:solidFill>
              <w14:schemeClr w14:val="tx1"/>
            </w14:solidFill>
          </w14:textFill>
        </w:rPr>
        <w:t>一年两熟水稻作物</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pPr>
        <w:ind w:firstLine="480"/>
        <w:rPr>
          <w:rFonts w:cs="Times New Roman"/>
          <w:bCs/>
          <w:color w:val="000000" w:themeColor="text1"/>
          <w:szCs w:val="24"/>
          <w:lang w:val="de-DE"/>
          <w14:textFill>
            <w14:solidFill>
              <w14:schemeClr w14:val="tx1"/>
            </w14:solidFill>
          </w14:textFill>
        </w:rPr>
      </w:pPr>
      <w:r>
        <w:rPr>
          <w:rFonts w:hint="eastAsia" w:ascii="宋体" w:hAnsi="宋体" w:cs="宋体"/>
          <w:bCs/>
          <w:color w:val="000000" w:themeColor="text1"/>
          <w:szCs w:val="24"/>
          <w:lang w:val="de-DE"/>
          <w14:textFill>
            <w14:solidFill>
              <w14:schemeClr w14:val="tx1"/>
            </w14:solidFill>
          </w14:textFill>
        </w:rPr>
        <w:t>②</w:t>
      </w:r>
      <w:r>
        <w:rPr>
          <w:rFonts w:cs="Times New Roman"/>
          <w:bCs/>
          <w:color w:val="000000" w:themeColor="text1"/>
          <w:szCs w:val="24"/>
          <w:lang w:val="de-DE"/>
          <w14:textFill>
            <w14:solidFill>
              <w14:schemeClr w14:val="tx1"/>
            </w14:solidFill>
          </w14:textFill>
        </w:rPr>
        <w:t>一年</w:t>
      </w:r>
      <w:r>
        <w:rPr>
          <w:rFonts w:cs="Times New Roman"/>
          <w:bCs/>
          <w:color w:val="000000" w:themeColor="text1"/>
          <w:szCs w:val="24"/>
          <w14:textFill>
            <w14:solidFill>
              <w14:schemeClr w14:val="tx1"/>
            </w14:solidFill>
          </w14:textFill>
        </w:rPr>
        <w:t>两</w:t>
      </w:r>
      <w:r>
        <w:rPr>
          <w:rFonts w:cs="Times New Roman"/>
          <w:bCs/>
          <w:color w:val="000000" w:themeColor="text1"/>
          <w:szCs w:val="24"/>
          <w:lang w:val="de-DE"/>
          <w14:textFill>
            <w14:solidFill>
              <w14:schemeClr w14:val="tx1"/>
            </w14:solidFill>
          </w14:textFill>
        </w:rPr>
        <w:t>作为主的蔬菜组合</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属于草本类型蔬菜作物型旱地作物亚型，本组合型广泛分布于亚热带范围内，对灌溉要求不是很严格，本地组成蔬菜作物的建群种，有白菜、卷心菜、花椰菜、芥菜</w:t>
      </w:r>
      <w:r>
        <w:rPr>
          <w:rFonts w:hint="eastAsia" w:cs="Times New Roman"/>
          <w:bCs/>
          <w:color w:val="000000" w:themeColor="text1"/>
          <w:szCs w:val="24"/>
          <w14:textFill>
            <w14:solidFill>
              <w14:schemeClr w14:val="tx1"/>
            </w14:solidFill>
          </w14:textFill>
        </w:rPr>
        <w:t>等</w:t>
      </w:r>
      <w:r>
        <w:rPr>
          <w:rFonts w:cs="Times New Roman"/>
          <w:bCs/>
          <w:color w:val="000000" w:themeColor="text1"/>
          <w:szCs w:val="24"/>
          <w14:textFill>
            <w14:solidFill>
              <w14:schemeClr w14:val="tx1"/>
            </w14:solidFill>
          </w14:textFill>
        </w:rPr>
        <w:t>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ind w:firstLine="480"/>
        <w:rPr>
          <w:rFonts w:cs="Times New Roman"/>
          <w:bCs/>
          <w:color w:val="000000" w:themeColor="text1"/>
          <w:szCs w:val="24"/>
          <w:lang w:val="de-DE"/>
          <w14:textFill>
            <w14:solidFill>
              <w14:schemeClr w14:val="tx1"/>
            </w14:solidFill>
          </w14:textFill>
        </w:rPr>
      </w:pPr>
      <w:r>
        <w:rPr>
          <w:rFonts w:hint="eastAsia" w:ascii="宋体" w:hAnsi="宋体" w:cs="宋体"/>
          <w:bCs/>
          <w:color w:val="000000" w:themeColor="text1"/>
          <w:szCs w:val="24"/>
          <w:lang w:val="de-DE"/>
          <w14:textFill>
            <w14:solidFill>
              <w14:schemeClr w14:val="tx1"/>
            </w14:solidFill>
          </w14:textFill>
        </w:rPr>
        <w:t>③</w:t>
      </w:r>
      <w:r>
        <w:rPr>
          <w:rFonts w:cs="Times New Roman"/>
          <w:bCs/>
          <w:color w:val="000000" w:themeColor="text1"/>
          <w:szCs w:val="24"/>
          <w:lang w:val="de-DE"/>
          <w14:textFill>
            <w14:solidFill>
              <w14:schemeClr w14:val="tx1"/>
            </w14:solidFill>
          </w14:textFill>
        </w:rPr>
        <w:t>以</w:t>
      </w:r>
      <w:r>
        <w:rPr>
          <w:rFonts w:cs="Times New Roman"/>
          <w:bCs/>
          <w:color w:val="000000" w:themeColor="text1"/>
          <w:spacing w:val="2"/>
          <w:szCs w:val="24"/>
          <w14:textFill>
            <w14:solidFill>
              <w14:schemeClr w14:val="tx1"/>
            </w14:solidFill>
          </w14:textFill>
        </w:rPr>
        <w:t>玉米、红苕、棉花、花生、小麦、马铃薯、豌豆</w:t>
      </w:r>
      <w:r>
        <w:rPr>
          <w:rFonts w:cs="Times New Roman"/>
          <w:bCs/>
          <w:color w:val="000000" w:themeColor="text1"/>
          <w:szCs w:val="24"/>
          <w:lang w:val="de-DE"/>
          <w14:textFill>
            <w14:solidFill>
              <w14:schemeClr w14:val="tx1"/>
            </w14:solidFill>
          </w14:textFill>
        </w:rPr>
        <w:t>为主的作物组合</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属于草本类型大田农作物型旱地作物亚型，广泛分布于四川盆地边缘的丘陵地区。</w:t>
      </w:r>
      <w:r>
        <w:rPr>
          <w:rFonts w:cs="Times New Roman"/>
          <w:bCs/>
          <w:color w:val="000000" w:themeColor="text1"/>
          <w:spacing w:val="2"/>
          <w:szCs w:val="24"/>
          <w14:textFill>
            <w14:solidFill>
              <w14:schemeClr w14:val="tx1"/>
            </w14:solidFill>
          </w14:textFill>
        </w:rPr>
        <w:t>小春作物以小麦、豌豆为主，深丘上</w:t>
      </w:r>
      <w:r>
        <w:rPr>
          <w:rFonts w:cs="Times New Roman"/>
          <w:bCs/>
          <w:color w:val="000000" w:themeColor="text1"/>
          <w:spacing w:val="-2"/>
          <w:szCs w:val="24"/>
          <w14:textFill>
            <w14:solidFill>
              <w14:schemeClr w14:val="tx1"/>
            </w14:solidFill>
          </w14:textFill>
        </w:rPr>
        <w:t>部种有马铃薯，多为一年两熟类型，</w:t>
      </w:r>
      <w:r>
        <w:rPr>
          <w:rFonts w:cs="Times New Roman"/>
          <w:bCs/>
          <w:color w:val="000000" w:themeColor="text1"/>
          <w:szCs w:val="24"/>
          <w14:textFill>
            <w14:solidFill>
              <w14:schemeClr w14:val="tx1"/>
            </w14:solidFill>
          </w14:textFill>
        </w:rPr>
        <w:t>调查区域内局部灌溉条件较差的地方实行这种作物组合。</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（2）经济林木</w:t>
      </w:r>
    </w:p>
    <w:p>
      <w:pPr>
        <w:ind w:firstLine="480"/>
        <w:jc w:val="left"/>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常见种植的种类有苹果</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Malus pumila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w:t>
      </w:r>
      <w:r>
        <w:rPr>
          <w:rFonts w:cs="Times New Roman"/>
          <w:bCs/>
          <w:color w:val="000000" w:themeColor="text1"/>
          <w:spacing w:val="5"/>
          <w:szCs w:val="24"/>
          <w14:textFill>
            <w14:solidFill>
              <w14:schemeClr w14:val="tx1"/>
            </w14:solidFill>
          </w14:textFill>
        </w:rPr>
        <w:t>川梨</w:t>
      </w:r>
      <w:r>
        <w:rPr>
          <w:rFonts w:hint="eastAsia" w:cs="Times New Roman"/>
          <w:bCs/>
          <w:color w:val="000000" w:themeColor="text1"/>
          <w:spacing w:val="5"/>
          <w:szCs w:val="24"/>
          <w14:textFill>
            <w14:solidFill>
              <w14:schemeClr w14:val="tx1"/>
            </w14:solidFill>
          </w14:textFill>
        </w:rPr>
        <w:t>（</w:t>
      </w:r>
      <w:r>
        <w:rPr>
          <w:rFonts w:cs="Times New Roman"/>
          <w:bCs/>
          <w:i/>
          <w:iCs/>
          <w:color w:val="000000" w:themeColor="text1"/>
          <w:szCs w:val="24"/>
          <w14:textFill>
            <w14:solidFill>
              <w14:schemeClr w14:val="tx1"/>
            </w14:solidFill>
          </w14:textFill>
        </w:rPr>
        <w:t>Pyrus</w:t>
      </w:r>
      <w:r>
        <w:rPr>
          <w:rFonts w:cs="Times New Roman"/>
          <w:bCs/>
          <w:color w:val="000000" w:themeColor="text1"/>
          <w:spacing w:val="5"/>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pashia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5"/>
          <w:szCs w:val="24"/>
          <w14:textFill>
            <w14:solidFill>
              <w14:schemeClr w14:val="tx1"/>
            </w14:solidFill>
          </w14:textFill>
        </w:rPr>
        <w:t>、枇杷</w:t>
      </w:r>
      <w:r>
        <w:rPr>
          <w:rFonts w:hint="eastAsia" w:cs="Times New Roman"/>
          <w:bCs/>
          <w:color w:val="000000" w:themeColor="text1"/>
          <w:spacing w:val="5"/>
          <w:szCs w:val="24"/>
          <w14:textFill>
            <w14:solidFill>
              <w14:schemeClr w14:val="tx1"/>
            </w14:solidFill>
          </w14:textFill>
        </w:rPr>
        <w:t>（</w:t>
      </w:r>
      <w:r>
        <w:rPr>
          <w:rFonts w:cs="Times New Roman"/>
          <w:bCs/>
          <w:i/>
          <w:iCs/>
          <w:color w:val="000000" w:themeColor="text1"/>
          <w:szCs w:val="24"/>
          <w14:textFill>
            <w14:solidFill>
              <w14:schemeClr w14:val="tx1"/>
            </w14:solidFill>
          </w14:textFill>
        </w:rPr>
        <w:t>Eriobotryajaponica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5"/>
          <w:szCs w:val="24"/>
          <w14:textFill>
            <w14:solidFill>
              <w14:schemeClr w14:val="tx1"/>
            </w14:solidFill>
          </w14:textFill>
        </w:rPr>
        <w:t>、桃</w:t>
      </w:r>
      <w:r>
        <w:rPr>
          <w:rFonts w:hint="eastAsia" w:cs="Times New Roman"/>
          <w:bCs/>
          <w:color w:val="000000" w:themeColor="text1"/>
          <w:spacing w:val="5"/>
          <w:szCs w:val="24"/>
          <w14:textFill>
            <w14:solidFill>
              <w14:schemeClr w14:val="tx1"/>
            </w14:solidFill>
          </w14:textFill>
        </w:rPr>
        <w:t>（</w:t>
      </w:r>
      <w:r>
        <w:rPr>
          <w:rFonts w:cs="Times New Roman"/>
          <w:bCs/>
          <w:i/>
          <w:iCs/>
          <w:color w:val="000000" w:themeColor="text1"/>
          <w:szCs w:val="24"/>
          <w14:textFill>
            <w14:solidFill>
              <w14:schemeClr w14:val="tx1"/>
            </w14:solidFill>
          </w14:textFill>
        </w:rPr>
        <w:t>Amygdalus</w:t>
      </w:r>
      <w:r>
        <w:rPr>
          <w:rFonts w:cs="Times New Roman"/>
          <w:bCs/>
          <w:color w:val="000000" w:themeColor="text1"/>
          <w:szCs w:val="24"/>
          <w14:textFill>
            <w14:solidFill>
              <w14:schemeClr w14:val="tx1"/>
            </w14:solidFill>
          </w14:textFill>
        </w:rPr>
        <w:t xml:space="preserve"> </w:t>
      </w:r>
      <w:r>
        <w:rPr>
          <w:rFonts w:cs="Times New Roman"/>
          <w:bCs/>
          <w:i/>
          <w:iCs/>
          <w:color w:val="000000" w:themeColor="text1"/>
          <w:szCs w:val="24"/>
          <w14:textFill>
            <w14:solidFill>
              <w14:schemeClr w14:val="tx1"/>
            </w14:solidFill>
          </w14:textFill>
        </w:rPr>
        <w:t>persica</w:t>
      </w:r>
      <w:r>
        <w:rPr>
          <w:rFonts w:hint="eastAsia" w:cs="Times New Roman"/>
          <w:bCs/>
          <w:i/>
          <w:iCs/>
          <w:color w:val="000000" w:themeColor="text1"/>
          <w:szCs w:val="24"/>
          <w14:textFill>
            <w14:solidFill>
              <w14:schemeClr w14:val="tx1"/>
            </w14:solidFill>
          </w14:textFill>
        </w:rPr>
        <w:t>）</w:t>
      </w:r>
      <w:r>
        <w:rPr>
          <w:rFonts w:cs="Times New Roman"/>
          <w:bCs/>
          <w:color w:val="000000" w:themeColor="text1"/>
          <w:spacing w:val="25"/>
          <w:szCs w:val="24"/>
          <w14:textFill>
            <w14:solidFill>
              <w14:schemeClr w14:val="tx1"/>
            </w14:solidFill>
          </w14:textFill>
        </w:rPr>
        <w:t>、木瓜</w:t>
      </w:r>
      <w:r>
        <w:rPr>
          <w:rFonts w:hint="eastAsia" w:cs="Times New Roman"/>
          <w:bCs/>
          <w:color w:val="000000" w:themeColor="text1"/>
          <w:spacing w:val="25"/>
          <w:szCs w:val="24"/>
          <w14:textFill>
            <w14:solidFill>
              <w14:schemeClr w14:val="tx1"/>
            </w14:solidFill>
          </w14:textFill>
        </w:rPr>
        <w:t>（</w:t>
      </w:r>
      <w:r>
        <w:rPr>
          <w:rFonts w:cs="Times New Roman"/>
          <w:bCs/>
          <w:i/>
          <w:iCs/>
          <w:color w:val="000000" w:themeColor="text1"/>
          <w:szCs w:val="24"/>
          <w14:textFill>
            <w14:solidFill>
              <w14:schemeClr w14:val="tx1"/>
            </w14:solidFill>
          </w14:textFill>
        </w:rPr>
        <w:t>ChaenomelessinensisKoehne</w:t>
      </w:r>
      <w:r>
        <w:rPr>
          <w:rFonts w:hint="eastAsia" w:cs="Times New Roman"/>
          <w:bCs/>
          <w:i/>
          <w:i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、樱桃</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Cerasus pseudocerasus</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、李</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Prunus salicina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、核桃</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Juglans regia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、柑橘</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Citrus reticulata</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、柚子</w:t>
      </w:r>
      <w:r>
        <w:rPr>
          <w:rFonts w:hint="eastAsia" w:cs="Times New Roman"/>
          <w:bCs/>
          <w:color w:val="000000" w:themeColor="text1"/>
          <w:szCs w:val="24"/>
          <w14:textFill>
            <w14:solidFill>
              <w14:schemeClr w14:val="tx1"/>
            </w14:solidFill>
          </w14:textFill>
        </w:rPr>
        <w:t>（</w:t>
      </w:r>
      <w:r>
        <w:rPr>
          <w:rFonts w:cs="Times New Roman"/>
          <w:bCs/>
          <w:i/>
          <w:color w:val="000000" w:themeColor="text1"/>
          <w:szCs w:val="24"/>
          <w14:textFill>
            <w14:solidFill>
              <w14:schemeClr w14:val="tx1"/>
            </w14:solidFill>
          </w14:textFill>
        </w:rPr>
        <w:t>Citrus grandis</w:t>
      </w:r>
      <w:r>
        <w:rPr>
          <w:rFonts w:hint="eastAsia" w:cs="Times New Roman"/>
          <w:bCs/>
          <w:i/>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等经济果树。</w:t>
      </w:r>
    </w:p>
    <w:p>
      <w:pPr>
        <w:ind w:firstLine="480"/>
        <w:rPr>
          <w:color w:val="000000" w:themeColor="text1"/>
          <w14:textFill>
            <w14:solidFill>
              <w14:schemeClr w14:val="tx1"/>
            </w14:solidFill>
          </w14:textFill>
        </w:rPr>
      </w:pPr>
      <w:r>
        <w:rPr>
          <w:rFonts w:cs="Times New Roman"/>
          <w:bCs/>
          <w:color w:val="000000" w:themeColor="text1"/>
          <w:szCs w:val="24"/>
          <w14:textFill>
            <w14:solidFill>
              <w14:schemeClr w14:val="tx1"/>
            </w14:solidFill>
          </w14:textFill>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项目评价范围陆生植被现场照片见图4.3-1。</w:t>
      </w:r>
    </w:p>
    <w:p>
      <w:pPr>
        <w:pStyle w:val="14"/>
        <w:rPr>
          <w:color w:val="000000" w:themeColor="text1"/>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陆生植被现场照片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5、工程直接占地区域的植被类型等生态现状介绍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直接占地区施工损毁的植被类型属于评价范围内普遍分布的类型，主要有马尾松、青冈、麻栎、野桐、盐肤木灌丛、马桑、黄荆、火棘、荚蒾、芒、白茅、耕地等植被，占地范围内不涉及国家保护野生植物和四川省重点保护野生植物。详见表5.1-2  工程占地影响植被类型及生物量统计表。</w:t>
      </w:r>
    </w:p>
    <w:p>
      <w:pPr>
        <w:spacing w:before="120" w:beforeLines="50"/>
        <w:ind w:firstLine="480"/>
        <w:rPr>
          <w:rFonts w:cs="Times New Roman"/>
          <w:bCs/>
          <w:color w:val="000000" w:themeColor="text1"/>
          <w14:textFill>
            <w14:solidFill>
              <w14:schemeClr w14:val="tx1"/>
            </w14:solidFill>
          </w14:textFill>
        </w:rPr>
      </w:pPr>
      <w:r>
        <w:rPr>
          <w:rFonts w:hint="eastAsia" w:cs="Times New Roman"/>
          <w:bCs/>
          <w:color w:val="000000" w:themeColor="text1"/>
          <w:szCs w:val="24"/>
          <w14:textFill>
            <w14:solidFill>
              <w14:schemeClr w14:val="tx1"/>
            </w14:solidFill>
          </w14:textFill>
        </w:rPr>
        <w:t>6</w:t>
      </w:r>
      <w:r>
        <w:rPr>
          <w:rFonts w:cs="Times New Roman"/>
          <w:bCs/>
          <w:color w:val="000000" w:themeColor="text1"/>
          <w:szCs w:val="24"/>
          <w14:textFill>
            <w14:solidFill>
              <w14:schemeClr w14:val="tx1"/>
            </w14:solidFill>
          </w14:textFill>
        </w:rPr>
        <w:t>、样方调查</w:t>
      </w:r>
    </w:p>
    <w:p>
      <w:pPr>
        <w:ind w:firstLine="480"/>
        <w:rPr>
          <w:color w:val="000000" w:themeColor="text1"/>
          <w14:textFill>
            <w14:solidFill>
              <w14:schemeClr w14:val="tx1"/>
            </w14:solidFill>
          </w14:textFill>
        </w:rPr>
      </w:pPr>
      <w:r>
        <w:rPr>
          <w:rFonts w:cs="Times New Roman"/>
          <w:bCs/>
          <w:color w:val="000000" w:themeColor="text1"/>
          <w14:textFill>
            <w14:solidFill>
              <w14:schemeClr w14:val="tx1"/>
            </w14:solidFill>
          </w14:textFill>
        </w:rPr>
        <w:t>评价区所在区域属IA3</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6</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川北深丘植被小区，范围相对较小，水热条件、海拔、土壤理化性质均一致，根据现场调查及遥感卫片纹理特征可知，评价区植被概况与项目区域总体情况基本一致，自然植被主要为马尾松林、柏木林、栎类灌丛、亚热带草丛及其各种过渡类型。每种群落内部种群差异较小。据实际分布情况，以及前文所述样方布点原则，在评价区对每种典型群系选取3个</w:t>
      </w:r>
      <w:r>
        <w:rPr>
          <w:rFonts w:hint="eastAsia" w:cs="Times New Roman"/>
          <w:bCs/>
          <w:color w:val="000000" w:themeColor="text1"/>
          <w14:textFill>
            <w14:solidFill>
              <w14:schemeClr w14:val="tx1"/>
            </w14:solidFill>
          </w14:textFill>
        </w:rPr>
        <w:t>具有</w:t>
      </w:r>
      <w:r>
        <w:rPr>
          <w:rFonts w:cs="Times New Roman"/>
          <w:bCs/>
          <w:color w:val="000000" w:themeColor="text1"/>
          <w14:textFill>
            <w14:solidFill>
              <w14:schemeClr w14:val="tx1"/>
            </w14:solidFill>
          </w14:textFill>
        </w:rPr>
        <w:t>代表性的地段设置样方，进行列表明示</w:t>
      </w:r>
      <w:r>
        <w:rPr>
          <w:rFonts w:hint="eastAsia" w:cs="Times New Roman"/>
          <w:bCs/>
          <w:color w:val="000000" w:themeColor="text1"/>
          <w14:textFill>
            <w14:solidFill>
              <w14:schemeClr w14:val="tx1"/>
            </w14:solidFill>
          </w14:textFill>
        </w:rPr>
        <w:t>，</w:t>
      </w:r>
      <w:r>
        <w:rPr>
          <w:rFonts w:cs="Times New Roman"/>
          <w:bCs/>
          <w:color w:val="000000" w:themeColor="text1"/>
          <w14:textFill>
            <w14:solidFill>
              <w14:schemeClr w14:val="tx1"/>
            </w14:solidFill>
          </w14:textFill>
        </w:rPr>
        <w:t>具体记录如下</w:t>
      </w:r>
      <w:r>
        <w:rPr>
          <w:color w:val="000000" w:themeColor="text1"/>
          <w14:textFill>
            <w14:solidFill>
              <w14:schemeClr w14:val="tx1"/>
            </w14:solidFill>
          </w14:textFill>
        </w:rPr>
        <w:t>。</w:t>
      </w:r>
    </w:p>
    <w:p>
      <w:pPr>
        <w:spacing w:before="120" w:beforeLines="50"/>
        <w:ind w:firstLine="480"/>
        <w:jc w:val="center"/>
        <w:rPr>
          <w:color w:val="000000" w:themeColor="text1"/>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p>
      <w:pPr>
        <w:spacing w:before="120"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6、项目评价范围植被的基本特征</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根据对评价范围进行的植被考察和若干重点地区代表类型的样方调查，可知区域内植被具有以下特征：</w:t>
      </w:r>
    </w:p>
    <w:p>
      <w:pPr>
        <w:numPr>
          <w:ilvl w:val="0"/>
          <w:numId w:val="11"/>
        </w:numPr>
        <w:adjustRightInd/>
        <w:snapToGrid/>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植被次生性明显</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以马尾松为主的针叶林植被，以麻栎、青冈等为主的阔叶林植被带，其群落结构大多</w:t>
      </w:r>
      <w:r>
        <w:rPr>
          <w:rFonts w:hint="eastAsia" w:cs="Times New Roman"/>
          <w:bCs/>
          <w:color w:val="000000" w:themeColor="text1"/>
          <w:szCs w:val="24"/>
          <w14:textFill>
            <w14:solidFill>
              <w14:schemeClr w14:val="tx1"/>
            </w14:solidFill>
          </w14:textFill>
        </w:rPr>
        <w:t>具备</w:t>
      </w:r>
      <w:r>
        <w:rPr>
          <w:rFonts w:cs="Times New Roman"/>
          <w:bCs/>
          <w:color w:val="000000" w:themeColor="text1"/>
          <w:szCs w:val="24"/>
          <w14:textFill>
            <w14:solidFill>
              <w14:schemeClr w14:val="tx1"/>
            </w14:solidFill>
          </w14:textFill>
        </w:rPr>
        <w:t>乔木、灌木、草本、地衣层，覆盖度基本保持在70%左右。次生灌丛则以野桐、盐肤木、马桑、黄荆、火棘、荚蒾为主要的优势群落，草本优势种群主要是芒、白茅、五节芒、斑茅、野古草</w:t>
      </w:r>
      <w:r>
        <w:rPr>
          <w:rFonts w:cs="Times New Roman"/>
          <w:bCs/>
          <w:color w:val="000000" w:themeColor="text1"/>
          <w14:textFill>
            <w14:solidFill>
              <w14:schemeClr w14:val="tx1"/>
            </w14:solidFill>
          </w14:textFill>
        </w:rPr>
        <w:t>、夏枯草、蛇含委陵草、鸡眼草、芒萁、车轴草</w:t>
      </w:r>
      <w:r>
        <w:rPr>
          <w:rFonts w:cs="Times New Roman"/>
          <w:bCs/>
          <w:color w:val="000000" w:themeColor="text1"/>
          <w:szCs w:val="24"/>
          <w14:textFill>
            <w14:solidFill>
              <w14:schemeClr w14:val="tx1"/>
            </w14:solidFill>
          </w14:textFill>
        </w:rPr>
        <w:t>。在评价区海拔400m以下、坡度较缓的地带均已毁林开荒种植粮食作物，导致水土流失，自然条件发生变化，农业植被或者荒芜逐渐代替自然植被。</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地带性常绿阔叶林的消失，使蕴藏其中的大部分珍稀动植物失去生存繁衍的环境，同时，植被的明显次生性，大面积人工种植的针叶林、落叶阔叶林以及次生的灌丛及灌草丛在评价范围的广泛分布，致使区内植被的生态效应的有效性、生物物种的多样性及植被生物量的丰富程度都受到一定的影响。</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w:t>
      </w:r>
      <w:r>
        <w:rPr>
          <w:rFonts w:cs="Times New Roman"/>
          <w:bCs/>
          <w:color w:val="000000" w:themeColor="text1"/>
          <w:szCs w:val="24"/>
          <w14:textFill>
            <w14:solidFill>
              <w14:schemeClr w14:val="tx1"/>
            </w14:solidFill>
          </w14:textFill>
        </w:rPr>
        <w:t>2</w:t>
      </w:r>
      <w:r>
        <w:rPr>
          <w:rFonts w:cs="Times New Roman"/>
          <w:bCs/>
          <w:color w:val="000000" w:themeColor="text1"/>
          <w:szCs w:val="24"/>
          <w:lang w:val="de-DE"/>
          <w14:textFill>
            <w14:solidFill>
              <w14:schemeClr w14:val="tx1"/>
            </w14:solidFill>
          </w14:textFill>
        </w:rPr>
        <w:t>）森林植被覆盖率较高，但质量欠佳且分布不均</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评价范围的森林植被分布较为广泛，但多为人工培育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（3）人工植被分布广泛，尤其旱地植被占明显优势</w:t>
      </w:r>
    </w:p>
    <w:p>
      <w:pPr>
        <w:ind w:firstLine="480"/>
        <w:rPr>
          <w:color w:val="000000" w:themeColor="text1"/>
          <w14:textFill>
            <w14:solidFill>
              <w14:schemeClr w14:val="tx1"/>
            </w14:solidFill>
          </w14:textFill>
        </w:rPr>
      </w:pPr>
      <w:r>
        <w:rPr>
          <w:rFonts w:cs="Times New Roman"/>
          <w:bCs/>
          <w:color w:val="000000" w:themeColor="text1"/>
          <w:szCs w:val="24"/>
          <w:lang w:val="de-DE"/>
          <w14:textFill>
            <w14:solidFill>
              <w14:schemeClr w14:val="tx1"/>
            </w14:solidFill>
          </w14:textFill>
        </w:rPr>
        <w:t>评价范围地处川东北中低山区域，土地负荷极大。目前评价范围内有农田</w:t>
      </w:r>
      <w:r>
        <w:rPr>
          <w:rFonts w:hint="eastAsia" w:cs="Times New Roman"/>
          <w:bCs/>
          <w:color w:val="000000" w:themeColor="text1"/>
          <w:szCs w:val="24"/>
          <w:lang w:val="de-DE"/>
          <w14:textFill>
            <w14:solidFill>
              <w14:schemeClr w14:val="tx1"/>
            </w14:solidFill>
          </w14:textFill>
        </w:rPr>
        <w:t>耕地</w:t>
      </w:r>
      <w:r>
        <w:rPr>
          <w:rFonts w:cs="Times New Roman"/>
          <w:bCs/>
          <w:color w:val="000000" w:themeColor="text1"/>
          <w:szCs w:val="24"/>
          <w14:textFill>
            <w14:solidFill>
              <w14:schemeClr w14:val="tx1"/>
            </w14:solidFill>
          </w14:textFill>
        </w:rPr>
        <w:t>259.22</w:t>
      </w:r>
      <w:r>
        <w:rPr>
          <w:rFonts w:cs="Times New Roman"/>
          <w:bCs/>
          <w:color w:val="000000" w:themeColor="text1"/>
          <w:szCs w:val="24"/>
          <w:lang w:val="de-DE"/>
          <w14:textFill>
            <w14:solidFill>
              <w14:schemeClr w14:val="tx1"/>
            </w14:solidFill>
          </w14:textFill>
        </w:rPr>
        <w:t>hm²，约占评价区内土地总面积的</w:t>
      </w:r>
      <w:r>
        <w:rPr>
          <w:rFonts w:cs="Times New Roman"/>
          <w:bCs/>
          <w:color w:val="000000" w:themeColor="text1"/>
          <w:szCs w:val="24"/>
          <w14:textFill>
            <w14:solidFill>
              <w14:schemeClr w14:val="tx1"/>
            </w14:solidFill>
          </w14:textFill>
        </w:rPr>
        <w:t>40.95</w:t>
      </w:r>
      <w:r>
        <w:rPr>
          <w:rFonts w:cs="Times New Roman"/>
          <w:bCs/>
          <w:color w:val="000000" w:themeColor="text1"/>
          <w:szCs w:val="24"/>
          <w:lang w:val="de-DE"/>
          <w14:textFill>
            <w14:solidFill>
              <w14:schemeClr w14:val="tx1"/>
            </w14:solidFill>
          </w14:textFill>
        </w:rPr>
        <w:t>%，即垦殖指数达</w:t>
      </w:r>
      <w:r>
        <w:rPr>
          <w:rFonts w:cs="Times New Roman"/>
          <w:bCs/>
          <w:color w:val="000000" w:themeColor="text1"/>
          <w:szCs w:val="24"/>
          <w14:textFill>
            <w14:solidFill>
              <w14:schemeClr w14:val="tx1"/>
            </w14:solidFill>
          </w14:textFill>
        </w:rPr>
        <w:t>40.95</w:t>
      </w:r>
      <w:r>
        <w:rPr>
          <w:rFonts w:cs="Times New Roman"/>
          <w:bCs/>
          <w:color w:val="000000" w:themeColor="text1"/>
          <w:szCs w:val="24"/>
          <w:lang w:val="de-DE"/>
          <w14:textFill>
            <w14:solidFill>
              <w14:schemeClr w14:val="tx1"/>
            </w14:solidFill>
          </w14:textFill>
        </w:rPr>
        <w:t>%。大面积的农田</w:t>
      </w:r>
      <w:r>
        <w:rPr>
          <w:rFonts w:hint="eastAsia" w:cs="Times New Roman"/>
          <w:bCs/>
          <w:color w:val="000000" w:themeColor="text1"/>
          <w:szCs w:val="24"/>
          <w:lang w:val="de-DE"/>
          <w14:textFill>
            <w14:solidFill>
              <w14:schemeClr w14:val="tx1"/>
            </w14:solidFill>
          </w14:textFill>
        </w:rPr>
        <w:t>耕地</w:t>
      </w:r>
      <w:r>
        <w:rPr>
          <w:rFonts w:cs="Times New Roman"/>
          <w:bCs/>
          <w:color w:val="000000" w:themeColor="text1"/>
          <w:szCs w:val="24"/>
          <w:lang w:val="de-DE"/>
          <w14:textFill>
            <w14:solidFill>
              <w14:schemeClr w14:val="tx1"/>
            </w14:solidFill>
          </w14:textFill>
        </w:rPr>
        <w:t>对于解决区内人口的粮食、蔬菜等起到了重要作用，但是由于不少旱地是在河谷斜坡和丘陵山地的斜坡面上开垦出来的，这种坡耕旱地在人类长期的翻耕种植下，会加速土壤的侵蚀，使山区生态环境进一步退化</w:t>
      </w:r>
      <w:r>
        <w:rPr>
          <w:color w:val="000000" w:themeColor="text1"/>
          <w14:textFill>
            <w14:solidFill>
              <w14:schemeClr w14:val="tx1"/>
            </w14:solidFill>
          </w14:textFill>
        </w:rPr>
        <w:t>。</w:t>
      </w:r>
    </w:p>
    <w:bookmarkEnd w:id="244"/>
    <w:p>
      <w:pPr>
        <w:pStyle w:val="4"/>
        <w:spacing w:before="120"/>
        <w:ind w:firstLine="480"/>
        <w:rPr>
          <w:color w:val="000000" w:themeColor="text1"/>
          <w:lang w:eastAsia="zh-CN"/>
          <w14:textFill>
            <w14:solidFill>
              <w14:schemeClr w14:val="tx1"/>
            </w14:solidFill>
          </w14:textFill>
        </w:rPr>
      </w:pPr>
      <w:r>
        <w:rPr>
          <w:color w:val="000000" w:themeColor="text1"/>
          <w:szCs w:val="24"/>
          <w:lang w:eastAsia="zh-CN"/>
          <w14:textFill>
            <w14:solidFill>
              <w14:schemeClr w14:val="tx1"/>
            </w14:solidFill>
          </w14:textFill>
        </w:rPr>
        <w:t>评价范围植被生产力和生物量分析</w:t>
      </w:r>
    </w:p>
    <w:p>
      <w:pPr>
        <w:spacing w:line="480" w:lineRule="exact"/>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w:t>
      </w:r>
      <w:r>
        <w:rPr>
          <w:rFonts w:cs="Times New Roman"/>
          <w:bCs/>
          <w:color w:val="000000" w:themeColor="text1"/>
          <w:szCs w:val="24"/>
          <w14:textFill>
            <w14:solidFill>
              <w14:schemeClr w14:val="tx1"/>
            </w14:solidFill>
          </w14:textFill>
        </w:rPr>
        <w:t>1</w:t>
      </w:r>
      <w:r>
        <w:rPr>
          <w:rFonts w:cs="Times New Roman"/>
          <w:bCs/>
          <w:color w:val="000000" w:themeColor="text1"/>
          <w:szCs w:val="24"/>
          <w:lang w:val="de-DE"/>
          <w14:textFill>
            <w14:solidFill>
              <w14:schemeClr w14:val="tx1"/>
            </w14:solidFill>
          </w14:textFill>
        </w:rPr>
        <w:t>）土地自然生产力估算</w:t>
      </w:r>
    </w:p>
    <w:p>
      <w:pPr>
        <w:spacing w:line="480" w:lineRule="exact"/>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采用H.lieth生物生产力经验公式计算项目区域土地自然生产力：</w:t>
      </w:r>
    </w:p>
    <w:p>
      <w:pPr>
        <w:ind w:firstLine="480"/>
        <w:jc w:val="center"/>
        <w:rPr>
          <w:rFonts w:cs="Times New Roman"/>
          <w:bCs/>
          <w:color w:val="000000" w:themeColor="text1"/>
          <w:szCs w:val="24"/>
          <w14:textFill>
            <w14:solidFill>
              <w14:schemeClr w14:val="tx1"/>
            </w14:solidFill>
          </w14:textFill>
        </w:rPr>
      </w:pPr>
      <w:r>
        <w:rPr>
          <w:rFonts w:cs="Times New Roman"/>
          <w:bCs/>
          <w:color w:val="000000" w:themeColor="text1"/>
          <w:position w:val="-26"/>
          <w:szCs w:val="24"/>
          <w14:textFill>
            <w14:solidFill>
              <w14:schemeClr w14:val="tx1"/>
            </w14:solidFill>
          </w14:textFill>
        </w:rPr>
        <w:object>
          <v:shape id="_x0000_i1027" o:spt="75" type="#_x0000_t75" style="height:36.7pt;width:129.75pt;" o:ole="t" filled="f" o:preferrelative="t" stroked="f" coordsize="21600,21600">
            <v:path/>
            <v:fill on="f" focussize="0,0"/>
            <v:stroke on="f" joinstyle="miter"/>
            <v:imagedata r:id="rId35" o:title=""/>
            <o:lock v:ext="edit" aspectratio="t"/>
            <w10:wrap type="none"/>
            <w10:anchorlock/>
          </v:shape>
          <o:OLEObject Type="Embed" ProgID="Equation.3" ShapeID="_x0000_i1027" DrawAspect="Content" ObjectID="_1468075727" r:id="rId34">
            <o:LockedField>false</o:LockedField>
          </o:OLEObject>
        </w:object>
      </w:r>
    </w:p>
    <w:p>
      <w:pPr>
        <w:ind w:firstLine="480"/>
        <w:jc w:val="center"/>
        <w:rPr>
          <w:rFonts w:cs="Times New Roman"/>
          <w:bCs/>
          <w:color w:val="000000" w:themeColor="text1"/>
          <w:szCs w:val="24"/>
          <w14:textFill>
            <w14:solidFill>
              <w14:schemeClr w14:val="tx1"/>
            </w14:solidFill>
          </w14:textFill>
        </w:rPr>
      </w:pPr>
      <w:r>
        <w:rPr>
          <w:rFonts w:cs="Times New Roman"/>
          <w:bCs/>
          <w:color w:val="000000" w:themeColor="text1"/>
          <w:position w:val="-10"/>
          <w:szCs w:val="24"/>
          <w14:textFill>
            <w14:solidFill>
              <w14:schemeClr w14:val="tx1"/>
            </w14:solidFill>
          </w14:textFill>
        </w:rPr>
        <w:object>
          <v:shape id="_x0000_i1028" o:spt="75" type="#_x0000_t75" style="height:21.75pt;width:151.45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6">
            <o:LockedField>false</o:LockedField>
          </o:OLEObject>
        </w:object>
      </w:r>
    </w:p>
    <w:p>
      <w:pPr>
        <w:spacing w:line="480" w:lineRule="exact"/>
        <w:ind w:firstLine="480"/>
        <w:rPr>
          <w:rFonts w:cs="Times New Roman"/>
          <w:bCs/>
          <w:color w:val="000000" w:themeColor="text1"/>
          <w:szCs w:val="24"/>
          <w14:textFill>
            <w14:solidFill>
              <w14:schemeClr w14:val="tx1"/>
            </w14:solidFill>
          </w14:textFill>
        </w:rPr>
      </w:pPr>
      <w:r>
        <w:rPr>
          <w:rFonts w:cs="Times New Roman"/>
          <w:bCs/>
          <w:color w:val="000000" w:themeColor="text1"/>
          <w:szCs w:val="24"/>
          <w:lang w:val="de-DE"/>
          <w14:textFill>
            <w14:solidFill>
              <w14:schemeClr w14:val="tx1"/>
            </w14:solidFill>
          </w14:textFill>
        </w:rPr>
        <w:t>式中：</w:t>
      </w:r>
      <w:r>
        <w:rPr>
          <w:rFonts w:cs="Times New Roman"/>
          <w:bCs/>
          <w:i/>
          <w:color w:val="000000" w:themeColor="text1"/>
          <w:szCs w:val="24"/>
          <w14:textFill>
            <w14:solidFill>
              <w14:schemeClr w14:val="tx1"/>
            </w14:solidFill>
          </w14:textFill>
        </w:rPr>
        <w:t>Y</w:t>
      </w:r>
      <w:r>
        <w:rPr>
          <w:rFonts w:cs="Times New Roman"/>
          <w:bCs/>
          <w:i/>
          <w:color w:val="000000" w:themeColor="text1"/>
          <w:szCs w:val="24"/>
          <w:vertAlign w:val="subscript"/>
          <w14:textFill>
            <w14:solidFill>
              <w14:schemeClr w14:val="tx1"/>
            </w14:solidFill>
          </w14:textFill>
        </w:rPr>
        <w:t>1</w:t>
      </w:r>
      <w:r>
        <w:rPr>
          <w:rFonts w:cs="Times New Roman"/>
          <w:bCs/>
          <w:color w:val="000000" w:themeColor="text1"/>
          <w:szCs w:val="24"/>
          <w:lang w:val="de-DE"/>
          <w14:textFill>
            <w14:solidFill>
              <w14:schemeClr w14:val="tx1"/>
            </w14:solidFill>
          </w14:textFill>
        </w:rPr>
        <w:t>——根据年均温度（t）估算的热量</w:t>
      </w:r>
      <w:r>
        <w:rPr>
          <w:rFonts w:cs="Times New Roman"/>
          <w:bCs/>
          <w:color w:val="000000" w:themeColor="text1"/>
          <w:szCs w:val="24"/>
          <w14:textFill>
            <w14:solidFill>
              <w14:schemeClr w14:val="tx1"/>
            </w14:solidFill>
          </w14:textFill>
        </w:rPr>
        <w:t>生产力（g/m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spacing w:line="480" w:lineRule="exact"/>
        <w:ind w:firstLine="720" w:firstLineChars="300"/>
        <w:rPr>
          <w:rFonts w:cs="Times New Roman"/>
          <w:bCs/>
          <w:color w:val="000000" w:themeColor="text1"/>
          <w:szCs w:val="24"/>
          <w14:textFill>
            <w14:solidFill>
              <w14:schemeClr w14:val="tx1"/>
            </w14:solidFill>
          </w14:textFill>
        </w:rPr>
      </w:pPr>
      <w:r>
        <w:rPr>
          <w:rFonts w:cs="Times New Roman"/>
          <w:bCs/>
          <w:i/>
          <w:color w:val="000000" w:themeColor="text1"/>
          <w:szCs w:val="24"/>
          <w14:textFill>
            <w14:solidFill>
              <w14:schemeClr w14:val="tx1"/>
            </w14:solidFill>
          </w14:textFill>
        </w:rPr>
        <w:t>Y</w:t>
      </w:r>
      <w:r>
        <w:rPr>
          <w:rFonts w:cs="Times New Roman"/>
          <w:bCs/>
          <w:color w:val="000000" w:themeColor="text1"/>
          <w:szCs w:val="24"/>
          <w:vertAlign w:val="subscript"/>
          <w14:textFill>
            <w14:solidFill>
              <w14:schemeClr w14:val="tx1"/>
            </w14:solidFill>
          </w14:textFill>
        </w:rPr>
        <w:t>2</w:t>
      </w:r>
      <w:r>
        <w:rPr>
          <w:rFonts w:cs="Times New Roman"/>
          <w:bCs/>
          <w:color w:val="000000" w:themeColor="text1"/>
          <w:szCs w:val="24"/>
          <w14:textFill>
            <w14:solidFill>
              <w14:schemeClr w14:val="tx1"/>
            </w14:solidFill>
          </w14:textFill>
        </w:rPr>
        <w:t>——根据年降水量（</w:t>
      </w:r>
      <w:r>
        <w:rPr>
          <w:rFonts w:cs="Times New Roman"/>
          <w:bCs/>
          <w:i/>
          <w:color w:val="000000" w:themeColor="text1"/>
          <w:szCs w:val="24"/>
          <w14:textFill>
            <w14:solidFill>
              <w14:schemeClr w14:val="tx1"/>
            </w14:solidFill>
          </w14:textFill>
        </w:rPr>
        <w:t>p</w:t>
      </w:r>
      <w:r>
        <w:rPr>
          <w:rFonts w:cs="Times New Roman"/>
          <w:bCs/>
          <w:color w:val="000000" w:themeColor="text1"/>
          <w:szCs w:val="24"/>
          <w14:textFill>
            <w14:solidFill>
              <w14:schemeClr w14:val="tx1"/>
            </w14:solidFill>
          </w14:textFill>
        </w:rPr>
        <w:t>，mm）估算的水分生产力（g/m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spacing w:line="480" w:lineRule="exact"/>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评价范围地貌类型以中低山为主，区内气候在垂直及水平方向的变化都较小，土地自然生产力计算结果如下表所示：</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评价范围土地自然生产力计算表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45"/>
        <w:gridCol w:w="1808"/>
        <w:gridCol w:w="1806"/>
        <w:gridCol w:w="1806"/>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3" w:hRule="atLeast"/>
          <w:tblHeader/>
          <w:jc w:val="center"/>
        </w:trPr>
        <w:tc>
          <w:tcPr>
            <w:tcW w:w="684"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区域</w:t>
            </w:r>
          </w:p>
        </w:tc>
        <w:tc>
          <w:tcPr>
            <w:tcW w:w="1080"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多年平均气温</w:t>
            </w:r>
          </w:p>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多年平均降水量</w:t>
            </w:r>
          </w:p>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（mm）</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热量生产力</w:t>
            </w:r>
          </w:p>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（g/m</w:t>
            </w:r>
            <w:r>
              <w:rPr>
                <w:rFonts w:hint="default" w:cs="Times New Roman"/>
                <w:b/>
                <w:color w:val="000000" w:themeColor="text1"/>
                <w:sz w:val="21"/>
                <w:szCs w:val="21"/>
                <w:vertAlign w:val="superscript"/>
                <w14:textFill>
                  <w14:solidFill>
                    <w14:schemeClr w14:val="tx1"/>
                  </w14:solidFill>
                </w14:textFill>
              </w:rPr>
              <w:t>2</w:t>
            </w:r>
            <w:r>
              <w:rPr>
                <w:rFonts w:hint="default" w:cs="Times New Roman"/>
                <w:b/>
                <w:color w:val="000000" w:themeColor="text1"/>
                <w:sz w:val="21"/>
                <w:szCs w:val="21"/>
                <w14:textFill>
                  <w14:solidFill>
                    <w14:schemeClr w14:val="tx1"/>
                  </w14:solidFill>
                </w14:textFill>
              </w:rPr>
              <w:t>·a）</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水分生产力</w:t>
            </w:r>
          </w:p>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（g/m</w:t>
            </w:r>
            <w:r>
              <w:rPr>
                <w:rFonts w:hint="default" w:cs="Times New Roman"/>
                <w:b/>
                <w:color w:val="000000" w:themeColor="text1"/>
                <w:sz w:val="21"/>
                <w:szCs w:val="21"/>
                <w:vertAlign w:val="superscript"/>
                <w14:textFill>
                  <w14:solidFill>
                    <w14:schemeClr w14:val="tx1"/>
                  </w14:solidFill>
                </w14:textFill>
              </w:rPr>
              <w:t>2</w:t>
            </w:r>
            <w:r>
              <w:rPr>
                <w:rFonts w:hint="default" w:cs="Times New Roman"/>
                <w:b/>
                <w:color w:val="000000" w:themeColor="text1"/>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76" w:hRule="atLeast"/>
          <w:jc w:val="center"/>
        </w:trPr>
        <w:tc>
          <w:tcPr>
            <w:tcW w:w="684"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宣汉县</w:t>
            </w:r>
          </w:p>
        </w:tc>
        <w:tc>
          <w:tcPr>
            <w:tcW w:w="1080"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16.8</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1132.69</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1994.03</w:t>
            </w:r>
          </w:p>
        </w:tc>
        <w:tc>
          <w:tcPr>
            <w:tcW w:w="1079" w:type="pct"/>
            <w:vAlign w:val="center"/>
          </w:tcPr>
          <w:p>
            <w:pPr>
              <w:keepNext w:val="0"/>
              <w:keepLines w:val="0"/>
              <w:suppressLineNumbers w:val="0"/>
              <w:adjustRightInd/>
              <w:snapToGrid/>
              <w:spacing w:before="12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1585.88</w:t>
            </w: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从表4.3-</w:t>
      </w:r>
      <w:r>
        <w:rPr>
          <w:rFonts w:hint="eastAsia" w:cs="Times New Roman"/>
          <w:bCs/>
          <w:color w:val="000000" w:themeColor="text1"/>
          <w:szCs w:val="24"/>
          <w14:textFill>
            <w14:solidFill>
              <w14:schemeClr w14:val="tx1"/>
            </w14:solidFill>
          </w14:textFill>
        </w:rPr>
        <w:t>8</w:t>
      </w:r>
      <w:r>
        <w:rPr>
          <w:rFonts w:cs="Times New Roman"/>
          <w:bCs/>
          <w:color w:val="000000" w:themeColor="text1"/>
          <w:szCs w:val="24"/>
          <w14:textFill>
            <w14:solidFill>
              <w14:schemeClr w14:val="tx1"/>
            </w14:solidFill>
          </w14:textFill>
        </w:rPr>
        <w:t>可以看出，项目区域热量条件充足，水分条件不足，土地自然生产力受水分条件限制，根据项目区域降水量计算得出土地自然生产力为1585.88gc/m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ind w:firstLine="480"/>
        <w:rPr>
          <w:rFonts w:cs="Times New Roman"/>
          <w:bCs/>
          <w:color w:val="000000" w:themeColor="text1"/>
          <w:szCs w:val="24"/>
          <w:lang w:val="de-DE"/>
          <w14:textFill>
            <w14:solidFill>
              <w14:schemeClr w14:val="tx1"/>
            </w14:solidFill>
          </w14:textFill>
        </w:rPr>
      </w:pPr>
      <w:r>
        <w:rPr>
          <w:rFonts w:cs="Times New Roman"/>
          <w:bCs/>
          <w:color w:val="000000" w:themeColor="text1"/>
          <w:szCs w:val="24"/>
          <w:lang w:val="de-DE"/>
          <w14:textFill>
            <w14:solidFill>
              <w14:schemeClr w14:val="tx1"/>
            </w14:solidFill>
          </w14:textFill>
        </w:rPr>
        <w:t>（</w:t>
      </w:r>
      <w:r>
        <w:rPr>
          <w:rFonts w:cs="Times New Roman"/>
          <w:bCs/>
          <w:color w:val="000000" w:themeColor="text1"/>
          <w:szCs w:val="24"/>
          <w14:textFill>
            <w14:solidFill>
              <w14:schemeClr w14:val="tx1"/>
            </w14:solidFill>
          </w14:textFill>
        </w:rPr>
        <w:t>2</w:t>
      </w:r>
      <w:r>
        <w:rPr>
          <w:rFonts w:cs="Times New Roman"/>
          <w:bCs/>
          <w:color w:val="000000" w:themeColor="text1"/>
          <w:szCs w:val="24"/>
          <w:lang w:val="de-DE"/>
          <w14:textFill>
            <w14:solidFill>
              <w14:schemeClr w14:val="tx1"/>
            </w14:solidFill>
          </w14:textFill>
        </w:rPr>
        <w:t>）植被生产力现状评价</w:t>
      </w:r>
    </w:p>
    <w:p>
      <w:pPr>
        <w:ind w:firstLine="480"/>
        <w:jc w:val="left"/>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pPr>
        <w:ind w:firstLine="480"/>
        <w:jc w:val="left"/>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评价范围植</w:t>
      </w:r>
      <w:r>
        <w:rPr>
          <w:rFonts w:hint="eastAsia" w:cs="Times New Roman"/>
          <w:bCs/>
          <w:color w:val="000000" w:themeColor="text1"/>
          <w:szCs w:val="24"/>
          <w14:textFill>
            <w14:solidFill>
              <w14:schemeClr w14:val="tx1"/>
            </w14:solidFill>
          </w14:textFill>
        </w:rPr>
        <w:t>被</w:t>
      </w:r>
      <w:r>
        <w:rPr>
          <w:rFonts w:cs="Times New Roman"/>
          <w:bCs/>
          <w:color w:val="000000" w:themeColor="text1"/>
          <w:szCs w:val="24"/>
          <w14:textFill>
            <w14:solidFill>
              <w14:schemeClr w14:val="tx1"/>
            </w14:solidFill>
          </w14:textFill>
        </w:rPr>
        <w:t>调查是通过实地勘察、卫片解译、室内分析并结合收集的资料经综合分析而完成。卫片信息的提取过程如下：对选取的卫片数据，利用3S技术进行解译，并经几何精校正、</w:t>
      </w:r>
      <w:r>
        <w:rPr>
          <w:rFonts w:hint="eastAsia" w:cs="Times New Roman"/>
          <w:bCs/>
          <w:color w:val="000000" w:themeColor="text1"/>
          <w:szCs w:val="24"/>
          <w14:textFill>
            <w14:solidFill>
              <w14:schemeClr w14:val="tx1"/>
            </w14:solidFill>
          </w14:textFill>
        </w:rPr>
        <w:t>图像增强</w:t>
      </w:r>
      <w:r>
        <w:rPr>
          <w:rFonts w:cs="Times New Roman"/>
          <w:bCs/>
          <w:color w:val="000000" w:themeColor="text1"/>
          <w:szCs w:val="24"/>
          <w14:textFill>
            <w14:solidFill>
              <w14:schemeClr w14:val="tx1"/>
            </w14:solidFill>
          </w14:textFill>
        </w:rPr>
        <w:t>、进行融合，根据各类环境信息数据及相关图像处理软件进行综合分析，得到评价区内生态环境研究所需的相关数据和生态图件。</w:t>
      </w:r>
    </w:p>
    <w:p>
      <w:pPr>
        <w:ind w:firstLine="480"/>
        <w:jc w:val="left"/>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根据调查和卫片解译，结合生态评价范围地表植被覆盖现状和植被立地情况，可将评价范围植被类型划分为以下4类：</w:t>
      </w:r>
    </w:p>
    <w:p>
      <w:pPr>
        <w:tabs>
          <w:tab w:val="left" w:pos="540"/>
        </w:tabs>
        <w:ind w:firstLine="480"/>
        <w:jc w:val="left"/>
        <w:rPr>
          <w:rFonts w:cs="Times New Roman"/>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①</w:t>
      </w:r>
      <w:r>
        <w:rPr>
          <w:rFonts w:cs="Times New Roman"/>
          <w:bCs/>
          <w:color w:val="000000" w:themeColor="text1"/>
          <w:szCs w:val="24"/>
          <w14:textFill>
            <w14:solidFill>
              <w14:schemeClr w14:val="tx1"/>
            </w14:solidFill>
          </w14:textFill>
        </w:rPr>
        <w:t>针叶林植被：主要是马尾松为主的针叶植被，此植被类型广泛分布，面积为</w:t>
      </w:r>
      <w:r>
        <w:rPr>
          <w:rFonts w:hint="eastAsia" w:cs="Times New Roman"/>
          <w:bCs/>
          <w:snapToGrid w:val="0"/>
          <w:color w:val="000000" w:themeColor="text1"/>
          <w:szCs w:val="24"/>
          <w14:textFill>
            <w14:solidFill>
              <w14:schemeClr w14:val="tx1"/>
            </w14:solidFill>
          </w14:textFill>
        </w:rPr>
        <w:t>2.37</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，占评价范围面积的</w:t>
      </w:r>
      <w:r>
        <w:rPr>
          <w:rFonts w:hint="eastAsia" w:cs="Times New Roman"/>
          <w:bCs/>
          <w:snapToGrid w:val="0"/>
          <w:color w:val="000000" w:themeColor="text1"/>
          <w:szCs w:val="24"/>
          <w14:textFill>
            <w14:solidFill>
              <w14:schemeClr w14:val="tx1"/>
            </w14:solidFill>
          </w14:textFill>
        </w:rPr>
        <w:t>5.44</w:t>
      </w:r>
      <w:r>
        <w:rPr>
          <w:rFonts w:cs="Times New Roman"/>
          <w:bCs/>
          <w:color w:val="000000" w:themeColor="text1"/>
          <w:szCs w:val="24"/>
          <w14:textFill>
            <w14:solidFill>
              <w14:schemeClr w14:val="tx1"/>
            </w14:solidFill>
          </w14:textFill>
        </w:rPr>
        <w:t>%，平均净初级生产力（常绿针叶林）为367.1gC/（m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tabs>
          <w:tab w:val="left" w:pos="540"/>
        </w:tabs>
        <w:ind w:firstLine="480"/>
        <w:jc w:val="left"/>
        <w:rPr>
          <w:rFonts w:cs="Times New Roman"/>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②</w:t>
      </w:r>
      <w:r>
        <w:rPr>
          <w:rFonts w:cs="Times New Roman"/>
          <w:bCs/>
          <w:color w:val="000000" w:themeColor="text1"/>
          <w:szCs w:val="24"/>
          <w14:textFill>
            <w14:solidFill>
              <w14:schemeClr w14:val="tx1"/>
            </w14:solidFill>
          </w14:textFill>
        </w:rPr>
        <w:t>阔叶林植被：主要有麻栎、青冈、栓皮栎等阔叶树种，此植被类型广泛分布，面积</w:t>
      </w:r>
      <w:r>
        <w:rPr>
          <w:rFonts w:hint="eastAsia" w:cs="Times New Roman"/>
          <w:bCs/>
          <w:snapToGrid w:val="0"/>
          <w:color w:val="000000" w:themeColor="text1"/>
          <w:szCs w:val="24"/>
          <w14:textFill>
            <w14:solidFill>
              <w14:schemeClr w14:val="tx1"/>
            </w14:solidFill>
          </w14:textFill>
        </w:rPr>
        <w:t>28.42</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，占评价范围面积的</w:t>
      </w:r>
      <w:r>
        <w:rPr>
          <w:rFonts w:hint="eastAsia" w:cs="Times New Roman"/>
          <w:bCs/>
          <w:snapToGrid w:val="0"/>
          <w:color w:val="000000" w:themeColor="text1"/>
          <w:szCs w:val="24"/>
          <w14:textFill>
            <w14:solidFill>
              <w14:schemeClr w14:val="tx1"/>
            </w14:solidFill>
          </w14:textFill>
        </w:rPr>
        <w:t>65.33</w:t>
      </w:r>
      <w:r>
        <w:rPr>
          <w:rFonts w:cs="Times New Roman"/>
          <w:bCs/>
          <w:color w:val="000000" w:themeColor="text1"/>
          <w:szCs w:val="24"/>
          <w14:textFill>
            <w14:solidFill>
              <w14:schemeClr w14:val="tx1"/>
            </w14:solidFill>
          </w14:textFill>
        </w:rPr>
        <w:t>%，平均净初级生产力（落叶阔叶林）642.9gC/（m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tabs>
          <w:tab w:val="left" w:pos="540"/>
        </w:tabs>
        <w:ind w:firstLine="480"/>
        <w:jc w:val="left"/>
        <w:rPr>
          <w:rFonts w:cs="Times New Roman"/>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③</w:t>
      </w:r>
      <w:r>
        <w:rPr>
          <w:rFonts w:cs="Times New Roman"/>
          <w:bCs/>
          <w:color w:val="000000" w:themeColor="text1"/>
          <w:szCs w:val="24"/>
          <w14:textFill>
            <w14:solidFill>
              <w14:schemeClr w14:val="tx1"/>
            </w14:solidFill>
          </w14:textFill>
        </w:rPr>
        <w:t>灌丛植被：代表植物有马桑、黄荆、火棘、荚蒾等。主要分布在林下、林缘、山脚、路边、农田两旁，对保护农田和水土保持起到很重要的作用，此植被类型面积为</w:t>
      </w:r>
      <w:r>
        <w:rPr>
          <w:rFonts w:hint="eastAsia" w:cs="Times New Roman"/>
          <w:bCs/>
          <w:snapToGrid w:val="0"/>
          <w:color w:val="000000" w:themeColor="text1"/>
          <w:szCs w:val="24"/>
          <w14:textFill>
            <w14:solidFill>
              <w14:schemeClr w14:val="tx1"/>
            </w14:solidFill>
          </w14:textFill>
        </w:rPr>
        <w:t>0.63</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，占评价范围总面积的</w:t>
      </w:r>
      <w:r>
        <w:rPr>
          <w:rFonts w:hint="eastAsia" w:cs="Times New Roman"/>
          <w:bCs/>
          <w:snapToGrid w:val="0"/>
          <w:color w:val="000000" w:themeColor="text1"/>
          <w:szCs w:val="24"/>
          <w14:textFill>
            <w14:solidFill>
              <w14:schemeClr w14:val="tx1"/>
            </w14:solidFill>
          </w14:textFill>
        </w:rPr>
        <w:t>1.45</w:t>
      </w:r>
      <w:r>
        <w:rPr>
          <w:rFonts w:cs="Times New Roman"/>
          <w:bCs/>
          <w:color w:val="000000" w:themeColor="text1"/>
          <w:szCs w:val="24"/>
          <w14:textFill>
            <w14:solidFill>
              <w14:schemeClr w14:val="tx1"/>
            </w14:solidFill>
          </w14:textFill>
        </w:rPr>
        <w:t>%，平均净初级生产力为（灌木）367.7gC/（m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ind w:firstLine="480"/>
        <w:rPr>
          <w:rFonts w:cs="Times New Roman"/>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④</w:t>
      </w:r>
      <w:r>
        <w:rPr>
          <w:rFonts w:cs="Times New Roman"/>
          <w:bCs/>
          <w:color w:val="000000" w:themeColor="text1"/>
          <w:szCs w:val="24"/>
          <w14:textFill>
            <w14:solidFill>
              <w14:schemeClr w14:val="tx1"/>
            </w14:solidFill>
          </w14:textFill>
        </w:rPr>
        <w:t>草丛植被：代表植物有芒、白茅等。主要分布在分布的林下、林缘、路边、农田两旁，此植被类型面积为</w:t>
      </w:r>
      <w:r>
        <w:rPr>
          <w:rFonts w:hint="eastAsia" w:cs="Times New Roman"/>
          <w:bCs/>
          <w:snapToGrid w:val="0"/>
          <w:color w:val="000000" w:themeColor="text1"/>
          <w:szCs w:val="24"/>
          <w14:textFill>
            <w14:solidFill>
              <w14:schemeClr w14:val="tx1"/>
            </w14:solidFill>
          </w14:textFill>
        </w:rPr>
        <w:t>0.55</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，占评价范围总面积的</w:t>
      </w:r>
      <w:r>
        <w:rPr>
          <w:rFonts w:hint="eastAsia" w:cs="Times New Roman"/>
          <w:bCs/>
          <w:snapToGrid w:val="0"/>
          <w:color w:val="000000" w:themeColor="text1"/>
          <w:szCs w:val="24"/>
          <w14:textFill>
            <w14:solidFill>
              <w14:schemeClr w14:val="tx1"/>
            </w14:solidFill>
          </w14:textFill>
        </w:rPr>
        <w:t>1.25</w:t>
      </w:r>
      <w:r>
        <w:rPr>
          <w:rFonts w:cs="Times New Roman"/>
          <w:bCs/>
          <w:snapToGrid w:val="0"/>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，平均净初级生产力（</w:t>
      </w:r>
      <w:r>
        <w:rPr>
          <w:rFonts w:hint="eastAsia" w:cs="Times New Roman"/>
          <w:bCs/>
          <w:color w:val="000000" w:themeColor="text1"/>
          <w:szCs w:val="24"/>
          <w14:textFill>
            <w14:solidFill>
              <w14:schemeClr w14:val="tx1"/>
            </w14:solidFill>
          </w14:textFill>
        </w:rPr>
        <w:t>平原</w:t>
      </w:r>
      <w:r>
        <w:rPr>
          <w:rFonts w:cs="Times New Roman"/>
          <w:bCs/>
          <w:color w:val="000000" w:themeColor="text1"/>
          <w:szCs w:val="24"/>
          <w14:textFill>
            <w14:solidFill>
              <w14:schemeClr w14:val="tx1"/>
            </w14:solidFill>
          </w14:textFill>
        </w:rPr>
        <w:t>草地）为</w:t>
      </w:r>
      <w:r>
        <w:rPr>
          <w:rFonts w:cs="Times New Roman"/>
          <w:bCs/>
          <w:snapToGrid w:val="0"/>
          <w:color w:val="000000" w:themeColor="text1"/>
          <w:szCs w:val="24"/>
          <w14:textFill>
            <w14:solidFill>
              <w14:schemeClr w14:val="tx1"/>
            </w14:solidFill>
          </w14:textFill>
        </w:rPr>
        <w:t>226.2</w:t>
      </w:r>
      <w:r>
        <w:rPr>
          <w:rFonts w:cs="Times New Roman"/>
          <w:bCs/>
          <w:color w:val="000000" w:themeColor="text1"/>
          <w:szCs w:val="24"/>
          <w14:textFill>
            <w14:solidFill>
              <w14:schemeClr w14:val="tx1"/>
            </w14:solidFill>
          </w14:textFill>
        </w:rPr>
        <w:t>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ind w:firstLine="537" w:firstLineChars="224"/>
        <w:jc w:val="left"/>
        <w:rPr>
          <w:rFonts w:cs="Times New Roman"/>
          <w:bCs/>
          <w:color w:val="000000" w:themeColor="text1"/>
          <w:szCs w:val="24"/>
          <w14:textFill>
            <w14:solidFill>
              <w14:schemeClr w14:val="tx1"/>
            </w14:solidFill>
          </w14:textFill>
        </w:rPr>
      </w:pPr>
      <w:r>
        <w:rPr>
          <w:rFonts w:hint="eastAsia" w:ascii="宋体" w:hAnsi="宋体" w:cs="宋体"/>
          <w:bCs/>
          <w:color w:val="000000" w:themeColor="text1"/>
          <w:szCs w:val="24"/>
          <w14:textFill>
            <w14:solidFill>
              <w14:schemeClr w14:val="tx1"/>
            </w14:solidFill>
          </w14:textFill>
        </w:rPr>
        <w:t>⑤</w:t>
      </w:r>
      <w:r>
        <w:rPr>
          <w:rFonts w:cs="Times New Roman"/>
          <w:bCs/>
          <w:color w:val="000000" w:themeColor="text1"/>
          <w:szCs w:val="24"/>
          <w14:textFill>
            <w14:solidFill>
              <w14:schemeClr w14:val="tx1"/>
            </w14:solidFill>
          </w14:textFill>
        </w:rPr>
        <w:t>农作物植被：该地区的农作物主要有水稻、玉米、红苕、棉花、花生、小麦、马铃薯、豌豆等，主要分布在山谷、河谷两侧等低海拔区；农作物植被面积</w:t>
      </w:r>
      <w:r>
        <w:rPr>
          <w:rFonts w:hint="eastAsia" w:cs="Times New Roman"/>
          <w:bCs/>
          <w:snapToGrid w:val="0"/>
          <w:color w:val="000000" w:themeColor="text1"/>
          <w:szCs w:val="24"/>
          <w14:textFill>
            <w14:solidFill>
              <w14:schemeClr w14:val="tx1"/>
            </w14:solidFill>
          </w14:textFill>
        </w:rPr>
        <w:t>9.42</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，占评价范围面积的</w:t>
      </w:r>
      <w:r>
        <w:rPr>
          <w:rFonts w:hint="eastAsia" w:cs="Times New Roman"/>
          <w:bCs/>
          <w:snapToGrid w:val="0"/>
          <w:color w:val="000000" w:themeColor="text1"/>
          <w:szCs w:val="24"/>
          <w14:textFill>
            <w14:solidFill>
              <w14:schemeClr w14:val="tx1"/>
            </w14:solidFill>
          </w14:textFill>
        </w:rPr>
        <w:t>21.65</w:t>
      </w:r>
      <w:r>
        <w:rPr>
          <w:rFonts w:cs="Times New Roman"/>
          <w:bCs/>
          <w:color w:val="000000" w:themeColor="text1"/>
          <w:szCs w:val="24"/>
          <w14:textFill>
            <w14:solidFill>
              <w14:schemeClr w14:val="tx1"/>
            </w14:solidFill>
          </w14:textFill>
        </w:rPr>
        <w:t>%，平均净初级生产力426.5gC（m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w:t>
      </w:r>
    </w:p>
    <w:p>
      <w:pPr>
        <w:ind w:firstLine="480"/>
        <w:jc w:val="left"/>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评价范围内各植被类型净生产力情况见下表。</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评价范围植被自然生产力情况表</w:t>
      </w:r>
    </w:p>
    <w:tbl>
      <w:tblPr>
        <w:tblStyle w:val="5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119"/>
        <w:gridCol w:w="1002"/>
        <w:gridCol w:w="848"/>
        <w:gridCol w:w="1232"/>
        <w:gridCol w:w="119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tcBorders>
              <w:top w:val="nil"/>
              <w:left w:val="nil"/>
            </w:tcBorders>
            <w:vAlign w:val="center"/>
          </w:tcPr>
          <w:p>
            <w:pPr>
              <w:pStyle w:val="295"/>
              <w:keepNext w:val="0"/>
              <w:keepLines w:val="0"/>
              <w:widowControl w:val="0"/>
              <w:suppressLineNumbers w:val="0"/>
              <w:spacing w:before="0" w:beforeAutospacing="0" w:after="0" w:afterAutospacing="0"/>
              <w:ind w:left="0" w:right="0"/>
              <w:rPr>
                <w:rFonts w:hint="default"/>
                <w:b/>
                <w:bCs/>
                <w:snapToGrid w:val="0"/>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植被</w:t>
            </w:r>
          </w:p>
          <w:p>
            <w:pPr>
              <w:pStyle w:val="295"/>
              <w:keepNext w:val="0"/>
              <w:keepLines w:val="0"/>
              <w:widowControl w:val="0"/>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类型</w:t>
            </w:r>
          </w:p>
        </w:tc>
        <w:tc>
          <w:tcPr>
            <w:tcW w:w="1243"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代表植物</w:t>
            </w:r>
          </w:p>
        </w:tc>
        <w:tc>
          <w:tcPr>
            <w:tcW w:w="588"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面积（hm</w:t>
            </w:r>
            <w:r>
              <w:rPr>
                <w:rFonts w:hint="default"/>
                <w:b/>
                <w:bCs/>
                <w:snapToGrid w:val="0"/>
                <w:color w:val="000000" w:themeColor="text1"/>
                <w:szCs w:val="20"/>
                <w:vertAlign w:val="superscript"/>
                <w14:textFill>
                  <w14:solidFill>
                    <w14:schemeClr w14:val="tx1"/>
                  </w14:solidFill>
                </w14:textFill>
              </w:rPr>
              <w:t>2</w:t>
            </w:r>
            <w:r>
              <w:rPr>
                <w:rFonts w:hint="default"/>
                <w:b/>
                <w:bCs/>
                <w:snapToGrid w:val="0"/>
                <w:color w:val="000000" w:themeColor="text1"/>
                <w:szCs w:val="20"/>
                <w14:textFill>
                  <w14:solidFill>
                    <w14:schemeClr w14:val="tx1"/>
                  </w14:solidFill>
                </w14:textFill>
              </w:rPr>
              <w:t>）</w:t>
            </w:r>
          </w:p>
        </w:tc>
        <w:tc>
          <w:tcPr>
            <w:tcW w:w="495"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占评价范围（%）</w:t>
            </w:r>
          </w:p>
        </w:tc>
        <w:tc>
          <w:tcPr>
            <w:tcW w:w="723"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平均净生产力[</w:t>
            </w:r>
            <w:r>
              <w:rPr>
                <w:rFonts w:hint="default"/>
                <w:b/>
                <w:bCs/>
                <w:color w:val="000000" w:themeColor="text1"/>
                <w:sz w:val="24"/>
                <w:szCs w:val="24"/>
                <w14:textFill>
                  <w14:solidFill>
                    <w14:schemeClr w14:val="tx1"/>
                  </w14:solidFill>
                </w14:textFill>
              </w:rPr>
              <w:t>gC/（m</w:t>
            </w:r>
            <w:r>
              <w:rPr>
                <w:rFonts w:hint="default"/>
                <w:b/>
                <w:bCs/>
                <w:color w:val="000000" w:themeColor="text1"/>
                <w:sz w:val="24"/>
                <w:szCs w:val="24"/>
                <w:vertAlign w:val="superscript"/>
                <w14:textFill>
                  <w14:solidFill>
                    <w14:schemeClr w14:val="tx1"/>
                  </w14:solidFill>
                </w14:textFill>
              </w:rPr>
              <w:t>2</w:t>
            </w:r>
            <w:r>
              <w:rPr>
                <w:rFonts w:hint="default"/>
                <w:b/>
                <w:bCs/>
                <w:color w:val="000000" w:themeColor="text1"/>
                <w:sz w:val="24"/>
                <w:szCs w:val="24"/>
                <w14:textFill>
                  <w14:solidFill>
                    <w14:schemeClr w14:val="tx1"/>
                  </w14:solidFill>
                </w14:textFill>
              </w:rPr>
              <w:t>.a）</w:t>
            </w:r>
            <w:r>
              <w:rPr>
                <w:rFonts w:hint="default"/>
                <w:b/>
                <w:bCs/>
                <w:snapToGrid w:val="0"/>
                <w:color w:val="000000" w:themeColor="text1"/>
                <w:szCs w:val="20"/>
                <w14:textFill>
                  <w14:solidFill>
                    <w14:schemeClr w14:val="tx1"/>
                  </w14:solidFill>
                </w14:textFill>
              </w:rPr>
              <w:t>]</w:t>
            </w:r>
          </w:p>
        </w:tc>
        <w:tc>
          <w:tcPr>
            <w:tcW w:w="699"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snapToGrid w:val="0"/>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总生产力[tC/（a）]</w:t>
            </w:r>
          </w:p>
        </w:tc>
        <w:tc>
          <w:tcPr>
            <w:tcW w:w="708" w:type="pct"/>
            <w:tcBorders>
              <w:top w:val="nil"/>
            </w:tcBorders>
            <w:vAlign w:val="center"/>
          </w:tcPr>
          <w:p>
            <w:pPr>
              <w:pStyle w:val="295"/>
              <w:keepNext w:val="0"/>
              <w:keepLines w:val="0"/>
              <w:widowControl w:val="0"/>
              <w:suppressLineNumbers w:val="0"/>
              <w:spacing w:before="0" w:beforeAutospacing="0" w:after="0" w:afterAutospacing="0"/>
              <w:ind w:left="0" w:right="0"/>
              <w:rPr>
                <w:rFonts w:hint="default"/>
                <w:b/>
                <w:bCs/>
                <w:snapToGrid w:val="0"/>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生产力比重</w:t>
            </w:r>
          </w:p>
          <w:p>
            <w:pPr>
              <w:pStyle w:val="295"/>
              <w:keepNext w:val="0"/>
              <w:keepLines w:val="0"/>
              <w:widowControl w:val="0"/>
              <w:suppressLineNumbers w:val="0"/>
              <w:spacing w:before="0" w:beforeAutospacing="0" w:after="0" w:afterAutospacing="0"/>
              <w:ind w:left="0" w:right="0"/>
              <w:rPr>
                <w:rFonts w:hint="default"/>
                <w:b/>
                <w:bCs/>
                <w:snapToGrid w:val="0"/>
                <w:color w:val="000000" w:themeColor="text1"/>
                <w:szCs w:val="20"/>
                <w14:textFill>
                  <w14:solidFill>
                    <w14:schemeClr w14:val="tx1"/>
                  </w14:solidFill>
                </w14:textFill>
              </w:rPr>
            </w:pPr>
            <w:r>
              <w:rPr>
                <w:rFonts w:hint="default"/>
                <w:b/>
                <w:bCs/>
                <w:snapToGrid w:val="0"/>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针叶林植被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马尾松</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195.55</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30.89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367.1</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717.86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29.58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阔叶林植被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麻栎、青冈</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68.19</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10.77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642.9</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438.39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灌丛植被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野桐、盐肤木、马桑、黄荆、火棘、荚蒾</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36.49</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5.76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367.7</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134.17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5.53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草丛植被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芒、白茅</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13.72</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2.17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226.2</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31.03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农作物植被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水稻、玉米、红苕、棉花、花生、小麦、马铃薯、豌豆</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259.22</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40.95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426.5</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1105.57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45.55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无植被</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59.9</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9.46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0.00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合计</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633.06</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100.00 </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2427.04 </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平均</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 xml:space="preserve">383.38 </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tcBorders>
              <w:left w:val="nil"/>
            </w:tcBorders>
            <w:vAlign w:val="center"/>
          </w:tcPr>
          <w:p>
            <w:pPr>
              <w:pStyle w:val="295"/>
              <w:keepNext w:val="0"/>
              <w:keepLines w:val="0"/>
              <w:widowControl w:val="0"/>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参考标准</w:t>
            </w:r>
          </w:p>
        </w:tc>
        <w:tc>
          <w:tcPr>
            <w:tcW w:w="124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58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495"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723"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684</w:t>
            </w:r>
          </w:p>
        </w:tc>
        <w:tc>
          <w:tcPr>
            <w:tcW w:w="699"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c>
          <w:tcPr>
            <w:tcW w:w="708" w:type="pct"/>
            <w:vAlign w:val="center"/>
          </w:tcPr>
          <w:p>
            <w:pPr>
              <w:pStyle w:val="295"/>
              <w:keepNext w:val="0"/>
              <w:keepLines w:val="0"/>
              <w:widowControl w:val="0"/>
              <w:suppressLineNumbers w:val="0"/>
              <w:spacing w:before="0" w:beforeAutospacing="0" w:after="0" w:afterAutospacing="0"/>
              <w:ind w:left="0" w:right="0"/>
              <w:rPr>
                <w:rFonts w:hint="default"/>
                <w:snapToGrid w:val="0"/>
                <w:color w:val="000000" w:themeColor="text1"/>
                <w:szCs w:val="20"/>
                <w14:textFill>
                  <w14:solidFill>
                    <w14:schemeClr w14:val="tx1"/>
                  </w14:solidFill>
                </w14:textFill>
              </w:rPr>
            </w:pPr>
            <w:r>
              <w:rPr>
                <w:rFonts w:hint="default"/>
                <w:snapToGrid w:val="0"/>
                <w:color w:val="000000" w:themeColor="text1"/>
                <w:szCs w:val="20"/>
                <w14:textFill>
                  <w14:solidFill>
                    <w14:schemeClr w14:val="tx1"/>
                  </w14:solidFill>
                </w14:textFill>
              </w:rPr>
              <w:t>-</w:t>
            </w:r>
          </w:p>
        </w:tc>
      </w:tr>
    </w:tbl>
    <w:p>
      <w:pPr>
        <w:spacing w:line="240" w:lineRule="auto"/>
        <w:ind w:firstLine="0" w:firstLineChars="0"/>
        <w:rPr>
          <w:rFonts w:cs="Times New Roman"/>
          <w:bCs/>
          <w:i/>
          <w:iCs/>
          <w:color w:val="000000" w:themeColor="text1"/>
          <w:szCs w:val="21"/>
          <w14:textFill>
            <w14:solidFill>
              <w14:schemeClr w14:val="tx1"/>
            </w14:solidFill>
          </w14:textFill>
        </w:rPr>
      </w:pPr>
      <w:r>
        <w:rPr>
          <w:rFonts w:ascii="宋体" w:hAnsi="宋体" w:cs="Times New Roman"/>
          <w:i/>
          <w:iCs/>
          <w:color w:val="000000" w:themeColor="text1"/>
          <w:sz w:val="20"/>
          <w:szCs w:val="20"/>
          <w14:textFill>
            <w14:solidFill>
              <w14:schemeClr w14:val="tx1"/>
            </w14:solidFill>
          </w14:textFill>
        </w:rPr>
        <w:t>注：表中平均生产力值来源于《中国陆地植被净初级生产力遥感估算》等文献，参考标准采用全国1989-1993中国陆地生态系统平均NPP值</w:t>
      </w:r>
      <w:r>
        <w:rPr>
          <w:rFonts w:hint="eastAsia" w:ascii="宋体" w:hAnsi="宋体" w:cs="Times New Roman"/>
          <w:i/>
          <w:iCs/>
          <w:color w:val="000000" w:themeColor="text1"/>
          <w:sz w:val="20"/>
          <w:szCs w:val="20"/>
          <w14:textFill>
            <w14:solidFill>
              <w14:schemeClr w14:val="tx1"/>
            </w14:solidFill>
          </w14:textFill>
        </w:rPr>
        <w:t>。</w:t>
      </w:r>
    </w:p>
    <w:p>
      <w:pPr>
        <w:spacing w:before="120" w:beforeLines="50"/>
        <w:ind w:firstLine="480"/>
        <w:rPr>
          <w:rFonts w:cs="Times New Roman"/>
          <w:bCs/>
          <w:color w:val="000000" w:themeColor="text1"/>
          <w:kern w:val="0"/>
          <w:szCs w:val="24"/>
          <w14:textFill>
            <w14:solidFill>
              <w14:schemeClr w14:val="tx1"/>
            </w14:solidFill>
          </w14:textFill>
        </w:rPr>
      </w:pPr>
      <w:r>
        <w:rPr>
          <w:rFonts w:cs="Times New Roman"/>
          <w:bCs/>
          <w:color w:val="000000" w:themeColor="text1"/>
          <w:szCs w:val="24"/>
          <w14:textFill>
            <w14:solidFill>
              <w14:schemeClr w14:val="tx1"/>
            </w14:solidFill>
          </w14:textFill>
        </w:rPr>
        <w:t>从表4.3-</w:t>
      </w:r>
      <w:r>
        <w:rPr>
          <w:rFonts w:hint="eastAsia" w:cs="Times New Roman"/>
          <w:bCs/>
          <w:color w:val="000000" w:themeColor="text1"/>
          <w:szCs w:val="24"/>
          <w14:textFill>
            <w14:solidFill>
              <w14:schemeClr w14:val="tx1"/>
            </w14:solidFill>
          </w14:textFill>
        </w:rPr>
        <w:t>9</w:t>
      </w:r>
      <w:r>
        <w:rPr>
          <w:rFonts w:cs="Times New Roman"/>
          <w:bCs/>
          <w:color w:val="000000" w:themeColor="text1"/>
          <w:szCs w:val="24"/>
          <w14:textFill>
            <w14:solidFill>
              <w14:schemeClr w14:val="tx1"/>
            </w14:solidFill>
          </w14:textFill>
        </w:rPr>
        <w:t>中可以看出，评价范围总</w:t>
      </w:r>
      <w:r>
        <w:rPr>
          <w:rFonts w:cs="Times New Roman"/>
          <w:bCs/>
          <w:snapToGrid w:val="0"/>
          <w:color w:val="000000" w:themeColor="text1"/>
          <w:szCs w:val="24"/>
          <w14:textFill>
            <w14:solidFill>
              <w14:schemeClr w14:val="tx1"/>
            </w14:solidFill>
          </w14:textFill>
        </w:rPr>
        <w:t>生产力</w:t>
      </w:r>
      <w:r>
        <w:rPr>
          <w:rFonts w:cs="Times New Roman"/>
          <w:bCs/>
          <w:color w:val="000000" w:themeColor="text1"/>
          <w:kern w:val="0"/>
          <w:szCs w:val="24"/>
          <w:lang w:bidi="ar"/>
          <w14:textFill>
            <w14:solidFill>
              <w14:schemeClr w14:val="tx1"/>
            </w14:solidFill>
          </w14:textFill>
        </w:rPr>
        <w:t>2427.04</w:t>
      </w:r>
      <w:r>
        <w:rPr>
          <w:rFonts w:cs="Times New Roman"/>
          <w:bCs/>
          <w:snapToGrid w:val="0"/>
          <w:color w:val="000000" w:themeColor="text1"/>
          <w:szCs w:val="24"/>
          <w14:textFill>
            <w14:solidFill>
              <w14:schemeClr w14:val="tx1"/>
            </w14:solidFill>
          </w14:textFill>
        </w:rPr>
        <w:t>tC/（a），</w:t>
      </w:r>
      <w:r>
        <w:rPr>
          <w:rFonts w:cs="Times New Roman"/>
          <w:bCs/>
          <w:color w:val="000000" w:themeColor="text1"/>
          <w:szCs w:val="24"/>
          <w14:textFill>
            <w14:solidFill>
              <w14:schemeClr w14:val="tx1"/>
            </w14:solidFill>
          </w14:textFill>
        </w:rPr>
        <w:t>平均净生产383.38gC/（m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.a），比中国陆地生态系统</w:t>
      </w:r>
      <w:r>
        <w:rPr>
          <w:rFonts w:cs="Times New Roman"/>
          <w:bCs/>
          <w:snapToGrid w:val="0"/>
          <w:color w:val="000000" w:themeColor="text1"/>
          <w:szCs w:val="24"/>
          <w14:textFill>
            <w14:solidFill>
              <w14:schemeClr w14:val="tx1"/>
            </w14:solidFill>
          </w14:textFill>
        </w:rPr>
        <w:t>平均值低300.62</w:t>
      </w:r>
      <w:r>
        <w:rPr>
          <w:rFonts w:cs="Times New Roman"/>
          <w:bCs/>
          <w:color w:val="000000" w:themeColor="text1"/>
          <w:szCs w:val="24"/>
          <w14:textFill>
            <w14:solidFill>
              <w14:schemeClr w14:val="tx1"/>
            </w14:solidFill>
          </w14:textFill>
        </w:rPr>
        <w:t>gC/（m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.a），远不及评价范围土地自然生产力1585.88t/hm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/a，主要是由于评价范围内</w:t>
      </w:r>
      <w:r>
        <w:rPr>
          <w:rFonts w:cs="Times New Roman"/>
          <w:bCs/>
          <w:snapToGrid w:val="0"/>
          <w:color w:val="000000" w:themeColor="text1"/>
          <w:szCs w:val="24"/>
          <w14:textFill>
            <w14:solidFill>
              <w14:schemeClr w14:val="tx1"/>
            </w14:solidFill>
          </w14:textFill>
        </w:rPr>
        <w:t>平均净生产力水平较高的地带性常绿阔叶林植被，因为人为干扰，已经基本不复存在，取而代之的是平均净生产力水平</w:t>
      </w:r>
      <w:r>
        <w:rPr>
          <w:rFonts w:cs="Times New Roman"/>
          <w:bCs/>
          <w:color w:val="000000" w:themeColor="text1"/>
          <w:szCs w:val="24"/>
          <w14:textFill>
            <w14:solidFill>
              <w14:schemeClr w14:val="tx1"/>
            </w14:solidFill>
          </w14:textFill>
        </w:rPr>
        <w:t>较低的常绿针叶林和落叶阔叶林植被及耕地植被</w:t>
      </w:r>
      <w:r>
        <w:rPr>
          <w:rFonts w:cs="Times New Roman"/>
          <w:bCs/>
          <w:color w:val="000000" w:themeColor="text1"/>
          <w:kern w:val="0"/>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（3）评价范围植被生物量现状评价</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植被的生物量是指一定地段面积内植物群落在某一时期生存着的活有机物质之重量，以t/hm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表示。群落类型不同，其生物量测定的方法也有所不同。</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1、森林群落生物量</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森林生物量目前常用材积推算法来估算，用此方法估算出的生物量被称为材积源生物量。由于在作材积分析时需要对森林群落样地的林木进行砍伐取样，在实际操作中</w:t>
      </w:r>
      <w:r>
        <w:rPr>
          <w:rFonts w:hint="eastAsia" w:cs="Times New Roman"/>
          <w:bCs/>
          <w:color w:val="000000" w:themeColor="text1"/>
          <w:kern w:val="0"/>
          <w:szCs w:val="24"/>
          <w14:textFill>
            <w14:solidFill>
              <w14:schemeClr w14:val="tx1"/>
            </w14:solidFill>
          </w14:textFill>
        </w:rPr>
        <w:t>要涉及</w:t>
      </w:r>
      <w:r>
        <w:rPr>
          <w:rFonts w:cs="Times New Roman"/>
          <w:bCs/>
          <w:color w:val="000000" w:themeColor="text1"/>
          <w:kern w:val="0"/>
          <w:szCs w:val="24"/>
          <w14:textFill>
            <w14:solidFill>
              <w14:schemeClr w14:val="tx1"/>
            </w14:solidFill>
          </w14:textFill>
        </w:rPr>
        <w:t>取样木砍伐的审批手续及样木赔偿付费等问题，因此，本次森林生物量的估算采取借用中国科学院生态环境研究中心专家建立的我国森林生物量的基本参数，以79.2t/hm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10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，即以（79.2＋10）t/hm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来作为本评价范围森林群落生物量的基数。</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2、灌丛和灌草丛生物量</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4个5×5m的生物量样方，在每个样方内均匀取样4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的生物量（鲜重），并将部分鲜样称重后带回实验室内恒温箱中80℃烘干至恒重，计算含水量及干物质重量，将生物量鲜重换算成干重，得到灌丛地上部分平均生物量为16.28t/hm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；灌草丛取4个1×1m的生物量样方，在每个样方内均匀取样1m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的生物量（鲜重），并将部分鲜样称重后带回实验室内恒温箱中80℃烘干至恒重，计算含水量及干物质重量，将生物量鲜重换算成干重，得到灌草丛地上部分平均生物量为4.52t/hm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。由于现场测定仅</w:t>
      </w:r>
      <w:r>
        <w:rPr>
          <w:rFonts w:hint="eastAsia" w:cs="Times New Roman"/>
          <w:bCs/>
          <w:color w:val="000000" w:themeColor="text1"/>
          <w:kern w:val="0"/>
          <w:szCs w:val="24"/>
          <w14:textFill>
            <w14:solidFill>
              <w14:schemeClr w14:val="tx1"/>
            </w14:solidFill>
          </w14:textFill>
        </w:rPr>
        <w:t>做</w:t>
      </w:r>
      <w:r>
        <w:rPr>
          <w:rFonts w:cs="Times New Roman"/>
          <w:bCs/>
          <w:color w:val="000000" w:themeColor="text1"/>
          <w:kern w:val="0"/>
          <w:szCs w:val="24"/>
          <w14:textFill>
            <w14:solidFill>
              <w14:schemeClr w14:val="tx1"/>
            </w14:solidFill>
          </w14:textFill>
        </w:rPr>
        <w:t>了灌丛和灌草丛的地上部分生物量的测定，地下部分生物量则利用已有的生物量资料中地上部分（T）与地下部分（R）之比例系数（T/R）为1.44的系数来推算出本评价范围内灌丛和灌草丛生物量的地下部分（屠玉麟，贵州中部喀斯特灌丛群落生物量研究，《中国岩溶》．Vol.14.No.3.1995）。因此，灌丛的生物量即为地上部分与地下部分之和：（16.28＋16.28/1.44）=27.58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，灌草丛的生物量即为地上部分与地下部分之和：（4.52＋4.52/1.44）=7.66t/hm</w:t>
      </w:r>
      <w:r>
        <w:rPr>
          <w:rFonts w:cs="Times New Roman"/>
          <w:bCs/>
          <w:color w:val="000000" w:themeColor="text1"/>
          <w:kern w:val="0"/>
          <w:szCs w:val="24"/>
          <w:vertAlign w:val="superscript"/>
          <w14:textFill>
            <w14:solidFill>
              <w14:schemeClr w14:val="tx1"/>
            </w14:solidFill>
          </w14:textFill>
        </w:rPr>
        <w:t>2</w:t>
      </w:r>
      <w:r>
        <w:rPr>
          <w:rFonts w:cs="Times New Roman"/>
          <w:bCs/>
          <w:color w:val="000000" w:themeColor="text1"/>
          <w:kern w:val="0"/>
          <w:szCs w:val="24"/>
          <w14:textFill>
            <w14:solidFill>
              <w14:schemeClr w14:val="tx1"/>
            </w14:solidFill>
          </w14:textFill>
        </w:rPr>
        <w:t>。</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3、农田植被的生物量</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农田植被生物量由三部分组成，即作物子粒、</w:t>
      </w:r>
      <w:r>
        <w:rPr>
          <w:rFonts w:hint="eastAsia" w:cs="Times New Roman"/>
          <w:bCs/>
          <w:color w:val="000000" w:themeColor="text1"/>
          <w:szCs w:val="24"/>
          <w14:textFill>
            <w14:solidFill>
              <w14:schemeClr w14:val="tx1"/>
            </w14:solidFill>
          </w14:textFill>
        </w:rPr>
        <w:t>秸秆和</w:t>
      </w:r>
      <w:r>
        <w:rPr>
          <w:rFonts w:cs="Times New Roman"/>
          <w:bCs/>
          <w:color w:val="000000" w:themeColor="text1"/>
          <w:szCs w:val="24"/>
          <w14:textFill>
            <w14:solidFill>
              <w14:schemeClr w14:val="tx1"/>
            </w14:solidFill>
          </w14:textFill>
        </w:rPr>
        <w:t>根茬。由于目前尚无宣汉县农田</w:t>
      </w:r>
      <w:r>
        <w:rPr>
          <w:rFonts w:hint="eastAsia" w:cs="Times New Roman"/>
          <w:bCs/>
          <w:color w:val="000000" w:themeColor="text1"/>
          <w:szCs w:val="24"/>
          <w14:textFill>
            <w14:solidFill>
              <w14:schemeClr w14:val="tx1"/>
            </w14:solidFill>
          </w14:textFill>
        </w:rPr>
        <w:t>的秸秆</w:t>
      </w:r>
      <w:r>
        <w:rPr>
          <w:rFonts w:cs="Times New Roman"/>
          <w:bCs/>
          <w:color w:val="000000" w:themeColor="text1"/>
          <w:szCs w:val="24"/>
          <w14:textFill>
            <w14:solidFill>
              <w14:schemeClr w14:val="tx1"/>
            </w14:solidFill>
          </w14:textFill>
        </w:rPr>
        <w:t>、根茬单位面积产量数据，农田植被生物量基数参考周边已有案例。</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评价范围内的植被生物量现状值</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699"/>
        <w:gridCol w:w="1883"/>
        <w:gridCol w:w="1689"/>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vMerge w:val="restar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植被类型</w:t>
            </w:r>
          </w:p>
        </w:tc>
        <w:tc>
          <w:tcPr>
            <w:tcW w:w="3090" w:type="pct"/>
            <w:gridSpan w:val="3"/>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项目评价范围</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vMerge w:val="continue"/>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面积</w:t>
            </w:r>
            <w:r>
              <w:rPr>
                <w:rFonts w:hint="eastAsia" w:cs="Times New Roman"/>
                <w:b/>
                <w:color w:val="000000" w:themeColor="text1"/>
                <w:kern w:val="0"/>
                <w:sz w:val="21"/>
                <w:szCs w:val="21"/>
                <w14:textFill>
                  <w14:solidFill>
                    <w14:schemeClr w14:val="tx1"/>
                  </w14:solidFill>
                </w14:textFill>
              </w:rPr>
              <w:t>（</w:t>
            </w:r>
            <w:r>
              <w:rPr>
                <w:rFonts w:hint="default" w:cs="Times New Roman"/>
                <w:b/>
                <w:color w:val="000000" w:themeColor="text1"/>
                <w:kern w:val="0"/>
                <w:sz w:val="21"/>
                <w:szCs w:val="21"/>
                <w14:textFill>
                  <w14:solidFill>
                    <w14:schemeClr w14:val="tx1"/>
                  </w14:solidFill>
                </w14:textFill>
              </w:rPr>
              <w:t>hm</w:t>
            </w:r>
            <w:r>
              <w:rPr>
                <w:rFonts w:hint="default" w:cs="Times New Roman"/>
                <w:b/>
                <w:color w:val="000000" w:themeColor="text1"/>
                <w:kern w:val="0"/>
                <w:sz w:val="21"/>
                <w:szCs w:val="21"/>
                <w:vertAlign w:val="superscript"/>
                <w14:textFill>
                  <w14:solidFill>
                    <w14:schemeClr w14:val="tx1"/>
                  </w14:solidFill>
                </w14:textFill>
              </w:rPr>
              <w:t>2</w:t>
            </w:r>
            <w:r>
              <w:rPr>
                <w:rFonts w:hint="eastAsia" w:cs="Times New Roman"/>
                <w:b/>
                <w:color w:val="000000" w:themeColor="text1"/>
                <w:kern w:val="0"/>
                <w:sz w:val="21"/>
                <w:szCs w:val="21"/>
                <w:vertAlign w:val="superscript"/>
                <w14:textFill>
                  <w14:solidFill>
                    <w14:schemeClr w14:val="tx1"/>
                  </w14:solidFill>
                </w14:textFill>
              </w:rPr>
              <w:t>）</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基数</w:t>
            </w:r>
            <w:r>
              <w:rPr>
                <w:rFonts w:hint="default" w:cs="Times New Roman"/>
                <w:b/>
                <w:color w:val="000000" w:themeColor="text1"/>
                <w:kern w:val="0"/>
                <w:szCs w:val="24"/>
                <w14:textFill>
                  <w14:solidFill>
                    <w14:schemeClr w14:val="tx1"/>
                  </w14:solidFill>
                </w14:textFill>
              </w:rPr>
              <w:t>（t/hm²）</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生物量</w:t>
            </w:r>
            <w:r>
              <w:rPr>
                <w:rFonts w:hint="eastAsia" w:cs="Times New Roman"/>
                <w:b/>
                <w:color w:val="000000" w:themeColor="text1"/>
                <w:kern w:val="0"/>
                <w:sz w:val="21"/>
                <w:szCs w:val="21"/>
                <w14:textFill>
                  <w14:solidFill>
                    <w14:schemeClr w14:val="tx1"/>
                  </w14:solidFill>
                </w14:textFill>
              </w:rPr>
              <w:t>（</w:t>
            </w:r>
            <w:r>
              <w:rPr>
                <w:rFonts w:hint="default" w:cs="Times New Roman"/>
                <w:b/>
                <w:color w:val="000000" w:themeColor="text1"/>
                <w:kern w:val="0"/>
                <w:sz w:val="21"/>
                <w:szCs w:val="21"/>
                <w14:textFill>
                  <w14:solidFill>
                    <w14:schemeClr w14:val="tx1"/>
                  </w14:solidFill>
                </w14:textFill>
              </w:rPr>
              <w:t>t</w:t>
            </w:r>
            <w:r>
              <w:rPr>
                <w:rFonts w:hint="eastAsia" w:cs="Times New Roman"/>
                <w:b/>
                <w:color w:val="000000" w:themeColor="text1"/>
                <w:kern w:val="0"/>
                <w:sz w:val="21"/>
                <w:szCs w:val="21"/>
                <w14:textFill>
                  <w14:solidFill>
                    <w14:schemeClr w14:val="tx1"/>
                  </w14:solidFill>
                </w14:textFill>
              </w:rPr>
              <w:t>）</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水田植被</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143.34</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10.51</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1506.49</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旱地植被</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115.88</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10.31</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1194.72</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森林植被</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263.73</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89.2</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23524.98</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灌丛植被</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36.49</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27.58</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1006.48</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灌草丛植被</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13.72</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7.66</w:t>
            </w: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105.08</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合计</w:t>
            </w:r>
          </w:p>
        </w:tc>
        <w:tc>
          <w:tcPr>
            <w:tcW w:w="996"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lang w:eastAsia="zh-CN"/>
                <w14:textFill>
                  <w14:solidFill>
                    <w14:schemeClr w14:val="tx1"/>
                  </w14:solidFill>
                </w14:textFill>
              </w:rPr>
              <w:t>***</w:t>
            </w:r>
            <w:r>
              <w:rPr>
                <w:rFonts w:hint="default" w:cs="Times New Roman"/>
                <w:bCs/>
                <w:color w:val="000000" w:themeColor="text1"/>
                <w:kern w:val="0"/>
                <w:sz w:val="21"/>
                <w:szCs w:val="21"/>
                <w14:textFill>
                  <w14:solidFill>
                    <w14:schemeClr w14:val="tx1"/>
                  </w14:solidFill>
                </w14:textFill>
              </w:rPr>
              <w:t>.16</w:t>
            </w:r>
          </w:p>
        </w:tc>
        <w:tc>
          <w:tcPr>
            <w:tcW w:w="1104"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p>
        </w:tc>
        <w:tc>
          <w:tcPr>
            <w:tcW w:w="99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27337.75</w:t>
            </w:r>
          </w:p>
        </w:tc>
        <w:tc>
          <w:tcPr>
            <w:tcW w:w="910" w:type="pct"/>
            <w:tcBorders>
              <w:tl2br w:val="nil"/>
              <w:tr2bl w:val="nil"/>
            </w:tcBorders>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100.00</w:t>
            </w:r>
          </w:p>
        </w:tc>
      </w:tr>
    </w:tbl>
    <w:p>
      <w:pPr>
        <w:spacing w:before="120" w:beforeLines="50"/>
        <w:ind w:firstLine="48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由表4.3-1</w:t>
      </w:r>
      <w:r>
        <w:rPr>
          <w:rFonts w:hint="eastAsia" w:cs="Times New Roman"/>
          <w:bCs/>
          <w:color w:val="000000" w:themeColor="text1"/>
          <w:kern w:val="0"/>
          <w:szCs w:val="24"/>
          <w14:textFill>
            <w14:solidFill>
              <w14:schemeClr w14:val="tx1"/>
            </w14:solidFill>
          </w14:textFill>
        </w:rPr>
        <w:t>0</w:t>
      </w:r>
      <w:r>
        <w:rPr>
          <w:rFonts w:cs="Times New Roman"/>
          <w:bCs/>
          <w:color w:val="000000" w:themeColor="text1"/>
          <w:kern w:val="0"/>
          <w:szCs w:val="24"/>
          <w14:textFill>
            <w14:solidFill>
              <w14:schemeClr w14:val="tx1"/>
            </w14:solidFill>
          </w14:textFill>
        </w:rPr>
        <w:t>可知，在评价范围内植物总生物量中，森林植被生物量所占比重最大，达到86.05%，可见森林植被对区域生物量的贡献之大，同时也表明森林植被是本评价范围最重要的生态系统，森林生态效益不可忽视，在维持区域生态平衡方面有绝对的意义。</w:t>
      </w:r>
    </w:p>
    <w:p>
      <w:pPr>
        <w:pStyle w:val="4"/>
        <w:spacing w:before="120"/>
        <w:ind w:firstLine="480"/>
        <w:rPr>
          <w:color w:val="000000" w:themeColor="text1"/>
          <w14:textFill>
            <w14:solidFill>
              <w14:schemeClr w14:val="tx1"/>
            </w14:solidFill>
          </w14:textFill>
        </w:rPr>
      </w:pPr>
      <w:r>
        <w:rPr>
          <w:color w:val="000000" w:themeColor="text1"/>
          <w14:textFill>
            <w14:solidFill>
              <w14:schemeClr w14:val="tx1"/>
            </w14:solidFill>
          </w14:textFill>
        </w:rPr>
        <w:t>景观生态体系现状调查</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景观（Landscape）的定义有多种表述，但大部分都是反映内陆地形、地貌或景色的，或是反映某一地理区域的综合地形特征。而景观生态学（LandscapeEcology）将景观定义为：“一个空间异质性的区域，由相互作用的拼块（patch）或生态系统组成，以相似的形式重复出现的生态体系”。为了深入认识评价范围内的环境特征，下面用景观生态学的原理和方法来研究生态体系的组成、特征、生产力及其稳定性。</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1、景观生态体系组成与特征</w:t>
      </w:r>
    </w:p>
    <w:p>
      <w:pPr>
        <w:ind w:firstLine="480"/>
        <w:rPr>
          <w:rFonts w:cs="Times New Roman"/>
          <w:bCs/>
          <w:color w:val="000000" w:themeColor="text1"/>
          <w:kern w:val="0"/>
          <w:szCs w:val="24"/>
          <w14:textFill>
            <w14:solidFill>
              <w14:schemeClr w14:val="tx1"/>
            </w14:solidFill>
          </w14:textFill>
        </w:rPr>
      </w:pPr>
      <w:r>
        <w:rPr>
          <w:rFonts w:cs="Times New Roman"/>
          <w:bCs/>
          <w:color w:val="000000" w:themeColor="text1"/>
          <w:szCs w:val="24"/>
          <w14:textFill>
            <w14:solidFill>
              <w14:schemeClr w14:val="tx1"/>
            </w14:solidFill>
          </w14:textFill>
        </w:rPr>
        <w:t>按照生态学中景观的概念描述可知，景观生态体系的组成即生态系统或土地利</w:t>
      </w:r>
      <w:r>
        <w:rPr>
          <w:rFonts w:cs="Times New Roman"/>
          <w:bCs/>
          <w:color w:val="000000" w:themeColor="text1"/>
          <w:kern w:val="0"/>
          <w:szCs w:val="24"/>
          <w14:textFill>
            <w14:solidFill>
              <w14:schemeClr w14:val="tx1"/>
            </w14:solidFill>
          </w14:textFill>
        </w:rPr>
        <w:t>用类型组成，因而可以用评价范围内的主要土地利用类型——森林、灌丛、灌草丛、耕地、河流水面、建设用地等生态系统作为景观体系的基本单元——拼块来进行景观分析。</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（1）马尾松、麻栎、青冈及乔木经济树种等为主的森林拼块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属于人工栽培或干预后经过一段时间自然生长发育形成，具有一定人工性，属于环境资源拼块。该拼块广泛分布，连通程度较高。该拼块面积为</w:t>
      </w:r>
      <w:r>
        <w:rPr>
          <w:rFonts w:cs="Times New Roman"/>
          <w:bCs/>
          <w:color w:val="000000" w:themeColor="text1"/>
          <w:kern w:val="0"/>
          <w:szCs w:val="24"/>
          <w:lang w:bidi="ar"/>
          <w14:textFill>
            <w14:solidFill>
              <w14:schemeClr w14:val="tx1"/>
            </w14:solidFill>
          </w14:textFill>
        </w:rPr>
        <w:t>263.73</w:t>
      </w:r>
      <w:r>
        <w:rPr>
          <w:rFonts w:cs="Times New Roman"/>
          <w:bCs/>
          <w:color w:val="000000" w:themeColor="text1"/>
          <w:szCs w:val="24"/>
          <w14:textFill>
            <w14:solidFill>
              <w14:schemeClr w14:val="tx1"/>
            </w14:solidFill>
          </w14:textFill>
        </w:rPr>
        <w:t>hm²，约占评价范围总面积的41.66%，是评价区内最重要的景观拼块，对评价区内生态起着绝对作用。</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野桐、盐肤木、马桑、黄荆、火棘、荚蒾及灌木经济树种等为主的灌丛拼块属于人类活动影响下形成的干扰拼块，多分布在林地边缘地带或荒坡田坎，由于人类活动频繁，受干扰程度高，水土流失和生物多样性受损较严重。该拼块面积为</w:t>
      </w:r>
      <w:r>
        <w:rPr>
          <w:rFonts w:cs="Times New Roman"/>
          <w:bCs/>
          <w:color w:val="000000" w:themeColor="text1"/>
          <w:kern w:val="0"/>
          <w:szCs w:val="24"/>
          <w:lang w:bidi="ar"/>
          <w14:textFill>
            <w14:solidFill>
              <w14:schemeClr w14:val="tx1"/>
            </w14:solidFill>
          </w14:textFill>
        </w:rPr>
        <w:t>36.49</w:t>
      </w:r>
      <w:r>
        <w:rPr>
          <w:rFonts w:cs="Times New Roman"/>
          <w:bCs/>
          <w:color w:val="000000" w:themeColor="text1"/>
          <w:szCs w:val="24"/>
          <w14:textFill>
            <w14:solidFill>
              <w14:schemeClr w14:val="tx1"/>
            </w14:solidFill>
          </w14:textFill>
        </w:rPr>
        <w:t>hm²，占评价范围总面积的</w:t>
      </w:r>
      <w:r>
        <w:rPr>
          <w:rFonts w:cs="Times New Roman"/>
          <w:bCs/>
          <w:color w:val="000000" w:themeColor="text1"/>
          <w:kern w:val="0"/>
          <w:szCs w:val="24"/>
          <w14:textFill>
            <w14:solidFill>
              <w14:schemeClr w14:val="tx1"/>
            </w14:solidFill>
          </w14:textFill>
        </w:rPr>
        <w:t>5.76</w:t>
      </w:r>
      <w:r>
        <w:rPr>
          <w:rFonts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（3）芒、白茅等为主的灌草丛拼块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属于人类活动影响下形成的干扰拼块，分布广泛，由于人类活动频繁，受干扰程度高，水土流失和生物多样性受损较严重。该拼块面积为</w:t>
      </w:r>
      <w:r>
        <w:rPr>
          <w:rFonts w:cs="Times New Roman"/>
          <w:bCs/>
          <w:color w:val="000000" w:themeColor="text1"/>
          <w:kern w:val="0"/>
          <w:szCs w:val="24"/>
          <w:lang w:bidi="ar"/>
          <w14:textFill>
            <w14:solidFill>
              <w14:schemeClr w14:val="tx1"/>
            </w14:solidFill>
          </w14:textFill>
        </w:rPr>
        <w:t>13.72</w:t>
      </w:r>
      <w:r>
        <w:rPr>
          <w:rFonts w:cs="Times New Roman"/>
          <w:bCs/>
          <w:color w:val="000000" w:themeColor="text1"/>
          <w:szCs w:val="24"/>
          <w14:textFill>
            <w14:solidFill>
              <w14:schemeClr w14:val="tx1"/>
            </w14:solidFill>
          </w14:textFill>
        </w:rPr>
        <w:t>hm²，占评价区总面积的</w:t>
      </w:r>
      <w:r>
        <w:rPr>
          <w:rFonts w:cs="Times New Roman"/>
          <w:bCs/>
          <w:color w:val="000000" w:themeColor="text1"/>
          <w:kern w:val="0"/>
          <w:szCs w:val="24"/>
          <w14:textFill>
            <w14:solidFill>
              <w14:schemeClr w14:val="tx1"/>
            </w14:solidFill>
          </w14:textFill>
        </w:rPr>
        <w:t>2.17%</w:t>
      </w:r>
      <w:r>
        <w:rPr>
          <w:rFonts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（4）以水稻、玉米、红苕、棉花、花生、小麦、马铃薯、豌豆为主的耕地植被拼块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属于人工引进的种植拼块。水田拼块一般较平坦，生境湿润，旱地拼块的生境、外貌及结构与水田均有明显区别，其生境一般比较干燥，地面具有一定坡度，作物种类比较多样化，并形成多种组合。该拼块面积为</w:t>
      </w:r>
      <w:r>
        <w:rPr>
          <w:rFonts w:cs="Times New Roman"/>
          <w:bCs/>
          <w:color w:val="000000" w:themeColor="text1"/>
          <w:kern w:val="0"/>
          <w:szCs w:val="24"/>
          <w:lang w:bidi="ar"/>
          <w14:textFill>
            <w14:solidFill>
              <w14:schemeClr w14:val="tx1"/>
            </w14:solidFill>
          </w14:textFill>
        </w:rPr>
        <w:t>259.22</w:t>
      </w:r>
      <w:r>
        <w:rPr>
          <w:rFonts w:cs="Times New Roman"/>
          <w:bCs/>
          <w:color w:val="000000" w:themeColor="text1"/>
          <w:szCs w:val="24"/>
          <w14:textFill>
            <w14:solidFill>
              <w14:schemeClr w14:val="tx1"/>
            </w14:solidFill>
          </w14:textFill>
        </w:rPr>
        <w:t>hm²，占评价区面积的</w:t>
      </w:r>
      <w:r>
        <w:rPr>
          <w:rFonts w:cs="Times New Roman"/>
          <w:bCs/>
          <w:color w:val="000000" w:themeColor="text1"/>
          <w:kern w:val="0"/>
          <w:szCs w:val="24"/>
          <w14:textFill>
            <w14:solidFill>
              <w14:schemeClr w14:val="tx1"/>
            </w14:solidFill>
          </w14:textFill>
        </w:rPr>
        <w:t>40.95</w:t>
      </w:r>
      <w:r>
        <w:rPr>
          <w:rFonts w:cs="Times New Roman"/>
          <w:bCs/>
          <w:color w:val="000000" w:themeColor="text1"/>
          <w:szCs w:val="24"/>
          <w14:textFill>
            <w14:solidFill>
              <w14:schemeClr w14:val="tx1"/>
            </w14:solidFill>
          </w14:textFill>
        </w:rPr>
        <w:t>%。</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（5）建设用地为主的人工生态系统拼块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Pr>
          <w:rFonts w:cs="Times New Roman"/>
          <w:bCs/>
          <w:color w:val="000000" w:themeColor="text1"/>
          <w:kern w:val="0"/>
          <w:szCs w:val="24"/>
          <w:lang w:bidi="ar"/>
          <w14:textFill>
            <w14:solidFill>
              <w14:schemeClr w14:val="tx1"/>
            </w14:solidFill>
          </w14:textFill>
        </w:rPr>
        <w:t>49.22</w:t>
      </w:r>
      <w:r>
        <w:rPr>
          <w:rFonts w:cs="Times New Roman"/>
          <w:bCs/>
          <w:color w:val="000000" w:themeColor="text1"/>
          <w:szCs w:val="24"/>
          <w14:textFill>
            <w14:solidFill>
              <w14:schemeClr w14:val="tx1"/>
            </w14:solidFill>
          </w14:textFill>
        </w:rPr>
        <w:t>hm²，占评价区总面积的7.78%。</w:t>
      </w:r>
    </w:p>
    <w:p>
      <w:pPr>
        <w:numPr>
          <w:ilvl w:val="0"/>
          <w:numId w:val="12"/>
        </w:numPr>
        <w:ind w:firstLine="480" w:firstLineChars="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水面拼块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主要为评价范围内自然河流、沟渠及人工水塘，该拼块面积约为</w:t>
      </w:r>
      <w:r>
        <w:rPr>
          <w:rFonts w:cs="Times New Roman"/>
          <w:bCs/>
          <w:color w:val="000000" w:themeColor="text1"/>
          <w:kern w:val="0"/>
          <w:szCs w:val="24"/>
          <w:lang w:bidi="ar"/>
          <w14:textFill>
            <w14:solidFill>
              <w14:schemeClr w14:val="tx1"/>
            </w14:solidFill>
          </w14:textFill>
        </w:rPr>
        <w:t>10.67</w:t>
      </w:r>
      <w:r>
        <w:rPr>
          <w:rFonts w:cs="Times New Roman"/>
          <w:bCs/>
          <w:color w:val="000000" w:themeColor="text1"/>
          <w:szCs w:val="24"/>
          <w14:textFill>
            <w14:solidFill>
              <w14:schemeClr w14:val="tx1"/>
            </w14:solidFill>
          </w14:textFill>
        </w:rPr>
        <w:t>hm²，占评价区总面积的1.69%。</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以上拼块类型构成了本区景观生态体系，它们之间既相互联系又相互制约。</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以马尾松、麻栎、青冈及乔木经济树种的森林拼块，以野桐、盐肤木、马桑、黄荆、火棘、荚蒾及灌木经济树种为主的灌丛拼块等陆地生态系统决定了以河流水面为主的水生生态系统状况，同时对以水稻、玉米、红苕、棉花、花生、小麦、马铃薯、豌豆为主的耕地植被的生产力水平有着重要影响。环境资源拼块自然生产能力和稳定性的维护是决定本区生态环境质量的主导性因素，该类型拼块的总面积为324.61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，占所有拼块总面积的51.28%；人为活动影响产生的拼块总面积为308.44hm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，占所有拼块总面积的48.73%。</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评价范围内以上各景观拼块相应特征见表4.3-1</w:t>
      </w:r>
      <w:r>
        <w:rPr>
          <w:rFonts w:hint="eastAsia" w:cs="Times New Roman"/>
          <w:bCs/>
          <w:color w:val="000000" w:themeColor="text1"/>
          <w:szCs w:val="24"/>
          <w14:textFill>
            <w14:solidFill>
              <w14:schemeClr w14:val="tx1"/>
            </w14:solidFill>
          </w14:textFill>
        </w:rPr>
        <w:t>1</w:t>
      </w:r>
      <w:r>
        <w:rPr>
          <w:rFonts w:cs="Times New Roman"/>
          <w:bCs/>
          <w:color w:val="000000" w:themeColor="text1"/>
          <w:szCs w:val="24"/>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评价范围拼块类型、数量及面积表</w:t>
      </w:r>
    </w:p>
    <w:tbl>
      <w:tblPr>
        <w:tblStyle w:val="52"/>
        <w:tblW w:w="5000" w:type="pct"/>
        <w:jc w:val="center"/>
        <w:tblLayout w:type="autofit"/>
        <w:tblCellMar>
          <w:top w:w="15" w:type="dxa"/>
          <w:left w:w="15" w:type="dxa"/>
          <w:bottom w:w="15" w:type="dxa"/>
          <w:right w:w="15" w:type="dxa"/>
        </w:tblCellMar>
      </w:tblPr>
      <w:tblGrid>
        <w:gridCol w:w="3122"/>
        <w:gridCol w:w="2786"/>
        <w:gridCol w:w="2432"/>
      </w:tblGrid>
      <w:tr>
        <w:tblPrEx>
          <w:tblCellMar>
            <w:top w:w="15" w:type="dxa"/>
            <w:left w:w="15" w:type="dxa"/>
            <w:bottom w:w="15" w:type="dxa"/>
            <w:right w:w="15" w:type="dxa"/>
          </w:tblCellMar>
        </w:tblPrEx>
        <w:trPr>
          <w:trHeight w:val="315" w:hRule="atLeast"/>
          <w:jc w:val="center"/>
        </w:trPr>
        <w:tc>
          <w:tcPr>
            <w:tcW w:w="1872"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lang w:bidi="ar"/>
                <w14:textFill>
                  <w14:solidFill>
                    <w14:schemeClr w14:val="tx1"/>
                  </w14:solidFill>
                </w14:textFill>
              </w:rPr>
            </w:pPr>
            <w:r>
              <w:rPr>
                <w:rFonts w:hint="default"/>
                <w:b/>
                <w:bCs/>
                <w:color w:val="000000" w:themeColor="text1"/>
                <w:szCs w:val="20"/>
                <w:lang w:bidi="ar"/>
                <w14:textFill>
                  <w14:solidFill>
                    <w14:schemeClr w14:val="tx1"/>
                  </w14:solidFill>
                </w14:textFill>
              </w:rPr>
              <w:t>拼块类型</w:t>
            </w:r>
          </w:p>
        </w:tc>
        <w:tc>
          <w:tcPr>
            <w:tcW w:w="1670"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lang w:bidi="ar"/>
                <w14:textFill>
                  <w14:solidFill>
                    <w14:schemeClr w14:val="tx1"/>
                  </w14:solidFill>
                </w14:textFill>
              </w:rPr>
            </w:pPr>
            <w:r>
              <w:rPr>
                <w:rFonts w:hint="default"/>
                <w:b/>
                <w:bCs/>
                <w:color w:val="000000" w:themeColor="text1"/>
                <w:szCs w:val="20"/>
                <w:lang w:bidi="ar"/>
                <w14:textFill>
                  <w14:solidFill>
                    <w14:schemeClr w14:val="tx1"/>
                  </w14:solidFill>
                </w14:textFill>
              </w:rPr>
              <w:t>面积（hm</w:t>
            </w:r>
            <w:r>
              <w:rPr>
                <w:rFonts w:hint="default"/>
                <w:b/>
                <w:bCs/>
                <w:color w:val="000000" w:themeColor="text1"/>
                <w:szCs w:val="20"/>
                <w:vertAlign w:val="superscript"/>
                <w:lang w:bidi="ar"/>
                <w14:textFill>
                  <w14:solidFill>
                    <w14:schemeClr w14:val="tx1"/>
                  </w14:solidFill>
                </w14:textFill>
              </w:rPr>
              <w:t>2</w:t>
            </w:r>
            <w:r>
              <w:rPr>
                <w:rFonts w:hint="default"/>
                <w:b/>
                <w:bCs/>
                <w:color w:val="000000" w:themeColor="text1"/>
                <w:szCs w:val="20"/>
                <w:lang w:bidi="ar"/>
                <w14:textFill>
                  <w14:solidFill>
                    <w14:schemeClr w14:val="tx1"/>
                  </w14:solidFill>
                </w14:textFill>
              </w:rPr>
              <w:t>）</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lang w:bidi="ar"/>
                <w14:textFill>
                  <w14:solidFill>
                    <w14:schemeClr w14:val="tx1"/>
                  </w14:solidFill>
                </w14:textFill>
              </w:rPr>
            </w:pPr>
            <w:r>
              <w:rPr>
                <w:rFonts w:hint="default"/>
                <w:b/>
                <w:bCs/>
                <w:color w:val="000000" w:themeColor="text1"/>
                <w:szCs w:val="20"/>
                <w:lang w:bidi="ar"/>
                <w14:textFill>
                  <w14:solidFill>
                    <w14:schemeClr w14:val="tx1"/>
                  </w14:solidFill>
                </w14:textFill>
              </w:rPr>
              <w:t>百分比（%）</w:t>
            </w:r>
          </w:p>
        </w:tc>
      </w:tr>
      <w:tr>
        <w:tblPrEx>
          <w:tblCellMar>
            <w:top w:w="15" w:type="dxa"/>
            <w:left w:w="15" w:type="dxa"/>
            <w:bottom w:w="15" w:type="dxa"/>
            <w:right w:w="15" w:type="dxa"/>
          </w:tblCellMar>
        </w:tblPrEx>
        <w:trPr>
          <w:trHeight w:val="315" w:hRule="atLeast"/>
          <w:jc w:val="center"/>
        </w:trPr>
        <w:tc>
          <w:tcPr>
            <w:tcW w:w="1872"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森林拼块</w:t>
            </w:r>
          </w:p>
        </w:tc>
        <w:tc>
          <w:tcPr>
            <w:tcW w:w="1670"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263.73 </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41.66 </w:t>
            </w:r>
          </w:p>
        </w:tc>
      </w:tr>
      <w:tr>
        <w:tblPrEx>
          <w:tblCellMar>
            <w:top w:w="15" w:type="dxa"/>
            <w:left w:w="15" w:type="dxa"/>
            <w:bottom w:w="15" w:type="dxa"/>
            <w:right w:w="15" w:type="dxa"/>
          </w:tblCellMar>
        </w:tblPrEx>
        <w:trPr>
          <w:trHeight w:val="405" w:hRule="atLeast"/>
          <w:jc w:val="center"/>
        </w:trPr>
        <w:tc>
          <w:tcPr>
            <w:tcW w:w="1872"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灌丛拼块</w:t>
            </w:r>
          </w:p>
        </w:tc>
        <w:tc>
          <w:tcPr>
            <w:tcW w:w="1670"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36.49 </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5.76 </w:t>
            </w:r>
          </w:p>
        </w:tc>
      </w:tr>
      <w:tr>
        <w:tblPrEx>
          <w:tblCellMar>
            <w:top w:w="15" w:type="dxa"/>
            <w:left w:w="15" w:type="dxa"/>
            <w:bottom w:w="15" w:type="dxa"/>
            <w:right w:w="15" w:type="dxa"/>
          </w:tblCellMar>
        </w:tblPrEx>
        <w:trPr>
          <w:trHeight w:val="385" w:hRule="atLeast"/>
          <w:jc w:val="center"/>
        </w:trPr>
        <w:tc>
          <w:tcPr>
            <w:tcW w:w="1872"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灌草丛拼块</w:t>
            </w:r>
          </w:p>
        </w:tc>
        <w:tc>
          <w:tcPr>
            <w:tcW w:w="1670"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13.72 </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2.17 </w:t>
            </w:r>
          </w:p>
        </w:tc>
      </w:tr>
      <w:tr>
        <w:tblPrEx>
          <w:tblCellMar>
            <w:top w:w="15" w:type="dxa"/>
            <w:left w:w="15" w:type="dxa"/>
            <w:bottom w:w="15" w:type="dxa"/>
            <w:right w:w="15" w:type="dxa"/>
          </w:tblCellMar>
        </w:tblPrEx>
        <w:trPr>
          <w:trHeight w:val="330" w:hRule="atLeast"/>
          <w:jc w:val="center"/>
        </w:trPr>
        <w:tc>
          <w:tcPr>
            <w:tcW w:w="1872" w:type="pct"/>
            <w:tcBorders>
              <w:top w:val="single" w:color="000000" w:sz="4" w:space="0"/>
              <w:left w:val="single" w:color="000000" w:sz="4" w:space="0"/>
              <w:bottom w:val="single" w:color="auto"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耕地植被拼块</w:t>
            </w:r>
          </w:p>
        </w:tc>
        <w:tc>
          <w:tcPr>
            <w:tcW w:w="1670"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259.22 </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40.95 </w:t>
            </w:r>
          </w:p>
        </w:tc>
      </w:tr>
      <w:tr>
        <w:tblPrEx>
          <w:tblCellMar>
            <w:top w:w="15" w:type="dxa"/>
            <w:left w:w="15" w:type="dxa"/>
            <w:bottom w:w="15" w:type="dxa"/>
            <w:right w:w="15" w:type="dxa"/>
          </w:tblCellMar>
        </w:tblPrEx>
        <w:trPr>
          <w:trHeight w:val="330" w:hRule="atLeast"/>
          <w:jc w:val="center"/>
        </w:trPr>
        <w:tc>
          <w:tcPr>
            <w:tcW w:w="187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人工生态系统拼块</w:t>
            </w:r>
          </w:p>
        </w:tc>
        <w:tc>
          <w:tcPr>
            <w:tcW w:w="1670" w:type="pct"/>
            <w:tcBorders>
              <w:top w:val="single" w:color="000000" w:sz="4" w:space="0"/>
              <w:left w:val="single" w:color="auto"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49.22</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7.78 </w:t>
            </w:r>
          </w:p>
        </w:tc>
      </w:tr>
      <w:tr>
        <w:tblPrEx>
          <w:tblCellMar>
            <w:top w:w="15" w:type="dxa"/>
            <w:left w:w="15" w:type="dxa"/>
            <w:bottom w:w="15" w:type="dxa"/>
            <w:right w:w="15" w:type="dxa"/>
          </w:tblCellMar>
        </w:tblPrEx>
        <w:trPr>
          <w:trHeight w:val="330" w:hRule="atLeast"/>
          <w:jc w:val="center"/>
        </w:trPr>
        <w:tc>
          <w:tcPr>
            <w:tcW w:w="187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水面拼块</w:t>
            </w:r>
          </w:p>
        </w:tc>
        <w:tc>
          <w:tcPr>
            <w:tcW w:w="1670" w:type="pct"/>
            <w:tcBorders>
              <w:top w:val="single" w:color="000000" w:sz="4" w:space="0"/>
              <w:left w:val="single" w:color="auto" w:sz="4" w:space="0"/>
              <w:bottom w:val="single" w:color="000000" w:sz="4" w:space="0"/>
              <w:right w:val="single" w:color="000000" w:sz="4" w:space="0"/>
            </w:tcBorders>
            <w:vAlign w:val="bottom"/>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10.67</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1.69 </w:t>
            </w:r>
          </w:p>
        </w:tc>
      </w:tr>
      <w:tr>
        <w:tblPrEx>
          <w:tblCellMar>
            <w:top w:w="15" w:type="dxa"/>
            <w:left w:w="15" w:type="dxa"/>
            <w:bottom w:w="15" w:type="dxa"/>
            <w:right w:w="15" w:type="dxa"/>
          </w:tblCellMar>
        </w:tblPrEx>
        <w:trPr>
          <w:trHeight w:val="330" w:hRule="atLeast"/>
          <w:jc w:val="center"/>
        </w:trPr>
        <w:tc>
          <w:tcPr>
            <w:tcW w:w="187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总计</w:t>
            </w:r>
          </w:p>
        </w:tc>
        <w:tc>
          <w:tcPr>
            <w:tcW w:w="1670" w:type="pct"/>
            <w:tcBorders>
              <w:top w:val="single" w:color="000000" w:sz="4" w:space="0"/>
              <w:left w:val="single" w:color="auto" w:sz="4" w:space="0"/>
              <w:bottom w:val="single" w:color="000000" w:sz="4" w:space="0"/>
              <w:right w:val="single" w:color="000000" w:sz="4" w:space="0"/>
            </w:tcBorders>
            <w:vAlign w:val="bottom"/>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633.06 </w:t>
            </w:r>
          </w:p>
        </w:tc>
        <w:tc>
          <w:tcPr>
            <w:tcW w:w="1458" w:type="pct"/>
            <w:tcBorders>
              <w:top w:val="single" w:color="000000" w:sz="4" w:space="0"/>
              <w:left w:val="single" w:color="000000" w:sz="4" w:space="0"/>
              <w:bottom w:val="single" w:color="000000" w:sz="4" w:space="0"/>
              <w:right w:val="single" w:color="000000"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lang w:bidi="ar"/>
                <w14:textFill>
                  <w14:solidFill>
                    <w14:schemeClr w14:val="tx1"/>
                  </w14:solidFill>
                </w14:textFill>
              </w:rPr>
            </w:pPr>
            <w:r>
              <w:rPr>
                <w:rFonts w:hint="default"/>
                <w:color w:val="000000" w:themeColor="text1"/>
                <w:szCs w:val="20"/>
                <w:lang w:bidi="ar"/>
                <w14:textFill>
                  <w14:solidFill>
                    <w14:schemeClr w14:val="tx1"/>
                  </w14:solidFill>
                </w14:textFill>
              </w:rPr>
              <w:t xml:space="preserve">100.00 </w:t>
            </w:r>
          </w:p>
        </w:tc>
      </w:tr>
    </w:tbl>
    <w:p>
      <w:pPr>
        <w:spacing w:line="480" w:lineRule="exact"/>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2、景观生态体系现状质量评价</w:t>
      </w:r>
    </w:p>
    <w:p>
      <w:pPr>
        <w:spacing w:line="500" w:lineRule="exact"/>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景观稳定性是景观的各种参数的长期变化呈水平状态，或是在水平线上下摆动的幅度和周期性具有统计特征（Format，1990），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pPr>
        <w:spacing w:line="500" w:lineRule="exact"/>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环境影响评价技术导则——生态影响》（HJ19-2022）中推荐的优势度计算法，各参数计算公式如下：</w:t>
      </w:r>
    </w:p>
    <w:p>
      <w:pPr>
        <w:spacing w:line="500" w:lineRule="exact"/>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密度Rd=I拼块的数目/拼块的总数×100﹪；</w:t>
      </w:r>
    </w:p>
    <w:p>
      <w:pPr>
        <w:spacing w:line="500" w:lineRule="exact"/>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频率Rf=拼块I出现的小样方数/小样方总数×100﹪；</w:t>
      </w:r>
    </w:p>
    <w:p>
      <w:pPr>
        <w:spacing w:line="500" w:lineRule="exact"/>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景观比例Lp＝拼块I的面积/样地总面积×100﹪；</w:t>
      </w:r>
    </w:p>
    <w:p>
      <w:pPr>
        <w:spacing w:line="500" w:lineRule="exact"/>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景观优势度Do＝12〔（Rd+Rf）/2＋Lp〕×100﹪。</w:t>
      </w:r>
    </w:p>
    <w:p>
      <w:pPr>
        <w:spacing w:line="500" w:lineRule="exact"/>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在景观频率的评判中，采取在微机上的土地利用图上取样的方法，共选取200个小样方。统计各类拼块出现的小样方数，得出各个拼块的频度，计算出主要拼块的优势度，结果见表4.3-1</w:t>
      </w:r>
      <w:r>
        <w:rPr>
          <w:rFonts w:hint="eastAsia" w:cs="Times New Roman"/>
          <w:bCs/>
          <w:color w:val="000000" w:themeColor="text1"/>
          <w:szCs w:val="24"/>
          <w14:textFill>
            <w14:solidFill>
              <w14:schemeClr w14:val="tx1"/>
            </w14:solidFill>
          </w14:textFill>
        </w:rPr>
        <w:t>2</w:t>
      </w:r>
      <w:r>
        <w:rPr>
          <w:rFonts w:cs="Times New Roman"/>
          <w:bCs/>
          <w:color w:val="000000" w:themeColor="text1"/>
          <w:szCs w:val="24"/>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评价范围各拼块优势度值</w:t>
      </w:r>
    </w:p>
    <w:tbl>
      <w:tblPr>
        <w:tblStyle w:val="52"/>
        <w:tblW w:w="5000" w:type="pct"/>
        <w:jc w:val="center"/>
        <w:tblLayout w:type="autofit"/>
        <w:tblCellMar>
          <w:top w:w="15" w:type="dxa"/>
          <w:left w:w="15" w:type="dxa"/>
          <w:bottom w:w="15" w:type="dxa"/>
          <w:right w:w="15" w:type="dxa"/>
        </w:tblCellMar>
      </w:tblPr>
      <w:tblGrid>
        <w:gridCol w:w="1641"/>
        <w:gridCol w:w="1535"/>
        <w:gridCol w:w="1611"/>
        <w:gridCol w:w="1960"/>
        <w:gridCol w:w="1593"/>
      </w:tblGrid>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sz w:val="21"/>
                <w:szCs w:val="21"/>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拼块类型</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sz w:val="21"/>
                <w:szCs w:val="21"/>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密度Rd（%）</w:t>
            </w:r>
          </w:p>
        </w:tc>
        <w:tc>
          <w:tcPr>
            <w:tcW w:w="966"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sz w:val="21"/>
                <w:szCs w:val="21"/>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频率Rf（%）</w:t>
            </w:r>
          </w:p>
        </w:tc>
        <w:tc>
          <w:tcPr>
            <w:tcW w:w="117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sz w:val="21"/>
                <w:szCs w:val="21"/>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景观比例Lp（%）</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sz w:val="21"/>
                <w:szCs w:val="21"/>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优势度Do（%）</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森林</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26.64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41.95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43.65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38.97 </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灌丛</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8.55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5.82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5.72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6.45 </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灌草丛</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3.78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2.11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2.22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2.58 </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耕地</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27.63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40.30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38.01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35.99 </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人工生态系统</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28.23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8.03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8.48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13.31 </w:t>
            </w:r>
          </w:p>
        </w:tc>
      </w:tr>
      <w:tr>
        <w:tblPrEx>
          <w:tblCellMar>
            <w:top w:w="15" w:type="dxa"/>
            <w:left w:w="15" w:type="dxa"/>
            <w:bottom w:w="15" w:type="dxa"/>
            <w:right w:w="15" w:type="dxa"/>
          </w:tblCellMar>
        </w:tblPrEx>
        <w:trPr>
          <w:trHeight w:val="340" w:hRule="exact"/>
          <w:jc w:val="center"/>
        </w:trPr>
        <w:tc>
          <w:tcPr>
            <w:tcW w:w="984"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水面</w:t>
            </w:r>
          </w:p>
        </w:tc>
        <w:tc>
          <w:tcPr>
            <w:tcW w:w="920"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5.17 </w:t>
            </w:r>
          </w:p>
        </w:tc>
        <w:tc>
          <w:tcPr>
            <w:tcW w:w="966"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1.79 </w:t>
            </w:r>
          </w:p>
        </w:tc>
        <w:tc>
          <w:tcPr>
            <w:tcW w:w="1175" w:type="pc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1.92 </w:t>
            </w:r>
          </w:p>
        </w:tc>
        <w:tc>
          <w:tcPr>
            <w:tcW w:w="955" w:type="pct"/>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2.70 </w:t>
            </w: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从4.3-1</w:t>
      </w:r>
      <w:r>
        <w:rPr>
          <w:rFonts w:hint="eastAsia" w:cs="Times New Roman"/>
          <w:bCs/>
          <w:color w:val="000000" w:themeColor="text1"/>
          <w:szCs w:val="24"/>
          <w14:textFill>
            <w14:solidFill>
              <w14:schemeClr w14:val="tx1"/>
            </w14:solidFill>
          </w14:textFill>
        </w:rPr>
        <w:t>2</w:t>
      </w:r>
      <w:r>
        <w:rPr>
          <w:rFonts w:cs="Times New Roman"/>
          <w:bCs/>
          <w:color w:val="000000" w:themeColor="text1"/>
          <w:szCs w:val="24"/>
          <w14:textFill>
            <w14:solidFill>
              <w14:schemeClr w14:val="tx1"/>
            </w14:solidFill>
          </w14:textFill>
        </w:rPr>
        <w:t>可以看出，在本次评价范围，各类拼块的优势度值差异较大，具有一定连通度，但它们之间都存在一定差异。其中森林拼块的优势度Do值最高，为38.97 %，景观比例Lp为43.65%，出现的频率为41.95 %；其次是耕地拼块，优势度Do值35.99 %，景观比例Lp为38.01%，出现的频率Rf为40.30%，其他拼块</w:t>
      </w:r>
      <w:r>
        <w:rPr>
          <w:rFonts w:hint="eastAsia" w:cs="Times New Roman"/>
          <w:bCs/>
          <w:color w:val="000000" w:themeColor="text1"/>
          <w:szCs w:val="24"/>
          <w14:textFill>
            <w14:solidFill>
              <w14:schemeClr w14:val="tx1"/>
            </w14:solidFill>
          </w14:textFill>
        </w:rPr>
        <w:t>所占比重</w:t>
      </w:r>
      <w:r>
        <w:rPr>
          <w:rFonts w:cs="Times New Roman"/>
          <w:bCs/>
          <w:color w:val="000000" w:themeColor="text1"/>
          <w:szCs w:val="24"/>
          <w14:textFill>
            <w14:solidFill>
              <w14:schemeClr w14:val="tx1"/>
            </w14:solidFill>
          </w14:textFill>
        </w:rPr>
        <w:t>均低于20%。</w:t>
      </w:r>
    </w:p>
    <w:p>
      <w:pPr>
        <w:pStyle w:val="4"/>
        <w:spacing w:before="120"/>
        <w:ind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生态系统类型调查与评价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地形地貌、土地利用类型以及植被类型的不同，将评价范围内生态系统划分为不同的类型。调查显示，评价范围内生态系统类型主要包括针叶林生态系统、阔叶林生态系统、阔叶灌丛生态系统、草丛生态系统、河流生态系统、湖泊生态系统、耕地生态系统、居住地生态系统、工矿交通生态系统。生态系统整体开发强度大，区域内森林多为人工林，少量为次生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根据现场调查，评价范围内的森林生态系统占一定优势，面积263.73hm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占比41.66%。森林生态系统是以乔木为主的生物群落以及其非生物环境综合组成的陆地生态系统，生态系统中的植物以乔木为主，也有少量灌木和草本植物，还有不同种类的动物资源。森林生态系统生态服务功能高，在涵养水源、净化空气、保持水土、吸烟滞尘、改变区域水热状况等方面有着突出的作用。</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评价区生态系统类型分布特征及解译结果见下表。</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生态系统类型面积统计表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3"/>
        <w:gridCol w:w="2812"/>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1761" w:type="pct"/>
            <w:vMerge w:val="restar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kern w:val="0"/>
                <w:sz w:val="21"/>
                <w:szCs w:val="21"/>
                <w:lang w:bidi="ar"/>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生态系统类型</w:t>
            </w:r>
          </w:p>
        </w:tc>
        <w:tc>
          <w:tcPr>
            <w:tcW w:w="3239" w:type="pct"/>
            <w:gridSpan w:val="2"/>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kern w:val="0"/>
                <w:sz w:val="21"/>
                <w:szCs w:val="21"/>
                <w:lang w:bidi="ar"/>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评价区范围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1761" w:type="pct"/>
            <w:vMerge w:val="continue"/>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kern w:val="0"/>
                <w:sz w:val="21"/>
                <w:szCs w:val="21"/>
                <w:lang w:bidi="ar"/>
                <w14:textFill>
                  <w14:solidFill>
                    <w14:schemeClr w14:val="tx1"/>
                  </w14:solidFill>
                </w14:textFill>
              </w:rPr>
            </w:pP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kern w:val="0"/>
                <w:sz w:val="21"/>
                <w:szCs w:val="21"/>
                <w:lang w:bidi="ar"/>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面积（hm</w:t>
            </w:r>
            <w:r>
              <w:rPr>
                <w:rFonts w:hint="default" w:cs="Times New Roman"/>
                <w:b/>
                <w:color w:val="000000" w:themeColor="text1"/>
                <w:kern w:val="0"/>
                <w:sz w:val="21"/>
                <w:szCs w:val="21"/>
                <w:vertAlign w:val="superscript"/>
                <w:lang w:bidi="ar"/>
                <w14:textFill>
                  <w14:solidFill>
                    <w14:schemeClr w14:val="tx1"/>
                  </w14:solidFill>
                </w14:textFill>
              </w:rPr>
              <w:t>2</w:t>
            </w:r>
            <w:r>
              <w:rPr>
                <w:rFonts w:hint="default" w:cs="Times New Roman"/>
                <w:b/>
                <w:color w:val="000000" w:themeColor="text1"/>
                <w:kern w:val="0"/>
                <w:sz w:val="21"/>
                <w:szCs w:val="21"/>
                <w:lang w:bidi="ar"/>
                <w14:textFill>
                  <w14:solidFill>
                    <w14:schemeClr w14:val="tx1"/>
                  </w14:solidFill>
                </w14:textFill>
              </w:rPr>
              <w:t>）</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
                <w:color w:val="000000" w:themeColor="text1"/>
                <w:kern w:val="0"/>
                <w:sz w:val="21"/>
                <w:szCs w:val="21"/>
                <w:lang w:bidi="ar"/>
                <w14:textFill>
                  <w14:solidFill>
                    <w14:schemeClr w14:val="tx1"/>
                  </w14:solidFill>
                </w14:textFill>
              </w:rPr>
            </w:pPr>
            <w:r>
              <w:rPr>
                <w:rFonts w:hint="default" w:cs="Times New Roman"/>
                <w:b/>
                <w:color w:val="000000" w:themeColor="text1"/>
                <w:kern w:val="0"/>
                <w:sz w:val="21"/>
                <w:szCs w:val="21"/>
                <w:lang w:bidi="ar"/>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针叶林生态系统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195.55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阔叶林生态系统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68.19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阔叶灌丛生态系统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36.49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草丛生态系统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13.72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湖泊生态系统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8.24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河流生态系统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2.43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耕地生态系统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259.22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40.95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居住地生态系统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27.01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工矿交通生态系统</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22.22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61"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合计</w:t>
            </w:r>
          </w:p>
        </w:tc>
        <w:tc>
          <w:tcPr>
            <w:tcW w:w="1649"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633.06 </w:t>
            </w:r>
          </w:p>
        </w:tc>
        <w:tc>
          <w:tcPr>
            <w:tcW w:w="1590" w:type="pct"/>
            <w:shd w:val="clear" w:color="000000" w:fill="FFFFFF"/>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lang w:bidi="ar"/>
                <w14:textFill>
                  <w14:solidFill>
                    <w14:schemeClr w14:val="tx1"/>
                  </w14:solidFill>
                </w14:textFill>
              </w:rPr>
            </w:pPr>
            <w:r>
              <w:rPr>
                <w:rFonts w:hint="default" w:cs="Times New Roman"/>
                <w:bCs/>
                <w:color w:val="000000" w:themeColor="text1"/>
                <w:kern w:val="0"/>
                <w:sz w:val="21"/>
                <w:szCs w:val="21"/>
                <w:lang w:bidi="ar"/>
                <w14:textFill>
                  <w14:solidFill>
                    <w14:schemeClr w14:val="tx1"/>
                  </w14:solidFill>
                </w14:textFill>
              </w:rPr>
              <w:t xml:space="preserve">100.00 </w:t>
            </w:r>
          </w:p>
        </w:tc>
      </w:tr>
    </w:tbl>
    <w:p>
      <w:pPr>
        <w:pStyle w:val="4"/>
        <w:spacing w:before="120"/>
        <w:ind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生态系统服务功能评价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生态系统服务功能主要有水源涵养、土壤保持、生物多样性保护功能等，项目区处于亚热带季风气候区，水热条件较好，植被总体覆盖度较高，生态系统服务功能主要为土壤保持功能、水源涵养功能、生物多样性保护功能，本次评价基于《生态保护红线划定指南》（环办生态〔2017〕48号）中关于生态系统服务重要性的评估方法，针对土壤保持功能、水源涵养功能、生物多样性保护功能进行分级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1、土壤保持功能分级评价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将反映土壤保持功能各因素的单因子分布数据，用地理信息系统进行乘积运算，公式如下：</w:t>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drawing>
          <wp:inline distT="0" distB="0" distL="0" distR="0">
            <wp:extent cx="1557020" cy="271780"/>
            <wp:effectExtent l="0" t="0" r="5080" b="0"/>
            <wp:docPr id="29244155" name="图片 292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4155" name="图片 292441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57020" cy="271780"/>
                    </a:xfrm>
                    <a:prstGeom prst="rect">
                      <a:avLst/>
                    </a:prstGeom>
                    <a:noFill/>
                    <a:ln>
                      <a:noFill/>
                    </a:ln>
                  </pic:spPr>
                </pic:pic>
              </a:graphicData>
            </a:graphic>
          </wp:inline>
        </w:drawing>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式中：</w:t>
      </w:r>
      <w:r>
        <w:rPr>
          <w:rFonts w:cs="Times New Roman"/>
          <w:bCs/>
          <w:color w:val="000000" w:themeColor="text1"/>
          <w:szCs w:val="24"/>
          <w14:textFill>
            <w14:solidFill>
              <w14:schemeClr w14:val="tx1"/>
            </w14:solidFill>
          </w14:textFill>
        </w:rPr>
        <w:drawing>
          <wp:inline distT="0" distB="0" distL="0" distR="0">
            <wp:extent cx="271780" cy="244475"/>
            <wp:effectExtent l="0" t="0" r="0" b="0"/>
            <wp:docPr id="390614178" name="图片 3906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14178" name="图片 3906141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1780" cy="244475"/>
                    </a:xfrm>
                    <a:prstGeom prst="rect">
                      <a:avLst/>
                    </a:prstGeom>
                    <a:noFill/>
                    <a:ln>
                      <a:noFill/>
                    </a:ln>
                  </pic:spPr>
                </pic:pic>
              </a:graphicData>
            </a:graphic>
          </wp:inline>
        </w:drawing>
      </w:r>
      <w:r>
        <w:rPr>
          <w:rFonts w:cs="Times New Roman"/>
          <w:bCs/>
          <w:color w:val="000000" w:themeColor="text1"/>
          <w:szCs w:val="24"/>
          <w14:textFill>
            <w14:solidFill>
              <w14:schemeClr w14:val="tx1"/>
            </w14:solidFill>
          </w14:textFill>
        </w:rPr>
        <w:t>为土壤保持服务；NPPmean为评价区多年生态系统净初级生产力平均值；Fslo为根据最大最小值法归一化到0-1之间的评价区坡度栅格数据。</w:t>
      </w:r>
    </w:p>
    <w:p>
      <w:pPr>
        <w:widowControl/>
        <w:ind w:firstLine="480"/>
        <w:jc w:val="left"/>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分别计算评价区NPPmean和Fslo等指标后，按照公式</w:t>
      </w:r>
      <w:r>
        <w:rPr>
          <w:rFonts w:cs="Times New Roman"/>
          <w:bCs/>
          <w:color w:val="000000" w:themeColor="text1"/>
          <w:szCs w:val="24"/>
          <w14:textFill>
            <w14:solidFill>
              <w14:schemeClr w14:val="tx1"/>
            </w14:solidFill>
          </w14:textFill>
        </w:rPr>
        <w:drawing>
          <wp:inline distT="0" distB="0" distL="0" distR="0">
            <wp:extent cx="1557020" cy="271780"/>
            <wp:effectExtent l="0" t="0" r="5080" b="0"/>
            <wp:docPr id="208011039" name="图片 2080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039" name="图片 2080110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57020" cy="271780"/>
                    </a:xfrm>
                    <a:prstGeom prst="rect">
                      <a:avLst/>
                    </a:prstGeom>
                    <a:noFill/>
                    <a:ln>
                      <a:noFill/>
                    </a:ln>
                  </pic:spPr>
                </pic:pic>
              </a:graphicData>
            </a:graphic>
          </wp:inline>
        </w:drawing>
      </w:r>
      <w:r>
        <w:rPr>
          <w:rFonts w:cs="Times New Roman"/>
          <w:bCs/>
          <w:color w:val="000000" w:themeColor="text1"/>
          <w:szCs w:val="24"/>
          <w14:textFill>
            <w14:solidFill>
              <w14:schemeClr w14:val="tx1"/>
            </w14:solidFill>
          </w14:textFill>
        </w:rPr>
        <w:t>，计算求得评价区内</w:t>
      </w:r>
      <w:r>
        <w:rPr>
          <w:rFonts w:cs="Times New Roman"/>
          <w:bCs/>
          <w:color w:val="000000" w:themeColor="text1"/>
          <w:szCs w:val="24"/>
          <w14:textFill>
            <w14:solidFill>
              <w14:schemeClr w14:val="tx1"/>
            </w14:solidFill>
          </w14:textFill>
        </w:rPr>
        <w:drawing>
          <wp:inline distT="0" distB="0" distL="0" distR="0">
            <wp:extent cx="271780" cy="244475"/>
            <wp:effectExtent l="0" t="0" r="0" b="0"/>
            <wp:docPr id="373431116" name="图片 3734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31116" name="图片 3734311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1780" cy="244475"/>
                    </a:xfrm>
                    <a:prstGeom prst="rect">
                      <a:avLst/>
                    </a:prstGeom>
                    <a:noFill/>
                    <a:ln>
                      <a:noFill/>
                    </a:ln>
                  </pic:spPr>
                </pic:pic>
              </a:graphicData>
            </a:graphic>
          </wp:inline>
        </w:drawing>
      </w:r>
      <w:r>
        <w:rPr>
          <w:rFonts w:cs="Times New Roman"/>
          <w:bCs/>
          <w:color w:val="000000" w:themeColor="text1"/>
          <w:szCs w:val="24"/>
          <w14:textFill>
            <w14:solidFill>
              <w14:schemeClr w14:val="tx1"/>
            </w14:solidFill>
          </w14:textFill>
        </w:rPr>
        <w:t>值分布情况。</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经过计算分析，土壤保持功能重要性等级比例最大的为极重要，面积259.93hm²，比例为41.06%，主要为森林及高覆盖度灌丛植被区且坡度平缓区，生态系统净初级生产力较高；其次为较重要，面积</w:t>
      </w:r>
      <w:r>
        <w:rPr>
          <w:rFonts w:cs="Times New Roman"/>
          <w:color w:val="000000" w:themeColor="text1"/>
          <w:kern w:val="0"/>
          <w:szCs w:val="24"/>
          <w:lang w:bidi="ar"/>
          <w14:textFill>
            <w14:solidFill>
              <w14:schemeClr w14:val="tx1"/>
            </w14:solidFill>
          </w14:textFill>
        </w:rPr>
        <w:t>259.22</w:t>
      </w:r>
      <w:r>
        <w:rPr>
          <w:rFonts w:cs="Times New Roman"/>
          <w:bCs/>
          <w:color w:val="000000" w:themeColor="text1"/>
          <w:szCs w:val="24"/>
          <w14:textFill>
            <w14:solidFill>
              <w14:schemeClr w14:val="tx1"/>
            </w14:solidFill>
          </w14:textFill>
        </w:rPr>
        <w:t xml:space="preserve"> hm²，比例为40.95%，主要为耕地区；重要性等级比例最小的为中度重要，面积</w:t>
      </w:r>
      <w:r>
        <w:rPr>
          <w:rFonts w:cs="Times New Roman"/>
          <w:color w:val="000000" w:themeColor="text1"/>
          <w:kern w:val="0"/>
          <w:szCs w:val="24"/>
          <w:lang w:bidi="ar"/>
          <w14:textFill>
            <w14:solidFill>
              <w14:schemeClr w14:val="tx1"/>
            </w14:solidFill>
          </w14:textFill>
        </w:rPr>
        <w:t>19.03</w:t>
      </w:r>
      <w:r>
        <w:rPr>
          <w:rFonts w:cs="Times New Roman"/>
          <w:bCs/>
          <w:color w:val="000000" w:themeColor="text1"/>
          <w:szCs w:val="24"/>
          <w14:textFill>
            <w14:solidFill>
              <w14:schemeClr w14:val="tx1"/>
            </w14:solidFill>
          </w14:textFill>
        </w:rPr>
        <w:t>hm²，比例为3.01%，主要为中高覆盖度灌丛植被区且坡度陡峭区、草地分布区且有一定坡度地段，详见表4.3-1</w:t>
      </w:r>
      <w:r>
        <w:rPr>
          <w:rFonts w:hint="eastAsia" w:cs="Times New Roman"/>
          <w:bCs/>
          <w:color w:val="000000" w:themeColor="text1"/>
          <w:szCs w:val="24"/>
          <w14:textFill>
            <w14:solidFill>
              <w14:schemeClr w14:val="tx1"/>
            </w14:solidFill>
          </w14:textFill>
        </w:rPr>
        <w:t>4</w:t>
      </w:r>
      <w:r>
        <w:rPr>
          <w:rFonts w:cs="Times New Roman"/>
          <w:bCs/>
          <w:color w:val="000000" w:themeColor="text1"/>
          <w:szCs w:val="24"/>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土壤保持功能重要性评价分布表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516"/>
        <w:gridCol w:w="1451"/>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分级</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面积（hm²）</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比例（%）</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分布特征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一般重要</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59.9</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9.46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非植被区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较重要</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259.22</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40.95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耕地区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中度重要</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19.03</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3.01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中高覆盖度灌丛植被区且坡度陡峭区、草地分布区且有一定坡度地段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高度重要</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34.98</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5.53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森林及高覆盖度灌丛植被区且坡度陡峭区、中高覆盖度灌丛植被区且坡度较缓地段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极重要</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259.93</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41.06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森林及高覆盖度灌丛植被区且坡度平缓区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97"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总计</w:t>
            </w:r>
          </w:p>
        </w:tc>
        <w:tc>
          <w:tcPr>
            <w:tcW w:w="889"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633.06</w:t>
            </w:r>
          </w:p>
        </w:tc>
        <w:tc>
          <w:tcPr>
            <w:tcW w:w="851"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 xml:space="preserve">100.00 </w:t>
            </w:r>
          </w:p>
        </w:tc>
        <w:tc>
          <w:tcPr>
            <w:tcW w:w="256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2、水源涵养功能分级评价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水源涵养功能重要性评价采用基于降水和蒸散的水量分解模型法</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drawing>
          <wp:inline distT="0" distB="0" distL="0" distR="0">
            <wp:extent cx="1747520" cy="1095375"/>
            <wp:effectExtent l="0" t="0" r="0" b="0"/>
            <wp:docPr id="294121020" name="图片 29412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1020" name="图片 2941210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47520" cy="1095375"/>
                    </a:xfrm>
                    <a:prstGeom prst="rect">
                      <a:avLst/>
                    </a:prstGeom>
                    <a:noFill/>
                    <a:ln>
                      <a:noFill/>
                    </a:ln>
                  </pic:spPr>
                </pic:pic>
              </a:graphicData>
            </a:graphic>
          </wp:inline>
        </w:drawing>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式中：WY为地表总产水量，作为水源涵养服务能力的代用指标，P为多年平均年降水量，ET为蒸</w:t>
      </w:r>
      <w:r>
        <w:rPr>
          <w:rFonts w:hint="eastAsia" w:cs="Times New Roman"/>
          <w:bCs/>
          <w:color w:val="000000" w:themeColor="text1"/>
          <w:szCs w:val="24"/>
          <w14:textFill>
            <w14:solidFill>
              <w14:schemeClr w14:val="tx1"/>
            </w14:solidFill>
          </w14:textFill>
        </w:rPr>
        <w:t>发</w:t>
      </w:r>
      <w:r>
        <w:rPr>
          <w:rFonts w:cs="Times New Roman"/>
          <w:bCs/>
          <w:color w:val="000000" w:themeColor="text1"/>
          <w:szCs w:val="24"/>
          <w14:textFill>
            <w14:solidFill>
              <w14:schemeClr w14:val="tx1"/>
            </w14:solidFill>
          </w14:textFill>
        </w:rPr>
        <w:t>量，PET为多年平均潜在蒸发量，ω为下垫面（土地覆盖）影响系数，依据土地利用类型取值。</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由于项目区面积较小，项目区水源涵养功能重要性分布差异主要受到ω下垫面的影响。其中，极重要的面积最大，达到</w:t>
      </w:r>
      <w:r>
        <w:rPr>
          <w:rFonts w:cs="Times New Roman"/>
          <w:color w:val="000000" w:themeColor="text1"/>
          <w:kern w:val="0"/>
          <w:szCs w:val="24"/>
          <w:lang w:bidi="ar"/>
          <w14:textFill>
            <w14:solidFill>
              <w14:schemeClr w14:val="tx1"/>
            </w14:solidFill>
          </w14:textFill>
        </w:rPr>
        <w:t>263.73</w:t>
      </w:r>
      <w:r>
        <w:rPr>
          <w:rFonts w:cs="Times New Roman"/>
          <w:bCs/>
          <w:color w:val="000000" w:themeColor="text1"/>
          <w:szCs w:val="24"/>
          <w14:textFill>
            <w14:solidFill>
              <w14:schemeClr w14:val="tx1"/>
            </w14:solidFill>
          </w14:textFill>
        </w:rPr>
        <w:t>hm²，占总面积的比例为41.66%，较重要的面积最小，为</w:t>
      </w:r>
      <w:r>
        <w:rPr>
          <w:rFonts w:cs="Times New Roman"/>
          <w:color w:val="000000" w:themeColor="text1"/>
          <w:kern w:val="0"/>
          <w:szCs w:val="24"/>
          <w:lang w:bidi="ar"/>
          <w14:textFill>
            <w14:solidFill>
              <w14:schemeClr w14:val="tx1"/>
            </w14:solidFill>
          </w14:textFill>
        </w:rPr>
        <w:t>13.72</w:t>
      </w:r>
      <w:r>
        <w:rPr>
          <w:rFonts w:cs="Times New Roman"/>
          <w:bCs/>
          <w:color w:val="000000" w:themeColor="text1"/>
          <w:szCs w:val="24"/>
          <w14:textFill>
            <w14:solidFill>
              <w14:schemeClr w14:val="tx1"/>
            </w14:solidFill>
          </w14:textFill>
        </w:rPr>
        <w:t xml:space="preserve"> hm²，占总面积的比例为2.17%，详见表4.3-1</w:t>
      </w:r>
      <w:r>
        <w:rPr>
          <w:rFonts w:hint="eastAsia" w:cs="Times New Roman"/>
          <w:bCs/>
          <w:color w:val="000000" w:themeColor="text1"/>
          <w:szCs w:val="24"/>
          <w14:textFill>
            <w14:solidFill>
              <w14:schemeClr w14:val="tx1"/>
            </w14:solidFill>
          </w14:textFill>
        </w:rPr>
        <w:t>5</w:t>
      </w:r>
      <w:r>
        <w:rPr>
          <w:rFonts w:cs="Times New Roman"/>
          <w:bCs/>
          <w:color w:val="000000" w:themeColor="text1"/>
          <w:szCs w:val="24"/>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评价区水源涵养功能重要性评价分布表</w:t>
      </w:r>
    </w:p>
    <w:tbl>
      <w:tblPr>
        <w:tblStyle w:val="6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067"/>
        <w:gridCol w:w="2213"/>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分级</w:t>
            </w:r>
          </w:p>
        </w:tc>
        <w:tc>
          <w:tcPr>
            <w:tcW w:w="1212"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面积（hm²）</w:t>
            </w:r>
          </w:p>
        </w:tc>
        <w:tc>
          <w:tcPr>
            <w:tcW w:w="1298"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比例（%）</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分布特征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一般重要</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59.90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9.46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非植被区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较重要</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13.72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2.17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极低覆盖度&lt;10%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中度重要</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259.22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40.95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中低覆盖度10%-30%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高度重要</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36.49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5.76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中覆盖度30%-50%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极重要</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263.73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41.66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中高覆盖度50%-70%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906"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合计</w:t>
            </w:r>
          </w:p>
        </w:tc>
        <w:tc>
          <w:tcPr>
            <w:tcW w:w="121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633.06 </w:t>
            </w:r>
          </w:p>
        </w:tc>
        <w:tc>
          <w:tcPr>
            <w:tcW w:w="1298"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 xml:space="preserve">100.00 </w:t>
            </w:r>
          </w:p>
        </w:tc>
        <w:tc>
          <w:tcPr>
            <w:tcW w:w="1584"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3、生物多样性保护功能分级评价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采用基于生境多样性的方法进行评价：</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drawing>
          <wp:inline distT="0" distB="0" distL="0" distR="0">
            <wp:extent cx="2113280" cy="250190"/>
            <wp:effectExtent l="0" t="0" r="1270" b="0"/>
            <wp:docPr id="9636496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49692"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13280" cy="250190"/>
                    </a:xfrm>
                    <a:prstGeom prst="rect">
                      <a:avLst/>
                    </a:prstGeom>
                    <a:noFill/>
                    <a:ln>
                      <a:noFill/>
                    </a:ln>
                  </pic:spPr>
                </pic:pic>
              </a:graphicData>
            </a:graphic>
          </wp:inline>
        </w:drawing>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式中：Sbio为生物多样性保护服务，NPPmean参数的计算方法同上，Ftem为气温参数，由多年（10</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30年）平均年降水量数据插值获得，得到的结果归一化到0~1之间。Falt为海拔参数，由评价区海拔进行归一化获得。Fpre参数根据降水量分布数据，利用计算机进行归一化处理得到，其分布规律与水源涵养功能重要性评价中平均降水量P值分布规律相同。</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经过计算分析，土壤保持功能等级比例最大的极重要，面积</w:t>
      </w:r>
      <w:r>
        <w:rPr>
          <w:rFonts w:cs="Times New Roman"/>
          <w:color w:val="000000" w:themeColor="text1"/>
          <w:kern w:val="0"/>
          <w:szCs w:val="24"/>
          <w:lang w:bidi="ar"/>
          <w14:textFill>
            <w14:solidFill>
              <w14:schemeClr w14:val="tx1"/>
            </w14:solidFill>
          </w14:textFill>
        </w:rPr>
        <w:t>268.93</w:t>
      </w:r>
      <w:r>
        <w:rPr>
          <w:rFonts w:cs="Times New Roman"/>
          <w:bCs/>
          <w:color w:val="000000" w:themeColor="text1"/>
          <w:szCs w:val="24"/>
          <w14:textFill>
            <w14:solidFill>
              <w14:schemeClr w14:val="tx1"/>
            </w14:solidFill>
          </w14:textFill>
        </w:rPr>
        <w:t>hm²，比例为42.48%，重要性等级比例最小的为中度重要，面积</w:t>
      </w:r>
      <w:r>
        <w:rPr>
          <w:rFonts w:cs="Times New Roman"/>
          <w:color w:val="000000" w:themeColor="text1"/>
          <w:kern w:val="0"/>
          <w:szCs w:val="24"/>
          <w:lang w:bidi="ar"/>
          <w14:textFill>
            <w14:solidFill>
              <w14:schemeClr w14:val="tx1"/>
            </w14:solidFill>
          </w14:textFill>
        </w:rPr>
        <w:t>20.3</w:t>
      </w:r>
      <w:r>
        <w:rPr>
          <w:rFonts w:cs="Times New Roman"/>
          <w:bCs/>
          <w:color w:val="000000" w:themeColor="text1"/>
          <w:szCs w:val="24"/>
          <w14:textFill>
            <w14:solidFill>
              <w14:schemeClr w14:val="tx1"/>
            </w14:solidFill>
          </w14:textFill>
        </w:rPr>
        <w:t>hm</w:t>
      </w:r>
      <w:r>
        <w:rPr>
          <w:rFonts w:cs="Times New Roman"/>
          <w:bCs/>
          <w:color w:val="000000" w:themeColor="text1"/>
          <w:szCs w:val="24"/>
          <w:vertAlign w:val="superscript"/>
          <w14:textFill>
            <w14:solidFill>
              <w14:schemeClr w14:val="tx1"/>
            </w14:solidFill>
          </w14:textFill>
        </w:rPr>
        <w:t>2</w:t>
      </w:r>
      <w:r>
        <w:rPr>
          <w:rFonts w:cs="Times New Roman"/>
          <w:bCs/>
          <w:color w:val="000000" w:themeColor="text1"/>
          <w:szCs w:val="24"/>
          <w14:textFill>
            <w14:solidFill>
              <w14:schemeClr w14:val="tx1"/>
            </w14:solidFill>
          </w14:textFill>
        </w:rPr>
        <w:t>，比例为3.21%，详见表4.3-1</w:t>
      </w:r>
      <w:r>
        <w:rPr>
          <w:rFonts w:hint="eastAsia" w:cs="Times New Roman"/>
          <w:bCs/>
          <w:color w:val="000000" w:themeColor="text1"/>
          <w:szCs w:val="24"/>
          <w14:textFill>
            <w14:solidFill>
              <w14:schemeClr w14:val="tx1"/>
            </w14:solidFill>
          </w14:textFill>
        </w:rPr>
        <w:t>6</w:t>
      </w:r>
      <w:r>
        <w:rPr>
          <w:rFonts w:cs="Times New Roman"/>
          <w:bCs/>
          <w:color w:val="000000" w:themeColor="text1"/>
          <w:szCs w:val="24"/>
          <w14:textFill>
            <w14:solidFill>
              <w14:schemeClr w14:val="tx1"/>
            </w14:solidFill>
          </w14:textFill>
        </w:rPr>
        <w:t>。</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评价区生物多样性保护功能评价分布表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603"/>
        <w:gridCol w:w="1640"/>
        <w:gridCol w:w="3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重要性</w:t>
            </w:r>
          </w:p>
        </w:tc>
        <w:tc>
          <w:tcPr>
            <w:tcW w:w="940"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面积（hm</w:t>
            </w:r>
            <w:r>
              <w:rPr>
                <w:rFonts w:hint="default" w:cs="Times New Roman"/>
                <w:b/>
                <w:color w:val="000000" w:themeColor="text1"/>
                <w:sz w:val="21"/>
                <w:szCs w:val="21"/>
                <w:vertAlign w:val="superscript"/>
                <w14:textFill>
                  <w14:solidFill>
                    <w14:schemeClr w14:val="tx1"/>
                  </w14:solidFill>
                </w14:textFill>
              </w:rPr>
              <w:t>2</w:t>
            </w:r>
            <w:r>
              <w:rPr>
                <w:rFonts w:hint="default" w:cs="Times New Roman"/>
                <w:b/>
                <w:color w:val="000000" w:themeColor="text1"/>
                <w:sz w:val="21"/>
                <w:szCs w:val="21"/>
                <w14:textFill>
                  <w14:solidFill>
                    <w14:schemeClr w14:val="tx1"/>
                  </w14:solidFill>
                </w14:textFill>
              </w:rPr>
              <w:t>）</w:t>
            </w:r>
          </w:p>
        </w:tc>
        <w:tc>
          <w:tcPr>
            <w:tcW w:w="962"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比例（%）</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
                <w:color w:val="000000" w:themeColor="text1"/>
                <w:sz w:val="21"/>
                <w:szCs w:val="21"/>
                <w14:textFill>
                  <w14:solidFill>
                    <w14:schemeClr w14:val="tx1"/>
                  </w14:solidFill>
                </w14:textFill>
              </w:rPr>
            </w:pPr>
            <w:r>
              <w:rPr>
                <w:rFonts w:hint="default" w:cs="Times New Roman"/>
                <w:b/>
                <w:color w:val="000000" w:themeColor="text1"/>
                <w:sz w:val="21"/>
                <w:szCs w:val="21"/>
                <w14:textFill>
                  <w14:solidFill>
                    <w14:schemeClr w14:val="tx1"/>
                  </w14:solidFill>
                </w14:textFill>
              </w:rPr>
              <w:t>分布特征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一般重要</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59.9</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9.46</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非植被区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较重要</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259.22</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40.95</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耕地区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中度重要</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20.3</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3.21</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草地及低覆盖度灌丛植被分布区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高度重要</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24.71</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3.90</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中高覆盖度灌丛植被区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极重要</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268.93</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42.48</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森林及高覆盖度灌丛植被区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843"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合计</w:t>
            </w:r>
          </w:p>
        </w:tc>
        <w:tc>
          <w:tcPr>
            <w:tcW w:w="940"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633.06</w:t>
            </w:r>
          </w:p>
        </w:tc>
        <w:tc>
          <w:tcPr>
            <w:tcW w:w="962"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lang w:bidi="ar"/>
                <w14:textFill>
                  <w14:solidFill>
                    <w14:schemeClr w14:val="tx1"/>
                  </w14:solidFill>
                </w14:textFill>
              </w:rPr>
              <w:t>100.00</w:t>
            </w:r>
          </w:p>
        </w:tc>
        <w:tc>
          <w:tcPr>
            <w:tcW w:w="2255" w:type="pct"/>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cs="Times New Roman"/>
                <w:bCs/>
                <w:color w:val="000000" w:themeColor="text1"/>
                <w:sz w:val="21"/>
                <w:szCs w:val="21"/>
                <w14:textFill>
                  <w14:solidFill>
                    <w14:schemeClr w14:val="tx1"/>
                  </w14:solidFill>
                </w14:textFill>
              </w:rPr>
            </w:pP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综上可见，评价区自然生态系统在水土保持功能、水源涵养功能、生物多样性保护功能等方面具有重要作用，为周边野生动物提供了一定的生存繁衍空间，在维持区域生态平衡中也具有良好的作用，也是维护评价区生态安全的重要屏障。</w:t>
      </w:r>
    </w:p>
    <w:p>
      <w:pPr>
        <w:pStyle w:val="4"/>
        <w:spacing w:before="120"/>
        <w:ind w:firstLine="480"/>
        <w:rPr>
          <w:color w:val="000000" w:themeColor="text1"/>
          <w14:textFill>
            <w14:solidFill>
              <w14:schemeClr w14:val="tx1"/>
            </w14:solidFill>
          </w14:textFill>
        </w:rPr>
      </w:pPr>
      <w:r>
        <w:rPr>
          <w:color w:val="000000" w:themeColor="text1"/>
          <w14:textFill>
            <w14:solidFill>
              <w14:schemeClr w14:val="tx1"/>
            </w14:solidFill>
          </w14:textFill>
        </w:rPr>
        <w:t>物种多样性分析</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地处亚热带常绿阔叶林区域，气候温暖湿润，区内丘陵、低山分布其间，植被类型主要有马尾松、麻栎、青冈、栓皮栎等森林植被以及马桑、黄荆、火棘、荚蒾、芒、白茅等为主的灌草丛植被，群落结构和组成相对复杂，但均为当地常见类型，分布较广。</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物种多样性是物种丰富度和分布均匀性的综合反映，体现了群落结构类型、组织水平、发展阶段、稳定程度和生境差异。本项目采用“物种丰富度指数”（Margalef）来测量植被群落的物种多样性。</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公式：D=(S-1)/lnN</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其中：s为群落中物种数目N为观察到的个体总数</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评价区各群落优势种物种优势度情况见下表。</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评价范围各群落物种丰富度指数</w:t>
      </w:r>
    </w:p>
    <w:tbl>
      <w:tblPr>
        <w:tblStyle w:val="6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3432"/>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tabs>
                <w:tab w:val="left" w:pos="1440"/>
              </w:tabs>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群落名称</w:t>
            </w:r>
          </w:p>
        </w:tc>
        <w:tc>
          <w:tcPr>
            <w:tcW w:w="2012" w:type="pct"/>
            <w:vAlign w:val="center"/>
          </w:tcPr>
          <w:p>
            <w:pPr>
              <w:keepNext w:val="0"/>
              <w:keepLines w:val="0"/>
              <w:suppressLineNumbers w:val="0"/>
              <w:tabs>
                <w:tab w:val="left" w:pos="1440"/>
              </w:tabs>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优势种</w:t>
            </w:r>
          </w:p>
        </w:tc>
        <w:tc>
          <w:tcPr>
            <w:tcW w:w="1142" w:type="pct"/>
            <w:vAlign w:val="center"/>
          </w:tcPr>
          <w:p>
            <w:pPr>
              <w:keepNext w:val="0"/>
              <w:keepLines w:val="0"/>
              <w:suppressLineNumbers w:val="0"/>
              <w:tabs>
                <w:tab w:val="left" w:pos="1440"/>
              </w:tabs>
              <w:adjustRightInd/>
              <w:snapToGrid/>
              <w:spacing w:before="0" w:beforeAutospacing="0" w:after="0" w:afterAutospacing="0" w:line="240" w:lineRule="auto"/>
              <w:ind w:left="0" w:right="0" w:firstLine="0" w:firstLineChars="0"/>
              <w:jc w:val="center"/>
              <w:rPr>
                <w:rFonts w:hint="default" w:cs="Times New Roman"/>
                <w:b/>
                <w:color w:val="000000" w:themeColor="text1"/>
                <w:kern w:val="0"/>
                <w:sz w:val="21"/>
                <w:szCs w:val="21"/>
                <w14:textFill>
                  <w14:solidFill>
                    <w14:schemeClr w14:val="tx1"/>
                  </w14:solidFill>
                </w14:textFill>
              </w:rPr>
            </w:pPr>
            <w:r>
              <w:rPr>
                <w:rFonts w:hint="default" w:cs="Times New Roman"/>
                <w:b/>
                <w:color w:val="000000" w:themeColor="text1"/>
                <w:kern w:val="0"/>
                <w:sz w:val="21"/>
                <w:szCs w:val="21"/>
                <w14:textFill>
                  <w14:solidFill>
                    <w14:schemeClr w14:val="tx1"/>
                  </w14:solidFill>
                </w14:textFill>
              </w:rPr>
              <w:t>Margalef指数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马尾松群落</w:t>
            </w:r>
          </w:p>
        </w:tc>
        <w:tc>
          <w:tcPr>
            <w:tcW w:w="201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马尾松</w:t>
            </w:r>
          </w:p>
        </w:tc>
        <w:tc>
          <w:tcPr>
            <w:tcW w:w="114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麻栎、青冈群落</w:t>
            </w:r>
          </w:p>
        </w:tc>
        <w:tc>
          <w:tcPr>
            <w:tcW w:w="201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麻栎、青冈</w:t>
            </w:r>
          </w:p>
        </w:tc>
        <w:tc>
          <w:tcPr>
            <w:tcW w:w="114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野桐、盐肤木灌丛</w:t>
            </w:r>
          </w:p>
        </w:tc>
        <w:tc>
          <w:tcPr>
            <w:tcW w:w="201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spacing w:val="15"/>
                <w:sz w:val="21"/>
                <w:szCs w:val="21"/>
                <w14:textFill>
                  <w14:solidFill>
                    <w14:schemeClr w14:val="tx1"/>
                  </w14:solidFill>
                </w14:textFill>
              </w:rPr>
              <w:t>野桐、盐肤木</w:t>
            </w:r>
          </w:p>
        </w:tc>
        <w:tc>
          <w:tcPr>
            <w:tcW w:w="114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spacing w:val="15"/>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马桑+黄荆+火棘+荚蒾灌丛</w:t>
            </w:r>
          </w:p>
        </w:tc>
        <w:tc>
          <w:tcPr>
            <w:tcW w:w="201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spacing w:val="15"/>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马桑、黄荆、火棘、荚蒾</w:t>
            </w:r>
          </w:p>
        </w:tc>
        <w:tc>
          <w:tcPr>
            <w:tcW w:w="114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845"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芒、</w:t>
            </w:r>
            <w:r>
              <w:rPr>
                <w:rFonts w:hint="default" w:cs="Times New Roman"/>
                <w:bCs/>
                <w:color w:val="000000" w:themeColor="text1"/>
                <w:spacing w:val="-4"/>
                <w:sz w:val="21"/>
                <w:szCs w:val="21"/>
                <w14:textFill>
                  <w14:solidFill>
                    <w14:schemeClr w14:val="tx1"/>
                  </w14:solidFill>
                </w14:textFill>
              </w:rPr>
              <w:t>白茅草丛</w:t>
            </w:r>
            <w:r>
              <w:rPr>
                <w:rFonts w:hint="default" w:cs="Times New Roman"/>
                <w:bCs/>
                <w:color w:val="000000" w:themeColor="text1"/>
                <w:kern w:val="0"/>
                <w:sz w:val="21"/>
                <w:szCs w:val="21"/>
                <w14:textFill>
                  <w14:solidFill>
                    <w14:schemeClr w14:val="tx1"/>
                  </w14:solidFill>
                </w14:textFill>
              </w:rPr>
              <w:t>群系</w:t>
            </w:r>
          </w:p>
        </w:tc>
        <w:tc>
          <w:tcPr>
            <w:tcW w:w="201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spacing w:val="15"/>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芒、</w:t>
            </w:r>
            <w:r>
              <w:rPr>
                <w:rFonts w:hint="default" w:cs="Times New Roman"/>
                <w:bCs/>
                <w:color w:val="000000" w:themeColor="text1"/>
                <w:spacing w:val="-4"/>
                <w:sz w:val="21"/>
                <w:szCs w:val="21"/>
                <w14:textFill>
                  <w14:solidFill>
                    <w14:schemeClr w14:val="tx1"/>
                  </w14:solidFill>
                </w14:textFill>
              </w:rPr>
              <w:t>白茅、五节芒</w:t>
            </w:r>
          </w:p>
        </w:tc>
        <w:tc>
          <w:tcPr>
            <w:tcW w:w="1142" w:type="pct"/>
            <w:vAlign w:val="center"/>
          </w:tcPr>
          <w:p>
            <w:pPr>
              <w:keepNext w:val="0"/>
              <w:keepLines w:val="0"/>
              <w:suppressLineNumbers w:val="0"/>
              <w:snapToGrid/>
              <w:spacing w:before="0" w:beforeAutospacing="0" w:after="0" w:afterAutospacing="0" w:line="240" w:lineRule="auto"/>
              <w:ind w:left="0" w:right="0" w:firstLine="0" w:firstLineChars="0"/>
              <w:jc w:val="center"/>
              <w:textAlignment w:val="baseline"/>
              <w:rPr>
                <w:rFonts w:hint="default" w:cs="Times New Roman"/>
                <w:bCs/>
                <w:color w:val="000000" w:themeColor="text1"/>
                <w:kern w:val="0"/>
                <w:sz w:val="21"/>
                <w:szCs w:val="21"/>
                <w14:textFill>
                  <w14:solidFill>
                    <w14:schemeClr w14:val="tx1"/>
                  </w14:solidFill>
                </w14:textFill>
              </w:rPr>
            </w:pPr>
            <w:r>
              <w:rPr>
                <w:rFonts w:hint="default" w:cs="Times New Roman"/>
                <w:bCs/>
                <w:color w:val="000000" w:themeColor="text1"/>
                <w:kern w:val="0"/>
                <w:sz w:val="21"/>
                <w:szCs w:val="21"/>
                <w14:textFill>
                  <w14:solidFill>
                    <w14:schemeClr w14:val="tx1"/>
                  </w14:solidFill>
                </w14:textFill>
              </w:rPr>
              <w:t>0.340</w:t>
            </w: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由上表可见，项目处于亚热带常绿阔叶林区域，水热条件较好，植被总体覆盖度较高，评价区主要群落物种丰富度指数介于0.340-0.801之间，表明评价区物种多样性水平较高，总体结构较复杂。</w:t>
      </w:r>
    </w:p>
    <w:p>
      <w:pPr>
        <w:pStyle w:val="4"/>
        <w:spacing w:before="120"/>
        <w:ind w:firstLine="480"/>
        <w:rPr>
          <w:color w:val="000000" w:themeColor="text1"/>
          <w14:textFill>
            <w14:solidFill>
              <w14:schemeClr w14:val="tx1"/>
            </w14:solidFill>
          </w14:textFill>
        </w:rPr>
      </w:pPr>
      <w:r>
        <w:rPr>
          <w:color w:val="000000" w:themeColor="text1"/>
          <w14:textFill>
            <w14:solidFill>
              <w14:schemeClr w14:val="tx1"/>
            </w14:solidFill>
          </w14:textFill>
        </w:rPr>
        <w:t>陆生野生动物现状调查</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1、项目评价范围内陆生野生脊椎动物现状和特点</w:t>
      </w:r>
    </w:p>
    <w:p>
      <w:pPr>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动物调查采用样线调查法，设置调查样线6条，样线长为1-3km，单侧观察宽度为50m，样线分别设置在林地、耕地居民点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11-次年4月，本次评价以项目所在区域宣汉县陆生野生动物分布情况为准。</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野生动物野外调查样线分布表</w:t>
      </w:r>
    </w:p>
    <w:tbl>
      <w:tblPr>
        <w:tblStyle w:val="58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9"/>
        <w:gridCol w:w="2684"/>
        <w:gridCol w:w="3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blHeader/>
          <w:jc w:val="center"/>
        </w:trPr>
        <w:tc>
          <w:tcPr>
            <w:tcW w:w="1033" w:type="pct"/>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样带编号</w:t>
            </w:r>
          </w:p>
        </w:tc>
        <w:tc>
          <w:tcPr>
            <w:tcW w:w="1613" w:type="pct"/>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生态环境</w:t>
            </w:r>
          </w:p>
        </w:tc>
        <w:tc>
          <w:tcPr>
            <w:tcW w:w="2354" w:type="pct"/>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主要野生动物类型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033"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01-03</w:t>
            </w:r>
          </w:p>
        </w:tc>
        <w:tc>
          <w:tcPr>
            <w:tcW w:w="1613"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林地</w:t>
            </w:r>
          </w:p>
        </w:tc>
        <w:tc>
          <w:tcPr>
            <w:tcW w:w="2354"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鸟类、爬行类、兽类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033"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04-06</w:t>
            </w:r>
          </w:p>
        </w:tc>
        <w:tc>
          <w:tcPr>
            <w:tcW w:w="1613"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耕地、居民点</w:t>
            </w:r>
          </w:p>
        </w:tc>
        <w:tc>
          <w:tcPr>
            <w:tcW w:w="2354" w:type="pct"/>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鸟类、两栖类、爬行类、兽类</w:t>
            </w:r>
          </w:p>
        </w:tc>
      </w:tr>
    </w:tbl>
    <w:p>
      <w:pPr>
        <w:spacing w:line="480" w:lineRule="exact"/>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2、物种组成</w:t>
      </w:r>
    </w:p>
    <w:p>
      <w:pPr>
        <w:spacing w:line="500" w:lineRule="exact"/>
        <w:ind w:left="60" w:right="100" w:firstLine="468" w:firstLineChars="195"/>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根据现场调查、访问，参考保护区科考报告资料，评价区及周边不完全统计有野生脊椎动物17目31科55种，其中两栖类1目3科5种，爬行类1目2科6种，哺乳类6目8科14种，鸟类9目18科30种。</w:t>
      </w:r>
    </w:p>
    <w:p>
      <w:pPr>
        <w:pStyle w:val="201"/>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2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评价区野生脊椎动物物种组成</w:t>
      </w:r>
    </w:p>
    <w:tbl>
      <w:tblPr>
        <w:tblStyle w:val="584"/>
        <w:tblW w:w="8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3"/>
        <w:gridCol w:w="1138"/>
        <w:gridCol w:w="1138"/>
        <w:gridCol w:w="1298"/>
        <w:gridCol w:w="1353"/>
        <w:gridCol w:w="1228"/>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类别</w:t>
            </w:r>
          </w:p>
        </w:tc>
        <w:tc>
          <w:tcPr>
            <w:tcW w:w="1138"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目数</w:t>
            </w:r>
          </w:p>
        </w:tc>
        <w:tc>
          <w:tcPr>
            <w:tcW w:w="1138"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科数</w:t>
            </w:r>
          </w:p>
        </w:tc>
        <w:tc>
          <w:tcPr>
            <w:tcW w:w="1298"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物种数</w:t>
            </w:r>
          </w:p>
        </w:tc>
        <w:tc>
          <w:tcPr>
            <w:tcW w:w="1353"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国家Ⅰ级</w:t>
            </w:r>
          </w:p>
        </w:tc>
        <w:tc>
          <w:tcPr>
            <w:tcW w:w="1228"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国家Ⅱ级</w:t>
            </w:r>
          </w:p>
        </w:tc>
        <w:tc>
          <w:tcPr>
            <w:tcW w:w="818" w:type="dxa"/>
            <w:vAlign w:val="center"/>
          </w:tcPr>
          <w:p>
            <w:pPr>
              <w:widowControl/>
              <w:adjustRightInd/>
              <w:snapToGrid/>
              <w:spacing w:line="240" w:lineRule="auto"/>
              <w:ind w:firstLine="0" w:firstLineChars="0"/>
              <w:jc w:val="center"/>
              <w:textAlignment w:val="bottom"/>
              <w:rPr>
                <w:rFonts w:cs="Times New Roman"/>
                <w:b/>
                <w:color w:val="000000" w:themeColor="text1"/>
                <w:kern w:val="0"/>
                <w:sz w:val="21"/>
                <w:szCs w:val="21"/>
                <w:lang w:bidi="ar"/>
                <w14:textFill>
                  <w14:solidFill>
                    <w14:schemeClr w14:val="tx1"/>
                  </w14:solidFill>
                </w14:textFill>
              </w:rPr>
            </w:pPr>
            <w:r>
              <w:rPr>
                <w:rFonts w:cs="Times New Roman"/>
                <w:b/>
                <w:color w:val="000000" w:themeColor="text1"/>
                <w:kern w:val="0"/>
                <w:sz w:val="21"/>
                <w:szCs w:val="21"/>
                <w:lang w:bidi="ar"/>
                <w14:textFill>
                  <w14:solidFill>
                    <w14:schemeClr w14:val="tx1"/>
                  </w14:solidFill>
                </w14:textFill>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两栖类</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1</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3</w:t>
            </w:r>
          </w:p>
        </w:tc>
        <w:tc>
          <w:tcPr>
            <w:tcW w:w="129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5</w:t>
            </w:r>
          </w:p>
        </w:tc>
        <w:tc>
          <w:tcPr>
            <w:tcW w:w="135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122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81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爬行类</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1</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2</w:t>
            </w:r>
          </w:p>
        </w:tc>
        <w:tc>
          <w:tcPr>
            <w:tcW w:w="129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6</w:t>
            </w:r>
          </w:p>
        </w:tc>
        <w:tc>
          <w:tcPr>
            <w:tcW w:w="135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122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81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鸟类</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9</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18</w:t>
            </w:r>
          </w:p>
        </w:tc>
        <w:tc>
          <w:tcPr>
            <w:tcW w:w="129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30</w:t>
            </w:r>
          </w:p>
        </w:tc>
        <w:tc>
          <w:tcPr>
            <w:tcW w:w="135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122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81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兽类</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6</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8</w:t>
            </w:r>
          </w:p>
        </w:tc>
        <w:tc>
          <w:tcPr>
            <w:tcW w:w="129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14</w:t>
            </w:r>
          </w:p>
        </w:tc>
        <w:tc>
          <w:tcPr>
            <w:tcW w:w="135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122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81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31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合计</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17</w:t>
            </w:r>
          </w:p>
        </w:tc>
        <w:tc>
          <w:tcPr>
            <w:tcW w:w="113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31</w:t>
            </w:r>
          </w:p>
        </w:tc>
        <w:tc>
          <w:tcPr>
            <w:tcW w:w="129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55</w:t>
            </w:r>
          </w:p>
        </w:tc>
        <w:tc>
          <w:tcPr>
            <w:tcW w:w="1353"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122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c>
          <w:tcPr>
            <w:tcW w:w="818" w:type="dxa"/>
            <w:vAlign w:val="center"/>
          </w:tcPr>
          <w:p>
            <w:pPr>
              <w:widowControl/>
              <w:adjustRightInd/>
              <w:snapToGrid/>
              <w:spacing w:line="240" w:lineRule="auto"/>
              <w:ind w:firstLine="0" w:firstLineChars="0"/>
              <w:jc w:val="center"/>
              <w:textAlignment w:val="bottom"/>
              <w:rPr>
                <w:rFonts w:cs="Times New Roman"/>
                <w:bCs/>
                <w:color w:val="000000" w:themeColor="text1"/>
                <w:kern w:val="0"/>
                <w:sz w:val="21"/>
                <w:szCs w:val="21"/>
                <w:lang w:bidi="ar"/>
                <w14:textFill>
                  <w14:solidFill>
                    <w14:schemeClr w14:val="tx1"/>
                  </w14:solidFill>
                </w14:textFill>
              </w:rPr>
            </w:pPr>
            <w:r>
              <w:rPr>
                <w:rFonts w:cs="Times New Roman"/>
                <w:bCs/>
                <w:color w:val="000000" w:themeColor="text1"/>
                <w:kern w:val="0"/>
                <w:sz w:val="21"/>
                <w:szCs w:val="21"/>
                <w:lang w:bidi="ar"/>
                <w14:textFill>
                  <w14:solidFill>
                    <w14:schemeClr w14:val="tx1"/>
                  </w14:solidFill>
                </w14:textFill>
              </w:rPr>
              <w:t>/</w:t>
            </w:r>
          </w:p>
        </w:tc>
      </w:tr>
    </w:tbl>
    <w:p>
      <w:pPr>
        <w:spacing w:before="120" w:beforeLines="50"/>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A</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兽类的组成及分布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野外调查和文献资料核实，评价区共有兽类6目8科11属14种，即食虫目1科1种、翼手目1科1种、偶蹄目2科2种，食肉目1科1种、啮齿目2科8种、兔形目1科1属1种。从目一级水平看，啮齿目优势明显。由于人类活动影响，评价区的兽类主要以常见的小型兽类为主，基本难以寻觅大、中型兽类的痕迹，本次调查未发现保护兽类动物的踪迹。</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（1）区系分析</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区内有分布的14种兽类中，东洋界种类有5种，占该区域实际调查到有分布的兽类总种数的35.71%；古北界种类有3种，占21.43%，广布种有6种，占42.86%。</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（2）生态分布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根据该区域的环境特征和兽类的生活特性，该区域兽类主要分为如下几种生态类型：</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溪流区兽类：指生活在评价区内溪流和沿岸的物种，主要包括：黄鼬、草兔、社鼠等。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林区兽类：主要是指生活在森林环境的物种，森林环境在该区域主要分布于坡地中上部。为该区最广的生境类型，主要分布的兽类有隐纹花松鼠、社鼠等。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灌草丛区兽类：该区域的生境类型主要包括灌丛、草丛和农耕地等，分布海拔相对较低，生活于其中的兽类主要包括：黄鼬、草兔、社鼠等，其中的优势种类为草兔、社鼠等。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（3）保护物种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评价区内未发现国家级和省级重点保护兽类，同时评价区的相关资料也未记载相关国家级和省级重点保护兽类。</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B</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鸟类的组成及分布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根据文献查阅及现场调研，评价范围内共有鸟类30种，隶9目18科。其中，从类群构成看，雀形目鸟类16种，占评价区鸟类总种数的53.33%。</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（1）区系分析</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评价区内鸟类中属古北界的有10种，占评价区内鸟类总数的33.33%；属东洋界的有9种，占评价区内鸟类总数的30%；属广布种的有11种，占评价区内鸟类总数的36.67%。调查评价区内鸟类以广布种占优势。</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（2）居留类型</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评价区内有留鸟17种，占鸟类总数的56.67%；夏候鸟12种，约占40%；冬候鸟1种，各占3.33%。调查评价区内鸟类以留鸟为主。</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（3）生态分布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根据评价区植被分布的特点，将评价区鸟类分布的生境划分为以下几种类型：</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溪流区鸟类：该区域的生境类型主要包括水域、草丛、灌丛等基本类型，分布海拔相对较低，活动于其中的鸟类主要包括：鹳形目的种类。该区的优势种类是：白鹭、赤麻鸭等。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森林区鸟类：森林环境在该区域较广泛。生活于该区的鸟类较多，主要为雉科、鸦科、雀科等。优势种类有雉鸡、山斑鸠、大杜鹃、树麻雀、噪鹃等。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草灌丛、农区鸟类：该类生境在评价区内分布较狭窄。该区段生活的鸟类主要是鸡形目及雀形目的部分鸟类。其中的优势种类主要有家燕、毛脚燕、普通翠鸟等。</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（4）保护物种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据调查和访问，评价区未发现属于国家级保护和四川省级保护的鸟类。</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C</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爬行动物的组成及分布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根据野外调查和相关资料，确认评价范围内共分布有爬行动物6种，分属1目2科，分别为游蛇科5种，</w:t>
      </w:r>
      <w:r>
        <w:rPr>
          <w:rFonts w:cs="Times New Roman"/>
          <w:bCs/>
          <w:color w:val="000000" w:themeColor="text1"/>
          <w:spacing w:val="-2"/>
          <w:kern w:val="0"/>
          <w:szCs w:val="24"/>
          <w:lang w:bidi="ar"/>
          <w14:textFill>
            <w14:solidFill>
              <w14:schemeClr w14:val="tx1"/>
            </w14:solidFill>
          </w14:textFill>
        </w:rPr>
        <w:t>石龙子</w:t>
      </w:r>
      <w:r>
        <w:rPr>
          <w:rFonts w:cs="Times New Roman"/>
          <w:bCs/>
          <w:color w:val="000000" w:themeColor="text1"/>
          <w:kern w:val="0"/>
          <w:szCs w:val="24"/>
          <w:lang w:bidi="ar"/>
          <w14:textFill>
            <w14:solidFill>
              <w14:schemeClr w14:val="tx1"/>
            </w14:solidFill>
          </w14:textFill>
        </w:rPr>
        <w:t>科</w:t>
      </w:r>
      <w:r>
        <w:rPr>
          <w:rFonts w:cs="Times New Roman"/>
          <w:bCs/>
          <w:color w:val="000000" w:themeColor="text1"/>
          <w:szCs w:val="24"/>
          <w14:textFill>
            <w14:solidFill>
              <w14:schemeClr w14:val="tx1"/>
            </w14:solidFill>
          </w14:textFill>
        </w:rPr>
        <w:t>1种。评价范围内生境较广泛，主要有翠青蛇、赤链蛇、乌梢蛇、王锦蛇等种类。从物种的目级组成看，评价区的爬行类均为有鳞目蛇亚目的种类。从科级组成看，评价区爬行类以游蛇科种类占优势。</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（1）区系分布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评价范围分布的6种爬行动物东洋界物种有3种，古北种1种，广布种2种。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（2）生态分布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评价区的爬行动物大多栖息在灌草丛中。</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（3）保护物种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调查中未发现属于国家级保护和四川省级保护的爬行类物种。</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D</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两栖动物的组成及分布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据不完全统计，评价范围内分布有两栖动物5种，隶属于1目3科，分别为蟾蜍科2种，蛙科2种，叉舌蛙科1种。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（1）区系分析</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评价区内的两栖类以东洋界为主，仅有1个古北种和1个广布种。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（2）生态分布</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中华蟾蜍、黑眶蟾蜍、黑斑侧褶蛙等生活在河沟两侧或其附近环境植被较为茂密、阴湿的灌草丛区域；花臭蛙主要生活在大小溪两岸潮湿的岩石上；泽陆蛙主要在水域地区。</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（3）保护物种</w:t>
      </w:r>
    </w:p>
    <w:p>
      <w:pPr>
        <w:ind w:left="60"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调查中未发现属于国家级保护和省级保护的两栖类物种。</w:t>
      </w:r>
    </w:p>
    <w:p>
      <w:pPr>
        <w:pStyle w:val="4"/>
        <w:spacing w:before="120"/>
        <w:ind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重要物种、迁徙物种、重要生境调查</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1、项目评价范围内重点保护野生植物和古树名木</w:t>
      </w:r>
    </w:p>
    <w:p>
      <w:pPr>
        <w:ind w:right="100" w:firstLine="468"/>
        <w:rPr>
          <w:rFonts w:cs="Times New Roman"/>
          <w:bCs/>
          <w:color w:val="000000" w:themeColor="text1"/>
          <w:szCs w:val="24"/>
          <w14:textFill>
            <w14:solidFill>
              <w14:schemeClr w14:val="tx1"/>
            </w14:solidFill>
          </w14:textFill>
        </w:rPr>
      </w:pPr>
      <w:r>
        <w:rPr>
          <w:rFonts w:cs="Times New Roman"/>
          <w:bCs/>
          <w:color w:val="000000" w:themeColor="text1"/>
          <w:spacing w:val="-6"/>
          <w:szCs w:val="24"/>
          <w14:textFill>
            <w14:solidFill>
              <w14:schemeClr w14:val="tx1"/>
            </w14:solidFill>
          </w14:textFill>
        </w:rPr>
        <w:t>根据现场调查及相关文献资料查阅，本次评价范围内的林地主要为人工林，区域植物种类主要为马尾松、栎雷及其他常见灌草植物和经济林木等。</w:t>
      </w:r>
      <w:r>
        <w:rPr>
          <w:rFonts w:cs="Times New Roman"/>
          <w:bCs/>
          <w:color w:val="000000" w:themeColor="text1"/>
          <w:szCs w:val="24"/>
          <w14:textFill>
            <w14:solidFill>
              <w14:schemeClr w14:val="tx1"/>
            </w14:solidFill>
          </w14:textFill>
        </w:rPr>
        <w:t>按照现行的《中华人民共和国野生植物保护条例（1999）</w:t>
      </w:r>
      <w:r>
        <w:rPr>
          <w:rFonts w:hint="eastAsia" w:cs="Times New Roman"/>
          <w:bCs/>
          <w:color w:val="000000" w:themeColor="text1"/>
          <w:szCs w:val="24"/>
          <w14:textFill>
            <w14:solidFill>
              <w14:schemeClr w14:val="tx1"/>
            </w14:solidFill>
          </w14:textFill>
        </w:rPr>
        <w:t>》《</w:t>
      </w:r>
      <w:r>
        <w:rPr>
          <w:rFonts w:cs="Times New Roman"/>
          <w:bCs/>
          <w:color w:val="000000" w:themeColor="text1"/>
          <w:spacing w:val="-6"/>
          <w:szCs w:val="24"/>
          <w14:textFill>
            <w14:solidFill>
              <w14:schemeClr w14:val="tx1"/>
            </w14:solidFill>
          </w14:textFill>
        </w:rPr>
        <w:t>国家重点保护野生植物名录》</w:t>
      </w:r>
      <w:r>
        <w:rPr>
          <w:rFonts w:hint="eastAsia" w:cs="Times New Roman"/>
          <w:bCs/>
          <w:color w:val="000000" w:themeColor="text1"/>
          <w:spacing w:val="-6"/>
          <w:szCs w:val="24"/>
          <w14:textFill>
            <w14:solidFill>
              <w14:schemeClr w14:val="tx1"/>
            </w14:solidFill>
          </w14:textFill>
        </w:rPr>
        <w:t>（</w:t>
      </w:r>
      <w:r>
        <w:rPr>
          <w:rFonts w:cs="Times New Roman"/>
          <w:bCs/>
          <w:color w:val="000000" w:themeColor="text1"/>
          <w:spacing w:val="-6"/>
          <w:szCs w:val="24"/>
          <w14:textFill>
            <w14:solidFill>
              <w14:schemeClr w14:val="tx1"/>
            </w14:solidFill>
          </w14:textFill>
        </w:rPr>
        <w:t>国家林业和草原局农业农村部公告2021</w:t>
      </w:r>
      <w:r>
        <w:rPr>
          <w:rFonts w:cs="Times New Roman"/>
          <w:bCs/>
          <w:color w:val="000000" w:themeColor="text1"/>
          <w:spacing w:val="-9"/>
          <w:szCs w:val="24"/>
          <w14:textFill>
            <w14:solidFill>
              <w14:schemeClr w14:val="tx1"/>
            </w14:solidFill>
          </w14:textFill>
        </w:rPr>
        <w:t>年</w:t>
      </w:r>
      <w:r>
        <w:rPr>
          <w:rFonts w:cs="Times New Roman"/>
          <w:bCs/>
          <w:color w:val="000000" w:themeColor="text1"/>
          <w:spacing w:val="-5"/>
          <w:szCs w:val="24"/>
          <w14:textFill>
            <w14:solidFill>
              <w14:schemeClr w14:val="tx1"/>
            </w14:solidFill>
          </w14:textFill>
        </w:rPr>
        <w:t>第15号</w:t>
      </w:r>
      <w:r>
        <w:rPr>
          <w:rFonts w:hint="eastAsia" w:cs="Times New Roman"/>
          <w:bCs/>
          <w:color w:val="000000" w:themeColor="text1"/>
          <w:spacing w:val="-5"/>
          <w:szCs w:val="24"/>
          <w14:textFill>
            <w14:solidFill>
              <w14:schemeClr w14:val="tx1"/>
            </w14:solidFill>
          </w14:textFill>
        </w:rPr>
        <w:t>）</w:t>
      </w:r>
      <w:r>
        <w:rPr>
          <w:rFonts w:cs="Times New Roman"/>
          <w:bCs/>
          <w:color w:val="000000" w:themeColor="text1"/>
          <w:szCs w:val="24"/>
          <w14:textFill>
            <w14:solidFill>
              <w14:schemeClr w14:val="tx1"/>
            </w14:solidFill>
          </w14:textFill>
        </w:rPr>
        <w:t>、</w:t>
      </w:r>
      <w:r>
        <w:rPr>
          <w:rFonts w:cs="Times New Roman"/>
          <w:bCs/>
          <w:color w:val="000000" w:themeColor="text1"/>
          <w:spacing w:val="-6"/>
          <w:szCs w:val="24"/>
          <w14:textFill>
            <w14:solidFill>
              <w14:schemeClr w14:val="tx1"/>
            </w14:solidFill>
          </w14:textFill>
        </w:rPr>
        <w:t>《四川省重点保护野生植物名录</w:t>
      </w:r>
      <w:r>
        <w:rPr>
          <w:rFonts w:hint="eastAsia" w:cs="Times New Roman"/>
          <w:bCs/>
          <w:color w:val="000000" w:themeColor="text1"/>
          <w:spacing w:val="-6"/>
          <w:szCs w:val="24"/>
          <w14:textFill>
            <w14:solidFill>
              <w14:schemeClr w14:val="tx1"/>
            </w14:solidFill>
          </w14:textFill>
        </w:rPr>
        <w:t>》《</w:t>
      </w:r>
      <w:r>
        <w:rPr>
          <w:rFonts w:cs="Times New Roman"/>
          <w:bCs/>
          <w:color w:val="000000" w:themeColor="text1"/>
          <w:szCs w:val="24"/>
          <w14:textFill>
            <w14:solidFill>
              <w14:schemeClr w14:val="tx1"/>
            </w14:solidFill>
          </w14:textFill>
        </w:rPr>
        <w:t>全国古树名木普查建档技术规定（2001）》以及相关科考资料，评价区无重点保护野生植物和古树名木等重要物种分布。</w:t>
      </w:r>
      <w:r>
        <w:rPr>
          <w:rFonts w:cs="Times New Roman"/>
          <w:bCs/>
          <w:color w:val="000000" w:themeColor="text1"/>
          <w:spacing w:val="-6"/>
          <w:szCs w:val="24"/>
          <w14:textFill>
            <w14:solidFill>
              <w14:schemeClr w14:val="tx1"/>
            </w14:solidFill>
          </w14:textFill>
        </w:rPr>
        <w:t>后续应加强评价范围内保护植物的跟踪调查，对及时发现的重点保护植物采取就地保护措施</w:t>
      </w:r>
      <w:r>
        <w:rPr>
          <w:rFonts w:cs="Times New Roman"/>
          <w:bCs/>
          <w:color w:val="000000" w:themeColor="text1"/>
          <w:szCs w:val="24"/>
          <w14:textFill>
            <w14:solidFill>
              <w14:schemeClr w14:val="tx1"/>
            </w14:solidFill>
          </w14:textFill>
        </w:rPr>
        <w:t>，对发现的名木古树采取挂牌保护。</w:t>
      </w:r>
    </w:p>
    <w:p>
      <w:pPr>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2、项目评价范围内重点保护野生动物</w:t>
      </w:r>
    </w:p>
    <w:p>
      <w:pPr>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根据实际调查及现场复核，参照《国家重点保护野生动物名录2021</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四川省重点保护野生动物名录</w:t>
      </w:r>
      <w:r>
        <w:rPr>
          <w:rFonts w:hint="eastAsia" w:cs="Times New Roman"/>
          <w:bCs/>
          <w:color w:val="000000" w:themeColor="text1"/>
          <w:szCs w:val="24"/>
          <w14:textFill>
            <w14:solidFill>
              <w14:schemeClr w14:val="tx1"/>
            </w14:solidFill>
          </w14:textFill>
        </w:rPr>
        <w:t>》《</w:t>
      </w:r>
      <w:r>
        <w:rPr>
          <w:rFonts w:cs="Times New Roman"/>
          <w:bCs/>
          <w:color w:val="000000" w:themeColor="text1"/>
          <w:szCs w:val="24"/>
          <w14:textFill>
            <w14:solidFill>
              <w14:schemeClr w14:val="tx1"/>
            </w14:solidFill>
          </w14:textFill>
        </w:rPr>
        <w:t>四川省新增重点保护野生动物名录》及相关科考资料，在项目评价范围，未发现属于国家级保护和四川省级保护的野生动物及栖息地，无分布生境，也无重要野生动物的迁徙通道。</w:t>
      </w:r>
    </w:p>
    <w:p>
      <w:pPr>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3、项目评价范围内重要生境</w:t>
      </w:r>
    </w:p>
    <w:p>
      <w:pPr>
        <w:ind w:right="100"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项目评价范围无重要生境分布。</w:t>
      </w:r>
    </w:p>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、生态红线分布情况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通过项目红线与达州市“三线一单”成果图叠加分析，项目占地不涉及达州市生态保护红线。</w:t>
      </w:r>
    </w:p>
    <w:p>
      <w:pPr>
        <w:pStyle w:val="439"/>
        <w:spacing w:line="360" w:lineRule="auto"/>
        <w:ind w:firstLine="480"/>
        <w:rPr>
          <w:rFonts w:hAnsi="Times New Roman" w:cstheme="minorBidi"/>
          <w:color w:val="000000" w:themeColor="text1"/>
          <w:szCs w:val="22"/>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r>
        <w:rPr>
          <w:rFonts w:hAnsi="Times New Roman" w:cstheme="minorBidi"/>
          <w:color w:val="000000" w:themeColor="text1"/>
          <w:szCs w:val="22"/>
          <w14:textFill>
            <w14:solidFill>
              <w14:schemeClr w14:val="tx1"/>
            </w14:solidFill>
          </w14:textFill>
        </w:rPr>
        <w:t>评价范围内重点保护、珍稀濒危、特有种及极小种群 等重要物种种类、分布情况</w:t>
      </w:r>
    </w:p>
    <w:p>
      <w:pPr>
        <w:spacing w:before="120" w:beforeLines="50"/>
        <w:ind w:firstLine="480"/>
        <w:rPr>
          <w:rFonts w:cs="Times New Roman"/>
          <w:bCs/>
          <w:color w:val="000000" w:themeColor="text1"/>
          <w:szCs w:val="24"/>
          <w:highlight w:val="none"/>
          <w14:textFill>
            <w14:solidFill>
              <w14:schemeClr w14:val="tx1"/>
            </w14:solidFill>
          </w14:textFill>
        </w:rPr>
      </w:pPr>
      <w:r>
        <w:rPr>
          <w:rFonts w:hint="eastAsia"/>
          <w:color w:val="000000" w:themeColor="text1"/>
          <w14:textFill>
            <w14:solidFill>
              <w14:schemeClr w14:val="tx1"/>
            </w14:solidFill>
          </w14:textFill>
        </w:rPr>
        <w:t>经现场调查、访问及查阅相关资料，项目评价范围现有土地开发利用程度较高，人类活动对当地野生动物影响较大，野生动物组成比较简单，种类较少，多为鸟类和小型啮齿类动物。在项目评价范围，未发现属于国家级保护和四川省级保护的野生动物及栖息地，无珍稀濒危、特有种及极小种群等重要物种分布，无重要生境分布，也无重要野生动物的迁徙通道</w:t>
      </w:r>
      <w:r>
        <w:rPr>
          <w:rFonts w:cs="Times New Roman"/>
          <w:bCs/>
          <w:color w:val="000000" w:themeColor="text1"/>
          <w:szCs w:val="24"/>
          <w:highlight w:val="none"/>
          <w14:textFill>
            <w14:solidFill>
              <w14:schemeClr w14:val="tx1"/>
            </w14:solidFill>
          </w14:textFill>
        </w:rPr>
        <w:t>。</w:t>
      </w:r>
    </w:p>
    <w:p>
      <w:pPr>
        <w:ind w:left="0" w:leftChars="0" w:firstLine="0" w:firstLineChars="0"/>
        <w:rPr>
          <w:color w:val="000000" w:themeColor="text1"/>
          <w:highlight w:val="none"/>
          <w14:textFill>
            <w14:solidFill>
              <w14:schemeClr w14:val="tx1"/>
            </w14:solidFill>
          </w14:textFill>
        </w:rPr>
        <w:sectPr>
          <w:pgSz w:w="11910" w:h="16840"/>
          <w:pgMar w:top="1553" w:right="1800" w:bottom="1553" w:left="1800" w:header="964" w:footer="964" w:gutter="0"/>
          <w:pgBorders>
            <w:top w:val="none" w:sz="0" w:space="0"/>
            <w:left w:val="none" w:sz="0" w:space="0"/>
            <w:bottom w:val="none" w:sz="0" w:space="0"/>
            <w:right w:val="none" w:sz="0" w:space="0"/>
          </w:pgBorders>
          <w:cols w:space="720" w:num="1"/>
          <w:docGrid w:linePitch="326" w:charSpace="0"/>
        </w:sectPr>
      </w:pPr>
    </w:p>
    <w:p>
      <w:pPr>
        <w:pStyle w:val="2"/>
        <w:rPr>
          <w:b/>
          <w:color w:val="000000" w:themeColor="text1"/>
          <w:highlight w:val="none"/>
          <w:lang w:eastAsia="zh-CN"/>
          <w14:textFill>
            <w14:solidFill>
              <w14:schemeClr w14:val="tx1"/>
            </w14:solidFill>
          </w14:textFill>
        </w:rPr>
      </w:pPr>
      <w:bookmarkStart w:id="245" w:name="_Toc21460"/>
      <w:r>
        <w:rPr>
          <w:color w:val="000000" w:themeColor="text1"/>
          <w:highlight w:val="none"/>
          <w:lang w:eastAsia="zh-CN"/>
          <w14:textFill>
            <w14:solidFill>
              <w14:schemeClr w14:val="tx1"/>
            </w14:solidFill>
          </w14:textFill>
        </w:rPr>
        <w:t>环境影响预测与评价</w:t>
      </w:r>
      <w:bookmarkEnd w:id="245"/>
    </w:p>
    <w:p>
      <w:pPr>
        <w:pStyle w:val="3"/>
        <w:spacing w:before="120"/>
        <w:rPr>
          <w:color w:val="000000" w:themeColor="text1"/>
          <w:highlight w:val="none"/>
          <w:lang w:eastAsia="zh-CN"/>
          <w14:textFill>
            <w14:solidFill>
              <w14:schemeClr w14:val="tx1"/>
            </w14:solidFill>
          </w14:textFill>
        </w:rPr>
      </w:pPr>
      <w:bookmarkStart w:id="246" w:name="5.1施工期环境影响分析"/>
      <w:bookmarkEnd w:id="246"/>
      <w:bookmarkStart w:id="247" w:name="_bookmark28"/>
      <w:bookmarkEnd w:id="247"/>
      <w:bookmarkStart w:id="248" w:name="_Toc24104"/>
      <w:r>
        <w:rPr>
          <w:color w:val="000000" w:themeColor="text1"/>
          <w:highlight w:val="none"/>
          <w:lang w:eastAsia="zh-CN"/>
          <w14:textFill>
            <w14:solidFill>
              <w14:schemeClr w14:val="tx1"/>
            </w14:solidFill>
          </w14:textFill>
        </w:rPr>
        <w:t>施工期环境影响分析</w:t>
      </w:r>
      <w:bookmarkEnd w:id="248"/>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49" w:name="_Toc120173150"/>
      <w:r>
        <w:rPr>
          <w:color w:val="000000" w:themeColor="text1"/>
          <w:highlight w:val="none"/>
          <w:lang w:eastAsia="zh-CN"/>
          <w14:textFill>
            <w14:solidFill>
              <w14:schemeClr w14:val="tx1"/>
            </w14:solidFill>
          </w14:textFill>
        </w:rPr>
        <w:t>施工期生态环境影响分析</w:t>
      </w:r>
      <w:bookmarkEnd w:id="249"/>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对土地利用类型的影响</w:t>
      </w:r>
    </w:p>
    <w:p>
      <w:pPr>
        <w:spacing w:line="360" w:lineRule="auto"/>
        <w:ind w:firstLine="480" w:firstLineChars="200"/>
        <w:rPr>
          <w:rFonts w:hint="default"/>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对区域土地利用的影响分析</w:t>
      </w:r>
    </w:p>
    <w:p>
      <w:pPr>
        <w:spacing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本项目占地主要分为</w:t>
      </w:r>
      <w:r>
        <w:rPr>
          <w:rFonts w:hint="eastAsia" w:ascii="Times New Roman" w:hAnsi="Times New Roman"/>
          <w:bCs/>
          <w:color w:val="000000" w:themeColor="text1"/>
          <w:sz w:val="24"/>
          <w:highlight w:val="none"/>
          <w:lang w:val="en-US" w:eastAsia="zh-CN"/>
          <w14:textFill>
            <w14:solidFill>
              <w14:schemeClr w14:val="tx1"/>
            </w14:solidFill>
          </w14:textFill>
        </w:rPr>
        <w:t>2</w:t>
      </w:r>
      <w:r>
        <w:rPr>
          <w:rFonts w:ascii="Times New Roman" w:hAnsi="Times New Roman"/>
          <w:bCs/>
          <w:color w:val="000000" w:themeColor="text1"/>
          <w:sz w:val="24"/>
          <w:highlight w:val="none"/>
          <w:lang w:eastAsia="zh-CN"/>
          <w14:textFill>
            <w14:solidFill>
              <w14:schemeClr w14:val="tx1"/>
            </w14:solidFill>
          </w14:textFill>
        </w:rPr>
        <w:t>个部分，新</w:t>
      </w:r>
      <w:r>
        <w:rPr>
          <w:rFonts w:hint="eastAsia"/>
          <w:bCs/>
          <w:color w:val="000000" w:themeColor="text1"/>
          <w:sz w:val="24"/>
          <w:highlight w:val="none"/>
          <w:lang w:eastAsia="zh-CN"/>
          <w14:textFill>
            <w14:solidFill>
              <w14:schemeClr w14:val="tx1"/>
            </w14:solidFill>
          </w14:textFill>
        </w:rPr>
        <w:t>雷页1试验井组</w:t>
      </w:r>
      <w:r>
        <w:rPr>
          <w:rFonts w:ascii="Times New Roman" w:hAnsi="Times New Roman"/>
          <w:bCs/>
          <w:color w:val="000000" w:themeColor="text1"/>
          <w:sz w:val="24"/>
          <w:highlight w:val="none"/>
          <w:lang w:eastAsia="zh-CN"/>
          <w14:textFill>
            <w14:solidFill>
              <w14:schemeClr w14:val="tx1"/>
            </w14:solidFill>
          </w14:textFill>
        </w:rPr>
        <w:t>场</w:t>
      </w:r>
      <w:r>
        <w:rPr>
          <w:rFonts w:hint="eastAsia" w:ascii="Times New Roman" w:hAnsi="Times New Roman"/>
          <w:bCs/>
          <w:color w:val="000000" w:themeColor="text1"/>
          <w:sz w:val="24"/>
          <w:highlight w:val="none"/>
          <w:lang w:val="en-US" w:eastAsia="zh-CN"/>
          <w14:textFill>
            <w14:solidFill>
              <w14:schemeClr w14:val="tx1"/>
            </w14:solidFill>
          </w14:textFill>
        </w:rPr>
        <w:t>和</w:t>
      </w:r>
      <w:r>
        <w:rPr>
          <w:rFonts w:hint="eastAsia"/>
          <w:bCs/>
          <w:color w:val="000000" w:themeColor="text1"/>
          <w:sz w:val="24"/>
          <w:highlight w:val="none"/>
          <w:lang w:eastAsia="zh-CN"/>
          <w14:textFill>
            <w14:solidFill>
              <w14:schemeClr w14:val="tx1"/>
            </w14:solidFill>
          </w14:textFill>
        </w:rPr>
        <w:t>雷页1试验井组</w:t>
      </w:r>
      <w:r>
        <w:rPr>
          <w:rFonts w:hint="eastAsia" w:ascii="Times New Roman" w:hAnsi="Times New Roman"/>
          <w:bCs/>
          <w:color w:val="000000" w:themeColor="text1"/>
          <w:sz w:val="24"/>
          <w:highlight w:val="none"/>
          <w:lang w:val="en-US" w:eastAsia="zh-CN"/>
          <w14:textFill>
            <w14:solidFill>
              <w14:schemeClr w14:val="tx1"/>
            </w14:solidFill>
          </w14:textFill>
        </w:rPr>
        <w:t>试采站</w:t>
      </w:r>
      <w:r>
        <w:rPr>
          <w:rFonts w:hint="eastAsia"/>
          <w:bCs/>
          <w:color w:val="000000" w:themeColor="text1"/>
          <w:sz w:val="24"/>
          <w:highlight w:val="none"/>
          <w:lang w:val="en-US" w:eastAsia="zh-CN"/>
          <w14:textFill>
            <w14:solidFill>
              <w14:schemeClr w14:val="tx1"/>
            </w14:solidFill>
          </w14:textFill>
        </w:rPr>
        <w:t>～雷页1试采站</w:t>
      </w:r>
      <w:r>
        <w:rPr>
          <w:rFonts w:ascii="Times New Roman" w:hAnsi="Times New Roman"/>
          <w:bCs/>
          <w:color w:val="000000" w:themeColor="text1"/>
          <w:sz w:val="24"/>
          <w:highlight w:val="none"/>
          <w:lang w:eastAsia="zh-CN"/>
          <w14:textFill>
            <w14:solidFill>
              <w14:schemeClr w14:val="tx1"/>
            </w14:solidFill>
          </w14:textFill>
        </w:rPr>
        <w:t>外输管线</w:t>
      </w:r>
      <w:r>
        <w:rPr>
          <w:rFonts w:hint="eastAsia" w:ascii="Times New Roman" w:hAnsi="Times New Roman"/>
          <w:bCs/>
          <w:color w:val="000000" w:themeColor="text1"/>
          <w:sz w:val="24"/>
          <w:highlight w:val="none"/>
          <w:lang w:val="en-US" w:eastAsia="zh-CN"/>
          <w14:textFill>
            <w14:solidFill>
              <w14:schemeClr w14:val="tx1"/>
            </w14:solidFill>
          </w14:textFill>
        </w:rPr>
        <w:t>占地，</w:t>
      </w:r>
      <w:r>
        <w:rPr>
          <w:rFonts w:ascii="Times New Roman" w:hAnsi="Times New Roman"/>
          <w:bCs/>
          <w:color w:val="000000" w:themeColor="text1"/>
          <w:sz w:val="24"/>
          <w:highlight w:val="none"/>
          <w:lang w:eastAsia="zh-CN"/>
          <w14:textFill>
            <w14:solidFill>
              <w14:schemeClr w14:val="tx1"/>
            </w14:solidFill>
          </w14:textFill>
        </w:rPr>
        <w:t>上述占地均为临时占地</w:t>
      </w:r>
      <w:r>
        <w:rPr>
          <w:rFonts w:ascii="Times New Roman" w:hAnsi="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由于施工占地将会改变占地区土地利用方式，减少地表植被。</w:t>
      </w:r>
      <w:r>
        <w:rPr>
          <w:rFonts w:hint="eastAsia" w:cs="Times New Roman"/>
          <w:bCs/>
          <w:color w:val="000000" w:themeColor="text1"/>
          <w:szCs w:val="24"/>
          <w:highlight w:val="none"/>
          <w:lang w:val="en-US" w:eastAsia="zh-CN"/>
          <w14:textFill>
            <w14:solidFill>
              <w14:schemeClr w14:val="tx1"/>
            </w14:solidFill>
          </w14:textFill>
        </w:rPr>
        <w:t>其中</w:t>
      </w:r>
      <w:r>
        <w:rPr>
          <w:rFonts w:cs="Times New Roman"/>
          <w:bCs/>
          <w:color w:val="000000" w:themeColor="text1"/>
          <w:kern w:val="0"/>
          <w:szCs w:val="24"/>
          <w:highlight w:val="none"/>
          <w14:textFill>
            <w14:solidFill>
              <w14:schemeClr w14:val="tx1"/>
            </w14:solidFill>
          </w14:textFill>
        </w:rPr>
        <w:t>井场</w:t>
      </w:r>
      <w:r>
        <w:rPr>
          <w:rFonts w:cs="Times New Roman"/>
          <w:bCs/>
          <w:color w:val="000000" w:themeColor="text1"/>
          <w:szCs w:val="24"/>
          <w:highlight w:val="none"/>
          <w14:textFill>
            <w14:solidFill>
              <w14:schemeClr w14:val="tx1"/>
            </w14:solidFill>
          </w14:textFill>
        </w:rPr>
        <w:t>为</w:t>
      </w:r>
      <w:r>
        <w:rPr>
          <w:rFonts w:hint="eastAsia" w:cs="Times New Roman"/>
          <w:bCs/>
          <w:color w:val="000000" w:themeColor="text1"/>
          <w:szCs w:val="24"/>
          <w:highlight w:val="none"/>
          <w:lang w:val="en-US" w:eastAsia="zh-CN"/>
          <w14:textFill>
            <w14:solidFill>
              <w14:schemeClr w14:val="tx1"/>
            </w14:solidFill>
          </w14:textFill>
        </w:rPr>
        <w:t>占地</w:t>
      </w:r>
      <w:r>
        <w:rPr>
          <w:rFonts w:cs="Times New Roman"/>
          <w:bCs/>
          <w:color w:val="000000" w:themeColor="text1"/>
          <w:szCs w:val="24"/>
          <w:highlight w:val="none"/>
          <w14:textFill>
            <w14:solidFill>
              <w14:schemeClr w14:val="tx1"/>
            </w14:solidFill>
          </w14:textFill>
        </w:rPr>
        <w:t>面积</w:t>
      </w:r>
      <w:r>
        <w:rPr>
          <w:rFonts w:hint="eastAsia" w:cs="Times New Roman"/>
          <w:bCs/>
          <w:color w:val="000000" w:themeColor="text1"/>
          <w:szCs w:val="24"/>
          <w:highlight w:val="none"/>
          <w:lang w:val="en-US" w:eastAsia="zh-CN"/>
          <w14:textFill>
            <w14:solidFill>
              <w14:schemeClr w14:val="tx1"/>
            </w14:solidFill>
          </w14:textFill>
        </w:rPr>
        <w:t>0.6173hm</w:t>
      </w:r>
      <w:r>
        <w:rPr>
          <w:rFonts w:cs="Times New Roman"/>
          <w:bCs/>
          <w:color w:val="000000" w:themeColor="text1"/>
          <w:szCs w:val="24"/>
          <w:highlight w:val="none"/>
          <w:vertAlign w:val="superscript"/>
          <w14:textFill>
            <w14:solidFill>
              <w14:schemeClr w14:val="tx1"/>
            </w14:solidFill>
          </w14:textFill>
        </w:rPr>
        <w:t>2</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占地类型</w:t>
      </w:r>
      <w:r>
        <w:rPr>
          <w:rFonts w:hint="eastAsia" w:cs="Times New Roman"/>
          <w:bCs/>
          <w:color w:val="000000" w:themeColor="text1"/>
          <w:szCs w:val="24"/>
          <w:highlight w:val="none"/>
          <w:lang w:val="en-US" w:eastAsia="zh-CN"/>
          <w14:textFill>
            <w14:solidFill>
              <w14:schemeClr w14:val="tx1"/>
            </w14:solidFill>
          </w14:textFill>
        </w:rPr>
        <w:t>均为耕地</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管线临时占地0.112</w:t>
      </w:r>
      <w:r>
        <w:rPr>
          <w:rFonts w:cs="Times New Roman"/>
          <w:bCs/>
          <w:color w:val="000000" w:themeColor="text1"/>
          <w:szCs w:val="24"/>
          <w:highlight w:val="none"/>
          <w14:textFill>
            <w14:solidFill>
              <w14:schemeClr w14:val="tx1"/>
            </w14:solidFill>
          </w14:textFill>
        </w:rPr>
        <w:t>hm</w:t>
      </w:r>
      <w:r>
        <w:rPr>
          <w:rFonts w:cs="Times New Roman"/>
          <w:bCs/>
          <w:color w:val="000000" w:themeColor="text1"/>
          <w:szCs w:val="24"/>
          <w:highlight w:val="none"/>
          <w:vertAlign w:val="superscript"/>
          <w14:textFill>
            <w14:solidFill>
              <w14:schemeClr w14:val="tx1"/>
            </w14:solidFill>
          </w14:textFill>
        </w:rPr>
        <w:t>2</w:t>
      </w:r>
      <w:r>
        <w:rPr>
          <w:rFonts w:hint="eastAsia" w:cs="Times New Roman"/>
          <w:bCs/>
          <w:color w:val="000000" w:themeColor="text1"/>
          <w:szCs w:val="24"/>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占地类型以</w:t>
      </w:r>
      <w:r>
        <w:rPr>
          <w:rFonts w:hint="eastAsia" w:cs="Times New Roman"/>
          <w:bCs/>
          <w:color w:val="000000" w:themeColor="text1"/>
          <w:szCs w:val="24"/>
          <w:highlight w:val="none"/>
          <w:lang w:val="en-US" w:eastAsia="zh-CN"/>
          <w14:textFill>
            <w14:solidFill>
              <w14:schemeClr w14:val="tx1"/>
            </w14:solidFill>
          </w14:textFill>
        </w:rPr>
        <w:t>耕地</w:t>
      </w:r>
      <w:r>
        <w:rPr>
          <w:rFonts w:cs="Times New Roman"/>
          <w:bCs/>
          <w:color w:val="000000" w:themeColor="text1"/>
          <w:szCs w:val="24"/>
          <w:highlight w:val="none"/>
          <w14:textFill>
            <w14:solidFill>
              <w14:schemeClr w14:val="tx1"/>
            </w14:solidFill>
          </w14:textFill>
        </w:rPr>
        <w:t>为主</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同时占用少量林地等</w:t>
      </w:r>
      <w:r>
        <w:rPr>
          <w:rFonts w:cs="Times New Roman"/>
          <w:bCs/>
          <w:color w:val="000000" w:themeColor="text1"/>
          <w:szCs w:val="24"/>
          <w:highlight w:val="none"/>
          <w14:textFill>
            <w14:solidFill>
              <w14:schemeClr w14:val="tx1"/>
            </w14:solidFill>
          </w14:textFill>
        </w:rPr>
        <w:t>。这些新增占地将使占用的地表植被被剥离，在一定时间内改变土地利用的类型，但施工时间较短，施工结束后临时占地区将采取土地整平、植被恢复等措施，不会长期改变土地地类，综合来看，整体上不会改变评价区内现有的土地利用类型的基本格局。</w:t>
      </w:r>
    </w:p>
    <w:p>
      <w:pPr>
        <w:adjustRightInd/>
        <w:snapToGrid/>
        <w:ind w:firstLine="480"/>
        <w:rPr>
          <w:rFonts w:cs="Times New Roman"/>
          <w:bCs/>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由于本项目在建设期间会剥离表土、产生一</w:t>
      </w:r>
      <w:r>
        <w:rPr>
          <w:rFonts w:cs="Times New Roman"/>
          <w:bCs/>
          <w:color w:val="000000" w:themeColor="text1"/>
          <w:highlight w:val="none"/>
          <w14:textFill>
            <w14:solidFill>
              <w14:schemeClr w14:val="tx1"/>
            </w14:solidFill>
          </w14:textFill>
        </w:rPr>
        <w:t>定的裸露地面，出现地表植被破坏，施工区较易产生水土流失等特点，在项目建设中应当尽可能减少对土地的占用，严格在征地红线范围内施工，最大限度节约土地资源。</w:t>
      </w:r>
    </w:p>
    <w:p>
      <w:pPr>
        <w:adjustRightInd/>
        <w:snapToGrid/>
        <w:ind w:firstLine="480"/>
        <w:rPr>
          <w:rFonts w:hint="eastAsia" w:cs="Times New Roman"/>
          <w:bCs/>
          <w:color w:val="000000" w:themeColor="text1"/>
          <w:highlight w:val="none"/>
          <w:lang w:val="en-US"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2</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对永久基本农田的影响分析</w:t>
      </w:r>
    </w:p>
    <w:p>
      <w:pPr>
        <w:adjustRightInd/>
        <w:snapToGrid/>
        <w:ind w:firstLine="480"/>
        <w:rPr>
          <w:rFonts w:hint="default" w:cs="Times New Roman"/>
          <w:bCs/>
          <w:color w:val="000000" w:themeColor="text1"/>
          <w:highlight w:val="none"/>
          <w:lang w:val="en-US" w:eastAsia="zh-CN"/>
          <w14:textFill>
            <w14:solidFill>
              <w14:schemeClr w14:val="tx1"/>
            </w14:solidFill>
          </w14:textFill>
        </w:rPr>
      </w:pPr>
      <w:r>
        <w:rPr>
          <w:rFonts w:hint="eastAsia"/>
          <w:color w:val="000000" w:themeColor="text1"/>
          <w:sz w:val="24"/>
          <w14:textFill>
            <w14:solidFill>
              <w14:schemeClr w14:val="tx1"/>
            </w14:solidFill>
          </w14:textFill>
        </w:rPr>
        <w:t>本项目临时占用永久基本农田，</w:t>
      </w:r>
      <w:r>
        <w:rPr>
          <w:rFonts w:hint="eastAsia"/>
          <w:bCs/>
          <w:color w:val="000000" w:themeColor="text1"/>
          <w:sz w:val="24"/>
          <w14:textFill>
            <w14:solidFill>
              <w14:schemeClr w14:val="tx1"/>
            </w14:solidFill>
          </w14:textFill>
        </w:rPr>
        <w:t>建设单位应严格按照《自然资源部农业农村部关于加强和改进永久基本农田保护工作的通知》（自然资规〔2019〕1号）和《关于进一步做好用地用海要素保障的通知》（自然资发〔2023〕89号）以及相关法律政策及规定要求办理相关手续，</w:t>
      </w:r>
      <w:r>
        <w:rPr>
          <w:rFonts w:hint="eastAsia"/>
          <w:bCs/>
          <w:color w:val="000000" w:themeColor="text1"/>
          <w:sz w:val="24"/>
          <w:lang w:val="en-US" w:eastAsia="zh-CN"/>
          <w14:textFill>
            <w14:solidFill>
              <w14:schemeClr w14:val="tx1"/>
            </w14:solidFill>
          </w14:textFill>
        </w:rPr>
        <w:t>实施永久基本农田的占补平衡，</w:t>
      </w:r>
      <w:r>
        <w:rPr>
          <w:rFonts w:hint="eastAsia"/>
          <w:bCs/>
          <w:color w:val="000000" w:themeColor="text1"/>
          <w:sz w:val="24"/>
          <w14:textFill>
            <w14:solidFill>
              <w14:schemeClr w14:val="tx1"/>
            </w14:solidFill>
          </w14:textFill>
        </w:rPr>
        <w:t>同时制定土地复垦计划，对</w:t>
      </w:r>
      <w:r>
        <w:rPr>
          <w:rFonts w:hint="eastAsia"/>
          <w:bCs/>
          <w:color w:val="000000" w:themeColor="text1"/>
          <w:sz w:val="24"/>
          <w:lang w:val="en-US" w:eastAsia="zh-CN"/>
          <w14:textFill>
            <w14:solidFill>
              <w14:schemeClr w14:val="tx1"/>
            </w14:solidFill>
          </w14:textFill>
        </w:rPr>
        <w:t>永久</w:t>
      </w:r>
      <w:r>
        <w:rPr>
          <w:rFonts w:hint="eastAsia"/>
          <w:bCs/>
          <w:color w:val="000000" w:themeColor="text1"/>
          <w:sz w:val="24"/>
          <w14:textFill>
            <w14:solidFill>
              <w14:schemeClr w14:val="tx1"/>
            </w14:solidFill>
          </w14:textFill>
        </w:rPr>
        <w:t>基本农田加以重点保护，施工时，应严格施工管理，严格控制施工作业范围，临时占用基本农田，表层耕植土应进行表层剥离，并设置表土堆放场，对表土进行保护，后期用于临时占地复耕以尽可能减小土壤肥力损失</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通过采取以上</w:t>
      </w:r>
      <w:r>
        <w:rPr>
          <w:color w:val="000000" w:themeColor="text1"/>
          <w:sz w:val="24"/>
          <w14:textFill>
            <w14:solidFill>
              <w14:schemeClr w14:val="tx1"/>
            </w14:solidFill>
          </w14:textFill>
        </w:rPr>
        <w:t>相关基本农田保护措施</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不会对其产生明显不利影响</w:t>
      </w:r>
      <w:r>
        <w:rPr>
          <w:rFonts w:hint="eastAsia"/>
          <w:color w:val="000000" w:themeColor="text1"/>
          <w:sz w:val="24"/>
          <w14:textFill>
            <w14:solidFill>
              <w14:schemeClr w14:val="tx1"/>
            </w14:solidFill>
          </w14:textFill>
        </w:rPr>
        <w:t>，本次评价要求项目开工前应办理临时用地手续，施工结束后及时进行耕地恢复</w:t>
      </w:r>
      <w:r>
        <w:rPr>
          <w:color w:val="000000" w:themeColor="text1"/>
          <w:sz w:val="24"/>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对植被及生物量的影响</w:t>
      </w:r>
    </w:p>
    <w:p>
      <w:pPr>
        <w:adjustRightInd/>
        <w:snapToGrid/>
        <w:ind w:firstLine="480"/>
        <w:rPr>
          <w:rFonts w:cs="Times New Roman"/>
          <w:b/>
          <w:bCs w:val="0"/>
          <w:color w:val="000000" w:themeColor="text1"/>
          <w:highlight w:val="none"/>
          <w14:textFill>
            <w14:solidFill>
              <w14:schemeClr w14:val="tx1"/>
            </w14:solidFill>
          </w14:textFill>
        </w:rPr>
      </w:pPr>
      <w:r>
        <w:rPr>
          <w:rFonts w:cs="Times New Roman"/>
          <w:b/>
          <w:bCs w:val="0"/>
          <w:color w:val="000000" w:themeColor="text1"/>
          <w:highlight w:val="none"/>
          <w14:textFill>
            <w14:solidFill>
              <w14:schemeClr w14:val="tx1"/>
            </w14:solidFill>
          </w14:textFill>
        </w:rPr>
        <w:t>（1）项目占地</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项目占地范围内不涉及国家保护野生植物和四川省重点保护野生植物。</w:t>
      </w:r>
    </w:p>
    <w:p>
      <w:pPr>
        <w:adjustRightInd/>
        <w:snapToGrid/>
        <w:ind w:firstLine="480"/>
        <w:rPr>
          <w:rFonts w:cs="Times New Roman"/>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项目占地施工损毁的植被类型属于评价范围内普遍分布的类型，主要有</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马尾松、青冈、麻栎</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、芒、白茅、耕地</w:t>
      </w:r>
      <w:r>
        <w:rPr>
          <w:rFonts w:hint="default" w:ascii="Times New Roman" w:hAnsi="Times New Roman" w:eastAsia="宋体" w:cs="Times New Roman"/>
          <w:b w:val="0"/>
          <w:bCs/>
          <w:color w:val="000000" w:themeColor="text1"/>
          <w:sz w:val="24"/>
          <w:highlight w:val="none"/>
          <w14:textFill>
            <w14:solidFill>
              <w14:schemeClr w14:val="tx1"/>
            </w14:solidFill>
          </w14:textFill>
        </w:rPr>
        <w:t>等</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植被</w:t>
      </w:r>
      <w:r>
        <w:rPr>
          <w:rFonts w:hint="default" w:ascii="Times New Roman" w:hAnsi="Times New Roman" w:eastAsia="宋体" w:cs="Times New Roman"/>
          <w:b w:val="0"/>
          <w:bCs/>
          <w:color w:val="000000" w:themeColor="text1"/>
          <w:sz w:val="24"/>
          <w:highlight w:val="none"/>
          <w14:textFill>
            <w14:solidFill>
              <w14:schemeClr w14:val="tx1"/>
            </w14:solidFill>
          </w14:textFill>
        </w:rPr>
        <w:t>，其物区系组成成分不会发生变化，损失的只是局部群落及部分</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生产力</w:t>
      </w:r>
      <w:r>
        <w:rPr>
          <w:rFonts w:hint="default" w:ascii="Times New Roman" w:hAnsi="Times New Roman" w:eastAsia="宋体" w:cs="Times New Roman"/>
          <w:b w:val="0"/>
          <w:bCs/>
          <w:color w:val="000000" w:themeColor="text1"/>
          <w:sz w:val="24"/>
          <w:highlight w:val="none"/>
          <w14:textFill>
            <w14:solidFill>
              <w14:schemeClr w14:val="tx1"/>
            </w14:solidFill>
          </w14:textFill>
        </w:rPr>
        <w:t>和生物量，项目占地损失总生产力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10.94</w:t>
      </w:r>
      <w:r>
        <w:rPr>
          <w:rFonts w:hint="default" w:ascii="Times New Roman" w:hAnsi="Times New Roman" w:eastAsia="宋体" w:cs="Times New Roman"/>
          <w:b w:val="0"/>
          <w:bCs/>
          <w:color w:val="000000" w:themeColor="text1"/>
          <w:sz w:val="24"/>
          <w:highlight w:val="none"/>
          <w14:textFill>
            <w14:solidFill>
              <w14:schemeClr w14:val="tx1"/>
            </w14:solidFill>
          </w14:textFill>
        </w:rPr>
        <w:t>tc/a，损失总生物量为</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52.66</w:t>
      </w:r>
      <w:r>
        <w:rPr>
          <w:rFonts w:hint="default" w:ascii="Times New Roman" w:hAnsi="Times New Roman" w:eastAsia="宋体" w:cs="Times New Roman"/>
          <w:b w:val="0"/>
          <w:bCs/>
          <w:color w:val="000000" w:themeColor="text1"/>
          <w:sz w:val="24"/>
          <w:highlight w:val="none"/>
          <w14:textFill>
            <w14:solidFill>
              <w14:schemeClr w14:val="tx1"/>
            </w14:solidFill>
          </w14:textFill>
        </w:rPr>
        <w:t>t，占评价区总生产力和总生物量的比例为</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highlight w:val="none"/>
          <w14:textFill>
            <w14:solidFill>
              <w14:schemeClr w14:val="tx1"/>
            </w14:solidFill>
          </w14:textFill>
        </w:rPr>
        <w:t>%和</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0.76</w:t>
      </w:r>
      <w:r>
        <w:rPr>
          <w:rFonts w:hint="default" w:ascii="Times New Roman" w:hAnsi="Times New Roman" w:eastAsia="宋体" w:cs="Times New Roman"/>
          <w:b w:val="0"/>
          <w:bCs/>
          <w:color w:val="000000" w:themeColor="text1"/>
          <w:sz w:val="24"/>
          <w:highlight w:val="none"/>
          <w14:textFill>
            <w14:solidFill>
              <w14:schemeClr w14:val="tx1"/>
            </w14:solidFill>
          </w14:textFill>
        </w:rPr>
        <w:t>%，占比极低，主要因为项目占地面积小，且占地</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主要</w:t>
      </w:r>
      <w:r>
        <w:rPr>
          <w:rFonts w:hint="default" w:ascii="Times New Roman" w:hAnsi="Times New Roman" w:eastAsia="宋体" w:cs="Times New Roman"/>
          <w:b w:val="0"/>
          <w:bCs/>
          <w:color w:val="000000" w:themeColor="text1"/>
          <w:sz w:val="24"/>
          <w:highlight w:val="none"/>
          <w14:textFill>
            <w14:solidFill>
              <w14:schemeClr w14:val="tx1"/>
            </w14:solidFill>
          </w14:textFill>
        </w:rPr>
        <w:t>为生态效能较低的</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耕地</w:t>
      </w:r>
      <w:r>
        <w:rPr>
          <w:rFonts w:hint="default" w:ascii="Times New Roman" w:hAnsi="Times New Roman" w:eastAsia="宋体" w:cs="Times New Roman"/>
          <w:b w:val="0"/>
          <w:bCs/>
          <w:color w:val="000000" w:themeColor="text1"/>
          <w:sz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损失植被类型及生物量见</w:t>
      </w:r>
      <w:r>
        <w:rPr>
          <w:rFonts w:hint="eastAsia" w:cs="Times New Roman"/>
          <w:bCs/>
          <w:color w:val="000000" w:themeColor="text1"/>
          <w:szCs w:val="24"/>
          <w:highlight w:val="none"/>
          <w:lang w:val="en-US" w:eastAsia="zh-CN"/>
          <w14:textFill>
            <w14:solidFill>
              <w14:schemeClr w14:val="tx1"/>
            </w14:solidFill>
          </w14:textFill>
        </w:rPr>
        <w:t>下表</w:t>
      </w:r>
      <w:r>
        <w:rPr>
          <w:rFonts w:cs="Times New Roman"/>
          <w:bCs/>
          <w:color w:val="000000" w:themeColor="text1"/>
          <w:highlight w:val="none"/>
          <w14:textFill>
            <w14:solidFill>
              <w14:schemeClr w14:val="tx1"/>
            </w14:solidFill>
          </w14:textFill>
        </w:rPr>
        <w:t>。</w:t>
      </w:r>
    </w:p>
    <w:p>
      <w:pPr>
        <w:keepNext w:val="0"/>
        <w:keepLines w:val="0"/>
        <w:pageBreakBefore w:val="0"/>
        <w:widowControl/>
        <w:tabs>
          <w:tab w:val="left" w:pos="863"/>
        </w:tabs>
        <w:kinsoku/>
        <w:wordWrap/>
        <w:overflowPunct/>
        <w:topLinePunct w:val="0"/>
        <w:autoSpaceDE/>
        <w:autoSpaceDN/>
        <w:bidi w:val="0"/>
        <w:adjustRightInd w:val="0"/>
        <w:snapToGrid w:val="0"/>
        <w:spacing w:before="164" w:beforeLines="50" w:line="240" w:lineRule="auto"/>
        <w:ind w:firstLine="0" w:firstLineChars="0"/>
        <w:jc w:val="center"/>
        <w:textAlignment w:val="auto"/>
        <w:rPr>
          <w:rFonts w:hint="eastAsia" w:ascii="Times New Roman" w:hAnsi="Times New Roman" w:eastAsia="黑体" w:cs="Times New Roman"/>
          <w:color w:val="000000" w:themeColor="text1"/>
          <w:sz w:val="21"/>
          <w:szCs w:val="21"/>
          <w:highlight w:val="none"/>
          <w14:textFill>
            <w14:solidFill>
              <w14:schemeClr w14:val="tx1"/>
            </w14:solidFill>
          </w14:textFill>
        </w:rPr>
      </w:pPr>
      <w:r>
        <w:rPr>
          <w:rFonts w:hint="eastAsia" w:ascii="Times New Roman" w:hAnsi="Times New Roman" w:eastAsia="黑体" w:cs="Times New Roman"/>
          <w:color w:val="000000" w:themeColor="text1"/>
          <w:sz w:val="21"/>
          <w:szCs w:val="21"/>
          <w:highlight w:val="none"/>
          <w14:textFill>
            <w14:solidFill>
              <w14:schemeClr w14:val="tx1"/>
            </w14:solidFill>
          </w14:textFill>
        </w:rPr>
        <w:t>表</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begin"/>
      </w:r>
      <w:r>
        <w:rPr>
          <w:rFonts w:hint="eastAsia" w:ascii="Times New Roman" w:hAnsi="Times New Roman" w:eastAsia="黑体" w:cs="Times New Roman"/>
          <w:color w:val="000000" w:themeColor="text1"/>
          <w:sz w:val="21"/>
          <w:szCs w:val="21"/>
          <w:highlight w:val="none"/>
          <w14:textFill>
            <w14:solidFill>
              <w14:schemeClr w14:val="tx1"/>
            </w14:solidFill>
          </w14:textFill>
        </w:rPr>
        <w:instrText xml:space="preserve"> STYLEREF 2 \s </w:instrTex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separate"/>
      </w:r>
      <w:r>
        <w:rPr>
          <w:rFonts w:hint="eastAsia" w:ascii="Times New Roman" w:hAnsi="Times New Roman" w:eastAsia="黑体" w:cs="Times New Roman"/>
          <w:color w:val="000000" w:themeColor="text1"/>
          <w:sz w:val="21"/>
          <w:szCs w:val="21"/>
          <w:highlight w:val="none"/>
          <w14:textFill>
            <w14:solidFill>
              <w14:schemeClr w14:val="tx1"/>
            </w14:solidFill>
          </w14:textFill>
        </w:rPr>
        <w:t>5.1</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end"/>
      </w:r>
      <w:r>
        <w:rPr>
          <w:rFonts w:hint="eastAsia" w:ascii="Times New Roman" w:hAnsi="Times New Roman" w:eastAsia="黑体" w:cs="Times New Roman"/>
          <w:color w:val="000000" w:themeColor="text1"/>
          <w:sz w:val="21"/>
          <w:szCs w:val="21"/>
          <w:highlight w:val="none"/>
          <w14:textFill>
            <w14:solidFill>
              <w14:schemeClr w14:val="tx1"/>
            </w14:solidFill>
          </w14:textFill>
        </w:rPr>
        <w:noBreakHyphen/>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begin"/>
      </w:r>
      <w:r>
        <w:rPr>
          <w:rFonts w:hint="eastAsia" w:ascii="Times New Roman" w:hAnsi="Times New Roman" w:eastAsia="黑体" w:cs="Times New Roman"/>
          <w:color w:val="000000" w:themeColor="text1"/>
          <w:sz w:val="21"/>
          <w:szCs w:val="21"/>
          <w:highlight w:val="none"/>
          <w14:textFill>
            <w14:solidFill>
              <w14:schemeClr w14:val="tx1"/>
            </w14:solidFill>
          </w14:textFill>
        </w:rPr>
        <w:instrText xml:space="preserve"> SEQ 表 \* ARABIC \s 2 </w:instrTex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separate"/>
      </w:r>
      <w:r>
        <w:rPr>
          <w:rFonts w:hint="eastAsia" w:ascii="Times New Roman" w:hAnsi="Times New Roman" w:eastAsia="黑体" w:cs="Times New Roman"/>
          <w:color w:val="000000" w:themeColor="text1"/>
          <w:sz w:val="21"/>
          <w:szCs w:val="21"/>
          <w:highlight w:val="none"/>
          <w14:textFill>
            <w14:solidFill>
              <w14:schemeClr w14:val="tx1"/>
            </w14:solidFill>
          </w14:textFill>
        </w:rPr>
        <w:t>1</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end"/>
      </w:r>
      <w:r>
        <w:rPr>
          <w:rFonts w:hint="eastAsia" w:ascii="Times New Roman" w:hAnsi="Times New Roman" w:eastAsia="黑体" w:cs="Times New Roman"/>
          <w:color w:val="000000" w:themeColor="text1"/>
          <w:sz w:val="21"/>
          <w:szCs w:val="21"/>
          <w:highlight w:val="none"/>
          <w14:textFill>
            <w14:solidFill>
              <w14:schemeClr w14:val="tx1"/>
            </w14:solidFill>
          </w14:textFill>
        </w:rPr>
        <w:t xml:space="preserve">  工程占地影响植被类型及生物量统计表</w:t>
      </w:r>
    </w:p>
    <w:tbl>
      <w:tblPr>
        <w:tblStyle w:val="52"/>
        <w:tblW w:w="8220" w:type="dxa"/>
        <w:jc w:val="center"/>
        <w:tblLayout w:type="fixed"/>
        <w:tblCellMar>
          <w:top w:w="0" w:type="dxa"/>
          <w:left w:w="23" w:type="dxa"/>
          <w:bottom w:w="0" w:type="dxa"/>
          <w:right w:w="23" w:type="dxa"/>
        </w:tblCellMar>
      </w:tblPr>
      <w:tblGrid>
        <w:gridCol w:w="552"/>
        <w:gridCol w:w="1425"/>
        <w:gridCol w:w="1085"/>
        <w:gridCol w:w="1383"/>
        <w:gridCol w:w="1170"/>
        <w:gridCol w:w="2605"/>
      </w:tblGrid>
      <w:tr>
        <w:tblPrEx>
          <w:tblCellMar>
            <w:top w:w="0" w:type="dxa"/>
            <w:left w:w="23" w:type="dxa"/>
            <w:bottom w:w="0" w:type="dxa"/>
            <w:right w:w="23" w:type="dxa"/>
          </w:tblCellMar>
        </w:tblPrEx>
        <w:trPr>
          <w:trHeight w:val="0" w:hRule="atLeast"/>
          <w:jc w:val="center"/>
        </w:trPr>
        <w:tc>
          <w:tcPr>
            <w:tcW w:w="5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序号</w:t>
            </w:r>
          </w:p>
        </w:tc>
        <w:tc>
          <w:tcPr>
            <w:tcW w:w="14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名称</w:t>
            </w:r>
          </w:p>
        </w:tc>
        <w:tc>
          <w:tcPr>
            <w:tcW w:w="10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占地面积</w:t>
            </w:r>
            <w:r>
              <w:rPr>
                <w:rFonts w:hint="eastAsia" w:cs="Times New Roman"/>
                <w:bCs/>
                <w:color w:val="000000" w:themeColor="text1"/>
                <w:kern w:val="0"/>
                <w:sz w:val="21"/>
                <w:szCs w:val="21"/>
                <w:highlight w:val="none"/>
                <w:lang w:eastAsia="zh-CN" w:bidi="ar"/>
                <w14:textFill>
                  <w14:solidFill>
                    <w14:schemeClr w14:val="tx1"/>
                  </w14:solidFill>
                </w14:textFill>
              </w:rPr>
              <w:t>（</w:t>
            </w:r>
            <w:r>
              <w:rPr>
                <w:rFonts w:hint="default" w:cs="Times New Roman"/>
                <w:bCs/>
                <w:color w:val="000000" w:themeColor="text1"/>
                <w:kern w:val="0"/>
                <w:sz w:val="21"/>
                <w:szCs w:val="21"/>
                <w:highlight w:val="none"/>
                <w:lang w:bidi="ar"/>
                <w14:textFill>
                  <w14:solidFill>
                    <w14:schemeClr w14:val="tx1"/>
                  </w14:solidFill>
                </w14:textFill>
              </w:rPr>
              <w:t>hm</w:t>
            </w:r>
            <w:r>
              <w:rPr>
                <w:rFonts w:hint="default" w:cs="Times New Roman"/>
                <w:bCs/>
                <w:color w:val="000000" w:themeColor="text1"/>
                <w:kern w:val="0"/>
                <w:sz w:val="21"/>
                <w:szCs w:val="21"/>
                <w:highlight w:val="none"/>
                <w:vertAlign w:val="superscript"/>
                <w:lang w:bidi="ar"/>
                <w14:textFill>
                  <w14:solidFill>
                    <w14:schemeClr w14:val="tx1"/>
                  </w14:solidFill>
                </w14:textFill>
              </w:rPr>
              <w:t>2</w:t>
            </w:r>
            <w:r>
              <w:rPr>
                <w:rFonts w:hint="default" w:cs="Times New Roman"/>
                <w:bCs/>
                <w:color w:val="000000" w:themeColor="text1"/>
                <w:kern w:val="0"/>
                <w:sz w:val="21"/>
                <w:szCs w:val="21"/>
                <w:highlight w:val="none"/>
                <w:lang w:bidi="ar"/>
                <w14:textFill>
                  <w14:solidFill>
                    <w14:schemeClr w14:val="tx1"/>
                  </w14:solidFill>
                </w14:textFill>
              </w:rPr>
              <w:t>)</w:t>
            </w:r>
          </w:p>
        </w:tc>
        <w:tc>
          <w:tcPr>
            <w:tcW w:w="13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损失生产力（tC（a））</w:t>
            </w:r>
          </w:p>
        </w:tc>
        <w:tc>
          <w:tcPr>
            <w:tcW w:w="1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损失生物量（t）</w:t>
            </w:r>
          </w:p>
        </w:tc>
        <w:tc>
          <w:tcPr>
            <w:tcW w:w="26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受影响的植被类型</w:t>
            </w:r>
          </w:p>
        </w:tc>
      </w:tr>
      <w:tr>
        <w:tblPrEx>
          <w:tblCellMar>
            <w:top w:w="0" w:type="dxa"/>
            <w:left w:w="23" w:type="dxa"/>
            <w:bottom w:w="0" w:type="dxa"/>
            <w:right w:w="23" w:type="dxa"/>
          </w:tblCellMar>
        </w:tblPrEx>
        <w:trPr>
          <w:trHeight w:val="0" w:hRule="atLeast"/>
          <w:jc w:val="center"/>
        </w:trPr>
        <w:tc>
          <w:tcPr>
            <w:tcW w:w="552"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w:t>
            </w:r>
          </w:p>
        </w:tc>
        <w:tc>
          <w:tcPr>
            <w:tcW w:w="142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针叶林植被</w:t>
            </w:r>
          </w:p>
        </w:tc>
        <w:tc>
          <w:tcPr>
            <w:tcW w:w="10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0.23</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0.84</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20.52</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马尾松</w:t>
            </w:r>
          </w:p>
        </w:tc>
      </w:tr>
      <w:tr>
        <w:tblPrEx>
          <w:tblCellMar>
            <w:top w:w="0" w:type="dxa"/>
            <w:left w:w="23" w:type="dxa"/>
            <w:bottom w:w="0" w:type="dxa"/>
            <w:right w:w="23" w:type="dxa"/>
          </w:tblCellMar>
        </w:tblPrEx>
        <w:trPr>
          <w:trHeight w:val="0" w:hRule="atLeast"/>
          <w:jc w:val="center"/>
        </w:trPr>
        <w:tc>
          <w:tcPr>
            <w:tcW w:w="552"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2</w:t>
            </w:r>
          </w:p>
        </w:tc>
        <w:tc>
          <w:tcPr>
            <w:tcW w:w="142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阔叶林</w:t>
            </w: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植被</w:t>
            </w:r>
          </w:p>
        </w:tc>
        <w:tc>
          <w:tcPr>
            <w:tcW w:w="10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0.1</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0.64</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8.92</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青冈、麻栎</w:t>
            </w:r>
          </w:p>
        </w:tc>
      </w:tr>
      <w:tr>
        <w:tblPrEx>
          <w:tblCellMar>
            <w:top w:w="0" w:type="dxa"/>
            <w:left w:w="23" w:type="dxa"/>
            <w:bottom w:w="0" w:type="dxa"/>
            <w:right w:w="23" w:type="dxa"/>
          </w:tblCellMar>
        </w:tblPrEx>
        <w:trPr>
          <w:trHeight w:val="0" w:hRule="atLeast"/>
          <w:jc w:val="center"/>
        </w:trPr>
        <w:tc>
          <w:tcPr>
            <w:tcW w:w="552"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3</w:t>
            </w:r>
          </w:p>
        </w:tc>
        <w:tc>
          <w:tcPr>
            <w:tcW w:w="142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水田</w:t>
            </w: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植被</w:t>
            </w:r>
          </w:p>
        </w:tc>
        <w:tc>
          <w:tcPr>
            <w:tcW w:w="10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1.182</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5.04</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12.42</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p>
        </w:tc>
      </w:tr>
      <w:tr>
        <w:tblPrEx>
          <w:tblCellMar>
            <w:top w:w="0" w:type="dxa"/>
            <w:left w:w="23" w:type="dxa"/>
            <w:bottom w:w="0" w:type="dxa"/>
            <w:right w:w="23" w:type="dxa"/>
          </w:tblCellMar>
        </w:tblPrEx>
        <w:trPr>
          <w:trHeight w:val="0" w:hRule="atLeast"/>
          <w:jc w:val="center"/>
        </w:trPr>
        <w:tc>
          <w:tcPr>
            <w:tcW w:w="552"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bCs/>
                <w:color w:val="000000" w:themeColor="text1"/>
                <w:kern w:val="0"/>
                <w:sz w:val="21"/>
                <w:szCs w:val="21"/>
                <w:highlight w:val="none"/>
                <w:lang w:val="en-US" w:eastAsia="zh-CN" w:bidi="ar"/>
                <w14:textFill>
                  <w14:solidFill>
                    <w14:schemeClr w14:val="tx1"/>
                  </w14:solidFill>
                </w14:textFill>
              </w:rPr>
              <w:t>4</w:t>
            </w:r>
          </w:p>
        </w:tc>
        <w:tc>
          <w:tcPr>
            <w:tcW w:w="142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bCs/>
                <w:color w:val="000000" w:themeColor="text1"/>
                <w:kern w:val="0"/>
                <w:sz w:val="21"/>
                <w:szCs w:val="21"/>
                <w:highlight w:val="none"/>
                <w:lang w:eastAsia="zh-CN" w:bidi="ar"/>
                <w14:textFill>
                  <w14:solidFill>
                    <w14:schemeClr w14:val="tx1"/>
                  </w14:solidFill>
                </w14:textFill>
              </w:rPr>
              <w:t>旱地植被</w:t>
            </w:r>
          </w:p>
        </w:tc>
        <w:tc>
          <w:tcPr>
            <w:tcW w:w="10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1.003</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4.28</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10.34</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p>
        </w:tc>
      </w:tr>
      <w:tr>
        <w:tblPrEx>
          <w:tblCellMar>
            <w:top w:w="0" w:type="dxa"/>
            <w:left w:w="23" w:type="dxa"/>
            <w:bottom w:w="0" w:type="dxa"/>
            <w:right w:w="23" w:type="dxa"/>
          </w:tblCellMar>
        </w:tblPrEx>
        <w:trPr>
          <w:trHeight w:val="0" w:hRule="atLeast"/>
          <w:jc w:val="center"/>
        </w:trPr>
        <w:tc>
          <w:tcPr>
            <w:tcW w:w="552"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bCs/>
                <w:color w:val="000000" w:themeColor="text1"/>
                <w:kern w:val="0"/>
                <w:sz w:val="21"/>
                <w:szCs w:val="21"/>
                <w:highlight w:val="none"/>
                <w:lang w:val="en-US" w:eastAsia="zh-CN" w:bidi="ar"/>
                <w14:textFill>
                  <w14:solidFill>
                    <w14:schemeClr w14:val="tx1"/>
                  </w14:solidFill>
                </w14:textFill>
              </w:rPr>
              <w:t>5</w:t>
            </w:r>
          </w:p>
        </w:tc>
        <w:tc>
          <w:tcPr>
            <w:tcW w:w="142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bCs/>
                <w:color w:val="000000" w:themeColor="text1"/>
                <w:kern w:val="0"/>
                <w:sz w:val="21"/>
                <w:szCs w:val="21"/>
                <w:highlight w:val="none"/>
                <w:lang w:eastAsia="zh-CN" w:bidi="ar"/>
                <w14:textFill>
                  <w14:solidFill>
                    <w14:schemeClr w14:val="tx1"/>
                  </w14:solidFill>
                </w14:textFill>
              </w:rPr>
              <w:t>草地</w:t>
            </w: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植被</w:t>
            </w:r>
          </w:p>
        </w:tc>
        <w:tc>
          <w:tcPr>
            <w:tcW w:w="108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0.06</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0.14</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0.46</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bidi="ar"/>
                <w14:textFill>
                  <w14:solidFill>
                    <w14:schemeClr w14:val="tx1"/>
                  </w14:solidFill>
                </w14:textFill>
              </w:rPr>
              <w:t>芒、白茅</w:t>
            </w:r>
          </w:p>
        </w:tc>
      </w:tr>
      <w:tr>
        <w:tblPrEx>
          <w:tblCellMar>
            <w:top w:w="0" w:type="dxa"/>
            <w:left w:w="23" w:type="dxa"/>
            <w:bottom w:w="0" w:type="dxa"/>
            <w:right w:w="23" w:type="dxa"/>
          </w:tblCellMar>
        </w:tblPrEx>
        <w:trPr>
          <w:trHeight w:val="0" w:hRule="atLeast"/>
          <w:jc w:val="center"/>
        </w:trPr>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合计</w:t>
            </w:r>
          </w:p>
        </w:tc>
        <w:tc>
          <w:tcPr>
            <w:tcW w:w="1085"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2.575</w:t>
            </w:r>
          </w:p>
        </w:tc>
        <w:tc>
          <w:tcPr>
            <w:tcW w:w="138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10.94</w:t>
            </w:r>
          </w:p>
        </w:tc>
        <w:tc>
          <w:tcPr>
            <w:tcW w:w="117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52.66</w:t>
            </w:r>
          </w:p>
        </w:tc>
        <w:tc>
          <w:tcPr>
            <w:tcW w:w="2605"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p>
        </w:tc>
      </w:tr>
    </w:tbl>
    <w:p>
      <w:pPr>
        <w:adjustRightInd/>
        <w:snapToGrid/>
        <w:spacing w:before="120" w:beforeLines="50"/>
        <w:ind w:firstLine="480"/>
        <w:rPr>
          <w:rFonts w:cs="Times New Roman"/>
          <w:b/>
          <w:bCs w:val="0"/>
          <w:color w:val="000000" w:themeColor="text1"/>
          <w:highlight w:val="none"/>
          <w14:textFill>
            <w14:solidFill>
              <w14:schemeClr w14:val="tx1"/>
            </w14:solidFill>
          </w14:textFill>
        </w:rPr>
      </w:pPr>
      <w:r>
        <w:rPr>
          <w:rFonts w:cs="Times New Roman"/>
          <w:b/>
          <w:bCs w:val="0"/>
          <w:color w:val="000000" w:themeColor="text1"/>
          <w:highlight w:val="none"/>
          <w14:textFill>
            <w14:solidFill>
              <w14:schemeClr w14:val="tx1"/>
            </w14:solidFill>
          </w14:textFill>
        </w:rPr>
        <w:t>（2）人员进驻及施工活动</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在项目建设期间，大量人员和车辆、机械的进场和建设活动将给施工区的生态环境造成一定的影响。施工人员的活动等都会对生活在本区域内的植被产生影响，主要表现在施工人员活动产生的废水、废渣、废气等废弃物对生态环境的影响等方面。施工区表土剥离、废水处理设施等施工活动对生态环境的影响最大，但是由于施工是临时的，在施工结束后随着临时用地区土地整平、植被更新恢复措施的实施，其影响会得到逐步恢复的。</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由上可见，项目施工占地</w:t>
      </w:r>
      <w:r>
        <w:rPr>
          <w:rFonts w:hint="eastAsia" w:cs="Times New Roman"/>
          <w:bCs/>
          <w:color w:val="000000" w:themeColor="text1"/>
          <w:highlight w:val="none"/>
          <w:lang w:eastAsia="zh-CN"/>
          <w14:textFill>
            <w14:solidFill>
              <w14:schemeClr w14:val="tx1"/>
            </w14:solidFill>
          </w14:textFill>
        </w:rPr>
        <w:t>1.2808hm</w:t>
      </w:r>
      <w:r>
        <w:rPr>
          <w:rFonts w:cs="Times New Roman"/>
          <w:bCs/>
          <w:color w:val="000000" w:themeColor="text1"/>
          <w:highlight w:val="none"/>
          <w:vertAlign w:val="superscript"/>
          <w14:textFill>
            <w14:solidFill>
              <w14:schemeClr w14:val="tx1"/>
            </w14:solidFill>
          </w14:textFill>
        </w:rPr>
        <w:t>2</w:t>
      </w:r>
      <w:r>
        <w:rPr>
          <w:rFonts w:cs="Times New Roman"/>
          <w:bCs/>
          <w:color w:val="000000" w:themeColor="text1"/>
          <w:highlight w:val="none"/>
          <w14:textFill>
            <w14:solidFill>
              <w14:schemeClr w14:val="tx1"/>
            </w14:solidFill>
          </w14:textFill>
        </w:rPr>
        <w:t>，使得在栖息在这片土上的生物资源受到影响，部分草地植被因生境发生改变而死亡，以此为栖息地的其他动物、微生物则失去原栖息场所，导致动、植物资源量减少，生物量受到一定影响。但项目占地相对整个宣汉县比例则极小，不会对该地区造成较大影响，同时，退役后，随着设施拆除、封井及植被恢复措施的实施及植被自然演替更新，占地影响也将逐渐消失。</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尽管如此，本报告仍然建议，在项目实施过程中通过优化施工布置，最大程度减少项目建设造成的植被资源损失，尽量减少对评价区灌草丛生态系统的影响。</w:t>
      </w:r>
    </w:p>
    <w:p>
      <w:pPr>
        <w:pStyle w:val="5"/>
        <w:spacing w:before="0" w:beforeLines="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对景观生态的影响分析</w:t>
      </w:r>
    </w:p>
    <w:p>
      <w:pPr>
        <w:ind w:firstLine="480"/>
        <w:rPr>
          <w:rFonts w:cs="Times New Roman"/>
          <w:b/>
          <w:bCs w:val="0"/>
          <w:color w:val="000000" w:themeColor="text1"/>
          <w:highlight w:val="none"/>
          <w14:textFill>
            <w14:solidFill>
              <w14:schemeClr w14:val="tx1"/>
            </w14:solidFill>
          </w14:textFill>
        </w:rPr>
      </w:pPr>
      <w:r>
        <w:rPr>
          <w:rFonts w:cs="Times New Roman"/>
          <w:b/>
          <w:bCs w:val="0"/>
          <w:color w:val="000000" w:themeColor="text1"/>
          <w:highlight w:val="none"/>
          <w14:textFill>
            <w14:solidFill>
              <w14:schemeClr w14:val="tx1"/>
            </w14:solidFill>
          </w14:textFill>
        </w:rPr>
        <w:t>（1）对自然生态体系稳定性的影响</w:t>
      </w:r>
      <w:r>
        <w:rPr>
          <w:rFonts w:cs="Times New Roman"/>
          <w:b/>
          <w:bCs w:val="0"/>
          <w:color w:val="000000" w:themeColor="text1"/>
          <w:kern w:val="0"/>
          <w:szCs w:val="24"/>
          <w:highlight w:val="none"/>
          <w14:textFill>
            <w14:solidFill>
              <w14:schemeClr w14:val="tx1"/>
            </w14:solidFill>
          </w14:textFill>
        </w:rPr>
        <w:t>预测</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①恢复稳定性影响分析</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对景观生态体系稳定状况的影响可以从恢复稳定性和阻抗稳定性两方面进行分析。恢复稳定性的度量通常采取对植被生物量进行度量的方法进行度量。项目建设会使评价区内自然生态体系的植被生物总量减少</w:t>
      </w:r>
      <w:r>
        <w:rPr>
          <w:rFonts w:hint="eastAsia" w:cs="Times New Roman"/>
          <w:bCs/>
          <w:color w:val="000000" w:themeColor="text1"/>
          <w:highlight w:val="none"/>
          <w:lang w:eastAsia="zh-CN"/>
          <w14:textFill>
            <w14:solidFill>
              <w14:schemeClr w14:val="tx1"/>
            </w14:solidFill>
          </w14:textFill>
        </w:rPr>
        <w:t>，对</w:t>
      </w:r>
      <w:r>
        <w:rPr>
          <w:rFonts w:ascii="Times New Roman" w:hAnsi="Times New Roman" w:cs="Times New Roman"/>
          <w:bCs/>
          <w:color w:val="000000" w:themeColor="text1"/>
          <w:highlight w:val="none"/>
          <w14:textFill>
            <w14:solidFill>
              <w14:schemeClr w14:val="tx1"/>
            </w14:solidFill>
          </w14:textFill>
        </w:rPr>
        <w:t>评价范围域内景观生态体系有一定影响，退役后，随着设施拆除、植被恢复措施的实施及植被自然演替更新等，将会使项目占地区生态环境质量得到较大改善，植被会朝着正向演替方向发展，逐步恢复景观稳定性。</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②阻抗稳定性影响分析</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占地损失的自然物种</w:t>
      </w:r>
      <w:r>
        <w:rPr>
          <w:rFonts w:hint="default" w:ascii="Times New Roman" w:hAnsi="Times New Roman" w:cs="Times New Roman"/>
          <w:bCs/>
          <w:color w:val="000000" w:themeColor="text1"/>
          <w:highlight w:val="none"/>
          <w:lang w:eastAsia="zh-CN"/>
          <w14:textFill>
            <w14:solidFill>
              <w14:schemeClr w14:val="tx1"/>
            </w14:solidFill>
          </w14:textFill>
        </w:rPr>
        <w:t>芒、白茅</w:t>
      </w:r>
      <w:r>
        <w:rPr>
          <w:rFonts w:hint="default" w:ascii="Times New Roman" w:hAnsi="Times New Roman" w:cs="Times New Roman"/>
          <w:bCs/>
          <w:color w:val="000000" w:themeColor="text1"/>
          <w:highlight w:val="none"/>
          <w14:textFill>
            <w14:solidFill>
              <w14:schemeClr w14:val="tx1"/>
            </w14:solidFill>
          </w14:textFill>
        </w:rPr>
        <w:t>等群系均属广布种，对物种种类没有影响，仅损失部分生物量。在景观异质性影响方面，本评价范围的草地拼块在项目实施后所发生的变化主要是拼块面积的变化，而在拼块数量（密度）、拼块频率等要素特征上发生变化较小，随着设施拆除、植被恢复措施的实施及植被自然演替更新等，评价范围内森林植被还将是当地的模地，模地不会动摇，景观的异质性不会发生质的变化。</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
          <w:bCs w:val="0"/>
          <w:color w:val="000000" w:themeColor="text1"/>
          <w:highlight w:val="none"/>
          <w14:textFill>
            <w14:solidFill>
              <w14:schemeClr w14:val="tx1"/>
            </w14:solidFill>
          </w14:textFill>
        </w:rPr>
      </w:pPr>
      <w:r>
        <w:rPr>
          <w:rFonts w:ascii="Times New Roman" w:hAnsi="Times New Roman" w:cs="Times New Roman"/>
          <w:b/>
          <w:bCs w:val="0"/>
          <w:color w:val="000000" w:themeColor="text1"/>
          <w:highlight w:val="none"/>
          <w14:textFill>
            <w14:solidFill>
              <w14:schemeClr w14:val="tx1"/>
            </w14:solidFill>
          </w14:textFill>
        </w:rPr>
        <w:t>（2）景观生态体系质量影响预测</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根据前文森林拼块的景观优势度远高于其他拼块，属模地。因此在评价范围内占有十分重要的地位。项目实施后，对当地的自然系统造成一定损害，受损后的景观体系情况，如下表。</w:t>
      </w:r>
    </w:p>
    <w:p>
      <w:pPr>
        <w:pStyle w:val="201"/>
        <w:spacing w:before="120"/>
        <w:rPr>
          <w:color w:val="000000" w:themeColor="text1"/>
          <w:highlight w:val="none"/>
          <w14:textFill>
            <w14:solidFill>
              <w14:schemeClr w14:val="tx1"/>
            </w14:solidFill>
          </w14:textFill>
        </w:rPr>
      </w:pPr>
      <w:r>
        <w:rPr>
          <w:rFonts w:hint="eastAsia" w:ascii="Times New Roman" w:hAnsi="Times New Roman" w:eastAsia="黑体" w:cs="Times New Roman"/>
          <w:color w:val="000000" w:themeColor="text1"/>
          <w:sz w:val="21"/>
          <w:szCs w:val="21"/>
          <w:highlight w:val="none"/>
          <w14:textFill>
            <w14:solidFill>
              <w14:schemeClr w14:val="tx1"/>
            </w14:solidFill>
          </w14:textFill>
        </w:rPr>
        <w:t>表</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begin"/>
      </w:r>
      <w:r>
        <w:rPr>
          <w:rFonts w:hint="eastAsia" w:ascii="Times New Roman" w:hAnsi="Times New Roman" w:eastAsia="黑体" w:cs="Times New Roman"/>
          <w:color w:val="000000" w:themeColor="text1"/>
          <w:sz w:val="21"/>
          <w:szCs w:val="21"/>
          <w:highlight w:val="none"/>
          <w14:textFill>
            <w14:solidFill>
              <w14:schemeClr w14:val="tx1"/>
            </w14:solidFill>
          </w14:textFill>
        </w:rPr>
        <w:instrText xml:space="preserve"> STYLEREF 2 \s </w:instrTex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separate"/>
      </w:r>
      <w:r>
        <w:rPr>
          <w:rFonts w:hint="eastAsia" w:ascii="Times New Roman" w:hAnsi="Times New Roman" w:eastAsia="黑体" w:cs="Times New Roman"/>
          <w:color w:val="000000" w:themeColor="text1"/>
          <w:sz w:val="21"/>
          <w:szCs w:val="21"/>
          <w:highlight w:val="none"/>
          <w14:textFill>
            <w14:solidFill>
              <w14:schemeClr w14:val="tx1"/>
            </w14:solidFill>
          </w14:textFill>
        </w:rPr>
        <w:t>5.1</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end"/>
      </w:r>
      <w:r>
        <w:rPr>
          <w:rFonts w:hint="eastAsia" w:ascii="Times New Roman" w:hAnsi="Times New Roman" w:eastAsia="黑体" w:cs="Times New Roman"/>
          <w:color w:val="000000" w:themeColor="text1"/>
          <w:sz w:val="21"/>
          <w:szCs w:val="21"/>
          <w:highlight w:val="none"/>
          <w14:textFill>
            <w14:solidFill>
              <w14:schemeClr w14:val="tx1"/>
            </w14:solidFill>
          </w14:textFill>
        </w:rPr>
        <w:noBreakHyphen/>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begin"/>
      </w:r>
      <w:r>
        <w:rPr>
          <w:rFonts w:hint="eastAsia" w:ascii="Times New Roman" w:hAnsi="Times New Roman" w:eastAsia="黑体" w:cs="Times New Roman"/>
          <w:color w:val="000000" w:themeColor="text1"/>
          <w:sz w:val="21"/>
          <w:szCs w:val="21"/>
          <w:highlight w:val="none"/>
          <w14:textFill>
            <w14:solidFill>
              <w14:schemeClr w14:val="tx1"/>
            </w14:solidFill>
          </w14:textFill>
        </w:rPr>
        <w:instrText xml:space="preserve"> SEQ 表 \* ARABIC \s 2 </w:instrTex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separate"/>
      </w:r>
      <w:r>
        <w:rPr>
          <w:rFonts w:hint="eastAsia" w:ascii="Times New Roman" w:hAnsi="Times New Roman" w:eastAsia="黑体" w:cs="Times New Roman"/>
          <w:color w:val="000000" w:themeColor="text1"/>
          <w:sz w:val="21"/>
          <w:szCs w:val="21"/>
          <w:highlight w:val="none"/>
          <w14:textFill>
            <w14:solidFill>
              <w14:schemeClr w14:val="tx1"/>
            </w14:solidFill>
          </w14:textFill>
        </w:rPr>
        <w:t>2</w:t>
      </w:r>
      <w:r>
        <w:rPr>
          <w:rFonts w:hint="eastAsia" w:ascii="Times New Roman" w:hAnsi="Times New Roman" w:eastAsia="黑体" w:cs="Times New Roman"/>
          <w:color w:val="000000" w:themeColor="text1"/>
          <w:sz w:val="21"/>
          <w:szCs w:val="2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评价范围自然体系受损前后的各类拼块的优势度值</w:t>
      </w:r>
    </w:p>
    <w:tbl>
      <w:tblPr>
        <w:tblStyle w:val="52"/>
        <w:tblW w:w="8220" w:type="dxa"/>
        <w:jc w:val="center"/>
        <w:tblLayout w:type="fixed"/>
        <w:tblCellMar>
          <w:top w:w="0" w:type="dxa"/>
          <w:left w:w="17" w:type="dxa"/>
          <w:bottom w:w="0" w:type="dxa"/>
          <w:right w:w="17" w:type="dxa"/>
        </w:tblCellMar>
      </w:tblPr>
      <w:tblGrid>
        <w:gridCol w:w="1616"/>
        <w:gridCol w:w="898"/>
        <w:gridCol w:w="887"/>
        <w:gridCol w:w="1399"/>
        <w:gridCol w:w="1138"/>
        <w:gridCol w:w="1143"/>
        <w:gridCol w:w="1139"/>
      </w:tblGrid>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sz w:val="21"/>
                <w:szCs w:val="21"/>
                <w:highlight w:val="none"/>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拼块类型</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密度Rd（%）</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频率Rf（%）</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景观比例Lp（%）</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优势度Do（%）</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原有优势度Do（%）</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cs="Times New Roman"/>
                <w:bCs/>
                <w:color w:val="000000" w:themeColor="text1"/>
                <w:kern w:val="0"/>
                <w:sz w:val="21"/>
                <w:szCs w:val="21"/>
                <w:highlight w:val="none"/>
                <w:lang w:bidi="ar"/>
                <w14:textFill>
                  <w14:solidFill>
                    <w14:schemeClr w14:val="tx1"/>
                  </w14:solidFill>
                </w14:textFill>
              </w:rPr>
            </w:pPr>
            <w:r>
              <w:rPr>
                <w:rFonts w:hint="default" w:cs="Times New Roman"/>
                <w:bCs/>
                <w:color w:val="000000" w:themeColor="text1"/>
                <w:kern w:val="0"/>
                <w:sz w:val="21"/>
                <w:szCs w:val="21"/>
                <w:highlight w:val="none"/>
                <w:lang w:bidi="ar"/>
                <w14:textFill>
                  <w14:solidFill>
                    <w14:schemeClr w14:val="tx1"/>
                  </w14:solidFill>
                </w14:textFill>
              </w:rPr>
              <w:t>变幅Do（%）</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森林</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27.73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59.24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58.48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50.99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51.14 </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-0.15 </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灌丛</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2.37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1.25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1.22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1.52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1.52 </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0.00 </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灌草丛</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2.30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1.67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1.92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1.95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2.0</w:t>
            </w:r>
            <w:r>
              <w:rPr>
                <w:rFonts w:hint="eastAsia" w:cs="Times New Roman"/>
                <w:bCs/>
                <w:color w:val="000000" w:themeColor="text1"/>
                <w:kern w:val="0"/>
                <w:sz w:val="21"/>
                <w:szCs w:val="21"/>
                <w:highlight w:val="none"/>
                <w:lang w:val="en-US" w:eastAsia="zh-CN" w:bidi="ar"/>
                <w14:textFill>
                  <w14:solidFill>
                    <w14:schemeClr w14:val="tx1"/>
                  </w14:solidFill>
                </w14:textFill>
              </w:rPr>
              <w:t>1</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-0.06 </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耕地</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34.94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28.64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28.84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30.32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32.35 </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-2.03 </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bidi="ar"/>
                <w14:textFill>
                  <w14:solidFill>
                    <w14:schemeClr w14:val="tx1"/>
                  </w14:solidFill>
                </w14:textFill>
              </w:rPr>
              <w:t>人工生态系统</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27.34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8.12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8.46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13.09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10.85 </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2.24 </w:t>
            </w:r>
          </w:p>
        </w:tc>
      </w:tr>
      <w:tr>
        <w:tblPrEx>
          <w:tblCellMar>
            <w:top w:w="0" w:type="dxa"/>
            <w:left w:w="17" w:type="dxa"/>
            <w:bottom w:w="0" w:type="dxa"/>
            <w:right w:w="17" w:type="dxa"/>
          </w:tblCellMar>
        </w:tblPrEx>
        <w:trPr>
          <w:trHeight w:val="0" w:hRule="atLeast"/>
          <w:jc w:val="center"/>
        </w:trPr>
        <w:tc>
          <w:tcPr>
            <w:tcW w:w="164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eastAsia" w:ascii="Times New Roman" w:hAnsi="Times New Roman" w:cs="Times New Roman"/>
                <w:bCs/>
                <w:color w:val="000000" w:themeColor="text1"/>
                <w:kern w:val="0"/>
                <w:sz w:val="21"/>
                <w:szCs w:val="21"/>
                <w:highlight w:val="none"/>
                <w:lang w:eastAsia="zh-CN" w:bidi="ar"/>
                <w14:textFill>
                  <w14:solidFill>
                    <w14:schemeClr w14:val="tx1"/>
                  </w14:solidFill>
                </w14:textFill>
              </w:rPr>
              <w:t>水面</w:t>
            </w:r>
          </w:p>
        </w:tc>
        <w:tc>
          <w:tcPr>
            <w:tcW w:w="9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5.33 </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1.08 </w:t>
            </w:r>
          </w:p>
        </w:tc>
        <w:tc>
          <w:tcPr>
            <w:tcW w:w="14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eastAsia"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1.08 </w:t>
            </w:r>
          </w:p>
        </w:tc>
        <w:tc>
          <w:tcPr>
            <w:tcW w:w="11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2.14 </w:t>
            </w:r>
          </w:p>
        </w:tc>
        <w:tc>
          <w:tcPr>
            <w:tcW w:w="11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2.14 </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 xml:space="preserve">0.00 </w:t>
            </w:r>
          </w:p>
        </w:tc>
      </w:tr>
    </w:tbl>
    <w:p>
      <w:pPr>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rFonts w:cs="Times New Roman"/>
          <w:bCs/>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w:t>
      </w:r>
      <w:r>
        <w:rPr>
          <w:rFonts w:hint="eastAsia" w:cs="Times New Roman"/>
          <w:bCs/>
          <w:color w:val="000000" w:themeColor="text1"/>
          <w:szCs w:val="24"/>
          <w:highlight w:val="none"/>
          <w:lang w:val="en-US" w:eastAsia="zh-CN"/>
          <w14:textFill>
            <w14:solidFill>
              <w14:schemeClr w14:val="tx1"/>
            </w14:solidFill>
          </w14:textFill>
        </w:rPr>
        <w:t>上表</w:t>
      </w:r>
      <w:r>
        <w:rPr>
          <w:rFonts w:cs="Times New Roman"/>
          <w:bCs/>
          <w:color w:val="000000" w:themeColor="text1"/>
          <w:szCs w:val="24"/>
          <w:highlight w:val="none"/>
          <w14:textFill>
            <w14:solidFill>
              <w14:schemeClr w14:val="tx1"/>
            </w14:solidFill>
          </w14:textFill>
        </w:rPr>
        <w:t>可以看出各拼块的优势度值变化较小，而人工生态系统拼块变幅</w:t>
      </w:r>
      <w:r>
        <w:rPr>
          <w:rFonts w:hint="eastAsia" w:cs="Times New Roman"/>
          <w:bCs/>
          <w:color w:val="000000" w:themeColor="text1"/>
          <w:szCs w:val="24"/>
          <w:highlight w:val="none"/>
          <w14:textFill>
            <w14:solidFill>
              <w14:schemeClr w14:val="tx1"/>
            </w14:solidFill>
          </w14:textFill>
        </w:rPr>
        <w:t>最大</w:t>
      </w:r>
      <w:r>
        <w:rPr>
          <w:rFonts w:cs="Times New Roman"/>
          <w:bCs/>
          <w:color w:val="000000" w:themeColor="text1"/>
          <w:szCs w:val="24"/>
          <w:highlight w:val="none"/>
          <w14:textFill>
            <w14:solidFill>
              <w14:schemeClr w14:val="tx1"/>
            </w14:solidFill>
          </w14:textFill>
        </w:rPr>
        <w:t>是</w:t>
      </w:r>
      <w:r>
        <w:rPr>
          <w:rFonts w:hint="eastAsia" w:cs="Times New Roman"/>
          <w:bCs/>
          <w:color w:val="000000" w:themeColor="text1"/>
          <w:szCs w:val="24"/>
          <w:highlight w:val="none"/>
          <w:lang w:val="en-US" w:eastAsia="zh-CN"/>
          <w14:textFill>
            <w14:solidFill>
              <w14:schemeClr w14:val="tx1"/>
            </w14:solidFill>
          </w14:textFill>
        </w:rPr>
        <w:t>2.24</w:t>
      </w:r>
      <w:r>
        <w:rPr>
          <w:rFonts w:cs="Times New Roman"/>
          <w:bCs/>
          <w:color w:val="000000" w:themeColor="text1"/>
          <w:szCs w:val="24"/>
          <w:highlight w:val="none"/>
          <w14:textFill>
            <w14:solidFill>
              <w14:schemeClr w14:val="tx1"/>
            </w14:solidFill>
          </w14:textFill>
        </w:rPr>
        <w:t>%，森林拼块的景观优势度扔远高于其他拼块，属模地，生态环境不会发生质的变化</w:t>
      </w:r>
      <w:r>
        <w:rPr>
          <w:rFonts w:cs="Times New Roman"/>
          <w:bCs/>
          <w:color w:val="000000" w:themeColor="text1"/>
          <w:highlight w:val="none"/>
          <w14:textFill>
            <w14:solidFill>
              <w14:schemeClr w14:val="tx1"/>
            </w14:solidFill>
          </w14:textFill>
        </w:rPr>
        <w:t>。</w:t>
      </w:r>
    </w:p>
    <w:p>
      <w:pPr>
        <w:ind w:firstLine="480"/>
        <w:rPr>
          <w:rFonts w:cs="Times New Roman"/>
          <w:b/>
          <w:bCs w:val="0"/>
          <w:color w:val="000000" w:themeColor="text1"/>
          <w:highlight w:val="none"/>
          <w14:textFill>
            <w14:solidFill>
              <w14:schemeClr w14:val="tx1"/>
            </w14:solidFill>
          </w14:textFill>
        </w:rPr>
      </w:pPr>
      <w:r>
        <w:rPr>
          <w:rFonts w:cs="Times New Roman"/>
          <w:b/>
          <w:bCs w:val="0"/>
          <w:color w:val="000000" w:themeColor="text1"/>
          <w:highlight w:val="none"/>
          <w14:textFill>
            <w14:solidFill>
              <w14:schemeClr w14:val="tx1"/>
            </w14:solidFill>
          </w14:textFill>
        </w:rPr>
        <w:t>（3）对自然景观协调性影响预测</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项目施工在视觉上会对项目区产生一定的影响，占据一定的数据空间及景观节点，尤其是与周边绿色植被环境形成明显的视觉异质性；</w:t>
      </w:r>
      <w:r>
        <w:rPr>
          <w:rFonts w:hint="eastAsia" w:cs="Times New Roman"/>
          <w:bCs/>
          <w:color w:val="000000" w:themeColor="text1"/>
          <w:highlight w:val="none"/>
          <w:lang w:val="en-US" w:eastAsia="zh-CN"/>
          <w14:textFill>
            <w14:solidFill>
              <w14:schemeClr w14:val="tx1"/>
            </w14:solidFill>
          </w14:textFill>
        </w:rPr>
        <w:t>集输管线</w:t>
      </w:r>
      <w:r>
        <w:rPr>
          <w:rFonts w:cs="Times New Roman"/>
          <w:bCs/>
          <w:color w:val="000000" w:themeColor="text1"/>
          <w:highlight w:val="none"/>
          <w14:textFill>
            <w14:solidFill>
              <w14:schemeClr w14:val="tx1"/>
            </w14:solidFill>
          </w14:textFill>
        </w:rPr>
        <w:t>等线性工程会形成景观廊道，将不可避免的改变沿线传统的视觉环境。本项目施工对周边原本连续的自然景观环境形成切割，对其空间连续性造成一定的破坏。切割山坡、植被，使绿色的背景呈现出明显的人工印迹。建议在项目退役后及时拆除临时建筑设施，恢复植被，尽量采用以当地乡土灌草先锋物种种植为首选的临时植被恢复工程，增加与周围自然景观的协调性。</w:t>
      </w:r>
    </w:p>
    <w:p>
      <w:pPr>
        <w:ind w:firstLine="480"/>
        <w:rPr>
          <w:rFonts w:hint="eastAsia" w:eastAsia="宋体" w:cs="Times New Roman"/>
          <w:b/>
          <w:bCs w:val="0"/>
          <w:color w:val="000000" w:themeColor="text1"/>
          <w:highlight w:val="none"/>
          <w:lang w:eastAsia="zh-CN"/>
          <w14:textFill>
            <w14:solidFill>
              <w14:schemeClr w14:val="tx1"/>
            </w14:solidFill>
          </w14:textFill>
        </w:rPr>
      </w:pPr>
      <w:r>
        <w:rPr>
          <w:rFonts w:hint="eastAsia" w:eastAsia="宋体" w:cs="Times New Roman"/>
          <w:b/>
          <w:bCs w:val="0"/>
          <w:color w:val="000000" w:themeColor="text1"/>
          <w:highlight w:val="none"/>
          <w:lang w:eastAsia="zh-CN"/>
          <w14:textFill>
            <w14:solidFill>
              <w14:schemeClr w14:val="tx1"/>
            </w14:solidFill>
          </w14:textFill>
        </w:rPr>
        <w:t>（</w:t>
      </w:r>
      <w:r>
        <w:rPr>
          <w:rFonts w:hint="eastAsia" w:eastAsia="宋体" w:cs="Times New Roman"/>
          <w:b/>
          <w:bCs w:val="0"/>
          <w:color w:val="000000" w:themeColor="text1"/>
          <w:highlight w:val="none"/>
          <w:lang w:val="en-US" w:eastAsia="zh-CN"/>
          <w14:textFill>
            <w14:solidFill>
              <w14:schemeClr w14:val="tx1"/>
            </w14:solidFill>
          </w14:textFill>
        </w:rPr>
        <w:t>4</w:t>
      </w:r>
      <w:r>
        <w:rPr>
          <w:rFonts w:hint="eastAsia" w:eastAsia="宋体" w:cs="Times New Roman"/>
          <w:b/>
          <w:bCs w:val="0"/>
          <w:color w:val="000000" w:themeColor="text1"/>
          <w:highlight w:val="none"/>
          <w:lang w:eastAsia="zh-CN"/>
          <w14:textFill>
            <w14:solidFill>
              <w14:schemeClr w14:val="tx1"/>
            </w14:solidFill>
          </w14:textFill>
        </w:rPr>
        <w:t>）线路廊道区的生态和景观阻隔效应分析</w:t>
      </w:r>
    </w:p>
    <w:p>
      <w:pPr>
        <w:ind w:firstLine="480"/>
        <w:rPr>
          <w:rFonts w:hint="eastAsia" w:cs="Times New Roman"/>
          <w:bCs/>
          <w:color w:val="000000" w:themeColor="text1"/>
          <w:highlight w:val="none"/>
          <w:lang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项目管线占地均为临时占地，在施工期</w:t>
      </w:r>
      <w:r>
        <w:rPr>
          <w:rFonts w:hint="default" w:cs="Times New Roman"/>
          <w:bCs/>
          <w:color w:val="000000" w:themeColor="text1"/>
          <w:highlight w:val="none"/>
          <w14:textFill>
            <w14:solidFill>
              <w14:schemeClr w14:val="tx1"/>
            </w14:solidFill>
          </w14:textFill>
        </w:rPr>
        <w:t>将不可避免的改变沿线传统的视觉环境</w:t>
      </w:r>
      <w:r>
        <w:rPr>
          <w:rFonts w:hint="eastAsia" w:cs="Times New Roman"/>
          <w:bCs/>
          <w:color w:val="000000" w:themeColor="text1"/>
          <w:highlight w:val="none"/>
          <w:lang w:eastAsia="zh-CN"/>
          <w14:textFill>
            <w14:solidFill>
              <w14:schemeClr w14:val="tx1"/>
            </w14:solidFill>
          </w14:textFill>
        </w:rPr>
        <w:t>，本环评要求，项目建成后，要及时</w:t>
      </w:r>
      <w:r>
        <w:rPr>
          <w:rFonts w:hint="default" w:cs="Times New Roman"/>
          <w:bCs/>
          <w:color w:val="000000" w:themeColor="text1"/>
          <w:highlight w:val="none"/>
          <w14:textFill>
            <w14:solidFill>
              <w14:schemeClr w14:val="tx1"/>
            </w14:solidFill>
          </w14:textFill>
        </w:rPr>
        <w:t>拆除临时建筑设施，恢复植被，尽量采用以当地乡土灌草先锋物种种植为首选的临时植被恢复工程，</w:t>
      </w:r>
      <w:r>
        <w:rPr>
          <w:rFonts w:hint="eastAsia" w:cs="Times New Roman"/>
          <w:bCs/>
          <w:color w:val="000000" w:themeColor="text1"/>
          <w:highlight w:val="none"/>
          <w:lang w:eastAsia="zh-CN"/>
          <w14:textFill>
            <w14:solidFill>
              <w14:schemeClr w14:val="tx1"/>
            </w14:solidFill>
          </w14:textFill>
        </w:rPr>
        <w:t>对穿越公益林段，栽植原占用树种马尾松并结合</w:t>
      </w:r>
      <w:r>
        <w:rPr>
          <w:rFonts w:hint="default" w:cs="Times New Roman"/>
          <w:bCs/>
          <w:color w:val="000000" w:themeColor="text1"/>
          <w:highlight w:val="none"/>
          <w14:textFill>
            <w14:solidFill>
              <w14:schemeClr w14:val="tx1"/>
            </w14:solidFill>
          </w14:textFill>
        </w:rPr>
        <w:t>乡土灌草先锋物种种植</w:t>
      </w:r>
      <w:r>
        <w:rPr>
          <w:rFonts w:hint="eastAsia" w:cs="Times New Roman"/>
          <w:bCs/>
          <w:color w:val="000000" w:themeColor="text1"/>
          <w:highlight w:val="none"/>
          <w:lang w:eastAsia="zh-CN"/>
          <w14:textFill>
            <w14:solidFill>
              <w14:schemeClr w14:val="tx1"/>
            </w14:solidFill>
          </w14:textFill>
        </w:rPr>
        <w:t>。项目区亚热带温暖湿润气候特点，可快速恢复植被，快速</w:t>
      </w:r>
      <w:r>
        <w:rPr>
          <w:rFonts w:hint="default" w:cs="Times New Roman"/>
          <w:bCs/>
          <w:color w:val="000000" w:themeColor="text1"/>
          <w:highlight w:val="none"/>
          <w14:textFill>
            <w14:solidFill>
              <w14:schemeClr w14:val="tx1"/>
            </w14:solidFill>
          </w14:textFill>
        </w:rPr>
        <w:t>增加与周围自然景观的协调性</w:t>
      </w:r>
      <w:r>
        <w:rPr>
          <w:rFonts w:hint="eastAsia" w:cs="Times New Roman"/>
          <w:bCs/>
          <w:color w:val="000000" w:themeColor="text1"/>
          <w:highlight w:val="none"/>
          <w:lang w:eastAsia="zh-CN"/>
          <w14:textFill>
            <w14:solidFill>
              <w14:schemeClr w14:val="tx1"/>
            </w14:solidFill>
          </w14:textFill>
        </w:rPr>
        <w:t>，将</w:t>
      </w:r>
      <w:r>
        <w:rPr>
          <w:rFonts w:cs="Times New Roman"/>
          <w:bCs/>
          <w:color w:val="000000" w:themeColor="text1"/>
          <w:highlight w:val="none"/>
          <w14:textFill>
            <w14:solidFill>
              <w14:schemeClr w14:val="tx1"/>
            </w14:solidFill>
          </w14:textFill>
        </w:rPr>
        <w:t>生态和景观阻隔效应</w:t>
      </w:r>
      <w:r>
        <w:rPr>
          <w:rFonts w:hint="eastAsia" w:cs="Times New Roman"/>
          <w:bCs/>
          <w:color w:val="000000" w:themeColor="text1"/>
          <w:highlight w:val="none"/>
          <w:lang w:eastAsia="zh-CN"/>
          <w14:textFill>
            <w14:solidFill>
              <w14:schemeClr w14:val="tx1"/>
            </w14:solidFill>
          </w14:textFill>
        </w:rPr>
        <w:t>降到最低。</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对生态系统类型影响分析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利用GIS软件，</w:t>
      </w:r>
      <w:r>
        <w:rPr>
          <w:rFonts w:hint="default" w:ascii="Times New Roman" w:hAnsi="Times New Roman" w:eastAsia="宋体" w:cs="Times New Roman"/>
          <w:b w:val="0"/>
          <w:bCs/>
          <w:color w:val="000000" w:themeColor="text1"/>
          <w:sz w:val="24"/>
          <w:highlight w:val="none"/>
          <w14:textFill>
            <w14:solidFill>
              <w14:schemeClr w14:val="tx1"/>
            </w14:solidFill>
          </w14:textFill>
        </w:rPr>
        <w:t>采用图形叠置分析可知，项目占用的生态系统类型主要为</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森林</w:t>
      </w:r>
      <w:r>
        <w:rPr>
          <w:rFonts w:hint="default" w:ascii="Times New Roman" w:hAnsi="Times New Roman" w:eastAsia="宋体" w:cs="Times New Roman"/>
          <w:b w:val="0"/>
          <w:bCs/>
          <w:color w:val="000000" w:themeColor="text1"/>
          <w:sz w:val="24"/>
          <w:highlight w:val="none"/>
          <w14:textFill>
            <w14:solidFill>
              <w14:schemeClr w14:val="tx1"/>
            </w14:solidFill>
          </w14:textFill>
        </w:rPr>
        <w:t>生态系统</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和耕地生态系统</w:t>
      </w:r>
      <w:r>
        <w:rPr>
          <w:rFonts w:hint="default" w:ascii="Times New Roman" w:hAnsi="Times New Roman" w:eastAsia="宋体" w:cs="Times New Roman"/>
          <w:b w:val="0"/>
          <w:bCs/>
          <w:color w:val="000000" w:themeColor="text1"/>
          <w:sz w:val="24"/>
          <w:highlight w:val="none"/>
          <w14:textFill>
            <w14:solidFill>
              <w14:schemeClr w14:val="tx1"/>
            </w14:solidFill>
          </w14:textFill>
        </w:rPr>
        <w:t>，面积</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分别</w:t>
      </w:r>
      <w:r>
        <w:rPr>
          <w:rFonts w:hint="default" w:ascii="Times New Roman" w:hAnsi="Times New Roman" w:eastAsia="宋体" w:cs="Times New Roman"/>
          <w:b w:val="0"/>
          <w:bCs/>
          <w:color w:val="000000" w:themeColor="text1"/>
          <w:sz w:val="24"/>
          <w:highlight w:val="none"/>
          <w14:textFill>
            <w14:solidFill>
              <w14:schemeClr w14:val="tx1"/>
            </w14:solidFill>
          </w14:textFill>
        </w:rPr>
        <w:t>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0.33</w:t>
      </w:r>
      <w:r>
        <w:rPr>
          <w:rFonts w:hint="default" w:ascii="Times New Roman" w:hAnsi="Times New Roman" w:eastAsia="宋体" w:cs="Times New Roman"/>
          <w:b w:val="0"/>
          <w:bCs/>
          <w:color w:val="000000" w:themeColor="text1"/>
          <w:sz w:val="24"/>
          <w:highlight w:val="none"/>
          <w14:textFill>
            <w14:solidFill>
              <w14:schemeClr w14:val="tx1"/>
            </w14:solidFill>
          </w14:textFill>
        </w:rPr>
        <w:t>hm</w:t>
      </w:r>
      <w:r>
        <w:rPr>
          <w:rFonts w:hint="default" w:ascii="Times New Roman" w:hAnsi="Times New Roman" w:eastAsia="宋体" w:cs="Times New Roman"/>
          <w:b w:val="0"/>
          <w:bCs/>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和</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2.</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185</w:t>
      </w:r>
      <w:r>
        <w:rPr>
          <w:rFonts w:hint="default" w:ascii="Times New Roman" w:hAnsi="Times New Roman" w:eastAsia="宋体" w:cs="Times New Roman"/>
          <w:b w:val="0"/>
          <w:bCs/>
          <w:color w:val="000000" w:themeColor="text1"/>
          <w:sz w:val="24"/>
          <w:highlight w:val="none"/>
          <w14:textFill>
            <w14:solidFill>
              <w14:schemeClr w14:val="tx1"/>
            </w14:solidFill>
          </w14:textFill>
        </w:rPr>
        <w:t>hm</w:t>
      </w:r>
      <w:r>
        <w:rPr>
          <w:rFonts w:hint="default" w:ascii="Times New Roman" w:hAnsi="Times New Roman" w:eastAsia="宋体" w:cs="Times New Roman"/>
          <w:b w:val="0"/>
          <w:bCs/>
          <w:color w:val="000000" w:themeColor="text1"/>
          <w:sz w:val="24"/>
          <w:highlight w:val="none"/>
          <w:vertAlign w:val="superscript"/>
          <w14:textFill>
            <w14:solidFill>
              <w14:schemeClr w14:val="tx1"/>
            </w14:solidFill>
          </w14:textFill>
        </w:rPr>
        <w:t>2</w:t>
      </w:r>
      <w:r>
        <w:rPr>
          <w:rFonts w:hint="eastAsia" w:cs="Times New Roman"/>
          <w:bCs/>
          <w:color w:val="000000" w:themeColor="text1"/>
          <w:highlight w:val="none"/>
          <w14:textFill>
            <w14:solidFill>
              <w14:schemeClr w14:val="tx1"/>
            </w14:solidFill>
          </w14:textFill>
        </w:rPr>
        <w:t>。</w:t>
      </w:r>
    </w:p>
    <w:p>
      <w:pPr>
        <w:ind w:firstLine="480"/>
        <w:rPr>
          <w:rFonts w:cs="Times New Roman"/>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项目占用的生态系统类型属于评价范围内普遍分布的类型，项目占地损失总生产力</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10.94</w:t>
      </w:r>
      <w:r>
        <w:rPr>
          <w:rFonts w:hint="default" w:ascii="Times New Roman" w:hAnsi="Times New Roman" w:eastAsia="宋体" w:cs="Times New Roman"/>
          <w:b w:val="0"/>
          <w:bCs/>
          <w:color w:val="000000" w:themeColor="text1"/>
          <w:sz w:val="24"/>
          <w:highlight w:val="none"/>
          <w14:textFill>
            <w14:solidFill>
              <w14:schemeClr w14:val="tx1"/>
            </w14:solidFill>
          </w14:textFill>
        </w:rPr>
        <w:t>tc/a，损失总生物量为</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52.66</w:t>
      </w:r>
      <w:r>
        <w:rPr>
          <w:rFonts w:hint="default" w:ascii="Times New Roman" w:hAnsi="Times New Roman" w:eastAsia="宋体" w:cs="Times New Roman"/>
          <w:b w:val="0"/>
          <w:bCs/>
          <w:color w:val="000000" w:themeColor="text1"/>
          <w:sz w:val="24"/>
          <w:highlight w:val="none"/>
          <w14:textFill>
            <w14:solidFill>
              <w14:schemeClr w14:val="tx1"/>
            </w14:solidFill>
          </w14:textFill>
        </w:rPr>
        <w:t>t，占评价区总生产力和总生物量的比例为</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4"/>
          <w:highlight w:val="none"/>
          <w14:textFill>
            <w14:solidFill>
              <w14:schemeClr w14:val="tx1"/>
            </w14:solidFill>
          </w14:textFill>
        </w:rPr>
        <w:t>%和</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0.76</w:t>
      </w:r>
      <w:r>
        <w:rPr>
          <w:rFonts w:hint="default" w:ascii="Times New Roman" w:hAnsi="Times New Roman" w:eastAsia="宋体" w:cs="Times New Roman"/>
          <w:b w:val="0"/>
          <w:bCs/>
          <w:color w:val="000000" w:themeColor="text1"/>
          <w:sz w:val="24"/>
          <w:highlight w:val="none"/>
          <w14:textFill>
            <w14:solidFill>
              <w14:schemeClr w14:val="tx1"/>
            </w14:solidFill>
          </w14:textFill>
        </w:rPr>
        <w:t>%，占比极低</w:t>
      </w:r>
      <w:r>
        <w:rPr>
          <w:rFonts w:cs="Times New Roman"/>
          <w:bCs/>
          <w:color w:val="000000" w:themeColor="text1"/>
          <w:highlight w:val="none"/>
          <w14:textFill>
            <w14:solidFill>
              <w14:schemeClr w14:val="tx1"/>
            </w14:solidFill>
          </w14:textFill>
        </w:rPr>
        <w:t>。</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建设不会对该区域植被分布情况造成大的改变，项目对评价区内的自然生态系统的完整性和结构稳定性影响较小，随着退役后占地设施拆除和地形地貌以及植被恢复措施的实施，评价区内自然生态系统面积、结构和功能会得到进一步恢复；生态系统的结构与功能完整性、以及生态服务功能的完整性并不会受到项目建设的直接影响，依然具有维持良性发展的潜力。</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对生态系统结构稳定性分析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项目占地主要为井场、进场道路、放喷池、</w:t>
      </w:r>
      <w:r>
        <w:rPr>
          <w:rFonts w:hint="eastAsia" w:cs="Times New Roman"/>
          <w:bCs/>
          <w:color w:val="000000" w:themeColor="text1"/>
          <w:highlight w:val="none"/>
          <w:lang w:val="en-US" w:eastAsia="zh-CN"/>
          <w14:textFill>
            <w14:solidFill>
              <w14:schemeClr w14:val="tx1"/>
            </w14:solidFill>
          </w14:textFill>
        </w:rPr>
        <w:t>清水池</w:t>
      </w:r>
      <w:r>
        <w:rPr>
          <w:rFonts w:cs="Times New Roman"/>
          <w:bCs/>
          <w:color w:val="000000" w:themeColor="text1"/>
          <w:highlight w:val="none"/>
          <w14:textFill>
            <w14:solidFill>
              <w14:schemeClr w14:val="tx1"/>
            </w14:solidFill>
          </w14:textFill>
        </w:rPr>
        <w:t>、集输管道、施工便道、表土堆场、生活营地占地，</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占地总面积</w:t>
      </w:r>
      <w:r>
        <w:rPr>
          <w:rFonts w:hint="eastAsia" w:cs="Times New Roman"/>
          <w:b w:val="0"/>
          <w:bCs/>
          <w:color w:val="000000" w:themeColor="text1"/>
          <w:sz w:val="24"/>
          <w:highlight w:val="none"/>
          <w:lang w:val="en-US" w:eastAsia="zh-CN"/>
          <w14:textFill>
            <w14:solidFill>
              <w14:schemeClr w14:val="tx1"/>
            </w14:solidFill>
          </w14:textFill>
        </w:rPr>
        <w:t>1.2808hm</w:t>
      </w:r>
      <w:r>
        <w:rPr>
          <w:rFonts w:hint="default" w:ascii="Times New Roman" w:hAnsi="Times New Roman" w:eastAsia="宋体" w:cs="Times New Roman"/>
          <w:b w:val="0"/>
          <w:bCs/>
          <w:color w:val="000000" w:themeColor="text1"/>
          <w:sz w:val="24"/>
          <w:highlight w:val="none"/>
          <w:vertAlign w:val="super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，占评价范围总面积的</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22</w:t>
      </w:r>
      <w:r>
        <w:rPr>
          <w:rFonts w:hint="default" w:ascii="Times New Roman" w:hAnsi="Times New Roman" w:eastAsia="宋体" w:cs="Times New Roman"/>
          <w:b w:val="0"/>
          <w:bCs/>
          <w:color w:val="000000" w:themeColor="text1"/>
          <w:sz w:val="24"/>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，不会对该区域植被分布情况和植被群落结</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成</w:t>
      </w:r>
      <w:r>
        <w:rPr>
          <w:rFonts w:hint="eastAsia" w:cs="Times New Roman"/>
          <w:bCs/>
          <w:color w:val="000000" w:themeColor="text1"/>
          <w:highlight w:val="none"/>
          <w:lang w:val="en-US" w:eastAsia="zh-CN"/>
          <w14:textFill>
            <w14:solidFill>
              <w14:schemeClr w14:val="tx1"/>
            </w14:solidFill>
          </w14:textFill>
        </w:rPr>
        <w:t>明显</w:t>
      </w:r>
      <w:r>
        <w:rPr>
          <w:rFonts w:cs="Times New Roman"/>
          <w:bCs/>
          <w:color w:val="000000" w:themeColor="text1"/>
          <w:highlight w:val="none"/>
          <w14:textFill>
            <w14:solidFill>
              <w14:schemeClr w14:val="tx1"/>
            </w14:solidFill>
          </w14:textFill>
        </w:rPr>
        <w:t>改变，项目对评价区内的草地自然生态系统的类型完整性和结构稳定性影响可忽略不计，随着退役后占地设施拆除和地形地貌以及植被恢复措施的实施，评价区内各生态系统（尤其是灌丛和草地）面积、结构和功能会得到进一步恢复；各类生态系统的结构与功能完整性、以及生态服务功能的完整性并不会受到项目施工运营的直接影响，依然具有维持良性发展的潜力。</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对生态系统完整性的影响分析</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default" w:ascii="Times New Roman" w:hAnsi="Times New Roman" w:eastAsia="黑体" w:cs="Times New Roman"/>
          <w:bCs/>
          <w:color w:val="000000" w:themeColor="text1"/>
          <w:highlight w:val="none"/>
          <w14:textFill>
            <w14:solidFill>
              <w14:schemeClr w14:val="tx1"/>
            </w14:solidFill>
          </w14:textFill>
        </w:rPr>
        <w:t>1、对生态效能的影响</w:t>
      </w:r>
    </w:p>
    <w:p>
      <w:pPr>
        <w:adjustRightInd/>
        <w:snapToGrid/>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施工占用的植被均属于当地常见的物种，项目建设虽然会对该区域的生态环境和生态效能产生一定影响，但是局部植被资源的减少对区域生态效能影响不大。同时，项目在设计与施工各个环节中采取多种水土保持措施，项目退役后通过地形地貌及植被更新恢复，可保持较稳定的生态系统，因此项目建设对生态效能的影响可忽略不计。</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default" w:ascii="Times New Roman" w:hAnsi="Times New Roman" w:eastAsia="黑体" w:cs="Times New Roman"/>
          <w:bCs/>
          <w:color w:val="000000" w:themeColor="text1"/>
          <w:highlight w:val="none"/>
          <w14:textFill>
            <w14:solidFill>
              <w14:schemeClr w14:val="tx1"/>
            </w14:solidFill>
          </w14:textFill>
        </w:rPr>
        <w:t>2、对景观风貌的影响</w:t>
      </w:r>
    </w:p>
    <w:p>
      <w:pPr>
        <w:adjustRightInd/>
        <w:snapToGrid/>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建设产生的表土剥离、运输等活动，均会影响土体的结构，降低原来地表的固土保水能力，改变其结构特征，自然景观受到一定影响，但在项目退役后，随着占地设施拆除及植被自然恢复，项目区范围内的动、植物的繁衍条件将得以恢复，景观风貌也会逐步恢复。</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default" w:ascii="Times New Roman" w:hAnsi="Times New Roman" w:eastAsia="黑体" w:cs="Times New Roman"/>
          <w:bCs/>
          <w:color w:val="000000" w:themeColor="text1"/>
          <w:highlight w:val="none"/>
          <w14:textFill>
            <w14:solidFill>
              <w14:schemeClr w14:val="tx1"/>
            </w14:solidFill>
          </w14:textFill>
        </w:rPr>
        <w:t>3、对环境质量的影响</w:t>
      </w:r>
    </w:p>
    <w:p>
      <w:pPr>
        <w:adjustRightInd/>
        <w:snapToGrid/>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建设过程中将造成一定的地表植被破坏，加剧水土流失；占地区表土剥离、运输、堆放等过程产生的扬尘和粉尘，造成小部分空气环境污染；施工中产生的废水、生活污水可能引起周边水质暂时的污染。但其不利影响是短暂的，项目建设过程中采取的技术措施可最大程度减少负面影响，项目建设对环境质量的影响很小。</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default" w:ascii="Times New Roman" w:hAnsi="Times New Roman" w:eastAsia="黑体" w:cs="Times New Roman"/>
          <w:bCs/>
          <w:color w:val="000000" w:themeColor="text1"/>
          <w:highlight w:val="none"/>
          <w14:textFill>
            <w14:solidFill>
              <w14:schemeClr w14:val="tx1"/>
            </w14:solidFill>
          </w14:textFill>
        </w:rPr>
        <w:t>4、对物种多样性的影响</w:t>
      </w:r>
    </w:p>
    <w:p>
      <w:pPr>
        <w:adjustRightInd/>
        <w:snapToGrid/>
        <w:ind w:firstLine="480"/>
        <w:rPr>
          <w:rFonts w:cs="Times New Roman"/>
          <w:bCs/>
          <w:color w:val="000000" w:themeColor="text1"/>
          <w:highlight w:val="none"/>
          <w14:textFill>
            <w14:solidFill>
              <w14:schemeClr w14:val="tx1"/>
            </w14:solidFill>
          </w14:textFill>
        </w:rPr>
      </w:pPr>
      <w:r>
        <w:rPr>
          <w:rFonts w:hint="default" w:cs="Times New Roman"/>
          <w:bCs/>
          <w:color w:val="000000" w:themeColor="text1"/>
          <w:highlight w:val="none"/>
          <w14:textFill>
            <w14:solidFill>
              <w14:schemeClr w14:val="tx1"/>
            </w14:solidFill>
          </w14:textFill>
        </w:rPr>
        <w:t>项目占地范围自然植被类型主要有</w:t>
      </w:r>
      <w:r>
        <w:rPr>
          <w:rFonts w:hint="default" w:cs="Times New Roman"/>
          <w:bCs/>
          <w:color w:val="000000" w:themeColor="text1"/>
          <w:highlight w:val="none"/>
          <w:lang w:eastAsia="zh-CN"/>
          <w14:textFill>
            <w14:solidFill>
              <w14:schemeClr w14:val="tx1"/>
            </w14:solidFill>
          </w14:textFill>
        </w:rPr>
        <w:t>芒、白茅</w:t>
      </w:r>
      <w:r>
        <w:rPr>
          <w:rFonts w:hint="default" w:cs="Times New Roman"/>
          <w:bCs/>
          <w:color w:val="000000" w:themeColor="text1"/>
          <w:highlight w:val="none"/>
          <w14:textFill>
            <w14:solidFill>
              <w14:schemeClr w14:val="tx1"/>
            </w14:solidFill>
          </w14:textFill>
        </w:rPr>
        <w:t>等灌草丛植被，群落结构和组成相对简单，且均为当地常见类型，分布较广，施工期对生物群落多样性、生态系统多样性及完整性的影响较小，项目占地不会对用地范围物种多样性和生态功能产生较大影响。</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综上所述，项目建设对项目区及周边区域生态效能、景观风貌、环境质量、物种多样性等生态因子影响很小，项目建设不会对区域生态完整性产生影响。</w:t>
      </w:r>
    </w:p>
    <w:p>
      <w:pPr>
        <w:pStyle w:val="5"/>
        <w:pageBreakBefore w:val="0"/>
        <w:widowControl w:val="0"/>
        <w:kinsoku/>
        <w:wordWrap/>
        <w:overflowPunct/>
        <w:topLinePunct w:val="0"/>
        <w:autoSpaceDE/>
        <w:autoSpaceDN/>
        <w:bidi w:val="0"/>
        <w:adjustRightInd w:val="0"/>
        <w:snapToGrid w:val="0"/>
        <w:spacing w:before="0" w:beforeLines="0" w:line="360" w:lineRule="auto"/>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对生态系统服务功能的影响分析</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eastAsia" w:ascii="Times New Roman" w:hAnsi="Times New Roman" w:eastAsia="黑体" w:cs="Times New Roman"/>
          <w:bCs/>
          <w:color w:val="000000" w:themeColor="text1"/>
          <w:highlight w:val="none"/>
          <w:lang w:val="en-US" w:eastAsia="zh-CN"/>
          <w14:textFill>
            <w14:solidFill>
              <w14:schemeClr w14:val="tx1"/>
            </w14:solidFill>
          </w14:textFill>
        </w:rPr>
        <w:t>1、</w:t>
      </w:r>
      <w:r>
        <w:rPr>
          <w:rFonts w:hint="default" w:ascii="Times New Roman" w:hAnsi="Times New Roman" w:eastAsia="黑体" w:cs="Times New Roman"/>
          <w:bCs/>
          <w:color w:val="000000" w:themeColor="text1"/>
          <w:highlight w:val="none"/>
          <w14:textFill>
            <w14:solidFill>
              <w14:schemeClr w14:val="tx1"/>
            </w14:solidFill>
          </w14:textFill>
        </w:rPr>
        <w:t>水土流失与水源涵养功能的影响</w:t>
      </w:r>
    </w:p>
    <w:p>
      <w:pPr>
        <w:ind w:firstLine="480"/>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评价区地表植被覆盖度高，但由于地形地貌的特殊性和降水量较大等特点使得水力侵蚀过程明显。项目建设对评价区水土流失的影响主要集中在项目建设期施工占地，如果不能及时采取相应的防护措施处理或治理，会造成新的水土流失。在项目施工过程中要尽量减少了对周边区域地表植被的破坏，并对填挖高度进行严格的控制。</w:t>
      </w:r>
    </w:p>
    <w:p>
      <w:pPr>
        <w:ind w:firstLine="480"/>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森林和灌草丛等在评价区内发挥着较为重要的水源涵养功能，因此在施工结束及运营阶段应特别注重林草种植和植被恢复，通过增加植被覆盖，促进土壤蓄渗降水；而乔灌的枯枝落叶层吸收水分等方式对水资源进行充分利用，尽量选择乡土阔叶植物作为恢复树种，注意因地制宜和加强管理。</w:t>
      </w:r>
    </w:p>
    <w:p>
      <w:pPr>
        <w:adjustRightInd/>
        <w:snapToGrid/>
        <w:ind w:firstLine="480"/>
        <w:rPr>
          <w:rFonts w:hint="eastAsia" w:ascii="Times New Roman" w:hAnsi="Times New Roman" w:eastAsia="黑体" w:cs="Times New Roman"/>
          <w:bCs/>
          <w:color w:val="000000" w:themeColor="text1"/>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highlight w:val="none"/>
          <w:lang w:val="en-US" w:eastAsia="zh-CN"/>
          <w14:textFill>
            <w14:solidFill>
              <w14:schemeClr w14:val="tx1"/>
            </w14:solidFill>
          </w14:textFill>
        </w:rPr>
        <w:t>2、对其它生态服务功能的影响</w:t>
      </w:r>
    </w:p>
    <w:p>
      <w:pPr>
        <w:ind w:firstLine="480"/>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评价区内陆生生态资源除具有防止水土流失和水源涵养功能外，还具有保育土壤功能、净化大气环境、固碳释放以及积累营养物质等多种生态服务功能。其中保育土壤主要是指森林中活地被物和凋落物层层截留降水，降低水滴对表土的冲击和地表径流的侵蚀作用；同时林木根系固持土壤，防止土壤崩塌泻溜，减少土壤肥力损失以及改善土壤结构的功能，这就要求施工和试采期间的闲置土地及裸地应及时种植植被，以减少土壤养分的流失。本项目建设尽管占用了部分乔灌草丛等自然生态系统，部分改变了土地利用类型，但对评价区内自然生态系统肩负的维持生物多样性、净化空气、调节小气候等生态服务功能的影响还是非常间接和有限的。</w:t>
      </w:r>
    </w:p>
    <w:p>
      <w:pPr>
        <w:ind w:firstLine="480"/>
        <w:rPr>
          <w:rFonts w:ascii="Times New Roman" w:hAnsi="Times New Roman" w:cs="Times New Roman"/>
          <w:bCs/>
          <w:color w:val="000000" w:themeColor="text1"/>
          <w:highlight w:val="none"/>
          <w14:textFill>
            <w14:solidFill>
              <w14:schemeClr w14:val="tx1"/>
            </w14:solidFill>
          </w14:textFill>
        </w:rPr>
      </w:pPr>
      <w:r>
        <w:rPr>
          <w:rFonts w:ascii="Times New Roman" w:hAnsi="Times New Roman" w:cs="Times New Roman"/>
          <w:bCs/>
          <w:color w:val="000000" w:themeColor="text1"/>
          <w:highlight w:val="none"/>
          <w14:textFill>
            <w14:solidFill>
              <w14:schemeClr w14:val="tx1"/>
            </w14:solidFill>
          </w14:textFill>
        </w:rPr>
        <w:t>综上所述，本项目的建设对评价范围生态环境会有一定的影响，但不会显著改变评价范围的植物物种多样性状况、植被组成类型、动物多样性和种群结构组成。项目建设对景观生态系统的影响范围有限，评价范围内各类拼块构成、廊道类型和基质特点、各类环境资源拼块优势度等景观格局和动态不会发生明显变化；森林生态系统、灌丛和草地生态系统和河流生态系统的稳定性和景观完整性没有显著影响。在采取植被恢复、水土流失防治措施、野生动植物保护等措施的情况下，本项目造成的生态影响可得到有效减缓，生态系统的稳定性尚好。</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对物种多样性的影响分析</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项目占用的生态系统类型主要为</w:t>
      </w:r>
      <w:r>
        <w:rPr>
          <w:rFonts w:hint="default" w:ascii="Times New Roman" w:hAnsi="Times New Roman" w:cs="Times New Roman"/>
          <w:bCs/>
          <w:color w:val="000000" w:themeColor="text1"/>
          <w:highlight w:val="none"/>
          <w:lang w:eastAsia="zh-CN"/>
          <w14:textFill>
            <w14:solidFill>
              <w14:schemeClr w14:val="tx1"/>
            </w14:solidFill>
          </w14:textFill>
        </w:rPr>
        <w:t>耕地生态系统、森林</w:t>
      </w:r>
      <w:r>
        <w:rPr>
          <w:rFonts w:hint="default" w:ascii="Times New Roman" w:hAnsi="Times New Roman" w:cs="Times New Roman"/>
          <w:bCs/>
          <w:color w:val="000000" w:themeColor="text1"/>
          <w:highlight w:val="none"/>
          <w14:textFill>
            <w14:solidFill>
              <w14:schemeClr w14:val="tx1"/>
            </w14:solidFill>
          </w14:textFill>
        </w:rPr>
        <w:t>生态系统，面积</w:t>
      </w:r>
      <w:r>
        <w:rPr>
          <w:rFonts w:hint="default" w:ascii="Times New Roman" w:hAnsi="Times New Roman" w:cs="Times New Roman"/>
          <w:bCs/>
          <w:color w:val="000000" w:themeColor="text1"/>
          <w:highlight w:val="none"/>
          <w:lang w:eastAsia="zh-CN"/>
          <w14:textFill>
            <w14:solidFill>
              <w14:schemeClr w14:val="tx1"/>
            </w14:solidFill>
          </w14:textFill>
        </w:rPr>
        <w:t>分别</w:t>
      </w:r>
      <w:r>
        <w:rPr>
          <w:rFonts w:hint="default" w:ascii="Times New Roman" w:hAnsi="Times New Roman" w:cs="Times New Roman"/>
          <w:bCs/>
          <w:color w:val="000000" w:themeColor="text1"/>
          <w:highlight w:val="none"/>
          <w14:textFill>
            <w14:solidFill>
              <w14:schemeClr w14:val="tx1"/>
            </w14:solidFill>
          </w14:textFill>
        </w:rPr>
        <w:t>为</w:t>
      </w:r>
      <w:r>
        <w:rPr>
          <w:rFonts w:hint="eastAsia" w:ascii="Times New Roman" w:hAnsi="Times New Roman" w:cs="Times New Roman"/>
          <w:bCs/>
          <w:color w:val="000000" w:themeColor="text1"/>
          <w:highlight w:val="none"/>
          <w:lang w:val="en-US" w:eastAsia="zh-CN"/>
          <w14:textFill>
            <w14:solidFill>
              <w14:schemeClr w14:val="tx1"/>
            </w14:solidFill>
          </w14:textFill>
        </w:rPr>
        <w:t>2.185</w:t>
      </w:r>
      <w:r>
        <w:rPr>
          <w:rFonts w:hint="default" w:ascii="Times New Roman" w:hAnsi="Times New Roman" w:cs="Times New Roman"/>
          <w:bCs/>
          <w:color w:val="000000" w:themeColor="text1"/>
          <w:highlight w:val="none"/>
          <w14:textFill>
            <w14:solidFill>
              <w14:schemeClr w14:val="tx1"/>
            </w14:solidFill>
          </w14:textFill>
        </w:rPr>
        <w:t>hm</w:t>
      </w:r>
      <w:r>
        <w:rPr>
          <w:rFonts w:hint="default" w:ascii="Times New Roman" w:hAnsi="Times New Roman" w:cs="Times New Roman"/>
          <w:bCs/>
          <w:color w:val="000000" w:themeColor="text1"/>
          <w:highlight w:val="none"/>
          <w:vertAlign w:val="superscript"/>
          <w14:textFill>
            <w14:solidFill>
              <w14:schemeClr w14:val="tx1"/>
            </w14:solidFill>
          </w14:textFill>
        </w:rPr>
        <w:t>2</w:t>
      </w:r>
      <w:r>
        <w:rPr>
          <w:rFonts w:hint="default" w:ascii="Times New Roman" w:hAnsi="Times New Roman" w:cs="Times New Roman"/>
          <w:bCs/>
          <w:color w:val="000000" w:themeColor="text1"/>
          <w:highlight w:val="none"/>
          <w:lang w:eastAsia="zh-CN"/>
          <w14:textFill>
            <w14:solidFill>
              <w14:schemeClr w14:val="tx1"/>
            </w14:solidFill>
          </w14:textFill>
        </w:rPr>
        <w:t>和</w:t>
      </w:r>
      <w:r>
        <w:rPr>
          <w:rFonts w:hint="eastAsia" w:ascii="Times New Roman" w:hAnsi="Times New Roman" w:cs="Times New Roman"/>
          <w:bCs/>
          <w:color w:val="000000" w:themeColor="text1"/>
          <w:highlight w:val="none"/>
          <w:lang w:val="en-US" w:eastAsia="zh-CN"/>
          <w14:textFill>
            <w14:solidFill>
              <w14:schemeClr w14:val="tx1"/>
            </w14:solidFill>
          </w14:textFill>
        </w:rPr>
        <w:t>0.33</w:t>
      </w:r>
      <w:r>
        <w:rPr>
          <w:rFonts w:hint="default" w:ascii="Times New Roman" w:hAnsi="Times New Roman" w:cs="Times New Roman"/>
          <w:bCs/>
          <w:color w:val="000000" w:themeColor="text1"/>
          <w:highlight w:val="none"/>
          <w14:textFill>
            <w14:solidFill>
              <w14:schemeClr w14:val="tx1"/>
            </w14:solidFill>
          </w14:textFill>
        </w:rPr>
        <w:t>hm</w:t>
      </w:r>
      <w:r>
        <w:rPr>
          <w:rFonts w:hint="default" w:ascii="Times New Roman" w:hAnsi="Times New Roman" w:cs="Times New Roman"/>
          <w:bCs/>
          <w:color w:val="000000" w:themeColor="text1"/>
          <w:highlight w:val="none"/>
          <w:vertAlign w:val="superscript"/>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项目建设影响的只是占地范围内的物种多样性，由原来的灌草丛生态系统临时变为工矿用地生态系统，损失的只是占地期限内占地范围的生物量和生产力，</w:t>
      </w:r>
      <w:r>
        <w:rPr>
          <w:rFonts w:hint="default" w:ascii="Times New Roman" w:hAnsi="Times New Roman" w:cs="Times New Roman"/>
          <w:bCs/>
          <w:color w:val="000000" w:themeColor="text1"/>
          <w:highlight w:val="none"/>
          <w:lang w:eastAsia="zh-CN"/>
          <w14:textFill>
            <w14:solidFill>
              <w14:schemeClr w14:val="tx1"/>
            </w14:solidFill>
          </w14:textFill>
        </w:rPr>
        <w:t>不会产生时间或空间的累计作用，</w:t>
      </w:r>
      <w:r>
        <w:rPr>
          <w:rFonts w:hint="default" w:ascii="Times New Roman" w:hAnsi="Times New Roman" w:cs="Times New Roman"/>
          <w:bCs/>
          <w:color w:val="000000" w:themeColor="text1"/>
          <w:highlight w:val="none"/>
          <w:lang w:val="en-US" w:eastAsia="zh-CN"/>
          <w14:textFill>
            <w14:solidFill>
              <w14:schemeClr w14:val="tx1"/>
            </w14:solidFill>
          </w14:textFill>
        </w:rPr>
        <w:t>不会导致生境丧失、退化及破碎化、生态系 统退化、生物多样性下降等情况发生</w:t>
      </w:r>
      <w:r>
        <w:rPr>
          <w:rFonts w:ascii="Times New Roman" w:hAnsi="Times New Roman" w:cs="Times New Roman"/>
          <w:bCs/>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对陆生野生动物的影响分析</w:t>
      </w:r>
    </w:p>
    <w:p>
      <w:pPr>
        <w:adjustRightInd/>
        <w:snapToGrid/>
        <w:ind w:firstLine="480"/>
        <w:rPr>
          <w:rFonts w:hint="eastAsia" w:ascii="Times New Roman" w:hAnsi="Times New Roman" w:eastAsia="黑体" w:cs="Times New Roman"/>
          <w:bCs/>
          <w:color w:val="000000" w:themeColor="text1"/>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highlight w:val="none"/>
          <w:lang w:val="en-US" w:eastAsia="zh-CN"/>
          <w14:textFill>
            <w14:solidFill>
              <w14:schemeClr w14:val="tx1"/>
            </w14:solidFill>
          </w14:textFill>
        </w:rPr>
        <w:t>1、施工占地</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项目占地类型主要为</w:t>
      </w:r>
      <w:r>
        <w:rPr>
          <w:rFonts w:hint="eastAsia" w:cs="Times New Roman"/>
          <w:bCs/>
          <w:color w:val="000000" w:themeColor="text1"/>
          <w:highlight w:val="none"/>
          <w14:textFill>
            <w14:solidFill>
              <w14:schemeClr w14:val="tx1"/>
            </w14:solidFill>
          </w14:textFill>
        </w:rPr>
        <w:t>耕地</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生活在这类土地的动物均为常见种，如鸟、兔、鼠类等，施工占地等会改变周边小生境，对其生存环境有短暂影响，对于依赖灌草丛为栖息、活动、隐蔽场所的野生动物来说，其生境在某种程度上会受到一定的影响，但在非施工区也可以找到相同或相似生境，可迁移到合适生境中生活，对其生存不会造成威胁，项目退役后这类动物还可迁回。对于迁移能力弱的动物，因占地面积较少，损失只局限于少数个体，不会对种群数量产生影响。</w:t>
      </w:r>
    </w:p>
    <w:p>
      <w:pPr>
        <w:adjustRightInd/>
        <w:snapToGrid/>
        <w:ind w:firstLine="480"/>
        <w:rPr>
          <w:rFonts w:hint="eastAsia" w:ascii="Times New Roman" w:hAnsi="Times New Roman" w:eastAsia="黑体" w:cs="Times New Roman"/>
          <w:bCs/>
          <w:color w:val="000000" w:themeColor="text1"/>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highlight w:val="none"/>
          <w:lang w:val="en-US" w:eastAsia="zh-CN"/>
          <w14:textFill>
            <w14:solidFill>
              <w14:schemeClr w14:val="tx1"/>
            </w14:solidFill>
          </w14:textFill>
        </w:rPr>
        <w:t>2、施工人员非法捕猎</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由于施工人员进入，可能有非法捕猎，直接杀死动物、鸟类。可通过加强教育宣传来杜绝此类行为。</w:t>
      </w:r>
    </w:p>
    <w:p>
      <w:pPr>
        <w:adjustRightInd/>
        <w:snapToGrid/>
        <w:ind w:firstLine="480"/>
        <w:rPr>
          <w:rFonts w:hint="default" w:ascii="Times New Roman" w:hAnsi="Times New Roman" w:eastAsia="黑体" w:cs="Times New Roman"/>
          <w:bCs/>
          <w:color w:val="000000" w:themeColor="text1"/>
          <w:highlight w:val="none"/>
          <w14:textFill>
            <w14:solidFill>
              <w14:schemeClr w14:val="tx1"/>
            </w14:solidFill>
          </w14:textFill>
        </w:rPr>
      </w:pPr>
      <w:r>
        <w:rPr>
          <w:rFonts w:hint="eastAsia" w:ascii="Times New Roman" w:hAnsi="Times New Roman" w:eastAsia="黑体" w:cs="Times New Roman"/>
          <w:bCs/>
          <w:color w:val="000000" w:themeColor="text1"/>
          <w:highlight w:val="none"/>
          <w:lang w:val="en-US" w:eastAsia="zh-CN"/>
          <w14:textFill>
            <w14:solidFill>
              <w14:schemeClr w14:val="tx1"/>
            </w14:solidFill>
          </w14:textFill>
        </w:rPr>
        <w:t>3、</w:t>
      </w:r>
      <w:r>
        <w:rPr>
          <w:rFonts w:hint="default" w:ascii="Times New Roman" w:hAnsi="Times New Roman" w:eastAsia="黑体" w:cs="Times New Roman"/>
          <w:bCs/>
          <w:color w:val="000000" w:themeColor="text1"/>
          <w:highlight w:val="none"/>
          <w14:textFill>
            <w14:solidFill>
              <w14:schemeClr w14:val="tx1"/>
            </w14:solidFill>
          </w14:textFill>
        </w:rPr>
        <w:t>施工活动</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施工可直接破坏一些分布在施工区域内动物的生存环境，如一些蛇类、蛙类和鼠类等的栖息洞穴；项目施工还可直接杀死一些生活在施工区域内的动物，这些动物主要是无迁移能力或迁移能力较弱的幼体及在施工时还栖息在洞穴内的部分蛇类、蛙类和鼠类等。由于施工区的范围有限，上述两种情况不会对动物组成和多度产生较大影响。项目施工对其它动物的影响主要还是间接影响，即施工噪声迫使绝大多数动物的成体通过迁移方式远离施工区，但当施工结束后，施工区域内或施工区附近的植被逐渐恢复，这些动物又会逐渐返回。</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对重点保护野生动植物的影响分析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根据实地调查，在项目评价区内未发现国家和省级重点保护野生动植物。</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对天然林、公益林及生态红线影响分析</w:t>
      </w:r>
    </w:p>
    <w:p>
      <w:pPr>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rFonts w:cs="Times New Roman"/>
          <w:bCs/>
          <w:color w:val="000000" w:themeColor="text1"/>
          <w:szCs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cs="Times New Roman"/>
          <w:color w:val="000000" w:themeColor="text1"/>
          <w:sz w:val="24"/>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占地不涉及天然林、公益林，</w:t>
      </w:r>
      <w:r>
        <w:rPr>
          <w:rFonts w:hint="eastAsia" w:cs="Times New Roman"/>
          <w:bCs/>
          <w:color w:val="000000" w:themeColor="text1"/>
          <w:szCs w:val="24"/>
          <w:highlight w:val="none"/>
          <w14:textFill>
            <w14:solidFill>
              <w14:schemeClr w14:val="tx1"/>
            </w14:solidFill>
          </w14:textFill>
        </w:rPr>
        <w:t>项目</w:t>
      </w:r>
      <w:r>
        <w:rPr>
          <w:rFonts w:hint="eastAsia" w:cs="Times New Roman"/>
          <w:bCs/>
          <w:color w:val="000000" w:themeColor="text1"/>
          <w:szCs w:val="24"/>
          <w:highlight w:val="none"/>
          <w:lang w:val="en-US" w:eastAsia="zh-CN"/>
          <w14:textFill>
            <w14:solidFill>
              <w14:schemeClr w14:val="tx1"/>
            </w14:solidFill>
          </w14:textFill>
        </w:rPr>
        <w:t>对周边天然林、</w:t>
      </w:r>
      <w:r>
        <w:rPr>
          <w:rFonts w:hint="eastAsia" w:cs="Times New Roman"/>
          <w:bCs/>
          <w:color w:val="000000" w:themeColor="text1"/>
          <w:szCs w:val="24"/>
          <w:highlight w:val="none"/>
          <w14:textFill>
            <w14:solidFill>
              <w14:schemeClr w14:val="tx1"/>
            </w14:solidFill>
          </w14:textFill>
        </w:rPr>
        <w:t>公益林主要影响因素如下：</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（1）钻井过程中，如发生</w:t>
      </w:r>
      <w:r>
        <w:rPr>
          <w:rFonts w:hint="eastAsia" w:cs="Times New Roman"/>
          <w:bCs/>
          <w:color w:val="000000" w:themeColor="text1"/>
          <w:szCs w:val="24"/>
          <w:highlight w:val="none"/>
          <w:lang w:val="en-US" w:eastAsia="zh-CN"/>
          <w14:textFill>
            <w14:solidFill>
              <w14:schemeClr w14:val="tx1"/>
            </w14:solidFill>
          </w14:textFill>
        </w:rPr>
        <w:t>废水</w:t>
      </w:r>
      <w:r>
        <w:rPr>
          <w:rFonts w:hint="eastAsia" w:cs="Times New Roman"/>
          <w:bCs/>
          <w:color w:val="000000" w:themeColor="text1"/>
          <w:szCs w:val="24"/>
          <w:highlight w:val="none"/>
          <w14:textFill>
            <w14:solidFill>
              <w14:schemeClr w14:val="tx1"/>
            </w14:solidFill>
          </w14:textFill>
        </w:rPr>
        <w:t>漏失情况，可能导致周边分布的</w:t>
      </w:r>
      <w:r>
        <w:rPr>
          <w:rFonts w:hint="eastAsia" w:cs="Times New Roman"/>
          <w:bCs/>
          <w:color w:val="000000" w:themeColor="text1"/>
          <w:szCs w:val="24"/>
          <w:highlight w:val="none"/>
          <w:lang w:val="en-US" w:eastAsia="zh-CN"/>
          <w14:textFill>
            <w14:solidFill>
              <w14:schemeClr w14:val="tx1"/>
            </w14:solidFill>
          </w14:textFill>
        </w:rPr>
        <w:t>天然林、公益</w:t>
      </w:r>
      <w:r>
        <w:rPr>
          <w:rFonts w:hint="eastAsia" w:cs="Times New Roman"/>
          <w:bCs/>
          <w:color w:val="000000" w:themeColor="text1"/>
          <w:szCs w:val="24"/>
          <w:highlight w:val="none"/>
          <w14:textFill>
            <w14:solidFill>
              <w14:schemeClr w14:val="tx1"/>
            </w14:solidFill>
          </w14:textFill>
        </w:rPr>
        <w:t>林植被吸水量降低，但下水漏失属于风险影响，一般情况不会发生</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根据现场调查，井场位于丘坡下部，管线是沿着丘谷道路铺设，井场周边和管线两边林地高程都高于井场、管线，因此项目周边天然林、公益林不位于项目井场区域地表水和地下水流向下游，</w:t>
      </w:r>
      <w:r>
        <w:rPr>
          <w:rFonts w:hint="eastAsia" w:cs="Times New Roman"/>
          <w:bCs/>
          <w:color w:val="000000" w:themeColor="text1"/>
          <w:szCs w:val="24"/>
          <w:highlight w:val="none"/>
          <w14:textFill>
            <w14:solidFill>
              <w14:schemeClr w14:val="tx1"/>
            </w14:solidFill>
          </w14:textFill>
        </w:rPr>
        <w:t>因此若发生地下水漏失等情况</w:t>
      </w:r>
      <w:r>
        <w:rPr>
          <w:rFonts w:hint="eastAsia" w:cs="Times New Roman"/>
          <w:bCs/>
          <w:color w:val="000000" w:themeColor="text1"/>
          <w:szCs w:val="24"/>
          <w:highlight w:val="none"/>
          <w:lang w:val="en-US" w:eastAsia="zh-CN"/>
          <w14:textFill>
            <w14:solidFill>
              <w14:schemeClr w14:val="tx1"/>
            </w14:solidFill>
          </w14:textFill>
        </w:rPr>
        <w:t>难以</w:t>
      </w:r>
      <w:r>
        <w:rPr>
          <w:rFonts w:hint="eastAsia" w:cs="Times New Roman"/>
          <w:bCs/>
          <w:color w:val="000000" w:themeColor="text1"/>
          <w:szCs w:val="24"/>
          <w:highlight w:val="none"/>
          <w14:textFill>
            <w14:solidFill>
              <w14:schemeClr w14:val="tx1"/>
            </w14:solidFill>
          </w14:textFill>
        </w:rPr>
        <w:t>对</w:t>
      </w:r>
      <w:r>
        <w:rPr>
          <w:rFonts w:hint="eastAsia" w:cs="Times New Roman"/>
          <w:bCs/>
          <w:color w:val="000000" w:themeColor="text1"/>
          <w:szCs w:val="24"/>
          <w:highlight w:val="none"/>
          <w:lang w:val="en-US" w:eastAsia="zh-CN"/>
          <w14:textFill>
            <w14:solidFill>
              <w14:schemeClr w14:val="tx1"/>
            </w14:solidFill>
          </w14:textFill>
        </w:rPr>
        <w:t>天然林、公益</w:t>
      </w:r>
      <w:r>
        <w:rPr>
          <w:rFonts w:hint="eastAsia" w:cs="Times New Roman"/>
          <w:bCs/>
          <w:color w:val="000000" w:themeColor="text1"/>
          <w:szCs w:val="24"/>
          <w:highlight w:val="none"/>
          <w14:textFill>
            <w14:solidFill>
              <w14:schemeClr w14:val="tx1"/>
            </w14:solidFill>
          </w14:textFill>
        </w:rPr>
        <w:t>林造成影响。</w:t>
      </w:r>
    </w:p>
    <w:p>
      <w:pPr>
        <w:ind w:firstLine="480"/>
        <w:rPr>
          <w:rFonts w:hint="eastAsia"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2</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输水管线</w:t>
      </w:r>
      <w:r>
        <w:rPr>
          <w:rFonts w:hint="eastAsia" w:cs="Times New Roman"/>
          <w:bCs/>
          <w:color w:val="000000" w:themeColor="text1"/>
          <w:szCs w:val="24"/>
          <w:highlight w:val="none"/>
          <w14:textFill>
            <w14:solidFill>
              <w14:schemeClr w14:val="tx1"/>
            </w14:solidFill>
          </w14:textFill>
        </w:rPr>
        <w:t>发生</w:t>
      </w:r>
      <w:r>
        <w:rPr>
          <w:rFonts w:hint="eastAsia" w:cs="Times New Roman"/>
          <w:bCs/>
          <w:color w:val="000000" w:themeColor="text1"/>
          <w:szCs w:val="24"/>
          <w:highlight w:val="none"/>
          <w:lang w:val="en-US" w:eastAsia="zh-CN"/>
          <w14:textFill>
            <w14:solidFill>
              <w14:schemeClr w14:val="tx1"/>
            </w14:solidFill>
          </w14:textFill>
        </w:rPr>
        <w:t>废水</w:t>
      </w:r>
      <w:r>
        <w:rPr>
          <w:rFonts w:hint="eastAsia" w:cs="Times New Roman"/>
          <w:bCs/>
          <w:color w:val="000000" w:themeColor="text1"/>
          <w:szCs w:val="24"/>
          <w:highlight w:val="none"/>
          <w14:textFill>
            <w14:solidFill>
              <w14:schemeClr w14:val="tx1"/>
            </w14:solidFill>
          </w14:textFill>
        </w:rPr>
        <w:t>漏失情况，可能导致</w:t>
      </w:r>
      <w:r>
        <w:rPr>
          <w:rFonts w:hint="eastAsia" w:cs="Times New Roman"/>
          <w:bCs/>
          <w:color w:val="000000" w:themeColor="text1"/>
          <w:szCs w:val="24"/>
          <w:highlight w:val="none"/>
          <w:lang w:val="en-US" w:eastAsia="zh-CN"/>
          <w14:textFill>
            <w14:solidFill>
              <w14:schemeClr w14:val="tx1"/>
            </w14:solidFill>
          </w14:textFill>
        </w:rPr>
        <w:t>占用公益林后</w:t>
      </w:r>
      <w:r>
        <w:rPr>
          <w:rFonts w:hint="eastAsia" w:cs="Times New Roman"/>
          <w:bCs/>
          <w:color w:val="000000" w:themeColor="text1"/>
          <w:szCs w:val="24"/>
          <w:highlight w:val="none"/>
          <w14:textFill>
            <w14:solidFill>
              <w14:schemeClr w14:val="tx1"/>
            </w14:solidFill>
          </w14:textFill>
        </w:rPr>
        <w:t>周边分布的</w:t>
      </w:r>
      <w:r>
        <w:rPr>
          <w:rFonts w:hint="eastAsia" w:cs="Times New Roman"/>
          <w:bCs/>
          <w:color w:val="000000" w:themeColor="text1"/>
          <w:szCs w:val="24"/>
          <w:highlight w:val="none"/>
          <w:lang w:val="en-US" w:eastAsia="zh-CN"/>
          <w14:textFill>
            <w14:solidFill>
              <w14:schemeClr w14:val="tx1"/>
            </w14:solidFill>
          </w14:textFill>
        </w:rPr>
        <w:t>公益</w:t>
      </w:r>
      <w:r>
        <w:rPr>
          <w:rFonts w:hint="eastAsia" w:cs="Times New Roman"/>
          <w:bCs/>
          <w:color w:val="000000" w:themeColor="text1"/>
          <w:szCs w:val="24"/>
          <w:highlight w:val="none"/>
          <w14:textFill>
            <w14:solidFill>
              <w14:schemeClr w14:val="tx1"/>
            </w14:solidFill>
          </w14:textFill>
        </w:rPr>
        <w:t>林植被吸水量降低，但下水漏失属于风险影响，一般情况不会发生</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同时输水管线有完善的监控截断装置，风险情况下泄漏量小。同时管线临时占地后期恢复植被主要为灌草、栽培植物等植被，管线距离周边公益林有一定距离，管线临时占地恢复区相当于在泄漏管线两侧相对周边公益林设置了一定距离的缓冲区，因此即使发生输水管线废水泄漏也对占用公益林附近的公益林影响小。</w:t>
      </w:r>
    </w:p>
    <w:p>
      <w:pPr>
        <w:ind w:firstLine="480"/>
        <w:rPr>
          <w:rFonts w:hint="default" w:ascii="Times New Roman" w:hAnsi="Times New Roman" w:eastAsia="宋体" w:cs="Times New Roman"/>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4"/>
          <w:highlight w:val="none"/>
          <w:lang w:val="en-US" w:eastAsia="zh-CN"/>
          <w14:textFill>
            <w14:solidFill>
              <w14:schemeClr w14:val="tx1"/>
            </w14:solidFill>
          </w14:textFill>
        </w:rPr>
        <w:t>根据地下水预测成果，正常情况下不会对地下私造成污染影响，非正常情况下，可能对下游地下水造成污染影响，从而对周边天然林、公益林造成影响，但根据周边天然林、公益林分布情况，项目地下水下游超标范围内无天然林、公益林分布，因此在极端情况下废水进入地下水对地下水造成污染也不会对天然林、公益林造成影响。</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）废水排放、</w:t>
      </w:r>
      <w:r>
        <w:rPr>
          <w:rFonts w:hint="eastAsia" w:ascii="宋体" w:hAnsi="宋体"/>
          <w:color w:val="000000" w:themeColor="text1"/>
          <w:szCs w:val="24"/>
          <w:highlight w:val="none"/>
          <w14:textFill>
            <w14:solidFill>
              <w14:schemeClr w14:val="tx1"/>
            </w14:solidFill>
          </w14:textFill>
        </w:rPr>
        <w:t>放喷废气沉降</w:t>
      </w:r>
      <w:r>
        <w:rPr>
          <w:rFonts w:hint="eastAsia" w:cs="Times New Roman"/>
          <w:bCs/>
          <w:color w:val="000000" w:themeColor="text1"/>
          <w:szCs w:val="24"/>
          <w:highlight w:val="none"/>
          <w14:textFill>
            <w14:solidFill>
              <w14:schemeClr w14:val="tx1"/>
            </w14:solidFill>
          </w14:textFill>
        </w:rPr>
        <w:t>对土壤、大气的影响，</w:t>
      </w:r>
      <w:r>
        <w:rPr>
          <w:rFonts w:hint="eastAsia" w:cs="Times New Roman"/>
          <w:bCs/>
          <w:color w:val="000000" w:themeColor="text1"/>
          <w:szCs w:val="24"/>
          <w:highlight w:val="none"/>
          <w:lang w:val="en-US" w:eastAsia="zh-CN"/>
          <w14:textFill>
            <w14:solidFill>
              <w14:schemeClr w14:val="tx1"/>
            </w14:solidFill>
          </w14:textFill>
        </w:rPr>
        <w:t>根据土壤环境影响分析，</w:t>
      </w:r>
      <w:r>
        <w:rPr>
          <w:rFonts w:ascii="Times New Roman" w:hAnsi="Times New Roman"/>
          <w:bCs/>
          <w:color w:val="000000" w:themeColor="text1"/>
          <w:highlight w:val="none"/>
          <w14:textFill>
            <w14:solidFill>
              <w14:schemeClr w14:val="tx1"/>
            </w14:solidFill>
          </w14:textFill>
        </w:rPr>
        <w:t>项目建设对土壤环境的影响很小，</w:t>
      </w:r>
      <w:r>
        <w:rPr>
          <w:rFonts w:hint="eastAsia" w:ascii="Times New Roman" w:hAnsi="Times New Roman"/>
          <w:bCs/>
          <w:color w:val="000000" w:themeColor="text1"/>
          <w:highlight w:val="none"/>
          <w:lang w:val="en-US" w:eastAsia="zh-CN"/>
          <w14:textFill>
            <w14:solidFill>
              <w14:schemeClr w14:val="tx1"/>
            </w14:solidFill>
          </w14:textFill>
        </w:rPr>
        <w:t>同类项目还未出现过污染周边土壤的情况，因此通过污染土壤从而影响周边</w:t>
      </w:r>
      <w:r>
        <w:rPr>
          <w:rFonts w:hint="eastAsia" w:cs="Times New Roman"/>
          <w:bCs/>
          <w:color w:val="000000" w:themeColor="text1"/>
          <w:szCs w:val="24"/>
          <w:highlight w:val="none"/>
          <w:lang w:val="en-US" w:eastAsia="zh-CN"/>
          <w14:textFill>
            <w14:solidFill>
              <w14:schemeClr w14:val="tx1"/>
            </w14:solidFill>
          </w14:textFill>
        </w:rPr>
        <w:t>天然林、公益林的可能性极小。此外，</w:t>
      </w:r>
      <w:r>
        <w:rPr>
          <w:rFonts w:hint="eastAsia" w:cs="Times New Roman"/>
          <w:bCs/>
          <w:color w:val="000000" w:themeColor="text1"/>
          <w:szCs w:val="24"/>
          <w:highlight w:val="none"/>
          <w14:textFill>
            <w14:solidFill>
              <w14:schemeClr w14:val="tx1"/>
            </w14:solidFill>
          </w14:textFill>
        </w:rPr>
        <w:t>从周边分布的</w:t>
      </w:r>
      <w:r>
        <w:rPr>
          <w:rFonts w:hint="eastAsia" w:cs="Times New Roman"/>
          <w:bCs/>
          <w:color w:val="000000" w:themeColor="text1"/>
          <w:szCs w:val="24"/>
          <w:highlight w:val="none"/>
          <w:lang w:val="en-US" w:eastAsia="zh-CN"/>
          <w14:textFill>
            <w14:solidFill>
              <w14:schemeClr w14:val="tx1"/>
            </w14:solidFill>
          </w14:textFill>
        </w:rPr>
        <w:t>天然林、公益林</w:t>
      </w:r>
      <w:r>
        <w:rPr>
          <w:rFonts w:hint="eastAsia" w:cs="Times New Roman"/>
          <w:bCs/>
          <w:color w:val="000000" w:themeColor="text1"/>
          <w:szCs w:val="24"/>
          <w:highlight w:val="none"/>
          <w14:textFill>
            <w14:solidFill>
              <w14:schemeClr w14:val="tx1"/>
            </w14:solidFill>
          </w14:textFill>
        </w:rPr>
        <w:t>和项目的高程对比分析，天然林</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公益林</w:t>
      </w:r>
      <w:r>
        <w:rPr>
          <w:rFonts w:hint="eastAsia" w:cs="Times New Roman"/>
          <w:bCs/>
          <w:color w:val="000000" w:themeColor="text1"/>
          <w:szCs w:val="24"/>
          <w:highlight w:val="none"/>
          <w14:textFill>
            <w14:solidFill>
              <w14:schemeClr w14:val="tx1"/>
            </w14:solidFill>
          </w14:textFill>
        </w:rPr>
        <w:t>海拔较高，处于坡上高处，即使发生废水发生溢出漫流，也不会直接影响天然林</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公益林</w:t>
      </w:r>
      <w:r>
        <w:rPr>
          <w:rFonts w:hint="eastAsia" w:cs="Times New Roman"/>
          <w:bCs/>
          <w:color w:val="000000" w:themeColor="text1"/>
          <w:szCs w:val="24"/>
          <w:highlight w:val="none"/>
          <w14:textFill>
            <w14:solidFill>
              <w14:schemeClr w14:val="tx1"/>
            </w14:solidFill>
          </w14:textFill>
        </w:rPr>
        <w:t>，但</w:t>
      </w:r>
      <w:r>
        <w:rPr>
          <w:rFonts w:hint="eastAsia" w:ascii="宋体" w:hAnsi="宋体"/>
          <w:color w:val="000000" w:themeColor="text1"/>
          <w:szCs w:val="24"/>
          <w:highlight w:val="none"/>
          <w14:textFill>
            <w14:solidFill>
              <w14:schemeClr w14:val="tx1"/>
            </w14:solidFill>
          </w14:textFill>
        </w:rPr>
        <w:t>放喷废气的沉降</w:t>
      </w:r>
      <w:r>
        <w:rPr>
          <w:rFonts w:hint="eastAsia" w:cs="Times New Roman"/>
          <w:bCs/>
          <w:color w:val="000000" w:themeColor="text1"/>
          <w:szCs w:val="24"/>
          <w:highlight w:val="none"/>
          <w14:textFill>
            <w14:solidFill>
              <w14:schemeClr w14:val="tx1"/>
            </w14:solidFill>
          </w14:textFill>
        </w:rPr>
        <w:t>会对天然林</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公益林</w:t>
      </w:r>
      <w:r>
        <w:rPr>
          <w:rFonts w:hint="eastAsia" w:cs="Times New Roman"/>
          <w:bCs/>
          <w:color w:val="000000" w:themeColor="text1"/>
          <w:szCs w:val="24"/>
          <w:highlight w:val="none"/>
          <w14:textFill>
            <w14:solidFill>
              <w14:schemeClr w14:val="tx1"/>
            </w14:solidFill>
          </w14:textFill>
        </w:rPr>
        <w:t>造成一定的影响，但因测试放喷时间较短，</w:t>
      </w:r>
      <w:r>
        <w:rPr>
          <w:rFonts w:hint="eastAsia" w:cs="Times New Roman"/>
          <w:bCs/>
          <w:color w:val="000000" w:themeColor="text1"/>
          <w:szCs w:val="24"/>
          <w:highlight w:val="none"/>
          <w:lang w:val="en-US" w:eastAsia="zh-CN"/>
          <w14:textFill>
            <w14:solidFill>
              <w14:schemeClr w14:val="tx1"/>
            </w14:solidFill>
          </w14:textFill>
        </w:rPr>
        <w:t>距离较远，对其</w:t>
      </w:r>
      <w:r>
        <w:rPr>
          <w:rFonts w:hint="eastAsia" w:cs="Times New Roman"/>
          <w:bCs/>
          <w:color w:val="000000" w:themeColor="text1"/>
          <w:szCs w:val="24"/>
          <w:highlight w:val="none"/>
          <w14:textFill>
            <w14:solidFill>
              <w14:schemeClr w14:val="tx1"/>
            </w14:solidFill>
          </w14:textFill>
        </w:rPr>
        <w:t>随着测试放喷结束影响消失，天然林</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公益林</w:t>
      </w:r>
      <w:r>
        <w:rPr>
          <w:rFonts w:hint="eastAsia" w:cs="Times New Roman"/>
          <w:bCs/>
          <w:color w:val="000000" w:themeColor="text1"/>
          <w:szCs w:val="24"/>
          <w:highlight w:val="none"/>
          <w14:textFill>
            <w14:solidFill>
              <w14:schemeClr w14:val="tx1"/>
            </w14:solidFill>
          </w14:textFill>
        </w:rPr>
        <w:t>将逐步恢复原有生长状态。</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由于</w:t>
      </w:r>
      <w:r>
        <w:rPr>
          <w:rFonts w:hint="eastAsia" w:cs="Times New Roman"/>
          <w:bCs/>
          <w:color w:val="000000" w:themeColor="text1"/>
          <w:szCs w:val="24"/>
          <w:highlight w:val="none"/>
          <w14:textFill>
            <w14:solidFill>
              <w14:schemeClr w14:val="tx1"/>
            </w14:solidFill>
          </w14:textFill>
        </w:rPr>
        <w:t>施工占地范围</w:t>
      </w:r>
      <w:r>
        <w:rPr>
          <w:rFonts w:cs="Times New Roman"/>
          <w:bCs/>
          <w:color w:val="000000" w:themeColor="text1"/>
          <w:szCs w:val="24"/>
          <w:highlight w:val="none"/>
          <w14:textFill>
            <w14:solidFill>
              <w14:schemeClr w14:val="tx1"/>
            </w14:solidFill>
          </w14:textFill>
        </w:rPr>
        <w:t>距</w:t>
      </w:r>
      <w:r>
        <w:rPr>
          <w:rFonts w:hint="eastAsia" w:cs="Times New Roman"/>
          <w:bCs/>
          <w:color w:val="000000" w:themeColor="text1"/>
          <w:szCs w:val="24"/>
          <w:highlight w:val="none"/>
          <w14:textFill>
            <w14:solidFill>
              <w14:schemeClr w14:val="tx1"/>
            </w14:solidFill>
          </w14:textFill>
        </w:rPr>
        <w:t>评价区其他公益林、天然林</w:t>
      </w:r>
      <w:r>
        <w:rPr>
          <w:rFonts w:cs="Times New Roman"/>
          <w:bCs/>
          <w:color w:val="000000" w:themeColor="text1"/>
          <w:szCs w:val="24"/>
          <w:highlight w:val="none"/>
          <w14:textFill>
            <w14:solidFill>
              <w14:schemeClr w14:val="tx1"/>
            </w14:solidFill>
          </w14:textFill>
        </w:rPr>
        <w:t>较近，</w:t>
      </w:r>
      <w:r>
        <w:rPr>
          <w:rFonts w:hint="eastAsia" w:cs="Times New Roman"/>
          <w:bCs/>
          <w:color w:val="000000" w:themeColor="text1"/>
          <w:szCs w:val="24"/>
          <w:highlight w:val="none"/>
          <w14:textFill>
            <w14:solidFill>
              <w14:schemeClr w14:val="tx1"/>
            </w14:solidFill>
          </w14:textFill>
        </w:rPr>
        <w:t>也</w:t>
      </w:r>
      <w:r>
        <w:rPr>
          <w:rFonts w:cs="Times New Roman"/>
          <w:bCs/>
          <w:color w:val="000000" w:themeColor="text1"/>
          <w:szCs w:val="24"/>
          <w:highlight w:val="none"/>
          <w14:textFill>
            <w14:solidFill>
              <w14:schemeClr w14:val="tx1"/>
            </w14:solidFill>
          </w14:textFill>
        </w:rPr>
        <w:t>可能产生间接影响，如</w:t>
      </w:r>
      <w:r>
        <w:rPr>
          <w:rFonts w:hint="eastAsia" w:cs="Times New Roman"/>
          <w:bCs/>
          <w:color w:val="000000" w:themeColor="text1"/>
          <w:szCs w:val="24"/>
          <w:highlight w:val="none"/>
          <w14:textFill>
            <w14:solidFill>
              <w14:schemeClr w14:val="tx1"/>
            </w14:solidFill>
          </w14:textFill>
        </w:rPr>
        <w:t>粉尘、光照</w:t>
      </w:r>
      <w:r>
        <w:rPr>
          <w:rFonts w:cs="Times New Roman"/>
          <w:bCs/>
          <w:color w:val="000000" w:themeColor="text1"/>
          <w:szCs w:val="24"/>
          <w:highlight w:val="none"/>
          <w14:textFill>
            <w14:solidFill>
              <w14:schemeClr w14:val="tx1"/>
            </w14:solidFill>
          </w14:textFill>
        </w:rPr>
        <w:t>条件变化对其产生的影响，特别是林缘区域植被</w:t>
      </w:r>
      <w:r>
        <w:rPr>
          <w:rFonts w:hint="eastAsia" w:cs="Times New Roman"/>
          <w:bCs/>
          <w:color w:val="000000" w:themeColor="text1"/>
          <w:szCs w:val="24"/>
          <w:highlight w:val="none"/>
          <w14:textFill>
            <w14:solidFill>
              <w14:schemeClr w14:val="tx1"/>
            </w14:solidFill>
          </w14:textFill>
        </w:rPr>
        <w:t>光合作用</w:t>
      </w:r>
      <w:r>
        <w:rPr>
          <w:rFonts w:cs="Times New Roman"/>
          <w:bCs/>
          <w:color w:val="000000" w:themeColor="text1"/>
          <w:szCs w:val="24"/>
          <w:highlight w:val="none"/>
          <w14:textFill>
            <w14:solidFill>
              <w14:schemeClr w14:val="tx1"/>
            </w14:solidFill>
          </w14:textFill>
        </w:rPr>
        <w:t>的影响</w:t>
      </w:r>
      <w:r>
        <w:rPr>
          <w:rFonts w:hint="eastAsia" w:cs="Times New Roman"/>
          <w:bCs/>
          <w:color w:val="000000" w:themeColor="text1"/>
          <w:szCs w:val="24"/>
          <w:highlight w:val="none"/>
          <w14:textFill>
            <w14:solidFill>
              <w14:schemeClr w14:val="tx1"/>
            </w14:solidFill>
          </w14:textFill>
        </w:rPr>
        <w:t>。</w:t>
      </w:r>
    </w:p>
    <w:p>
      <w:pPr>
        <w:pStyle w:val="130"/>
        <w:keepNext w:val="0"/>
        <w:keepLines w:val="0"/>
        <w:pageBreakBefore w:val="0"/>
        <w:widowControl w:val="0"/>
        <w:kinsoku/>
        <w:wordWrap/>
        <w:overflowPunct/>
        <w:topLinePunct w:val="0"/>
        <w:autoSpaceDE/>
        <w:autoSpaceDN/>
        <w:bidi w:val="0"/>
        <w:adjustRightInd w:val="0"/>
        <w:snapToGrid w:val="0"/>
        <w:ind w:firstLine="480"/>
        <w:textAlignment w:val="auto"/>
        <w:rPr>
          <w:bCs/>
          <w:color w:val="000000" w:themeColor="text1"/>
          <w:highlight w:val="none"/>
          <w14:textFill>
            <w14:solidFill>
              <w14:schemeClr w14:val="tx1"/>
            </w14:solidFill>
          </w14:textFill>
        </w:rPr>
      </w:pPr>
      <w:r>
        <w:rPr>
          <w:rFonts w:hint="eastAsia"/>
          <w:bCs/>
          <w:color w:val="000000" w:themeColor="text1"/>
          <w:szCs w:val="24"/>
          <w:highlight w:val="none"/>
          <w14:textFill>
            <w14:solidFill>
              <w14:schemeClr w14:val="tx1"/>
            </w14:solidFill>
          </w14:textFill>
        </w:rPr>
        <w:t>但结合现场调查，</w:t>
      </w:r>
      <w:r>
        <w:rPr>
          <w:rFonts w:hint="eastAsia"/>
          <w:color w:val="000000" w:themeColor="text1"/>
          <w:highlight w:val="none"/>
          <w14:textFill>
            <w14:solidFill>
              <w14:schemeClr w14:val="tx1"/>
            </w14:solidFill>
          </w14:textFill>
        </w:rPr>
        <w:t>本项目拟占用的</w:t>
      </w:r>
      <w:r>
        <w:rPr>
          <w:rFonts w:hint="eastAsia"/>
          <w:color w:val="000000" w:themeColor="text1"/>
          <w:highlight w:val="none"/>
          <w:lang w:val="en-US" w:eastAsia="zh-CN"/>
          <w14:textFill>
            <w14:solidFill>
              <w14:schemeClr w14:val="tx1"/>
            </w14:solidFill>
          </w14:textFill>
        </w:rPr>
        <w:t>公益</w:t>
      </w:r>
      <w:r>
        <w:rPr>
          <w:rFonts w:hint="eastAsia"/>
          <w:color w:val="000000" w:themeColor="text1"/>
          <w:highlight w:val="none"/>
          <w14:textFill>
            <w14:solidFill>
              <w14:schemeClr w14:val="tx1"/>
            </w14:solidFill>
          </w14:textFill>
        </w:rPr>
        <w:t>林和周边植被无明显差异，是评价区广泛分布的种类，</w:t>
      </w:r>
      <w:r>
        <w:rPr>
          <w:color w:val="000000" w:themeColor="text1"/>
          <w:highlight w:val="none"/>
          <w14:textFill>
            <w14:solidFill>
              <w14:schemeClr w14:val="tx1"/>
            </w14:solidFill>
          </w14:textFill>
        </w:rPr>
        <w:t>植物区系组成成分不会发生变化，</w:t>
      </w:r>
      <w:r>
        <w:rPr>
          <w:rFonts w:hint="eastAsia"/>
          <w:color w:val="000000" w:themeColor="text1"/>
          <w:highlight w:val="none"/>
          <w14:textFill>
            <w14:solidFill>
              <w14:schemeClr w14:val="tx1"/>
            </w14:solidFill>
          </w14:textFill>
        </w:rPr>
        <w:t>项目施工占用</w:t>
      </w:r>
      <w:r>
        <w:rPr>
          <w:color w:val="000000" w:themeColor="text1"/>
          <w:highlight w:val="none"/>
          <w14:textFill>
            <w14:solidFill>
              <w14:schemeClr w14:val="tx1"/>
            </w14:solidFill>
          </w14:textFill>
        </w:rPr>
        <w:t>损失的只是局部群落和部分生产力及生物量</w:t>
      </w:r>
      <w:r>
        <w:rPr>
          <w:rFonts w:hint="eastAsia"/>
          <w:color w:val="000000" w:themeColor="text1"/>
          <w:highlight w:val="none"/>
          <w14:textFill>
            <w14:solidFill>
              <w14:schemeClr w14:val="tx1"/>
            </w14:solidFill>
          </w14:textFill>
        </w:rPr>
        <w:t>，因此对</w:t>
      </w:r>
      <w:r>
        <w:rPr>
          <w:rFonts w:hint="eastAsia"/>
          <w:color w:val="000000" w:themeColor="text1"/>
          <w:highlight w:val="none"/>
          <w:lang w:val="en-US" w:eastAsia="zh-CN"/>
          <w14:textFill>
            <w14:solidFill>
              <w14:schemeClr w14:val="tx1"/>
            </w14:solidFill>
          </w14:textFill>
        </w:rPr>
        <w:t>公益</w:t>
      </w:r>
      <w:r>
        <w:rPr>
          <w:rFonts w:hint="eastAsia"/>
          <w:color w:val="000000" w:themeColor="text1"/>
          <w:highlight w:val="none"/>
          <w14:textFill>
            <w14:solidFill>
              <w14:schemeClr w14:val="tx1"/>
            </w14:solidFill>
          </w14:textFill>
        </w:rPr>
        <w:t>然林的结构、稳定性无明显影响。因此，项目施工前，需要</w:t>
      </w:r>
      <w:r>
        <w:rPr>
          <w:rFonts w:hint="eastAsia" w:ascii="宋体" w:hAnsi="宋体" w:cs="宋体"/>
          <w:color w:val="000000" w:themeColor="text1"/>
          <w:highlight w:val="none"/>
          <w14:textFill>
            <w14:solidFill>
              <w14:schemeClr w14:val="tx1"/>
            </w14:solidFill>
          </w14:textFill>
        </w:rPr>
        <w:t>①</w:t>
      </w:r>
      <w:r>
        <w:rPr>
          <w:color w:val="000000" w:themeColor="text1"/>
          <w:szCs w:val="24"/>
          <w:highlight w:val="none"/>
          <w14:textFill>
            <w14:solidFill>
              <w14:schemeClr w14:val="tx1"/>
            </w14:solidFill>
          </w14:textFill>
        </w:rPr>
        <w:t>优化施工方案，严格控制施工作业面，必须避免超挖破坏周边</w:t>
      </w:r>
      <w:r>
        <w:rPr>
          <w:rFonts w:hint="eastAsia"/>
          <w:color w:val="000000" w:themeColor="text1"/>
          <w:szCs w:val="24"/>
          <w:highlight w:val="none"/>
          <w14:textFill>
            <w14:solidFill>
              <w14:schemeClr w14:val="tx1"/>
            </w14:solidFill>
          </w14:textFill>
        </w:rPr>
        <w:t>天然林</w:t>
      </w:r>
      <w:r>
        <w:rPr>
          <w:color w:val="000000" w:themeColor="text1"/>
          <w:szCs w:val="24"/>
          <w:highlight w:val="none"/>
          <w14:textFill>
            <w14:solidFill>
              <w14:schemeClr w14:val="tx1"/>
            </w14:solidFill>
          </w14:textFill>
        </w:rPr>
        <w:t>植被。</w:t>
      </w:r>
      <w:r>
        <w:rPr>
          <w:rFonts w:hint="eastAsia" w:ascii="宋体" w:hAnsi="宋体" w:cs="宋体"/>
          <w:color w:val="000000" w:themeColor="text1"/>
          <w:szCs w:val="24"/>
          <w:highlight w:val="none"/>
          <w14:textFill>
            <w14:solidFill>
              <w14:schemeClr w14:val="tx1"/>
            </w14:solidFill>
          </w14:textFill>
        </w:rPr>
        <w:t>②</w:t>
      </w:r>
      <w:r>
        <w:rPr>
          <w:color w:val="000000" w:themeColor="text1"/>
          <w:szCs w:val="24"/>
          <w:highlight w:val="none"/>
          <w14:textFill>
            <w14:solidFill>
              <w14:schemeClr w14:val="tx1"/>
            </w14:solidFill>
          </w14:textFill>
        </w:rPr>
        <w:t>严格按照施工方案要求将弃土、弃渣等运往指定场地，禁止在非施工区任何位置随意堆放。</w:t>
      </w:r>
      <w:r>
        <w:rPr>
          <w:rFonts w:hint="eastAsia" w:ascii="宋体" w:hAnsi="宋体" w:cs="宋体"/>
          <w:color w:val="000000" w:themeColor="text1"/>
          <w:szCs w:val="24"/>
          <w:highlight w:val="none"/>
          <w14:textFill>
            <w14:solidFill>
              <w14:schemeClr w14:val="tx1"/>
            </w14:solidFill>
          </w14:textFill>
        </w:rPr>
        <w:t>③</w:t>
      </w:r>
      <w:r>
        <w:rPr>
          <w:color w:val="000000" w:themeColor="text1"/>
          <w:szCs w:val="24"/>
          <w:highlight w:val="none"/>
          <w14:textFill>
            <w14:solidFill>
              <w14:schemeClr w14:val="tx1"/>
            </w14:solidFill>
          </w14:textFill>
        </w:rPr>
        <w:t>施工过程中，施工单位应加强防火知识宣传教育，增强员工和附近居民的防火意识，杜绝火灾的发生。</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cs="Times New Roman"/>
          <w:bCs/>
          <w:color w:val="000000" w:themeColor="text1"/>
          <w:highlight w:val="none"/>
          <w14:textFill>
            <w14:solidFill>
              <w14:schemeClr w14:val="tx1"/>
            </w14:solidFill>
          </w14:textFill>
        </w:rPr>
      </w:pPr>
      <w:r>
        <w:rPr>
          <w:rFonts w:cs="Times New Roman"/>
          <w:color w:val="000000" w:themeColor="text1"/>
          <w:szCs w:val="20"/>
          <w:highlight w:val="none"/>
          <w14:textFill>
            <w14:solidFill>
              <w14:schemeClr w14:val="tx1"/>
            </w14:solidFill>
          </w14:textFill>
        </w:rPr>
        <w:t>项目占地不涉及</w:t>
      </w:r>
      <w:r>
        <w:rPr>
          <w:rFonts w:hint="eastAsia" w:cs="Times New Roman"/>
          <w:color w:val="000000" w:themeColor="text1"/>
          <w:szCs w:val="20"/>
          <w:highlight w:val="none"/>
          <w:lang w:val="en-US" w:eastAsia="zh-CN"/>
          <w14:textFill>
            <w14:solidFill>
              <w14:schemeClr w14:val="tx1"/>
            </w14:solidFill>
          </w14:textFill>
        </w:rPr>
        <w:t>天然林公益林占用</w:t>
      </w:r>
      <w:r>
        <w:rPr>
          <w:rFonts w:cs="Times New Roman"/>
          <w:color w:val="000000" w:themeColor="text1"/>
          <w:szCs w:val="20"/>
          <w:highlight w:val="none"/>
          <w14:textFill>
            <w14:solidFill>
              <w14:schemeClr w14:val="tx1"/>
            </w14:solidFill>
          </w14:textFill>
        </w:rPr>
        <w:t>，项目施工等对</w:t>
      </w:r>
      <w:r>
        <w:rPr>
          <w:rFonts w:hint="eastAsia" w:cs="Times New Roman"/>
          <w:color w:val="000000" w:themeColor="text1"/>
          <w:szCs w:val="20"/>
          <w:highlight w:val="none"/>
          <w:lang w:val="en-US" w:eastAsia="zh-CN"/>
          <w14:textFill>
            <w14:solidFill>
              <w14:schemeClr w14:val="tx1"/>
            </w14:solidFill>
          </w14:textFill>
        </w:rPr>
        <w:t>天然林公益林</w:t>
      </w:r>
      <w:r>
        <w:rPr>
          <w:rFonts w:cs="Times New Roman"/>
          <w:color w:val="000000" w:themeColor="text1"/>
          <w:szCs w:val="20"/>
          <w:highlight w:val="none"/>
          <w14:textFill>
            <w14:solidFill>
              <w14:schemeClr w14:val="tx1"/>
            </w14:solidFill>
          </w14:textFill>
        </w:rPr>
        <w:t>的面积、功能和性质无直接影响。</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水土流失影响分析</w:t>
      </w:r>
    </w:p>
    <w:p>
      <w:pPr>
        <w:ind w:firstLine="480"/>
        <w:rPr>
          <w:rFonts w:hint="eastAsia" w:ascii="Times New Roman" w:hAnsi="Times New Roman" w:cs="Times New Roman"/>
          <w:b/>
          <w:bCs w:val="0"/>
          <w:color w:val="000000" w:themeColor="text1"/>
          <w:highlight w:val="none"/>
          <w:lang w:val="en-US" w:eastAsia="zh-CN"/>
          <w14:textFill>
            <w14:solidFill>
              <w14:schemeClr w14:val="tx1"/>
            </w14:solidFill>
          </w14:textFill>
        </w:rPr>
      </w:pPr>
      <w:r>
        <w:rPr>
          <w:rFonts w:hint="eastAsia" w:cs="Times New Roman"/>
          <w:b/>
          <w:bCs w:val="0"/>
          <w:color w:val="000000" w:themeColor="text1"/>
          <w:highlight w:val="none"/>
          <w:lang w:val="en-US" w:eastAsia="zh-CN"/>
          <w14:textFill>
            <w14:solidFill>
              <w14:schemeClr w14:val="tx1"/>
            </w14:solidFill>
          </w14:textFill>
        </w:rPr>
        <w:t>（1）</w:t>
      </w:r>
      <w:r>
        <w:rPr>
          <w:rFonts w:hint="eastAsia" w:ascii="Times New Roman" w:hAnsi="Times New Roman" w:cs="Times New Roman"/>
          <w:b/>
          <w:bCs w:val="0"/>
          <w:color w:val="000000" w:themeColor="text1"/>
          <w:highlight w:val="none"/>
          <w:lang w:val="en-US" w:eastAsia="zh-CN"/>
          <w14:textFill>
            <w14:solidFill>
              <w14:schemeClr w14:val="tx1"/>
            </w14:solidFill>
          </w14:textFill>
        </w:rPr>
        <w:t>区域水土流失现状情况</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根据达州市水利局《关于水土保持</w:t>
      </w:r>
      <w:r>
        <w:rPr>
          <w:rFonts w:hint="eastAsia" w:ascii="宋体" w:hAnsi="宋体" w:eastAsia="宋体" w:cs="宋体"/>
          <w:bCs/>
          <w:color w:val="000000" w:themeColor="text1"/>
          <w:szCs w:val="24"/>
          <w:highlight w:val="none"/>
          <w14:textFill>
            <w14:solidFill>
              <w14:schemeClr w14:val="tx1"/>
            </w14:solidFill>
          </w14:textFill>
        </w:rPr>
        <w:t>“两区”</w:t>
      </w:r>
      <w:r>
        <w:rPr>
          <w:rFonts w:cs="Times New Roman"/>
          <w:bCs/>
          <w:color w:val="000000" w:themeColor="text1"/>
          <w:szCs w:val="24"/>
          <w:highlight w:val="none"/>
          <w14:textFill>
            <w14:solidFill>
              <w14:schemeClr w14:val="tx1"/>
            </w14:solidFill>
          </w14:textFill>
        </w:rPr>
        <w:t>划分的公告》，本项目涉及水土流失重点治理区</w:t>
      </w:r>
      <w:r>
        <w:rPr>
          <w:rFonts w:cs="Times New Roman"/>
          <w:bCs/>
          <w:color w:val="000000" w:themeColor="text1"/>
          <w:highlight w:val="none"/>
          <w14:textFill>
            <w14:solidFill>
              <w14:schemeClr w14:val="tx1"/>
            </w14:solidFill>
          </w14:textFill>
        </w:rPr>
        <w:t>，本项目在建设和试采期间必须加强水土保持工作，最大限度地减少工程建设造成的水土流失危害。</w:t>
      </w:r>
    </w:p>
    <w:p>
      <w:pPr>
        <w:ind w:firstLine="480"/>
        <w:rPr>
          <w:rFonts w:hint="default" w:ascii="Times New Roman" w:hAnsi="Times New Roman" w:cs="Times New Roman"/>
          <w:bCs/>
          <w:color w:val="000000" w:themeColor="text1"/>
          <w:szCs w:val="24"/>
          <w:highlight w:val="none"/>
          <w14:textFill>
            <w14:solidFill>
              <w14:schemeClr w14:val="tx1"/>
            </w14:solidFill>
          </w14:textFill>
        </w:rPr>
      </w:pPr>
      <w:bookmarkStart w:id="250" w:name="_Hlk51604865"/>
      <w:r>
        <w:rPr>
          <w:rFonts w:cs="Times New Roman"/>
          <w:bCs/>
          <w:color w:val="000000" w:themeColor="text1"/>
          <w:highlight w:val="none"/>
          <w14:textFill>
            <w14:solidFill>
              <w14:schemeClr w14:val="tx1"/>
            </w14:solidFill>
          </w14:textFill>
        </w:rPr>
        <w:t>根据区域水土流失资料分析及水土流失现状调查，项目区水土流失类型主要为水力侵蚀，水力侵蚀以轻度和中度为主。</w:t>
      </w:r>
      <w:bookmarkEnd w:id="250"/>
      <w:r>
        <w:rPr>
          <w:rFonts w:hint="default" w:ascii="Times New Roman" w:hAnsi="Times New Roman" w:cs="Times New Roman"/>
          <w:bCs/>
          <w:color w:val="000000" w:themeColor="text1"/>
          <w:szCs w:val="24"/>
          <w:highlight w:val="none"/>
          <w14:textFill>
            <w14:solidFill>
              <w14:schemeClr w14:val="tx1"/>
            </w14:solidFill>
          </w14:textFill>
        </w:rPr>
        <w:t>本工程根据现场勘察并结合</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项目水土保持方案资料，本</w:t>
      </w:r>
      <w:r>
        <w:rPr>
          <w:rFonts w:hint="default" w:ascii="Times New Roman" w:hAnsi="Times New Roman" w:cs="Times New Roman"/>
          <w:bCs/>
          <w:color w:val="000000" w:themeColor="text1"/>
          <w:szCs w:val="24"/>
          <w:highlight w:val="none"/>
          <w14:textFill>
            <w14:solidFill>
              <w14:schemeClr w14:val="tx1"/>
            </w14:solidFill>
          </w14:textFill>
        </w:rPr>
        <w:t>项目沿线土壤侵蚀现状以轻度水力侵蚀为主，平均土壤侵蚀模数在1765t/km</w:t>
      </w:r>
      <w:r>
        <w:rPr>
          <w:rFonts w:hint="default" w:ascii="Times New Roman" w:hAnsi="Times New Roman" w:cs="Times New Roman"/>
          <w:bCs/>
          <w:color w:val="000000" w:themeColor="text1"/>
          <w:szCs w:val="24"/>
          <w:highlight w:val="none"/>
          <w:vertAlign w:val="superscript"/>
          <w14:textFill>
            <w14:solidFill>
              <w14:schemeClr w14:val="tx1"/>
            </w14:solidFill>
          </w14:textFill>
        </w:rPr>
        <w:t>2</w:t>
      </w:r>
      <w:r>
        <w:rPr>
          <w:rFonts w:hint="default" w:ascii="Times New Roman" w:hAnsi="Times New Roman" w:cs="Times New Roman"/>
          <w:bCs/>
          <w:color w:val="000000" w:themeColor="text1"/>
          <w:szCs w:val="24"/>
          <w:highlight w:val="none"/>
          <w14:textFill>
            <w14:solidFill>
              <w14:schemeClr w14:val="tx1"/>
            </w14:solidFill>
          </w14:textFill>
        </w:rPr>
        <w:t>·a左右。</w:t>
      </w:r>
    </w:p>
    <w:p>
      <w:pPr>
        <w:ind w:firstLine="480"/>
        <w:rPr>
          <w:rFonts w:hint="eastAsia" w:ascii="Times New Roman" w:hAnsi="Times New Roman" w:cs="Times New Roman"/>
          <w:bCs/>
          <w:color w:val="000000" w:themeColor="text1"/>
          <w:szCs w:val="24"/>
          <w:highlight w:val="none"/>
          <w:lang w:eastAsia="zh-CN"/>
          <w14:textFill>
            <w14:solidFill>
              <w14:schemeClr w14:val="tx1"/>
            </w14:solidFill>
          </w14:textFill>
        </w:rPr>
      </w:pPr>
      <w:r>
        <w:rPr>
          <w:rFonts w:hint="eastAsia" w:ascii="Times New Roman" w:hAnsi="Times New Roman" w:cs="Times New Roman"/>
          <w:bCs/>
          <w:color w:val="000000" w:themeColor="text1"/>
          <w:szCs w:val="24"/>
          <w:highlight w:val="none"/>
          <w:lang w:eastAsia="zh-CN"/>
          <w14:textFill>
            <w14:solidFill>
              <w14:schemeClr w14:val="tx1"/>
            </w14:solidFill>
          </w14:textFill>
        </w:rPr>
        <w:t>（</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2</w:t>
      </w:r>
      <w:r>
        <w:rPr>
          <w:rFonts w:hint="eastAsia" w:ascii="Times New Roman" w:hAnsi="Times New Roman"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水土流失危害分析</w:t>
      </w:r>
    </w:p>
    <w:p>
      <w:pPr>
        <w:pStyle w:val="637"/>
        <w:ind w:firstLine="480"/>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结合工程区地貌条件、新增水土流失来源，在不采取水土流失防护措施前提下，工程区域内水土流失危害主要体现</w:t>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为</w: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对土地资源产生破坏，一方面由于工程建设占用土地，破坏原有地貌，损坏地表植被，土地耕作层和植被生长层被挖损、剥离或压埋，从而使施工区内裸地面积增加，降低土壤的抗蚀性，增大水土流失量，损坏了土地资源，影响农业耕作。另一方面开挖损坏的农田土层结构，即使复耕，短期内难以恢复地力，影响当地农业生产。在中山区，坡面集流将会冲毁具有水土保持功能的地埂、田坎，增加单位面积细沟和切沟数量，有进一步发育演变为冲沟的可能</w:t>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又</w:t>
      </w:r>
      <w:r>
        <w:rPr>
          <w:rFonts w:hint="eastAsia"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会</w:t>
      </w:r>
      <w:r>
        <w:rPr>
          <w:rFonts w:hint="default" w:ascii="Times New Roman" w:hAnsi="Times New Roman" w:eastAsia="宋体" w:cs="Times New Roman"/>
          <w:bCs/>
          <w:color w:val="000000" w:themeColor="text1"/>
          <w:kern w:val="2"/>
          <w:sz w:val="24"/>
          <w:szCs w:val="22"/>
          <w:highlight w:val="none"/>
          <w:lang w:val="en-US" w:eastAsia="zh-CN" w:bidi="ar-SA"/>
          <w14:textFill>
            <w14:solidFill>
              <w14:schemeClr w14:val="tx1"/>
            </w14:solidFill>
          </w14:textFill>
        </w:rPr>
        <w:t>产生大量水土流失，影响环境生态安全。</w:t>
      </w:r>
    </w:p>
    <w:p>
      <w:pPr>
        <w:ind w:firstLine="480"/>
        <w:rPr>
          <w:rFonts w:hint="eastAsia" w:cs="Times New Roman"/>
          <w:bCs/>
          <w:color w:val="000000" w:themeColor="text1"/>
          <w:highlight w:val="none"/>
          <w:lang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3</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本项目水土流失影响分析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对区域水土流失的影响主要是施工期的短暂影响，试采期各项工程均已建成，对地表的扰动基本不会发生，不会新增水土流失。施工期其引发水土流失的主要因素有：土石方及表土的大量堆放；井场等基建造成的地表裸露；基础施工等对原地形地貌、植被等产生的扰动、破坏或再塑等。</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工程地处土石山区，水土流失形式以水力侵蚀为主，主要表现为面蚀。工程属于建设生产类项目，水土流失主要发生在施工期。根据主体工程提供的设计资料和基建施工工艺，分析本项目施工期可能造成的水土流失危害主要有：</w:t>
      </w:r>
    </w:p>
    <w:p>
      <w:pPr>
        <w:ind w:firstLine="480"/>
        <w:rPr>
          <w:rFonts w:cs="Times New Roman"/>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①</w:t>
      </w:r>
      <w:r>
        <w:rPr>
          <w:rFonts w:cs="Times New Roman"/>
          <w:bCs/>
          <w:color w:val="000000" w:themeColor="text1"/>
          <w:highlight w:val="none"/>
          <w14:textFill>
            <w14:solidFill>
              <w14:schemeClr w14:val="tx1"/>
            </w14:solidFill>
          </w14:textFill>
        </w:rPr>
        <w:t>项目建设损坏了原区域的林地等水土保持设施，使原有区域失去了基本的水土保持功能，使区内水资源失去保护屏障，加大水土流失强度。</w:t>
      </w:r>
    </w:p>
    <w:p>
      <w:pPr>
        <w:ind w:firstLine="480"/>
        <w:rPr>
          <w:rFonts w:cs="Times New Roman"/>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②</w:t>
      </w:r>
      <w:r>
        <w:rPr>
          <w:rFonts w:cs="Times New Roman"/>
          <w:bCs/>
          <w:color w:val="000000" w:themeColor="text1"/>
          <w:highlight w:val="none"/>
          <w14:textFill>
            <w14:solidFill>
              <w14:schemeClr w14:val="tx1"/>
            </w14:solidFill>
          </w14:textFill>
        </w:rPr>
        <w:t>工程在建设期间，有较大面积的土石方开挖，造成地表裸露面积较大。在不能及时实施挡墙、排水等措施情况下，裸露地表造成水土流失，表土、土石方堆体易发生坍塌等灾害。</w:t>
      </w:r>
    </w:p>
    <w:p>
      <w:pPr>
        <w:ind w:firstLine="480"/>
        <w:rPr>
          <w:rFonts w:cs="Times New Roman"/>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③</w:t>
      </w:r>
      <w:r>
        <w:rPr>
          <w:rFonts w:cs="Times New Roman"/>
          <w:bCs/>
          <w:color w:val="000000" w:themeColor="text1"/>
          <w:highlight w:val="none"/>
          <w14:textFill>
            <w14:solidFill>
              <w14:schemeClr w14:val="tx1"/>
            </w14:solidFill>
          </w14:textFill>
        </w:rPr>
        <w:t>较严重的水土流失将直接对项目下游地势较低的耕地、道路等造成直接危害。大量流失的泥沙将会淤积排洪沟，降低其调洪、泄洪能力，对下游植被也会造成一定的影响。</w:t>
      </w:r>
    </w:p>
    <w:p>
      <w:pPr>
        <w:ind w:firstLine="480"/>
        <w:rPr>
          <w:rFonts w:cs="Times New Roman"/>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④</w:t>
      </w:r>
      <w:r>
        <w:rPr>
          <w:rFonts w:cs="Times New Roman"/>
          <w:bCs/>
          <w:color w:val="000000" w:themeColor="text1"/>
          <w:highlight w:val="none"/>
          <w14:textFill>
            <w14:solidFill>
              <w14:schemeClr w14:val="tx1"/>
            </w14:solidFill>
          </w14:textFill>
        </w:rPr>
        <w:t>项目区为西南土石山区的低山丘陵地貌，土层较薄，农作物产量低。工程建设过程中扰动破坏原地貌及植被，使土体松散，抗冲性能和抗蚀性能降低，尤其在雨季，易产生水土流失，严重的水土流失使土层进一步瘠薄，土地生产能力逐渐下降，农作物和植被逐渐失去生存环境，导致区域生态环境逐渐恶化。</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因此本项目应严格按照水保方案要求落实水土保持措施。拟建项目开挖面积小，施工期短，土石方就近占地进行临时堆放，无转运丢弃，实际新增水土流失量小。钻前工程剥离表土若随意堆放将引起水土流失，影响植被生长。项目设计将表土堆场，设挡土墙、截水沟、排水沟，可有效减少水土流失，同时利用土工布或塑料膜遮盖或采用水泥砂浆抹面的方法来减少水土流失。完钻后耕植土作为表层的覆土复植用，对表土堆场地进行复垦。通过该措施，拟建项目大大减小了土石方开挖引起的水土流失量。本次建设过程中，拟在征地范围内沿井场和表土堆场四周修建截、排水沟，将场内雨水排出，防止场内充水及水流往下渗透，以保护井场和表土堆场边坡稳定；在井场道路、放喷池等内侧布置排水沟等排水措施，以减少水土流失。</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在采取如水土保持措施后，泥土的拦截率可达80%以上，土的流失量大大减少，最终的水土流失量控制在较低水平，使本项目的水土保持工作得以有效完成。拟建项目由于占地面积小，土石方量小，且施工时间短，工程实际新增的水土流失量小，在环境可接受范围内。该项目应编制水土保持方案并按照方案落实水土保持措施，水保措施应与本项目提出的生态恢复措施结合。恢复植被选择应考虑水土保持功能和生态修复功能。通过落实相应的水土保持措施，总体水土流失量小，对水土流失重点治理区影响很小。</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环评要求：项目在开工前，应根据国家有关要求编制项目水土保持方案或采取有效水保措施，确保本项目的水土保持工作得以有效完成。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综上，本项目实施后，经严格落实水保措施及本环评报告提出的相关水土保持措施及生态恢复措施后，其区域水土流失现象能得到相应地减缓。</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项目实施可能导致外来物种造成生态危害的风险分析</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工程施工和运行期间，导致外来物种入侵的途径只有在植被恢复阶段，如果盲目引进不经过筛选的物种，可能导致外来物种入侵情况的发生。这就要求我们在项目施工和运行期间，加大宣传力度，对外来物种的危害以及传播途径向施工人员进行宣传；对现有的外来种，利用工程施工的机会，对有种子的植物要现场烧毁，以防种子扩散。在选择绿化树种和水土保持植物中坚决杜绝使用外来植物，尽可能使用乡土树种。</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51" w:name="_Toc120173151"/>
      <w:r>
        <w:rPr>
          <w:color w:val="000000" w:themeColor="text1"/>
          <w:highlight w:val="none"/>
          <w:lang w:eastAsia="zh-CN"/>
          <w14:textFill>
            <w14:solidFill>
              <w14:schemeClr w14:val="tx1"/>
            </w14:solidFill>
          </w14:textFill>
        </w:rPr>
        <w:t>施工期钻前工程环境影响分析</w:t>
      </w:r>
      <w:bookmarkEnd w:id="251"/>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（1）废气源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钻前施工人员多为临时聘请的当地民工，租住在附近农户家中，钻前工程不设集中生活营区，无集中生活废气排放。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前工程大气污染物主要为施工粉尘、运输和作业车辆排放的汽车尾气，但属短期影响（钻前施工工期约30天）。粉尘主要源于材料运输、使用过程中的粉尘散落；修筑钻井场地和井场外道路的挖填方转运过程中的二次扬尘。</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（2）大气环境影响分析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钻前施工对环境空气的影响主要是道路扬尘及燃油动力机械废气</w:t>
      </w:r>
      <w:r>
        <w:rPr>
          <w:rFonts w:hint="eastAsia" w:cs="Times New Roman"/>
          <w:color w:val="000000" w:themeColor="text1"/>
          <w:highlight w:val="none"/>
          <w14:textFill>
            <w14:solidFill>
              <w14:schemeClr w14:val="tx1"/>
            </w14:solidFill>
          </w14:textFill>
        </w:rPr>
        <w:t>（含运输车辆尾气）</w:t>
      </w:r>
      <w:r>
        <w:rPr>
          <w:rFonts w:cs="Times New Roman"/>
          <w:color w:val="000000" w:themeColor="text1"/>
          <w:highlight w:val="none"/>
          <w14:textFill>
            <w14:solidFill>
              <w14:schemeClr w14:val="tx1"/>
            </w14:solidFill>
          </w14:textFill>
        </w:rPr>
        <w:t>。扬尘主要来自施工现场运输车辆、筑路机械作业过程中扬起的灰尘。据经验数据，在风速为1.2m/s或2.4m/s下土方和灰土的装卸、运输、施工或现场施工以及石料运输时距离50</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150m处下风方向粉尘浓度为11.7～5.0mg/m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。项目所在区域的年平均风速为1.5m/s，风速较小，产生的扬尘量小。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施工单位采取硬化进出口、冲洗、洒水等措施控制扬尘，设置车辆冲洗设施对驶出工地的车辆进行冲洗。对露天堆放河沙、石粉、水泥、灰浆、灰膏等易扬撒的物料予以覆盖，对开挖施工作业面（点）洒水降尘，临时表土堆场洒水、覆盖降尘，密闭运输渣土、砂石等易撒漏扬散物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四川省《中华人民共和国大气污染防治法》实施办法（2018修订）相关要求，建设单位要加强对建设工地的监督检查，督促施工单位落实降尘、压尘和抑尘措施。钻前工程施工时间很短，完成后影响即可消失，无长期影响，通过采取降措施，对区域环境影响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各类燃油动力机械在现场进行场地挖填、运输、施工等作业时，排放的废气中含CO和NOx等污染物，由于施工的燃油机械为间断施工，加之污染物排放量小，对环境空气的不利影响很小，施工结束后，影响将消失。</w:t>
      </w:r>
    </w:p>
    <w:p>
      <w:pPr>
        <w:ind w:firstLine="482"/>
        <w:rPr>
          <w:rFonts w:cs="Times New Roman"/>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综上所述，由于钻前工程废气产生量较少、施工期短，对当地环境空气影响较小</w:t>
      </w:r>
      <w:r>
        <w:rPr>
          <w:rFonts w:cs="Times New Roman"/>
          <w:b/>
          <w:bCs/>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前工程水环境的影响主要是生活污水和施工废水。生活污水来自施工人员，施工期间生活污水产生量小，钻前工程人员租住农户家，生活污水由当地农户旱厕收集后农用，对当地水环境的影响小。施工废水来自施工场地等施工过程遇雨产生的地表径流，径流雨水中夹带有悬浮物；井场基础建设产生的废水主要来自砂石骨料加工、混凝土拌和及养护等过程中，经隔油池沉淀处理后回用于洒水降尘。施工单位通过定期检查，减少油类物质对周边土壤的影响。采取上述措施后对区域地表水环境基本无影响。</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地下水和土壤环境影响分析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钻前工程对地下水和土壤环境的影响主要是施工废水及原辅材料</w:t>
      </w:r>
      <w:r>
        <w:rPr>
          <w:rFonts w:hint="eastAsia" w:cs="Times New Roman"/>
          <w:color w:val="000000" w:themeColor="text1"/>
          <w:highlight w:val="none"/>
          <w:lang w:eastAsia="zh-CN"/>
          <w14:textFill>
            <w14:solidFill>
              <w14:schemeClr w14:val="tx1"/>
            </w14:solidFill>
          </w14:textFill>
        </w:rPr>
        <w:t>泄漏</w:t>
      </w:r>
      <w:r>
        <w:rPr>
          <w:rFonts w:cs="Times New Roman"/>
          <w:color w:val="000000" w:themeColor="text1"/>
          <w:highlight w:val="none"/>
          <w14:textFill>
            <w14:solidFill>
              <w14:schemeClr w14:val="tx1"/>
            </w14:solidFill>
          </w14:textFill>
        </w:rPr>
        <w:t>进入地下水和土壤环境，对其造成污染。钻前施工对沉淀池进行防渗，机具材料堆放于防渗垫上面，因此，采取上述措施后钻前工程对区域地下水和土壤环境基本无影响。</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为新建，钻前工程量小，时间短，工程弃土主要为井场设备基础施工产生的弃土与拆除工程产生的建筑弃渣，这些弃土用于井场平整，无弃渣产生。钻前工程产生其他的建筑废料和生活垃圾产生量较少，建筑垃圾用于井场平整或统一收集清运至政府指定地点，生活垃圾收集后依托当地环卫部门处理，对环境影响小。</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声环境影响分析</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前工程施工噪声主要来自施工机械和运输车辆产生的噪声，施工噪声影响虽然是暂时的，但施工过程中采用的施工机械一般都具有噪声高、无规则等特点，如不加以控制，将会对施工区域周边环境产生一定的影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（1）施工噪声预测模式</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施工噪声可近似视为点声源处理，根据点声源噪声衰减模式，估算出离声源不同距离处的噪声值，预测模式如下：</w:t>
      </w:r>
    </w:p>
    <w:p>
      <w:pPr>
        <w:ind w:firstLine="480"/>
        <w:rPr>
          <w:color w:val="000000" w:themeColor="text1"/>
          <w:highlight w:val="none"/>
          <w14:textFill>
            <w14:solidFill>
              <w14:schemeClr w14:val="tx1"/>
            </w14:solidFill>
          </w14:textFill>
        </w:rPr>
      </w:pPr>
      <m:oMathPara>
        <m:oMath>
          <m:sSub>
            <m:sSubPr>
              <m:ctrlPr>
                <w:rPr>
                  <w:rFonts w:ascii="Cambria Math" w:hAnsi="Cambria Math"/>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L</m:t>
              </m:r>
              <m:ctrlPr>
                <w:rPr>
                  <w:rFonts w:ascii="Cambria Math" w:hAnsi="Cambria Math"/>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A</m:t>
              </m:r>
              <m:ctrlPr>
                <w:rPr>
                  <w:rFonts w:ascii="Cambria Math" w:hAnsi="Cambria Math"/>
                  <w:color w:val="000000" w:themeColor="text1"/>
                  <w:highlight w:val="none"/>
                  <w14:textFill>
                    <w14:solidFill>
                      <w14:schemeClr w14:val="tx1"/>
                    </w14:solidFill>
                  </w14:textFill>
                </w:rPr>
              </m:ctrlPr>
            </m:sub>
          </m:sSub>
          <m:r>
            <m:rPr>
              <m:sty m:val="p"/>
            </m:rPr>
            <w:rPr>
              <w:rFonts w:ascii="Cambria Math" w:hAnsi="Cambria Math"/>
              <w:color w:val="000000" w:themeColor="text1"/>
              <w:highlight w:val="none"/>
              <w14:textFill>
                <w14:solidFill>
                  <w14:schemeClr w14:val="tx1"/>
                </w14:solidFill>
              </w14:textFill>
            </w:rPr>
            <m:t>（</m:t>
          </m:r>
          <m:r>
            <m:rPr/>
            <w:rPr>
              <w:rFonts w:ascii="Cambria Math" w:hAnsi="Cambria Math"/>
              <w:color w:val="000000" w:themeColor="text1"/>
              <w:highlight w:val="none"/>
              <w14:textFill>
                <w14:solidFill>
                  <w14:schemeClr w14:val="tx1"/>
                </w14:solidFill>
              </w14:textFill>
            </w:rPr>
            <m:t>r</m:t>
          </m:r>
          <m:r>
            <m:rPr>
              <m:sty m:val="p"/>
            </m:rPr>
            <w:rPr>
              <w:rFonts w:ascii="Cambria Math" w:hAnsi="Cambria Math"/>
              <w:color w:val="000000" w:themeColor="text1"/>
              <w:highlight w:val="none"/>
              <w14:textFill>
                <w14:solidFill>
                  <w14:schemeClr w14:val="tx1"/>
                </w14:solidFill>
              </w14:textFill>
            </w:rPr>
            <m:t>）=</m:t>
          </m:r>
          <m:sSub>
            <m:sSubPr>
              <m:ctrlPr>
                <w:rPr>
                  <w:rFonts w:ascii="Cambria Math" w:hAnsi="Cambria Math"/>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L</m:t>
              </m:r>
              <m:ctrlPr>
                <w:rPr>
                  <w:rFonts w:ascii="Cambria Math" w:hAnsi="Cambria Math"/>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A</m:t>
              </m:r>
              <m:ctrlPr>
                <w:rPr>
                  <w:rFonts w:ascii="Cambria Math" w:hAnsi="Cambria Math"/>
                  <w:color w:val="000000" w:themeColor="text1"/>
                  <w:highlight w:val="none"/>
                  <w14:textFill>
                    <w14:solidFill>
                      <w14:schemeClr w14:val="tx1"/>
                    </w14:solidFill>
                  </w14:textFill>
                </w:rPr>
              </m:ctrlPr>
            </m:sub>
          </m:sSub>
          <m:r>
            <m:rPr>
              <m:sty m:val="p"/>
            </m:rPr>
            <w:rPr>
              <w:rFonts w:ascii="Cambria Math" w:hAnsi="Cambria Math"/>
              <w:color w:val="000000" w:themeColor="text1"/>
              <w:highlight w:val="none"/>
              <w14:textFill>
                <w14:solidFill>
                  <w14:schemeClr w14:val="tx1"/>
                </w14:solidFill>
              </w14:textFill>
            </w:rPr>
            <m:t>（</m:t>
          </m:r>
          <m:r>
            <m:rPr/>
            <w:rPr>
              <w:rFonts w:ascii="Cambria Math" w:hAnsi="Cambria Math"/>
              <w:color w:val="000000" w:themeColor="text1"/>
              <w:highlight w:val="none"/>
              <w14:textFill>
                <w14:solidFill>
                  <w14:schemeClr w14:val="tx1"/>
                </w14:solidFill>
              </w14:textFill>
            </w:rPr>
            <m:t>ro</m:t>
          </m:r>
          <m:r>
            <m:rPr>
              <m:sty m:val="p"/>
            </m:rPr>
            <w:rPr>
              <w:rFonts w:ascii="Cambria Math" w:hAnsi="Cambria Math"/>
              <w:color w:val="000000" w:themeColor="text1"/>
              <w:highlight w:val="none"/>
              <w14:textFill>
                <w14:solidFill>
                  <w14:schemeClr w14:val="tx1"/>
                </w14:solidFill>
              </w14:textFill>
            </w:rPr>
            <m:t>）−20</m:t>
          </m:r>
          <m:sSub>
            <m:sSubPr>
              <m:ctrlPr>
                <w:rPr>
                  <w:rFonts w:ascii="Cambria Math" w:hAnsi="Cambria Math"/>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L</m:t>
              </m:r>
              <m:ctrlPr>
                <w:rPr>
                  <w:rFonts w:ascii="Cambria Math" w:hAnsi="Cambria Math"/>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g</m:t>
              </m:r>
              <m:ctrlPr>
                <w:rPr>
                  <w:rFonts w:ascii="Cambria Math" w:hAnsi="Cambria Math"/>
                  <w:color w:val="000000" w:themeColor="text1"/>
                  <w:highlight w:val="none"/>
                  <w14:textFill>
                    <w14:solidFill>
                      <w14:schemeClr w14:val="tx1"/>
                    </w14:solidFill>
                  </w14:textFill>
                </w:rPr>
              </m:ctrlPr>
            </m:sub>
          </m:sSub>
          <m:d>
            <m:dPr>
              <m:ctrlPr>
                <w:rPr>
                  <w:rFonts w:ascii="Cambria Math" w:hAnsi="Cambria Math"/>
                  <w:color w:val="000000" w:themeColor="text1"/>
                  <w:highlight w:val="none"/>
                  <w14:textFill>
                    <w14:solidFill>
                      <w14:schemeClr w14:val="tx1"/>
                    </w14:solidFill>
                  </w14:textFill>
                </w:rPr>
              </m:ctrlPr>
            </m:dPr>
            <m:e>
              <m:f>
                <m:fPr>
                  <m:type m:val="lin"/>
                  <m:ctrlPr>
                    <w:rPr>
                      <w:rFonts w:ascii="Cambria Math" w:hAnsi="Cambria Math"/>
                      <w:color w:val="000000" w:themeColor="text1"/>
                      <w:highlight w:val="none"/>
                      <w14:textFill>
                        <w14:solidFill>
                          <w14:schemeClr w14:val="tx1"/>
                        </w14:solidFill>
                      </w14:textFill>
                    </w:rPr>
                  </m:ctrlPr>
                </m:fPr>
                <m:num>
                  <m:r>
                    <m:rPr/>
                    <w:rPr>
                      <w:rFonts w:ascii="Cambria Math" w:hAnsi="Cambria Math"/>
                      <w:color w:val="000000" w:themeColor="text1"/>
                      <w:highlight w:val="none"/>
                      <w14:textFill>
                        <w14:solidFill>
                          <w14:schemeClr w14:val="tx1"/>
                        </w14:solidFill>
                      </w14:textFill>
                    </w:rPr>
                    <m:t>r</m:t>
                  </m:r>
                  <m:ctrlPr>
                    <w:rPr>
                      <w:rFonts w:ascii="Cambria Math" w:hAnsi="Cambria Math"/>
                      <w:color w:val="000000" w:themeColor="text1"/>
                      <w:highlight w:val="none"/>
                      <w14:textFill>
                        <w14:solidFill>
                          <w14:schemeClr w14:val="tx1"/>
                        </w14:solidFill>
                      </w14:textFill>
                    </w:rPr>
                  </m:ctrlPr>
                </m:num>
                <m:den>
                  <m:sSub>
                    <m:sSubPr>
                      <m:ctrlPr>
                        <w:rPr>
                          <w:rFonts w:ascii="Cambria Math" w:hAnsi="Cambria Math"/>
                          <w:color w:val="000000" w:themeColor="text1"/>
                          <w:highlight w:val="none"/>
                          <w14:textFill>
                            <w14:solidFill>
                              <w14:schemeClr w14:val="tx1"/>
                            </w14:solidFill>
                          </w14:textFill>
                        </w:rPr>
                      </m:ctrlPr>
                    </m:sSubPr>
                    <m:e>
                      <m:r>
                        <m:rPr/>
                        <w:rPr>
                          <w:rFonts w:ascii="Cambria Math" w:hAnsi="Cambria Math"/>
                          <w:color w:val="000000" w:themeColor="text1"/>
                          <w:highlight w:val="none"/>
                          <w14:textFill>
                            <w14:solidFill>
                              <w14:schemeClr w14:val="tx1"/>
                            </w14:solidFill>
                          </w14:textFill>
                        </w:rPr>
                        <m:t>r</m:t>
                      </m:r>
                      <m:ctrlPr>
                        <w:rPr>
                          <w:rFonts w:ascii="Cambria Math" w:hAnsi="Cambria Math"/>
                          <w:color w:val="000000" w:themeColor="text1"/>
                          <w:highlight w:val="none"/>
                          <w14:textFill>
                            <w14:solidFill>
                              <w14:schemeClr w14:val="tx1"/>
                            </w14:solidFill>
                          </w14:textFill>
                        </w:rPr>
                      </m:ctrlPr>
                    </m:e>
                    <m:sub>
                      <m:r>
                        <m:rPr/>
                        <w:rPr>
                          <w:rFonts w:ascii="Cambria Math" w:hAnsi="Cambria Math"/>
                          <w:color w:val="000000" w:themeColor="text1"/>
                          <w:highlight w:val="none"/>
                          <w14:textFill>
                            <w14:solidFill>
                              <w14:schemeClr w14:val="tx1"/>
                            </w14:solidFill>
                          </w14:textFill>
                        </w:rPr>
                        <m:t>o</m:t>
                      </m:r>
                      <m:ctrlPr>
                        <w:rPr>
                          <w:rFonts w:ascii="Cambria Math" w:hAnsi="Cambria Math"/>
                          <w:color w:val="000000" w:themeColor="text1"/>
                          <w:highlight w:val="none"/>
                          <w14:textFill>
                            <w14:solidFill>
                              <w14:schemeClr w14:val="tx1"/>
                            </w14:solidFill>
                          </w14:textFill>
                        </w:rPr>
                      </m:ctrlPr>
                    </m:sub>
                  </m:sSub>
                  <m:ctrlPr>
                    <w:rPr>
                      <w:rFonts w:ascii="Cambria Math" w:hAnsi="Cambria Math"/>
                      <w:color w:val="000000" w:themeColor="text1"/>
                      <w:highlight w:val="none"/>
                      <w14:textFill>
                        <w14:solidFill>
                          <w14:schemeClr w14:val="tx1"/>
                        </w14:solidFill>
                      </w14:textFill>
                    </w:rPr>
                  </m:ctrlPr>
                </m:den>
              </m:f>
              <m:ctrlPr>
                <w:rPr>
                  <w:rFonts w:ascii="Cambria Math" w:hAnsi="Cambria Math"/>
                  <w:color w:val="000000" w:themeColor="text1"/>
                  <w:highlight w:val="none"/>
                  <w14:textFill>
                    <w14:solidFill>
                      <w14:schemeClr w14:val="tx1"/>
                    </w14:solidFill>
                  </w14:textFill>
                </w:rPr>
              </m:ctrlPr>
            </m:e>
          </m:d>
          <m:r>
            <m:rPr>
              <m:sty m:val="p"/>
            </m:rPr>
            <w:rPr>
              <w:rFonts w:ascii="Cambria Math" w:hAnsi="Cambria Math"/>
              <w:color w:val="000000" w:themeColor="text1"/>
              <w:highlight w:val="none"/>
              <w14:textFill>
                <w14:solidFill>
                  <w14:schemeClr w14:val="tx1"/>
                </w14:solidFill>
              </w14:textFill>
            </w:rPr>
            <m:t>−</m:t>
          </m:r>
          <m:r>
            <m:rPr/>
            <w:rPr>
              <w:rFonts w:ascii="Cambria Math" w:hAnsi="Cambria Math"/>
              <w:color w:val="000000" w:themeColor="text1"/>
              <w:highlight w:val="none"/>
              <w14:textFill>
                <w14:solidFill>
                  <w14:schemeClr w14:val="tx1"/>
                </w14:solidFill>
              </w14:textFill>
            </w:rPr>
            <m:t>ΔL</m:t>
          </m:r>
        </m:oMath>
      </m:oMathPara>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w:t>
      </w:r>
      <w:r>
        <w:rPr>
          <w:color w:val="000000" w:themeColor="text1"/>
          <w:highlight w:val="none"/>
          <w:vertAlign w:val="subscript"/>
          <w14:textFill>
            <w14:solidFill>
              <w14:schemeClr w14:val="tx1"/>
            </w14:solidFill>
          </w14:textFill>
        </w:rPr>
        <w:t>A</w:t>
      </w:r>
      <w:r>
        <w:rPr>
          <w:color w:val="000000" w:themeColor="text1"/>
          <w:highlight w:val="none"/>
          <w14:textFill>
            <w14:solidFill>
              <w14:schemeClr w14:val="tx1"/>
            </w14:solidFill>
          </w14:textFill>
        </w:rPr>
        <w:t>（r）—距声源r处的施工噪声预测值，dB（A）；</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LA（r0）—距声源r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处的参考声压级，dB（A）；</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r—预测点距声源的距离，m；</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—参考点距声源的距离，m。</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object>
          <v:shape id="_x0000_i1029" o:spt="75" type="#_x0000_t75" style="height:10.05pt;width:15.9pt;" o:ole="t" filled="f" o:preferrelative="t" stroked="f" coordsize="21600,21600">
            <v:path/>
            <v:fill on="f" focussize="0,0"/>
            <v:stroke on="f" joinstyle="miter"/>
            <v:imagedata r:id="rId43" o:title=""/>
            <o:lock v:ext="edit" aspectratio="t"/>
            <w10:wrap type="none"/>
            <w10:anchorlock/>
          </v:shape>
          <o:OLEObject Type="Embed" ProgID="Equation.2" ShapeID="_x0000_i1029" DrawAspect="Content" ObjectID="_1468075729" r:id="rId42">
            <o:LockedField>false</o:LockedField>
          </o:OLEObject>
        </w:object>
      </w:r>
      <w:r>
        <w:rPr>
          <w:color w:val="000000" w:themeColor="text1"/>
          <w:highlight w:val="none"/>
          <w14:textFill>
            <w14:solidFill>
              <w14:schemeClr w14:val="tx1"/>
            </w14:solidFill>
          </w14:textFill>
        </w:rPr>
        <w:t>—各种衰减量（除发散衰减外），dB（A）。室外噪声源</w:t>
      </w:r>
      <w:r>
        <w:rPr>
          <w:color w:val="000000" w:themeColor="text1"/>
          <w:highlight w:val="none"/>
          <w14:textFill>
            <w14:solidFill>
              <w14:schemeClr w14:val="tx1"/>
            </w14:solidFill>
          </w14:textFill>
        </w:rPr>
        <w:object>
          <v:shape id="_x0000_i1030" o:spt="75" type="#_x0000_t75" style="height:10.05pt;width:15.9pt;" o:ole="t" filled="f" o:preferrelative="t" stroked="f" coordsize="21600,21600">
            <v:path/>
            <v:fill on="f" focussize="0,0"/>
            <v:stroke on="f" joinstyle="miter"/>
            <v:imagedata r:id="rId43" o:title=""/>
            <o:lock v:ext="edit" aspectratio="t"/>
            <w10:wrap type="none"/>
            <w10:anchorlock/>
          </v:shape>
          <o:OLEObject Type="Embed" ProgID="Equation.2" ShapeID="_x0000_i1030" DrawAspect="Content" ObjectID="_1468075730" r:id="rId44">
            <o:LockedField>false</o:LockedField>
          </o:OLEObject>
        </w:object>
      </w:r>
      <w:r>
        <w:rPr>
          <w:color w:val="000000" w:themeColor="text1"/>
          <w:highlight w:val="none"/>
          <w14:textFill>
            <w14:solidFill>
              <w14:schemeClr w14:val="tx1"/>
            </w14:solidFill>
          </w14:textFill>
        </w:rPr>
        <w:t>取为零。</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根据工程设计，本项目仅白天施工，夜间不施工。根据噪声衰减模式，各施工机具声源在不同距离处的噪声影响值（未考虑吸声、隔声等效果）参见表5.1-1。</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主要施工机械在不同距离的噪声值</w:t>
      </w:r>
      <w:r>
        <w:rPr>
          <w:color w:val="000000" w:themeColor="text1"/>
          <w:highlight w:val="none"/>
          <w14:textFill>
            <w14:solidFill>
              <w14:schemeClr w14:val="tx1"/>
            </w14:solidFill>
          </w14:textFill>
        </w:rPr>
        <w:t xml:space="preserve">  单位：dB（A）</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20"/>
        <w:gridCol w:w="1062"/>
        <w:gridCol w:w="750"/>
        <w:gridCol w:w="792"/>
        <w:gridCol w:w="792"/>
        <w:gridCol w:w="804"/>
        <w:gridCol w:w="785"/>
        <w:gridCol w:w="785"/>
        <w:gridCol w:w="882"/>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710" w:type="dxa"/>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047" w:type="dxa"/>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施工机具</w:t>
            </w:r>
          </w:p>
        </w:tc>
        <w:tc>
          <w:tcPr>
            <w:tcW w:w="6347" w:type="dxa"/>
            <w:gridSpan w:val="8"/>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预测距离（m）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047" w:type="dxa"/>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10</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30</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50</w:t>
            </w:r>
          </w:p>
        </w:tc>
        <w:tc>
          <w:tcPr>
            <w:tcW w:w="7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100</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150</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200</w:t>
            </w:r>
          </w:p>
        </w:tc>
        <w:tc>
          <w:tcPr>
            <w:tcW w:w="87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250</w:t>
            </w:r>
          </w:p>
        </w:tc>
        <w:tc>
          <w:tcPr>
            <w:tcW w:w="83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0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推土机</w:t>
            </w:r>
          </w:p>
        </w:tc>
        <w:tc>
          <w:tcPr>
            <w:tcW w:w="73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79</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69</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65</w:t>
            </w:r>
          </w:p>
        </w:tc>
        <w:tc>
          <w:tcPr>
            <w:tcW w:w="7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59</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54</w:t>
            </w:r>
          </w:p>
        </w:tc>
        <w:tc>
          <w:tcPr>
            <w:tcW w:w="87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51</w:t>
            </w:r>
          </w:p>
        </w:tc>
        <w:tc>
          <w:tcPr>
            <w:tcW w:w="83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0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挖掘机</w:t>
            </w:r>
          </w:p>
        </w:tc>
        <w:tc>
          <w:tcPr>
            <w:tcW w:w="73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78</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68</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64</w:t>
            </w:r>
          </w:p>
        </w:tc>
        <w:tc>
          <w:tcPr>
            <w:tcW w:w="7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58</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54</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w:t>
            </w:r>
          </w:p>
        </w:tc>
        <w:tc>
          <w:tcPr>
            <w:tcW w:w="87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50</w:t>
            </w:r>
          </w:p>
        </w:tc>
        <w:tc>
          <w:tcPr>
            <w:tcW w:w="83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10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载重机车</w:t>
            </w:r>
          </w:p>
        </w:tc>
        <w:tc>
          <w:tcPr>
            <w:tcW w:w="73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76</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66</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62</w:t>
            </w:r>
          </w:p>
        </w:tc>
        <w:tc>
          <w:tcPr>
            <w:tcW w:w="7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56</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52</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51</w:t>
            </w:r>
          </w:p>
        </w:tc>
        <w:tc>
          <w:tcPr>
            <w:tcW w:w="87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48</w:t>
            </w:r>
          </w:p>
        </w:tc>
        <w:tc>
          <w:tcPr>
            <w:tcW w:w="83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1047"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空压机</w:t>
            </w:r>
          </w:p>
        </w:tc>
        <w:tc>
          <w:tcPr>
            <w:tcW w:w="73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81</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71</w:t>
            </w:r>
          </w:p>
        </w:tc>
        <w:tc>
          <w:tcPr>
            <w:tcW w:w="78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67</w:t>
            </w:r>
          </w:p>
        </w:tc>
        <w:tc>
          <w:tcPr>
            <w:tcW w:w="7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61</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57</w:t>
            </w:r>
          </w:p>
        </w:tc>
        <w:tc>
          <w:tcPr>
            <w:tcW w:w="774"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w:t>
            </w:r>
          </w:p>
        </w:tc>
        <w:tc>
          <w:tcPr>
            <w:tcW w:w="870"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w:t>
            </w:r>
          </w:p>
        </w:tc>
        <w:tc>
          <w:tcPr>
            <w:tcW w:w="835"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52</w:t>
            </w:r>
          </w:p>
        </w:tc>
      </w:tr>
    </w:tbl>
    <w:p>
      <w:pPr>
        <w:spacing w:before="120" w:beforeLines="5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根据预测结果，在距离施工机械约36m处噪声级低于70dB（A），即施工区边界外36m处可满足《建筑施工场界环境噪声排放标准》（GB12523-2011）。</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（2）施工期噪声对敏感点的影响分析</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按《声环境质量标准》（GB3096-2008）2类标准评价（昼间小于等于60分贝），昼间距离施工区约113m可满足标准要求，夜间不施工。</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项目周边的敏感点均为分散的敏感点，</w:t>
      </w:r>
      <w:r>
        <w:rPr>
          <w:rFonts w:hint="eastAsia"/>
          <w:color w:val="000000" w:themeColor="text1"/>
          <w:highlight w:val="none"/>
          <w14:textFill>
            <w14:solidFill>
              <w14:schemeClr w14:val="tx1"/>
            </w14:solidFill>
          </w14:textFill>
        </w:rPr>
        <w:t>且</w:t>
      </w:r>
      <w:r>
        <w:rPr>
          <w:color w:val="000000" w:themeColor="text1"/>
          <w:highlight w:val="none"/>
          <w14:textFill>
            <w14:solidFill>
              <w14:schemeClr w14:val="tx1"/>
            </w14:solidFill>
          </w14:textFill>
        </w:rPr>
        <w:t>居民数量不多，钻前施工约</w:t>
      </w: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天，噪声对周边环境及居民点的影响</w:t>
      </w:r>
      <w:r>
        <w:rPr>
          <w:rFonts w:hint="eastAsia"/>
          <w:color w:val="000000" w:themeColor="text1"/>
          <w:highlight w:val="none"/>
          <w14:textFill>
            <w14:solidFill>
              <w14:schemeClr w14:val="tx1"/>
            </w14:solidFill>
          </w14:textFill>
        </w:rPr>
        <w:t>较小</w:t>
      </w:r>
      <w:r>
        <w:rPr>
          <w:color w:val="000000" w:themeColor="text1"/>
          <w:highlight w:val="none"/>
          <w14:textFill>
            <w14:solidFill>
              <w14:schemeClr w14:val="tx1"/>
            </w14:solidFill>
          </w14:textFill>
        </w:rPr>
        <w:t>，在工程在施工时，应选择合理的施工时间，白天施工时尽量避开居民午休时间，且优化总平面布置，以此来</w:t>
      </w:r>
      <w:r>
        <w:rPr>
          <w:rFonts w:hint="eastAsia"/>
          <w:color w:val="000000" w:themeColor="text1"/>
          <w:highlight w:val="none"/>
          <w14:textFill>
            <w14:solidFill>
              <w14:schemeClr w14:val="tx1"/>
            </w14:solidFill>
          </w14:textFill>
        </w:rPr>
        <w:t>进一步</w:t>
      </w:r>
      <w:r>
        <w:rPr>
          <w:color w:val="000000" w:themeColor="text1"/>
          <w:highlight w:val="none"/>
          <w14:textFill>
            <w14:solidFill>
              <w14:schemeClr w14:val="tx1"/>
            </w14:solidFill>
          </w14:textFill>
        </w:rPr>
        <w:t>降低噪声对附近居民的影响，同时应加强与周边居民点的沟通，取得居民谅解。</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52" w:name="_Toc120173152"/>
      <w:r>
        <w:rPr>
          <w:color w:val="000000" w:themeColor="text1"/>
          <w:highlight w:val="none"/>
          <w:lang w:eastAsia="zh-CN"/>
          <w14:textFill>
            <w14:solidFill>
              <w14:schemeClr w14:val="tx1"/>
            </w14:solidFill>
          </w14:textFill>
        </w:rPr>
        <w:t>施工期钻井工程环境影响分析</w:t>
      </w:r>
      <w:bookmarkEnd w:id="252"/>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本项目钻井阶段废气主要为备用柴油机/发电机废气、事故放喷废气、无组织挥发性废气。</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（1）备用柴油机/发电机废气</w:t>
      </w:r>
      <w:r>
        <w:rPr>
          <w:rFonts w:cs="Times New Roman"/>
          <w:b/>
          <w:color w:val="000000" w:themeColor="text1"/>
          <w:szCs w:val="24"/>
          <w:highlight w:val="none"/>
          <w14:textFill>
            <w14:solidFill>
              <w14:schemeClr w14:val="tx1"/>
            </w14:solidFill>
          </w14:textFill>
        </w:rPr>
        <w:t>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钻井期间，一般电力由当地电网提供，钻井作业期间停电等紧急情况下柴油发电机组废气主要污染物为NOx、SO</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颗粒物，虽然柴油机自带排气筒距离地面约6m，未达到15m，但由于在设备上升高排气筒技术上难实行，设备自身是环保达标设备，采用设备自带排气筒排气影响范围小，影响时间短，且根据2017.1.12环保部长《关于GB16297-1996 的适用范围的回复》，对</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Cs/>
          <w:color w:val="000000" w:themeColor="text1"/>
          <w:highlight w:val="none"/>
          <w14:textFill>
            <w14:solidFill>
              <w14:schemeClr w14:val="tx1"/>
            </w14:solidFill>
          </w14:textFill>
        </w:rPr>
        <w:t>固定式柴油发电机排气筒高度和排放速率暂不作要求</w:t>
      </w:r>
      <w:r>
        <w:rPr>
          <w:rFonts w:hint="eastAsia" w:ascii="宋体" w:hAnsi="宋体" w:eastAsia="宋体" w:cs="宋体"/>
          <w:color w:val="000000" w:themeColor="text1"/>
          <w:highlight w:val="none"/>
          <w14:textFill>
            <w14:solidFill>
              <w14:schemeClr w14:val="tx1"/>
            </w14:solidFill>
          </w14:textFill>
        </w:rPr>
        <w:t>”，因</w:t>
      </w:r>
      <w:r>
        <w:rPr>
          <w:rFonts w:cs="Times New Roman"/>
          <w:color w:val="000000" w:themeColor="text1"/>
          <w:highlight w:val="none"/>
          <w14:textFill>
            <w14:solidFill>
              <w14:schemeClr w14:val="tx1"/>
            </w14:solidFill>
          </w14:textFill>
        </w:rPr>
        <w:t>此可不新增措施。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本工程钻井期柴油动力机和发电机废气排放量为7760m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/h，NOx排放速率约为1.17kg/h，SO</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排放速率约为0.008kg/h，颗粒物排放速率约为0.33kg/h，属连续排放。</w:t>
      </w:r>
      <w:r>
        <w:rPr>
          <w:rFonts w:hint="eastAsia" w:cs="Times New Roman"/>
          <w:color w:val="000000" w:themeColor="text1"/>
          <w:highlight w:val="none"/>
          <w:lang w:eastAsia="zh-CN"/>
          <w14:textFill>
            <w14:solidFill>
              <w14:schemeClr w14:val="tx1"/>
            </w14:solidFill>
          </w14:textFill>
        </w:rPr>
        <w:t>燃烧废气</w:t>
      </w:r>
      <w:r>
        <w:rPr>
          <w:rFonts w:cs="Times New Roman"/>
          <w:color w:val="000000" w:themeColor="text1"/>
          <w:highlight w:val="none"/>
          <w14:textFill>
            <w14:solidFill>
              <w14:schemeClr w14:val="tx1"/>
            </w14:solidFill>
          </w14:textFill>
        </w:rPr>
        <w:t>释放到环境空气中后将很快被稀释，且其影响的持续时间较短，影响范围仅局限于钻井架周围较小范围内。钻井作业的柴油机为流动废气污染源，不会同时同地进行，所以本项目钻井期柴油机烟气对大气环境影响是有限的，能为环境所接受。因此，实际上钻井过程中，柴油机废气对环境空气的影响很小，不会改变敏感点环境功能，钻井期间的大气污染物将随钻井工程的结束而消除。</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（2）事故放喷废气</w:t>
      </w:r>
      <w:r>
        <w:rPr>
          <w:rFonts w:cs="Times New Roman"/>
          <w:b/>
          <w:color w:val="000000" w:themeColor="text1"/>
          <w:szCs w:val="24"/>
          <w:highlight w:val="none"/>
          <w14:textFill>
            <w14:solidFill>
              <w14:schemeClr w14:val="tx1"/>
            </w14:solidFill>
          </w14:textFill>
        </w:rPr>
        <w:t>影响分析</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事故放喷是由于地层高压异常导致的，在石油天然气行业是低概率事件。事故放喷主产物是</w:t>
      </w:r>
      <w:r>
        <w:rPr>
          <w:rFonts w:hint="eastAsia" w:cs="Times New Roman"/>
          <w:color w:val="000000" w:themeColor="text1"/>
          <w:highlight w:val="none"/>
          <w:lang w:val="en-US" w:eastAsia="zh-CN"/>
          <w14:textFill>
            <w14:solidFill>
              <w14:schemeClr w14:val="tx1"/>
            </w14:solidFill>
          </w14:textFill>
        </w:rPr>
        <w:t>不</w:t>
      </w:r>
      <w:r>
        <w:rPr>
          <w:rFonts w:cs="Times New Roman"/>
          <w:color w:val="000000" w:themeColor="text1"/>
          <w:highlight w:val="none"/>
          <w14:textFill>
            <w14:solidFill>
              <w14:schemeClr w14:val="tx1"/>
            </w14:solidFill>
          </w14:textFill>
        </w:rPr>
        <w:t>含硫天然气燃烧后产生的CO</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事故放喷时间持续较短，且通过专用的放喷管线将天然气引至放喷池进行点火放喷，事故放喷时间短，属临时排放，且建设单位在发生事故放喷时制定了紧急预案，对周边居民实施临时疏散，因此事故放喷对周边人群健康基本无影响，对环境影响也较小。</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3</w:t>
      </w:r>
      <w:r>
        <w:rPr>
          <w:rFonts w:cs="Times New Roman"/>
          <w:b/>
          <w:bCs/>
          <w:color w:val="000000" w:themeColor="text1"/>
          <w:highlight w:val="none"/>
          <w14:textFill>
            <w14:solidFill>
              <w14:schemeClr w14:val="tx1"/>
            </w14:solidFill>
          </w14:textFill>
        </w:rPr>
        <w:t>）无组织挥发性废气</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为天然气钻井及试采工程，因此，除燃油机械使用过程中产生的少量无组织挥发性有机物排放外，钻井施工过程中无组织排放源。因此，本项目无组织挥发性有机物排放量小，通过自然扩散可有效降低其影响，对周边环境影响甚微。</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总之，钻井期间废气污染物排放量少，且排放时间短，对井场所在地大气环境影响甚微。</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地表水环境影响分析</w:t>
      </w:r>
    </w:p>
    <w:p>
      <w:pPr>
        <w:ind w:firstLine="482"/>
        <w:rPr>
          <w:rFonts w:cs="Times New Roman"/>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（1）场地渗透、外溢对地表水环境影响分析</w:t>
      </w:r>
    </w:p>
    <w:p>
      <w:pPr>
        <w:ind w:firstLine="480"/>
        <w:rPr>
          <w:rFonts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本项目井口设置方井，用于收集钻井过程中散落的泥浆和污水，泥浆泵入泥浆罐回收利用，废水通过污水泵泵入泥浆不落地系统内处理回用。</w:t>
      </w:r>
      <w:r>
        <w:rPr>
          <w:rFonts w:hint="default" w:ascii="Times New Roman" w:hAnsi="Times New Roman" w:cs="Times New Roman"/>
          <w:bCs/>
          <w:color w:val="000000" w:themeColor="text1"/>
          <w:highlight w:val="none"/>
          <w14:textFill>
            <w14:solidFill>
              <w14:schemeClr w14:val="tx1"/>
            </w14:solidFill>
          </w14:textFill>
        </w:rPr>
        <w:t>钻井期生活污水经生态厕所收集后由密闭罐车定期拉运至周边生活污水处理厂处理；项目产生的钻井废水被贮存于井场泥浆不落地装置污水罐中。根据工程分析中的废水收集回用措施可知，泥浆不落地装置污水罐容积能够满足钻井废水贮存要求；当发生事故排水时，废水直接汇入泥浆不落地装置中，不会造成废水外溢。另外，在工程设计时，泥浆不落地装置污水罐均比地面高且有遮雨篷遮盖，可防止周边雨水汇入；井场周围设置雨水沟，井场周边雨水均不会进入井场内，井场内的雨水则顺着地势而排入四周的雨水沟；泥浆不落地装置上方配备了防雨棚，这样可避免因雨水进入集污池而增加废水量。本项目采用雨污分流，井场四周设置排水沟，并设置集水坑，初期雨水收集后与钻井废水合并处理，后期雨水依靠井站设置的地面坡度和内外环沟的阀门控制，就地散排至排水沟，排出场外。若场内雨水被污染流入外环沟，则需封闭外环沟后由作业队伍从集水坑抽汲至泥浆不落地装置或放喷池。</w:t>
      </w:r>
    </w:p>
    <w:p>
      <w:pPr>
        <w:ind w:firstLine="480"/>
        <w:rPr>
          <w:rFonts w:cs="Times New Roman"/>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在</w:t>
      </w:r>
      <w:r>
        <w:rPr>
          <w:rFonts w:hint="eastAsia" w:cs="Times New Roman"/>
          <w:bCs/>
          <w:color w:val="000000" w:themeColor="text1"/>
          <w:highlight w:val="none"/>
          <w:lang w:val="en-US" w:eastAsia="zh-CN"/>
          <w14:textFill>
            <w14:solidFill>
              <w14:schemeClr w14:val="tx1"/>
            </w14:solidFill>
          </w14:textFill>
        </w:rPr>
        <w:t>下雨期间</w:t>
      </w:r>
      <w:r>
        <w:rPr>
          <w:rFonts w:cs="Times New Roman"/>
          <w:bCs/>
          <w:color w:val="000000" w:themeColor="text1"/>
          <w:highlight w:val="none"/>
          <w14:textFill>
            <w14:solidFill>
              <w14:schemeClr w14:val="tx1"/>
            </w14:solidFill>
          </w14:textFill>
        </w:rPr>
        <w:t>应加强内外环沟的开闭工作，保证井场内初期雨水不流出井场。</w:t>
      </w:r>
      <w:r>
        <w:rPr>
          <w:rFonts w:cs="Times New Roman"/>
          <w:color w:val="000000" w:themeColor="text1"/>
          <w:highlight w:val="none"/>
          <w14:textFill>
            <w14:solidFill>
              <w14:schemeClr w14:val="tx1"/>
            </w14:solidFill>
          </w14:textFill>
        </w:rPr>
        <w:t>另外，井场采取防渗措施，泥浆不落地工艺区、井口区域、循环罐区、钻井固废暂存区、柴油罐区、发电机区、放喷池等均采取防渗处理，有效避免废水通过漏失和渗漏进入当地环境中。</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在采取上述措施后，废水以漏失、渗透、外溢等方式进入地表水环境的量极少，类比本项目已实施钻井情况，预计不会对周边河流等水环境造成污染影响，对地表水环境影响很小。</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（2）项目用水对区域水资源影响分析</w:t>
      </w:r>
    </w:p>
    <w:p>
      <w:pPr>
        <w:adjustRightInd w:val="0"/>
        <w:snapToGrid w:val="0"/>
        <w:spacing w:line="360" w:lineRule="auto"/>
        <w:ind w:firstLine="480" w:firstLineChars="200"/>
        <w:jc w:val="both"/>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本项目施工期的生产用水根据施工期附近地表水存储情况就近采用附近地表水（</w:t>
      </w:r>
      <w:r>
        <w:rPr>
          <w:rFonts w:hint="eastAsia" w:cs="Times New Roman"/>
          <w:bCs/>
          <w:color w:val="000000" w:themeColor="text1"/>
          <w:highlight w:val="none"/>
          <w:lang w:val="en-US" w:eastAsia="zh-CN"/>
          <w14:textFill>
            <w14:solidFill>
              <w14:schemeClr w14:val="tx1"/>
            </w14:solidFill>
          </w14:textFill>
        </w:rPr>
        <w:t>州河</w:t>
      </w:r>
      <w:r>
        <w:rPr>
          <w:rFonts w:cs="Times New Roman"/>
          <w:bCs/>
          <w:color w:val="000000" w:themeColor="text1"/>
          <w:highlight w:val="none"/>
          <w14:textFill>
            <w14:solidFill>
              <w14:schemeClr w14:val="tx1"/>
            </w14:solidFill>
          </w14:textFill>
        </w:rPr>
        <w:t>），生活用水使用</w:t>
      </w:r>
      <w:r>
        <w:rPr>
          <w:rFonts w:hint="eastAsia" w:cs="Times New Roman"/>
          <w:bCs/>
          <w:color w:val="000000" w:themeColor="text1"/>
          <w:highlight w:val="none"/>
          <w:lang w:val="en-US" w:eastAsia="zh-CN"/>
          <w14:textFill>
            <w14:solidFill>
              <w14:schemeClr w14:val="tx1"/>
            </w14:solidFill>
          </w14:textFill>
        </w:rPr>
        <w:t>自来水</w:t>
      </w:r>
      <w:r>
        <w:rPr>
          <w:rFonts w:hint="eastAsia" w:cs="Times New Roman"/>
          <w:bCs/>
          <w:color w:val="000000" w:themeColor="text1"/>
          <w:highlight w:val="none"/>
          <w14:textFill>
            <w14:solidFill>
              <w14:schemeClr w14:val="tx1"/>
            </w14:solidFill>
          </w14:textFill>
        </w:rPr>
        <w:t>或桶装</w:t>
      </w:r>
      <w:r>
        <w:rPr>
          <w:rFonts w:cs="Times New Roman"/>
          <w:bCs/>
          <w:color w:val="000000" w:themeColor="text1"/>
          <w:highlight w:val="none"/>
          <w14:textFill>
            <w14:solidFill>
              <w14:schemeClr w14:val="tx1"/>
            </w14:solidFill>
          </w14:textFill>
        </w:rPr>
        <w:t>水。由于项目距离</w:t>
      </w:r>
      <w:r>
        <w:rPr>
          <w:rFonts w:hint="eastAsia" w:cs="Times New Roman"/>
          <w:bCs/>
          <w:color w:val="000000" w:themeColor="text1"/>
          <w:highlight w:val="none"/>
          <w:lang w:val="en-US" w:eastAsia="zh-CN"/>
          <w14:textFill>
            <w14:solidFill>
              <w14:schemeClr w14:val="tx1"/>
            </w14:solidFill>
          </w14:textFill>
        </w:rPr>
        <w:t>州河</w:t>
      </w:r>
      <w:r>
        <w:rPr>
          <w:rFonts w:cs="Times New Roman"/>
          <w:bCs/>
          <w:color w:val="000000" w:themeColor="text1"/>
          <w:highlight w:val="none"/>
          <w14:textFill>
            <w14:solidFill>
              <w14:schemeClr w14:val="tx1"/>
            </w14:solidFill>
          </w14:textFill>
        </w:rPr>
        <w:t>较近，水量充足，项目生产用水量少，合理安排施工季节，尽量不在枯水期取水，用水前做好与当地主管部门沟通协调工作，项目取水不会对周边耕地等用水造成影响；若必须在枯水期取水要首先满足下游生态流量和管理部门的要求。</w:t>
      </w:r>
      <w:r>
        <w:rPr>
          <w:rFonts w:ascii="Times New Roman" w:hAnsi="Times New Roman"/>
          <w:bCs/>
          <w:color w:val="000000" w:themeColor="text1"/>
          <w:sz w:val="24"/>
          <w:highlight w:val="none"/>
          <w:lang w:eastAsia="zh-CN"/>
          <w14:textFill>
            <w14:solidFill>
              <w14:schemeClr w14:val="tx1"/>
            </w14:solidFill>
          </w14:textFill>
        </w:rPr>
        <w:t>项目位于丘陵区，</w:t>
      </w:r>
      <w:bookmarkStart w:id="253" w:name="_Hlk88835004"/>
      <w:r>
        <w:rPr>
          <w:rFonts w:ascii="Times New Roman" w:hAnsi="Times New Roman"/>
          <w:bCs/>
          <w:color w:val="000000" w:themeColor="text1"/>
          <w:sz w:val="24"/>
          <w:highlight w:val="none"/>
          <w:lang w:eastAsia="zh-CN"/>
          <w14:textFill>
            <w14:solidFill>
              <w14:schemeClr w14:val="tx1"/>
            </w14:solidFill>
          </w14:textFill>
        </w:rPr>
        <w:t>周边居民</w:t>
      </w:r>
      <w:r>
        <w:rPr>
          <w:rFonts w:hint="eastAsia"/>
          <w:bCs/>
          <w:color w:val="000000" w:themeColor="text1"/>
          <w:sz w:val="24"/>
          <w:highlight w:val="none"/>
          <w:lang w:val="en-US" w:eastAsia="zh-CN"/>
          <w14:textFill>
            <w14:solidFill>
              <w14:schemeClr w14:val="tx1"/>
            </w14:solidFill>
          </w14:textFill>
        </w:rPr>
        <w:t>主要</w:t>
      </w:r>
      <w:r>
        <w:rPr>
          <w:rFonts w:ascii="Times New Roman" w:hAnsi="Times New Roman"/>
          <w:bCs/>
          <w:color w:val="000000" w:themeColor="text1"/>
          <w:sz w:val="24"/>
          <w:highlight w:val="none"/>
          <w:lang w:eastAsia="zh-CN"/>
          <w14:textFill>
            <w14:solidFill>
              <w14:schemeClr w14:val="tx1"/>
            </w14:solidFill>
          </w14:textFill>
        </w:rPr>
        <w:t>使用</w:t>
      </w:r>
      <w:r>
        <w:rPr>
          <w:rFonts w:hint="eastAsia" w:ascii="Times New Roman" w:hAnsi="Times New Roman"/>
          <w:bCs/>
          <w:color w:val="000000" w:themeColor="text1"/>
          <w:sz w:val="24"/>
          <w:highlight w:val="none"/>
          <w:lang w:val="en-US" w:eastAsia="zh-CN"/>
          <w14:textFill>
            <w14:solidFill>
              <w14:schemeClr w14:val="tx1"/>
            </w14:solidFill>
          </w14:textFill>
        </w:rPr>
        <w:t>自来水</w:t>
      </w:r>
      <w:r>
        <w:rPr>
          <w:rFonts w:ascii="Times New Roman" w:hAnsi="Times New Roman"/>
          <w:bCs/>
          <w:color w:val="000000" w:themeColor="text1"/>
          <w:sz w:val="24"/>
          <w:highlight w:val="none"/>
          <w:lang w:eastAsia="zh-CN"/>
          <w14:textFill>
            <w14:solidFill>
              <w14:schemeClr w14:val="tx1"/>
            </w14:solidFill>
          </w14:textFill>
        </w:rPr>
        <w:t>，</w:t>
      </w:r>
      <w:bookmarkEnd w:id="253"/>
      <w:r>
        <w:rPr>
          <w:rFonts w:ascii="Times New Roman" w:hAnsi="Times New Roman"/>
          <w:bCs/>
          <w:color w:val="000000" w:themeColor="text1"/>
          <w:sz w:val="24"/>
          <w:highlight w:val="none"/>
          <w:lang w:eastAsia="zh-CN"/>
          <w14:textFill>
            <w14:solidFill>
              <w14:schemeClr w14:val="tx1"/>
            </w14:solidFill>
          </w14:textFill>
        </w:rPr>
        <w:t>项目用水相对较小，故项目建设生产及生活用水不会对区域水资源造成影响。</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（3）对区域地表水</w:t>
      </w:r>
      <w:r>
        <w:rPr>
          <w:rFonts w:cs="Times New Roman"/>
          <w:b/>
          <w:color w:val="000000" w:themeColor="text1"/>
          <w:szCs w:val="24"/>
          <w:highlight w:val="none"/>
          <w14:textFill>
            <w14:solidFill>
              <w14:schemeClr w14:val="tx1"/>
            </w14:solidFill>
          </w14:textFill>
        </w:rPr>
        <w:t>影响分析</w:t>
      </w:r>
    </w:p>
    <w:p>
      <w:pPr>
        <w:ind w:firstLine="480"/>
        <w:rPr>
          <w:rFonts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钻井期生活污水经生态厕所收集后由密闭罐车定期拉运至周边生活污水处理厂处理；项目产生的钻井废水经</w:t>
      </w:r>
      <w:r>
        <w:rPr>
          <w:rFonts w:hint="eastAsia" w:cs="Times New Roman"/>
          <w:bCs/>
          <w:color w:val="000000" w:themeColor="text1"/>
          <w:szCs w:val="24"/>
          <w:highlight w:val="none"/>
          <w:lang w:val="en-US" w:eastAsia="zh-CN"/>
          <w14:textFill>
            <w14:solidFill>
              <w14:schemeClr w14:val="tx1"/>
            </w14:solidFill>
          </w14:textFill>
        </w:rPr>
        <w:t>泥浆不落地装置</w:t>
      </w:r>
      <w:r>
        <w:rPr>
          <w:rFonts w:hint="default" w:ascii="Times New Roman" w:hAnsi="Times New Roman" w:cs="Times New Roman"/>
          <w:bCs/>
          <w:color w:val="000000" w:themeColor="text1"/>
          <w:szCs w:val="24"/>
          <w:highlight w:val="none"/>
          <w14:textFill>
            <w14:solidFill>
              <w14:schemeClr w14:val="tx1"/>
            </w14:solidFill>
          </w14:textFill>
        </w:rPr>
        <w:t>预处理后</w:t>
      </w:r>
      <w:r>
        <w:rPr>
          <w:rFonts w:hint="default" w:ascii="Times New Roman" w:hAnsi="Times New Roman" w:cs="Times New Roman"/>
          <w:bCs/>
          <w:color w:val="000000" w:themeColor="text1"/>
          <w:highlight w:val="none"/>
          <w14:textFill>
            <w14:solidFill>
              <w14:schemeClr w14:val="tx1"/>
            </w14:solidFill>
          </w14:textFill>
        </w:rPr>
        <w:t>满足要求的全部回用于钻井过程，</w:t>
      </w:r>
      <w:r>
        <w:rPr>
          <w:rFonts w:hint="default" w:ascii="Times New Roman" w:hAnsi="Times New Roman" w:cs="Times New Roman"/>
          <w:bCs/>
          <w:color w:val="000000" w:themeColor="text1"/>
          <w:szCs w:val="24"/>
          <w:highlight w:val="none"/>
          <w14:textFill>
            <w14:solidFill>
              <w14:schemeClr w14:val="tx1"/>
            </w14:solidFill>
          </w14:textFill>
        </w:rPr>
        <w:t>剩余废水经罐车拉运至</w:t>
      </w:r>
      <w:r>
        <w:rPr>
          <w:rFonts w:hint="eastAsia" w:cs="Times New Roman"/>
          <w:bCs/>
          <w:color w:val="000000" w:themeColor="text1"/>
          <w:szCs w:val="24"/>
          <w:highlight w:val="none"/>
          <w:lang w:eastAsia="zh-CN"/>
          <w14:textFill>
            <w14:solidFill>
              <w14:schemeClr w14:val="tx1"/>
            </w14:solidFill>
          </w14:textFill>
        </w:rPr>
        <w:t>赵家坝污水处理站</w:t>
      </w:r>
      <w:r>
        <w:rPr>
          <w:rFonts w:hint="default" w:ascii="Times New Roman" w:hAnsi="Times New Roman" w:cs="Times New Roman"/>
          <w:bCs/>
          <w:color w:val="000000" w:themeColor="text1"/>
          <w:szCs w:val="24"/>
          <w:highlight w:val="none"/>
          <w14:textFill>
            <w14:solidFill>
              <w14:schemeClr w14:val="tx1"/>
            </w14:solidFill>
          </w14:textFill>
        </w:rPr>
        <w:t>达标后管输至</w:t>
      </w:r>
      <w:r>
        <w:rPr>
          <w:rFonts w:hint="eastAsia" w:cs="Times New Roman"/>
          <w:bCs/>
          <w:color w:val="000000" w:themeColor="text1"/>
          <w:szCs w:val="24"/>
          <w:highlight w:val="none"/>
          <w:lang w:eastAsia="zh-CN"/>
          <w14:textFill>
            <w14:solidFill>
              <w14:schemeClr w14:val="tx1"/>
            </w14:solidFill>
          </w14:textFill>
        </w:rPr>
        <w:t>普光3井回注站</w:t>
      </w:r>
      <w:r>
        <w:rPr>
          <w:rFonts w:hint="default" w:ascii="Times New Roman" w:hAnsi="Times New Roman" w:cs="Times New Roman"/>
          <w:bCs/>
          <w:color w:val="000000" w:themeColor="text1"/>
          <w:szCs w:val="24"/>
          <w:highlight w:val="none"/>
          <w14:textFill>
            <w14:solidFill>
              <w14:schemeClr w14:val="tx1"/>
            </w14:solidFill>
          </w14:textFill>
        </w:rPr>
        <w:t>回注，不外排</w:t>
      </w:r>
      <w:r>
        <w:rPr>
          <w:rFonts w:hint="default" w:ascii="Times New Roman" w:hAnsi="Times New Roman"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初期雨水收集后同钻井废水一并经不落地装置处理后大部分回用于配制钻井液，剩余不能回用部分暂存于清洁生产操作平台的废水罐内，定期装车拉运至赵家坝污水处理站处理达标后经普光3井回注站回注，不外排。</w:t>
      </w:r>
      <w:r>
        <w:rPr>
          <w:rFonts w:hint="default" w:ascii="Times New Roman" w:hAnsi="Times New Roman" w:cs="Times New Roman"/>
          <w:bCs/>
          <w:color w:val="000000" w:themeColor="text1"/>
          <w:highlight w:val="none"/>
          <w14:textFill>
            <w14:solidFill>
              <w14:schemeClr w14:val="tx1"/>
            </w14:solidFill>
          </w14:textFill>
        </w:rPr>
        <w:t>项目废水产生量少，经处理达标后污染物排放量也少，对当地地表水环境的影响在可接受范围内。</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（4）对项目周边耕地</w:t>
      </w:r>
      <w:r>
        <w:rPr>
          <w:rFonts w:cs="Times New Roman"/>
          <w:b/>
          <w:color w:val="000000" w:themeColor="text1"/>
          <w:szCs w:val="24"/>
          <w:highlight w:val="none"/>
          <w14:textFill>
            <w14:solidFill>
              <w14:schemeClr w14:val="tx1"/>
            </w14:solidFill>
          </w14:textFill>
        </w:rPr>
        <w:t>影响分析</w:t>
      </w:r>
    </w:p>
    <w:p>
      <w:pPr>
        <w:ind w:firstLine="480"/>
        <w:rPr>
          <w:rFonts w:cs="Times New Roman"/>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井场钻井所有设备均设置了混凝土基础，并在设备周边均设置了排污沟；在所有井场没有设置混凝土基础区域不会进行设备安装、检修等工作，因此不会有废油产生于该区域。在雨季时，雨水冲刷混凝土基础及设备的雨水会进入设备周边的混凝土排污沟，经过集污坑隔油沉淀后废水进入废水罐，废油回用或委托有资质单位处理；井场内其他非混凝土基础部分没有废油产生，雨水则直接进入场界周边的排水沟排入周围环境，对周边耕地影响甚微。</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bookmarkStart w:id="254" w:name="5.1.1施工期大气环境影响分析"/>
      <w:bookmarkEnd w:id="254"/>
      <w:bookmarkStart w:id="255" w:name="5.1.3施工期噪声环境影响分析"/>
      <w:bookmarkEnd w:id="255"/>
      <w:r>
        <w:rPr>
          <w:color w:val="000000" w:themeColor="text1"/>
          <w:highlight w:val="none"/>
          <w14:textFill>
            <w14:solidFill>
              <w14:schemeClr w14:val="tx1"/>
            </w14:solidFill>
          </w14:textFill>
        </w:rPr>
        <w:t>声环境影响分析</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该项目钻井期间噪声影响主要来源于柴油发电机（备用）、钻机、泥浆泵、振动筛、离心机等设备产生的连续机械噪声；此外，</w:t>
      </w:r>
      <w:r>
        <w:rPr>
          <w:rFonts w:hint="eastAsia" w:cs="Times New Roman"/>
          <w:color w:val="000000" w:themeColor="text1"/>
          <w:highlight w:val="none"/>
          <w:lang w:val="en-US" w:eastAsia="zh-CN"/>
          <w14:textFill>
            <w14:solidFill>
              <w14:schemeClr w14:val="tx1"/>
            </w14:solidFill>
          </w14:textFill>
        </w:rPr>
        <w:t>此外，事故放喷时还将产生高压气流噪声</w:t>
      </w:r>
      <w:r>
        <w:rPr>
          <w:color w:val="000000" w:themeColor="text1"/>
          <w:highlight w:val="none"/>
          <w14:textFill>
            <w14:solidFill>
              <w14:schemeClr w14:val="tx1"/>
            </w14:solidFill>
          </w14:textFill>
        </w:rPr>
        <w:t>。</w:t>
      </w:r>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1、钻井工程噪声环境影响预测及分析</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（1）预测步骤</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1）建立坐标系，确定各声源坐标和预测点坐标，并根据声源性质以及预测点与声源之间的距离等情况。</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2）根据已获得的声源源强的数据和各声源到预测点的声波传播条件资料，计算出噪声从各声源传播到预测点的声衰减量，由此计算出各声源单独作用在预测点时产生的A声级。</w:t>
      </w:r>
    </w:p>
    <w:p>
      <w:pPr>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源强</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钻井工程优先采用市政供电，</w:t>
      </w:r>
      <w:r>
        <w:rPr>
          <w:rFonts w:hint="eastAsia"/>
          <w:color w:val="000000" w:themeColor="text1"/>
          <w:highlight w:val="none"/>
          <w14:textFill>
            <w14:solidFill>
              <w14:schemeClr w14:val="tx1"/>
            </w14:solidFill>
          </w14:textFill>
        </w:rPr>
        <w:t>停电等非正常工况时</w:t>
      </w:r>
      <w:r>
        <w:rPr>
          <w:color w:val="000000" w:themeColor="text1"/>
          <w:highlight w:val="none"/>
          <w14:textFill>
            <w14:solidFill>
              <w14:schemeClr w14:val="tx1"/>
            </w14:solidFill>
          </w14:textFill>
        </w:rPr>
        <w:t>使用柴油发电机供电，可能会对周围居民产生影响。本项目井场设柴油动力机3台（2用1备），</w:t>
      </w:r>
      <w:r>
        <w:rPr>
          <w:rFonts w:hint="eastAsia"/>
          <w:color w:val="000000" w:themeColor="text1"/>
          <w:highlight w:val="none"/>
          <w14:textFill>
            <w14:solidFill>
              <w14:schemeClr w14:val="tx1"/>
            </w14:solidFill>
          </w14:textFill>
        </w:rPr>
        <w:t>本项目预测</w:t>
      </w:r>
      <w:r>
        <w:rPr>
          <w:color w:val="000000" w:themeColor="text1"/>
          <w:highlight w:val="none"/>
          <w14:textFill>
            <w14:solidFill>
              <w14:schemeClr w14:val="tx1"/>
            </w14:solidFill>
          </w14:textFill>
        </w:rPr>
        <w:t>考虑最不利情况下使用柴油动力机、发电机钻井作业对周围人居环境产生的影响。则井场钻井阶段钻井噪声主要来源于3台（2用1备）柴油机、2台发电机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用</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备）</w:t>
      </w:r>
      <w:r>
        <w:rPr>
          <w:color w:val="000000" w:themeColor="text1"/>
          <w:highlight w:val="none"/>
          <w14:textFill>
            <w14:solidFill>
              <w14:schemeClr w14:val="tx1"/>
            </w14:solidFill>
          </w14:textFill>
        </w:rPr>
        <w:t>、1套钻井设备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2台泥浆泵、</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台振动筛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2用1备</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等设备产生的机械噪声；此外，在测试放喷和事故工况下将产生气流噪声。</w:t>
      </w:r>
      <w:r>
        <w:rPr>
          <w:rFonts w:hint="eastAsia"/>
          <w:color w:val="000000" w:themeColor="text1"/>
          <w:highlight w:val="none"/>
          <w14:textFill>
            <w14:solidFill>
              <w14:schemeClr w14:val="tx1"/>
            </w14:solidFill>
          </w14:textFill>
        </w:rPr>
        <w:t>井场噪声源见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REF _Ref141209662 \h</w:instrText>
      </w:r>
      <w:r>
        <w:rPr>
          <w:color w:val="000000" w:themeColor="text1"/>
          <w:highlight w:val="none"/>
          <w14:textFill>
            <w14:solidFill>
              <w14:schemeClr w14:val="tx1"/>
            </w14:solidFill>
          </w14:textFill>
        </w:rPr>
        <w:instrText xml:space="preserve">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表5.1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56" w:name="_Ref141209662"/>
      <w:bookmarkStart w:id="257" w:name="_Hlk140760288"/>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256"/>
      <w:r>
        <w:rPr>
          <w:color w:val="000000" w:themeColor="text1"/>
          <w:highlight w:val="none"/>
          <w14:textFill>
            <w14:solidFill>
              <w14:schemeClr w14:val="tx1"/>
            </w14:solidFill>
          </w14:textFill>
        </w:rPr>
        <w:t>钻井工程主要噪声源强调查清单</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88"/>
        <w:gridCol w:w="1350"/>
        <w:gridCol w:w="567"/>
        <w:gridCol w:w="567"/>
        <w:gridCol w:w="567"/>
        <w:gridCol w:w="709"/>
        <w:gridCol w:w="1276"/>
        <w:gridCol w:w="850"/>
        <w:gridCol w:w="1298"/>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488"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350"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声源名称</w:t>
            </w:r>
          </w:p>
        </w:tc>
        <w:tc>
          <w:tcPr>
            <w:tcW w:w="567"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型号</w:t>
            </w:r>
          </w:p>
        </w:tc>
        <w:tc>
          <w:tcPr>
            <w:tcW w:w="1843" w:type="dxa"/>
            <w:gridSpan w:val="3"/>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空间相对位置/m</w:t>
            </w:r>
          </w:p>
        </w:tc>
        <w:tc>
          <w:tcPr>
            <w:tcW w:w="2126"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声源源强（任选一种）</w:t>
            </w:r>
          </w:p>
        </w:tc>
        <w:tc>
          <w:tcPr>
            <w:tcW w:w="1298"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声源控制措施</w:t>
            </w:r>
          </w:p>
        </w:tc>
        <w:tc>
          <w:tcPr>
            <w:tcW w:w="548"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48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50"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X</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Y</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Z</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（声压级/距声源距离）/（dB(A)/m）</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eastAsia"/>
                <w:b/>
                <w:bCs/>
                <w:color w:val="000000" w:themeColor="text1"/>
                <w:szCs w:val="20"/>
                <w:highlight w:val="none"/>
                <w14:textFill>
                  <w14:solidFill>
                    <w14:schemeClr w14:val="tx1"/>
                  </w14:solidFill>
                </w14:textFill>
              </w:rPr>
              <w:t>等效</w:t>
            </w:r>
            <w:r>
              <w:rPr>
                <w:rFonts w:hint="default"/>
                <w:b/>
                <w:bCs/>
                <w:color w:val="000000" w:themeColor="text1"/>
                <w:szCs w:val="20"/>
                <w:highlight w:val="none"/>
                <w14:textFill>
                  <w14:solidFill>
                    <w14:schemeClr w14:val="tx1"/>
                  </w14:solidFill>
                </w14:textFill>
              </w:rPr>
              <w:t>声级/dB(A)</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钻机</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ZJ70</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14.5</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54.7</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4</w:t>
            </w:r>
            <w:r>
              <w:rPr>
                <w:rFonts w:hint="default"/>
                <w:color w:val="000000" w:themeColor="text1"/>
                <w:szCs w:val="20"/>
                <w:highlight w:val="none"/>
                <w14:textFill>
                  <w14:solidFill>
                    <w14:schemeClr w14:val="tx1"/>
                  </w14:solidFill>
                </w14:textFill>
              </w:rPr>
              <w:t>.5</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98</w:t>
            </w:r>
          </w:p>
        </w:tc>
        <w:tc>
          <w:tcPr>
            <w:tcW w:w="1298"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置于钻井井场内，基础安装减振垫层</w:t>
            </w:r>
            <w:r>
              <w:rPr>
                <w:rFonts w:hint="eastAsia"/>
                <w:color w:val="000000" w:themeColor="text1"/>
                <w:szCs w:val="20"/>
                <w:highlight w:val="none"/>
                <w14:textFill>
                  <w14:solidFill>
                    <w14:schemeClr w14:val="tx1"/>
                  </w14:solidFill>
                </w14:textFill>
              </w:rPr>
              <w:t>，泥浆泵安装消声器</w:t>
            </w:r>
          </w:p>
        </w:tc>
        <w:tc>
          <w:tcPr>
            <w:tcW w:w="54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泥浆泵</w:t>
            </w:r>
            <w:r>
              <w:rPr>
                <w:rFonts w:hint="eastAsia"/>
                <w:color w:val="000000" w:themeColor="text1"/>
                <w:szCs w:val="20"/>
                <w:highlight w:val="none"/>
                <w14:textFill>
                  <w14:solidFill>
                    <w14:schemeClr w14:val="tx1"/>
                  </w14:solidFill>
                </w14:textFill>
              </w:rPr>
              <w:t>1</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1.29</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50.34</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3.0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泥浆泵</w:t>
            </w:r>
            <w:r>
              <w:rPr>
                <w:rFonts w:hint="eastAsia"/>
                <w:color w:val="000000" w:themeColor="text1"/>
                <w:szCs w:val="20"/>
                <w:highlight w:val="none"/>
                <w14:textFill>
                  <w14:solidFill>
                    <w14:schemeClr w14:val="tx1"/>
                  </w14:solidFill>
                </w14:textFill>
              </w:rPr>
              <w:t>2</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5.26</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.93.3</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3.0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8</w:t>
            </w:r>
            <w:r>
              <w:rPr>
                <w:rFonts w:hint="default"/>
                <w:color w:val="000000" w:themeColor="text1"/>
                <w:szCs w:val="20"/>
                <w:highlight w:val="none"/>
                <w14:textFill>
                  <w14:solidFill>
                    <w14:schemeClr w14:val="tx1"/>
                  </w14:solidFill>
                </w14:textFill>
              </w:rPr>
              <w:t>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振动筛1</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-1.8</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64.0</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2.5</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振动筛2</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-7.0</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58.7</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2.5</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离心机</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-12.8</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53.4</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83</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泥浆不落地装置</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w:t>
            </w:r>
            <w:r>
              <w:rPr>
                <w:rFonts w:hint="eastAsia" w:eastAsia="宋体"/>
                <w:color w:val="000000" w:themeColor="text1"/>
                <w:szCs w:val="20"/>
                <w:highlight w:val="none"/>
                <w:lang w:val="en-US" w:eastAsia="zh-CN"/>
                <w14:textFill>
                  <w14:solidFill>
                    <w14:schemeClr w14:val="tx1"/>
                  </w14:solidFill>
                </w14:textFill>
              </w:rPr>
              <w:t>9</w:t>
            </w:r>
            <w:r>
              <w:rPr>
                <w:rFonts w:hint="default" w:eastAsia="宋体"/>
                <w:color w:val="000000" w:themeColor="text1"/>
                <w:szCs w:val="20"/>
                <w:highlight w:val="none"/>
                <w:lang w:val="en-US" w:eastAsia="zh-CN"/>
                <w14:textFill>
                  <w14:solidFill>
                    <w14:schemeClr w14:val="tx1"/>
                  </w14:solidFill>
                </w14:textFill>
              </w:rPr>
              <w:t>.</w:t>
            </w:r>
            <w:r>
              <w:rPr>
                <w:rFonts w:hint="eastAsia" w:eastAsia="宋体"/>
                <w:color w:val="000000" w:themeColor="text1"/>
                <w:szCs w:val="20"/>
                <w:highlight w:val="none"/>
                <w:lang w:val="en-US" w:eastAsia="zh-CN"/>
                <w14:textFill>
                  <w14:solidFill>
                    <w14:schemeClr w14:val="tx1"/>
                  </w14:solidFill>
                </w14:textFill>
              </w:rPr>
              <w:t>2</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5</w:t>
            </w:r>
            <w:r>
              <w:rPr>
                <w:rFonts w:hint="eastAsia" w:eastAsia="宋体"/>
                <w:color w:val="000000" w:themeColor="text1"/>
                <w:szCs w:val="20"/>
                <w:highlight w:val="none"/>
                <w:lang w:val="en-US" w:eastAsia="zh-CN"/>
                <w14:textFill>
                  <w14:solidFill>
                    <w14:schemeClr w14:val="tx1"/>
                  </w14:solidFill>
                </w14:textFill>
              </w:rPr>
              <w:t>0</w:t>
            </w:r>
            <w:r>
              <w:rPr>
                <w:rFonts w:hint="default" w:eastAsia="宋体"/>
                <w:color w:val="000000" w:themeColor="text1"/>
                <w:szCs w:val="20"/>
                <w:highlight w:val="none"/>
                <w:lang w:val="en-US" w:eastAsia="zh-CN"/>
                <w14:textFill>
                  <w14:solidFill>
                    <w14:schemeClr w14:val="tx1"/>
                  </w14:solidFill>
                </w14:textFill>
              </w:rPr>
              <w:t>.</w:t>
            </w:r>
            <w:r>
              <w:rPr>
                <w:rFonts w:hint="eastAsia" w:eastAsia="宋体"/>
                <w:color w:val="000000" w:themeColor="text1"/>
                <w:szCs w:val="20"/>
                <w:highlight w:val="none"/>
                <w:lang w:val="en-US" w:eastAsia="zh-CN"/>
                <w14:textFill>
                  <w14:solidFill>
                    <w14:schemeClr w14:val="tx1"/>
                  </w14:solidFill>
                </w14:textFill>
              </w:rPr>
              <w:t>1</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85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shd w:val="clear" w:color="auto" w:fill="FFFFFF"/>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柴油动力机</w:t>
            </w:r>
            <w:r>
              <w:rPr>
                <w:rFonts w:hint="eastAsia"/>
                <w:color w:val="000000" w:themeColor="text1"/>
                <w:szCs w:val="20"/>
                <w:highlight w:val="none"/>
                <w14:textFill>
                  <w14:solidFill>
                    <w14:schemeClr w14:val="tx1"/>
                  </w14:solidFill>
                </w14:textFill>
              </w:rPr>
              <w:t>1</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-2.24</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32.2</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95</w:t>
            </w:r>
          </w:p>
        </w:tc>
        <w:tc>
          <w:tcPr>
            <w:tcW w:w="1298"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活动板房隔声，自带高质量消声器的柴油机</w:t>
            </w:r>
          </w:p>
        </w:tc>
        <w:tc>
          <w:tcPr>
            <w:tcW w:w="548"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偶尔、连续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柴油动力机2</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-5.3</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34.9</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9</w:t>
            </w:r>
            <w:r>
              <w:rPr>
                <w:rFonts w:hint="default"/>
                <w:color w:val="000000" w:themeColor="text1"/>
                <w:szCs w:val="20"/>
                <w:highlight w:val="none"/>
                <w14:textFill>
                  <w14:solidFill>
                    <w14:schemeClr w14:val="tx1"/>
                  </w14:solidFill>
                </w14:textFill>
              </w:rPr>
              <w:t>5</w:t>
            </w:r>
          </w:p>
        </w:tc>
        <w:tc>
          <w:tcPr>
            <w:tcW w:w="129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48"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3" w:type="dxa"/>
            <w:bottom w:w="0" w:type="dxa"/>
            <w:right w:w="23" w:type="dxa"/>
          </w:tblCellMar>
        </w:tblPrEx>
        <w:trPr>
          <w:jc w:val="center"/>
        </w:trPr>
        <w:tc>
          <w:tcPr>
            <w:tcW w:w="488" w:type="dxa"/>
            <w:shd w:val="clear" w:color="auto" w:fill="FFFFFF"/>
            <w:vAlign w:val="center"/>
          </w:tcPr>
          <w:p>
            <w:pPr>
              <w:pStyle w:val="295"/>
              <w:keepNext w:val="0"/>
              <w:keepLines w:val="0"/>
              <w:widowControl/>
              <w:numPr>
                <w:ilvl w:val="0"/>
                <w:numId w:val="13"/>
              </w:numPr>
              <w:suppressLineNumbers w:val="0"/>
              <w:spacing w:before="0" w:beforeAutospacing="0" w:after="0" w:afterAutospacing="0"/>
              <w:ind w:right="0"/>
              <w:rPr>
                <w:rFonts w:hint="default"/>
                <w:color w:val="000000" w:themeColor="text1"/>
                <w:szCs w:val="20"/>
                <w:highlight w:val="none"/>
                <w14:textFill>
                  <w14:solidFill>
                    <w14:schemeClr w14:val="tx1"/>
                  </w14:solidFill>
                </w14:textFill>
              </w:rPr>
            </w:pPr>
          </w:p>
        </w:tc>
        <w:tc>
          <w:tcPr>
            <w:tcW w:w="13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柴油发电机</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eastAsia="宋体"/>
                <w:color w:val="000000" w:themeColor="text1"/>
                <w:szCs w:val="20"/>
                <w:highlight w:val="none"/>
                <w:lang w:val="en-US" w:eastAsia="zh-CN"/>
                <w14:textFill>
                  <w14:solidFill>
                    <w14:schemeClr w14:val="tx1"/>
                  </w14:solidFill>
                </w14:textFill>
              </w:rPr>
              <w:t>-10.6</w:t>
            </w:r>
          </w:p>
        </w:tc>
        <w:tc>
          <w:tcPr>
            <w:tcW w:w="567"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color w:val="000000" w:themeColor="text1"/>
                <w:szCs w:val="20"/>
                <w:highlight w:val="none"/>
                <w14:textFill>
                  <w14:solidFill>
                    <w14:schemeClr w14:val="tx1"/>
                  </w14:solidFill>
                </w14:textFill>
              </w:rPr>
              <w:t>28.73</w:t>
            </w:r>
          </w:p>
        </w:tc>
        <w:tc>
          <w:tcPr>
            <w:tcW w:w="709"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1276"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850"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90</w:t>
            </w:r>
          </w:p>
        </w:tc>
        <w:tc>
          <w:tcPr>
            <w:tcW w:w="129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自带高质量消声器的柴油机</w:t>
            </w:r>
          </w:p>
        </w:tc>
        <w:tc>
          <w:tcPr>
            <w:tcW w:w="54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偶尔、连续</w:t>
            </w:r>
          </w:p>
        </w:tc>
      </w:tr>
    </w:tbl>
    <w:p>
      <w:pPr>
        <w:pStyle w:val="27"/>
        <w:spacing w:line="240" w:lineRule="auto"/>
        <w:ind w:firstLine="440"/>
        <w:rPr>
          <w:rFonts w:ascii="Times New Roman" w:hAnsi="Times New Roman"/>
          <w:bCs/>
          <w:color w:val="000000" w:themeColor="text1"/>
          <w:sz w:val="22"/>
          <w:szCs w:val="22"/>
          <w:highlight w:val="none"/>
          <w14:textFill>
            <w14:solidFill>
              <w14:schemeClr w14:val="tx1"/>
            </w14:solidFill>
          </w14:textFill>
        </w:rPr>
      </w:pPr>
      <w:r>
        <w:rPr>
          <w:rFonts w:ascii="Times New Roman" w:hAnsi="Times New Roman"/>
          <w:bCs/>
          <w:color w:val="000000" w:themeColor="text1"/>
          <w:sz w:val="22"/>
          <w:szCs w:val="22"/>
          <w:highlight w:val="none"/>
          <w14:textFill>
            <w14:solidFill>
              <w14:schemeClr w14:val="tx1"/>
            </w14:solidFill>
          </w14:textFill>
        </w:rPr>
        <w:t>注：表中坐标以</w:t>
      </w:r>
      <w:r>
        <w:rPr>
          <w:rFonts w:hint="eastAsia" w:ascii="Times New Roman" w:hAnsi="Times New Roman"/>
          <w:bCs/>
          <w:color w:val="000000" w:themeColor="text1"/>
          <w:sz w:val="22"/>
          <w:szCs w:val="22"/>
          <w:highlight w:val="none"/>
          <w:lang w:eastAsia="zh-CN"/>
          <w14:textFill>
            <w14:solidFill>
              <w14:schemeClr w14:val="tx1"/>
            </w14:solidFill>
          </w14:textFill>
        </w:rPr>
        <w:t>雷页1试验井</w:t>
      </w:r>
      <w:r>
        <w:rPr>
          <w:rFonts w:hint="eastAsia" w:ascii="Times New Roman" w:hAnsi="Times New Roman"/>
          <w:bCs/>
          <w:color w:val="000000" w:themeColor="text1"/>
          <w:sz w:val="22"/>
          <w:szCs w:val="22"/>
          <w:highlight w:val="none"/>
          <w:lang w:val="en-US" w:eastAsia="zh-CN"/>
          <w14:textFill>
            <w14:solidFill>
              <w14:schemeClr w14:val="tx1"/>
            </w14:solidFill>
          </w14:textFill>
        </w:rPr>
        <w:t>组井场边界左下角</w:t>
      </w:r>
      <w:r>
        <w:rPr>
          <w:rFonts w:ascii="Times New Roman" w:hAnsi="Times New Roman"/>
          <w:bCs/>
          <w:color w:val="000000" w:themeColor="text1"/>
          <w:sz w:val="22"/>
          <w:szCs w:val="22"/>
          <w:highlight w:val="none"/>
          <w14:textFill>
            <w14:solidFill>
              <w14:schemeClr w14:val="tx1"/>
            </w14:solidFill>
          </w14:textFill>
        </w:rPr>
        <w:t>为坐标原点，沿东</w:t>
      </w:r>
      <w:r>
        <w:rPr>
          <w:rFonts w:hint="eastAsia" w:ascii="Times New Roman" w:hAnsi="Times New Roman"/>
          <w:bCs/>
          <w:color w:val="000000" w:themeColor="text1"/>
          <w:sz w:val="22"/>
          <w:szCs w:val="22"/>
          <w:highlight w:val="none"/>
          <w14:textFill>
            <w14:solidFill>
              <w14:schemeClr w14:val="tx1"/>
            </w14:solidFill>
          </w14:textFill>
        </w:rPr>
        <w:t>侧</w:t>
      </w:r>
      <w:r>
        <w:rPr>
          <w:rFonts w:ascii="Times New Roman" w:hAnsi="Times New Roman"/>
          <w:bCs/>
          <w:color w:val="000000" w:themeColor="text1"/>
          <w:sz w:val="22"/>
          <w:szCs w:val="22"/>
          <w:highlight w:val="none"/>
          <w14:textFill>
            <w14:solidFill>
              <w14:schemeClr w14:val="tx1"/>
            </w14:solidFill>
          </w14:textFill>
        </w:rPr>
        <w:t>为X轴正方向，沿北</w:t>
      </w:r>
      <w:r>
        <w:rPr>
          <w:rFonts w:hint="eastAsia" w:ascii="Times New Roman" w:hAnsi="Times New Roman"/>
          <w:bCs/>
          <w:color w:val="000000" w:themeColor="text1"/>
          <w:sz w:val="22"/>
          <w:szCs w:val="22"/>
          <w:highlight w:val="none"/>
          <w14:textFill>
            <w14:solidFill>
              <w14:schemeClr w14:val="tx1"/>
            </w14:solidFill>
          </w14:textFill>
        </w:rPr>
        <w:t>侧</w:t>
      </w:r>
      <w:r>
        <w:rPr>
          <w:rFonts w:ascii="Times New Roman" w:hAnsi="Times New Roman"/>
          <w:bCs/>
          <w:color w:val="000000" w:themeColor="text1"/>
          <w:sz w:val="22"/>
          <w:szCs w:val="22"/>
          <w:highlight w:val="none"/>
          <w14:textFill>
            <w14:solidFill>
              <w14:schemeClr w14:val="tx1"/>
            </w14:solidFill>
          </w14:textFill>
        </w:rPr>
        <w:t>为Y轴正方向</w:t>
      </w:r>
    </w:p>
    <w:bookmarkEnd w:id="257"/>
    <w:p>
      <w:pPr>
        <w:spacing w:before="120" w:beforeLines="50"/>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钻井阶段场界噪声影响预测</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根据井场的平面布置，高噪声设备主要分布在井口和井场后场发电机位置，</w:t>
      </w:r>
      <w:r>
        <w:rPr>
          <w:rFonts w:hint="eastAsia"/>
          <w:color w:val="000000" w:themeColor="text1"/>
          <w:highlight w:val="none"/>
          <w14:textFill>
            <w14:solidFill>
              <w14:schemeClr w14:val="tx1"/>
            </w14:solidFill>
          </w14:textFill>
        </w:rPr>
        <w:t>钻井设备为室外设备，备用发电机为成套设备，未设置在专用房间内，按照室外设备评价</w:t>
      </w:r>
      <w:r>
        <w:rPr>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1）室外声源在预测点产生的声级计算模型</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预测模式采用《环境影响评价技术导则声环境》（HJ2.4-20</w:t>
      </w:r>
      <w:r>
        <w:rPr>
          <w:rFonts w:hint="eastAsia"/>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t>）中推荐的模式。</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户外声传播衰减包括几何发散（Adiv）、大气吸收（Aatm）、地面效应（Agr）、屏障屏蔽（Abar）、其他多方面效应（Amisc）引起的衰减。</w:t>
      </w:r>
      <w:r>
        <w:rPr>
          <w:rFonts w:hint="eastAsia"/>
          <w:color w:val="000000" w:themeColor="text1"/>
          <w:highlight w:val="none"/>
          <w14:textFill>
            <w14:solidFill>
              <w14:schemeClr w14:val="tx1"/>
            </w14:solidFill>
          </w14:textFill>
        </w:rPr>
        <w:t>室外点声源声传播衰减计算公式为：</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Lp（r）＝Lp（r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）+DC－（Adiv＋Aatm＋Agr＋Abar＋Amisc）</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w:t>
      </w:r>
      <w:r>
        <w:rPr>
          <w:color w:val="000000" w:themeColor="text1"/>
          <w:highlight w:val="none"/>
          <w14:textFill>
            <w14:solidFill>
              <w14:schemeClr w14:val="tx1"/>
            </w14:solidFill>
          </w14:textFill>
        </w:rPr>
        <w:t>Lp（r）——</w:t>
      </w:r>
      <w:r>
        <w:rPr>
          <w:rFonts w:hint="eastAsia"/>
          <w:color w:val="000000" w:themeColor="text1"/>
          <w:highlight w:val="none"/>
          <w14:textFill>
            <w14:solidFill>
              <w14:schemeClr w14:val="tx1"/>
            </w14:solidFill>
          </w14:textFill>
        </w:rPr>
        <w:t>预测点处声压级，</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Lp（r0）——</w:t>
      </w:r>
      <w:r>
        <w:rPr>
          <w:rFonts w:hint="eastAsia"/>
          <w:color w:val="000000" w:themeColor="text1"/>
          <w:highlight w:val="none"/>
          <w14:textFill>
            <w14:solidFill>
              <w14:schemeClr w14:val="tx1"/>
            </w14:solidFill>
          </w14:textFill>
        </w:rPr>
        <w:t>参考位置</w:t>
      </w:r>
      <w:r>
        <w:rPr>
          <w:color w:val="000000" w:themeColor="text1"/>
          <w:highlight w:val="none"/>
          <w14:textFill>
            <w14:solidFill>
              <w14:schemeClr w14:val="tx1"/>
            </w14:solidFill>
          </w14:textFill>
        </w:rPr>
        <w:t>r</w:t>
      </w:r>
      <w:r>
        <w:rPr>
          <w:color w:val="000000" w:themeColor="text1"/>
          <w:highlight w:val="none"/>
          <w:vertAlign w:val="subscript"/>
          <w14:textFill>
            <w14:solidFill>
              <w14:schemeClr w14:val="tx1"/>
            </w14:solidFill>
          </w14:textFill>
        </w:rPr>
        <w:t>0</w:t>
      </w:r>
      <w:r>
        <w:rPr>
          <w:rFonts w:hint="eastAsia"/>
          <w:color w:val="000000" w:themeColor="text1"/>
          <w:highlight w:val="none"/>
          <w14:textFill>
            <w14:solidFill>
              <w14:schemeClr w14:val="tx1"/>
            </w14:solidFill>
          </w14:textFill>
        </w:rPr>
        <w:t>处的声压级，</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DC——</w:t>
      </w:r>
      <w:r>
        <w:rPr>
          <w:rFonts w:hint="eastAsia"/>
          <w:color w:val="000000" w:themeColor="text1"/>
          <w:highlight w:val="none"/>
          <w14:textFill>
            <w14:solidFill>
              <w14:schemeClr w14:val="tx1"/>
            </w14:solidFill>
          </w14:textFill>
        </w:rPr>
        <w:t>指向性校正，它描述点声源的等效连续声压级与产生声功率级</w:t>
      </w:r>
      <w:r>
        <w:rPr>
          <w:color w:val="000000" w:themeColor="text1"/>
          <w:highlight w:val="none"/>
          <w14:textFill>
            <w14:solidFill>
              <w14:schemeClr w14:val="tx1"/>
            </w14:solidFill>
          </w14:textFill>
        </w:rPr>
        <w:t>Lw</w:t>
      </w:r>
      <w:r>
        <w:rPr>
          <w:rFonts w:hint="eastAsia"/>
          <w:color w:val="000000" w:themeColor="text1"/>
          <w:highlight w:val="none"/>
          <w14:textFill>
            <w14:solidFill>
              <w14:schemeClr w14:val="tx1"/>
            </w14:solidFill>
          </w14:textFill>
        </w:rPr>
        <w:t>的全向点声源在规定方向的声级的偏差程度，</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Adiv——</w:t>
      </w:r>
      <w:r>
        <w:rPr>
          <w:rFonts w:hint="eastAsia"/>
          <w:color w:val="000000" w:themeColor="text1"/>
          <w:highlight w:val="none"/>
          <w14:textFill>
            <w14:solidFill>
              <w14:schemeClr w14:val="tx1"/>
            </w14:solidFill>
          </w14:textFill>
        </w:rPr>
        <w:t>几何发散引起的衰减，</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Aatm——</w:t>
      </w:r>
      <w:r>
        <w:rPr>
          <w:rFonts w:hint="eastAsia"/>
          <w:color w:val="000000" w:themeColor="text1"/>
          <w:highlight w:val="none"/>
          <w14:textFill>
            <w14:solidFill>
              <w14:schemeClr w14:val="tx1"/>
            </w14:solidFill>
          </w14:textFill>
        </w:rPr>
        <w:t>大气吸收引起的衰减，</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Agr——</w:t>
      </w:r>
      <w:r>
        <w:rPr>
          <w:rFonts w:hint="eastAsia"/>
          <w:color w:val="000000" w:themeColor="text1"/>
          <w:highlight w:val="none"/>
          <w14:textFill>
            <w14:solidFill>
              <w14:schemeClr w14:val="tx1"/>
            </w14:solidFill>
          </w14:textFill>
        </w:rPr>
        <w:t>地面效应引起的衰减，</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Abar——</w:t>
      </w:r>
      <w:r>
        <w:rPr>
          <w:rFonts w:hint="eastAsia"/>
          <w:color w:val="000000" w:themeColor="text1"/>
          <w:highlight w:val="none"/>
          <w14:textFill>
            <w14:solidFill>
              <w14:schemeClr w14:val="tx1"/>
            </w14:solidFill>
          </w14:textFill>
        </w:rPr>
        <w:t>障碍物屏蔽引起的衰减，</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left="708" w:leftChars="295" w:firstLine="566" w:firstLineChars="23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Amisc——</w:t>
      </w:r>
      <w:r>
        <w:rPr>
          <w:rFonts w:hint="eastAsia"/>
          <w:color w:val="000000" w:themeColor="text1"/>
          <w:highlight w:val="none"/>
          <w14:textFill>
            <w14:solidFill>
              <w14:schemeClr w14:val="tx1"/>
            </w14:solidFill>
          </w14:textFill>
        </w:rPr>
        <w:t>其他多方面效应引起的衰减，</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预测点的A声级LA（r）可按下式计算，即将8个倍频带声压级合成，计算出预测点的A声级〔LA（r）〕。</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978025" cy="517525"/>
            <wp:effectExtent l="0" t="0" r="3175" b="0"/>
            <wp:docPr id="28648127" name="图片 2864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8127" name="图片 28648127"/>
                    <pic:cNvPicPr>
                      <a:picLocks noChangeAspect="1"/>
                    </pic:cNvPicPr>
                  </pic:nvPicPr>
                  <pic:blipFill>
                    <a:blip r:embed="rId45"/>
                    <a:stretch>
                      <a:fillRect/>
                    </a:stretch>
                  </pic:blipFill>
                  <pic:spPr>
                    <a:xfrm>
                      <a:off x="0" y="0"/>
                      <a:ext cx="1989700" cy="520512"/>
                    </a:xfrm>
                    <a:prstGeom prst="rect">
                      <a:avLst/>
                    </a:prstGeom>
                  </pic:spPr>
                </pic:pic>
              </a:graphicData>
            </a:graphic>
          </wp:inline>
        </w:drawing>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式中：Lpi（r）——预测点（r）处，第i倍频带声压级，dB；</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ΔLi——第i倍频带的A计权网络修正值，dB。</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本次评价</w:t>
      </w:r>
      <w:r>
        <w:rPr>
          <w:color w:val="000000" w:themeColor="text1"/>
          <w:highlight w:val="none"/>
          <w14:textFill>
            <w14:solidFill>
              <w14:schemeClr w14:val="tx1"/>
            </w14:solidFill>
          </w14:textFill>
        </w:rPr>
        <w:t>计算时不考虑地面效应引起的附加隔声量和空气吸收造成的衰减</w:t>
      </w:r>
      <w:r>
        <w:rPr>
          <w:rFonts w:hint="eastAsia"/>
          <w:color w:val="000000" w:themeColor="text1"/>
          <w:highlight w:val="none"/>
          <w14:textFill>
            <w14:solidFill>
              <w14:schemeClr w14:val="tx1"/>
            </w14:solidFill>
          </w14:textFill>
        </w:rPr>
        <w:t>，只考虑几何发散</w:t>
      </w:r>
      <w:r>
        <w:rPr>
          <w:color w:val="000000" w:themeColor="text1"/>
          <w:highlight w:val="none"/>
          <w14:textFill>
            <w14:solidFill>
              <w14:schemeClr w14:val="tx1"/>
            </w14:solidFill>
          </w14:textFill>
        </w:rPr>
        <w:t>衰减按下式计算：</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LA</w:t>
      </w:r>
      <w:r>
        <w:rPr>
          <w:rFonts w:hint="eastAsia"/>
          <w:color w:val="000000" w:themeColor="text1"/>
          <w:highlight w:val="none"/>
          <w14:textFill>
            <w14:solidFill>
              <w14:schemeClr w14:val="tx1"/>
            </w14:solidFill>
          </w14:textFill>
        </w:rPr>
        <w:t>（r）</w:t>
      </w:r>
      <w:r>
        <w:rPr>
          <w:color w:val="000000" w:themeColor="text1"/>
          <w:highlight w:val="none"/>
          <w14:textFill>
            <w14:solidFill>
              <w14:schemeClr w14:val="tx1"/>
            </w14:solidFill>
          </w14:textFill>
        </w:rPr>
        <w:t>=L</w:t>
      </w:r>
      <w:r>
        <w:rPr>
          <w:rFonts w:hint="eastAsia"/>
          <w:color w:val="000000" w:themeColor="text1"/>
          <w:highlight w:val="none"/>
          <w14:textFill>
            <w14:solidFill>
              <w14:schemeClr w14:val="tx1"/>
            </w14:solidFill>
          </w14:textFill>
        </w:rPr>
        <w:t>A（r</w:t>
      </w:r>
      <w:r>
        <w:rPr>
          <w:rFonts w:hint="eastAsia"/>
          <w:color w:val="000000" w:themeColor="text1"/>
          <w:highlight w:val="none"/>
          <w:vertAlign w:val="subscript"/>
          <w14:textFill>
            <w14:solidFill>
              <w14:schemeClr w14:val="tx1"/>
            </w14:solidFill>
          </w14:textFill>
        </w:rPr>
        <w:t>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Adiv</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Adiv=</w:t>
      </w:r>
      <w:r>
        <w:rPr>
          <w:color w:val="000000" w:themeColor="text1"/>
          <w:highlight w:val="none"/>
          <w14:textFill>
            <w14:solidFill>
              <w14:schemeClr w14:val="tx1"/>
            </w14:solidFill>
          </w14:textFill>
        </w:rPr>
        <w:t>20lg（r/r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式中：LA</w:t>
      </w:r>
      <w:r>
        <w:rPr>
          <w:rFonts w:hint="eastAsia"/>
          <w:color w:val="000000" w:themeColor="text1"/>
          <w:highlight w:val="none"/>
          <w14:textFill>
            <w14:solidFill>
              <w14:schemeClr w14:val="tx1"/>
            </w14:solidFill>
          </w14:textFill>
        </w:rPr>
        <w:t>（r）</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距声源r处的A</w:t>
      </w:r>
      <w:r>
        <w:rPr>
          <w:color w:val="000000" w:themeColor="text1"/>
          <w:highlight w:val="none"/>
          <w14:textFill>
            <w14:solidFill>
              <w14:schemeClr w14:val="tx1"/>
            </w14:solidFill>
          </w14:textFill>
        </w:rPr>
        <w:t>压级，dB（A）；</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rFonts w:hint="eastAsia"/>
          <w:color w:val="000000" w:themeColor="text1"/>
          <w:highlight w:val="none"/>
          <w14:textFill>
            <w14:solidFill>
              <w14:schemeClr w14:val="tx1"/>
            </w14:solidFill>
          </w14:textFill>
        </w:rPr>
        <w:t>A（r</w:t>
      </w:r>
      <w:r>
        <w:rPr>
          <w:rFonts w:hint="eastAsia"/>
          <w:color w:val="000000" w:themeColor="text1"/>
          <w:highlight w:val="none"/>
          <w:vertAlign w:val="subscript"/>
          <w14:textFill>
            <w14:solidFill>
              <w14:schemeClr w14:val="tx1"/>
            </w14:solidFill>
          </w14:textFill>
        </w:rPr>
        <w:t>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参考位置r</w:t>
      </w:r>
      <w:r>
        <w:rPr>
          <w:rFonts w:hint="eastAsia"/>
          <w:color w:val="000000" w:themeColor="text1"/>
          <w:highlight w:val="none"/>
          <w:vertAlign w:val="subscript"/>
          <w14:textFill>
            <w14:solidFill>
              <w14:schemeClr w14:val="tx1"/>
            </w14:solidFill>
          </w14:textFill>
        </w:rPr>
        <w:t>0</w:t>
      </w:r>
      <w:r>
        <w:rPr>
          <w:rFonts w:hint="eastAsia"/>
          <w:color w:val="000000" w:themeColor="text1"/>
          <w:highlight w:val="none"/>
          <w14:textFill>
            <w14:solidFill>
              <w14:schemeClr w14:val="tx1"/>
            </w14:solidFill>
          </w14:textFill>
        </w:rPr>
        <w:t>处的A压级</w:t>
      </w:r>
      <w:r>
        <w:rPr>
          <w:color w:val="000000" w:themeColor="text1"/>
          <w:highlight w:val="none"/>
          <w14:textFill>
            <w14:solidFill>
              <w14:schemeClr w14:val="tx1"/>
            </w14:solidFill>
          </w14:textFill>
        </w:rPr>
        <w:t>，dB（A）；</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Adiv——几何发散引起的衰减，dB；</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──参考</w:t>
      </w:r>
      <w:r>
        <w:rPr>
          <w:rFonts w:hint="eastAsia"/>
          <w:color w:val="000000" w:themeColor="text1"/>
          <w:highlight w:val="none"/>
          <w14:textFill>
            <w14:solidFill>
              <w14:schemeClr w14:val="tx1"/>
            </w14:solidFill>
          </w14:textFill>
        </w:rPr>
        <w:t>位置距声源的</w:t>
      </w:r>
      <w:r>
        <w:rPr>
          <w:color w:val="000000" w:themeColor="text1"/>
          <w:highlight w:val="none"/>
          <w14:textFill>
            <w14:solidFill>
              <w14:schemeClr w14:val="tx1"/>
            </w14:solidFill>
          </w14:textFill>
        </w:rPr>
        <w:t>距离，m；</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w:t>
      </w:r>
      <w:r>
        <w:rPr>
          <w:rFonts w:hint="eastAsia"/>
          <w:color w:val="000000" w:themeColor="text1"/>
          <w:highlight w:val="none"/>
          <w14:textFill>
            <w14:solidFill>
              <w14:schemeClr w14:val="tx1"/>
            </w14:solidFill>
          </w14:textFill>
        </w:rPr>
        <w:t>预测点距声源的距离</w:t>
      </w:r>
      <w:r>
        <w:rPr>
          <w:color w:val="000000" w:themeColor="text1"/>
          <w:highlight w:val="none"/>
          <w14:textFill>
            <w14:solidFill>
              <w14:schemeClr w14:val="tx1"/>
            </w14:solidFill>
          </w14:textFill>
        </w:rPr>
        <w:t>，m。</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2）贡献值计算</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各声源的噪声传播在同一点的</w:t>
      </w:r>
      <w:r>
        <w:rPr>
          <w:rFonts w:hint="eastAsia"/>
          <w:color w:val="000000" w:themeColor="text1"/>
          <w:highlight w:val="none"/>
          <w14:textFill>
            <w14:solidFill>
              <w14:schemeClr w14:val="tx1"/>
            </w14:solidFill>
          </w14:textFill>
        </w:rPr>
        <w:t>贡献</w:t>
      </w:r>
      <w:r>
        <w:rPr>
          <w:color w:val="000000" w:themeColor="text1"/>
          <w:highlight w:val="none"/>
          <w14:textFill>
            <w14:solidFill>
              <w14:schemeClr w14:val="tx1"/>
            </w14:solidFill>
          </w14:textFill>
        </w:rPr>
        <w:t>值按下式计算：</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676400" cy="490220"/>
            <wp:effectExtent l="0" t="0" r="0" b="5080"/>
            <wp:docPr id="302135380" name="图片 30213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5380" name="图片 302135380"/>
                    <pic:cNvPicPr>
                      <a:picLocks noChangeAspect="1"/>
                    </pic:cNvPicPr>
                  </pic:nvPicPr>
                  <pic:blipFill>
                    <a:blip r:embed="rId46"/>
                    <a:stretch>
                      <a:fillRect/>
                    </a:stretch>
                  </pic:blipFill>
                  <pic:spPr>
                    <a:xfrm>
                      <a:off x="0" y="0"/>
                      <a:ext cx="1676191" cy="490207"/>
                    </a:xfrm>
                    <a:prstGeom prst="rect">
                      <a:avLst/>
                    </a:prstGeom>
                  </pic:spPr>
                </pic:pic>
              </a:graphicData>
            </a:graphic>
          </wp:inline>
        </w:drawing>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式中：Leqg——噪声贡献值，dB；</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T——预测计算的时间段，s；</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ti——i声源在T时段内的运行时间，s；</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color w:val="000000" w:themeColor="text1"/>
          <w:highlight w:val="none"/>
          <w:vertAlign w:val="subscript"/>
          <w14:textFill>
            <w14:solidFill>
              <w14:schemeClr w14:val="tx1"/>
            </w14:solidFill>
          </w14:textFill>
        </w:rPr>
        <w:t>Ai</w:t>
      </w:r>
      <w:r>
        <w:rPr>
          <w:rFonts w:hint="eastAsia"/>
          <w:color w:val="000000" w:themeColor="text1"/>
          <w:highlight w:val="none"/>
          <w14:textFill>
            <w14:solidFill>
              <w14:schemeClr w14:val="tx1"/>
            </w14:solidFill>
          </w14:textFill>
        </w:rPr>
        <w:t>——i声源在预测点产生的等效连续A声级，dB。</w:t>
      </w:r>
    </w:p>
    <w:p>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）噪声预测环境数据</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①气象数据</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本地区多年平均气温</w:t>
      </w:r>
      <w:r>
        <w:rPr>
          <w:color w:val="000000" w:themeColor="text1"/>
          <w:highlight w:val="none"/>
          <w14:textFill>
            <w14:solidFill>
              <w14:schemeClr w14:val="tx1"/>
            </w14:solidFill>
          </w14:textFill>
        </w:rPr>
        <w:t>16.8</w:t>
      </w:r>
      <w:r>
        <w:rPr>
          <w:rFonts w:hint="eastAsia"/>
          <w:color w:val="000000" w:themeColor="text1"/>
          <w:highlight w:val="none"/>
          <w14:textFill>
            <w14:solidFill>
              <w14:schemeClr w14:val="tx1"/>
            </w14:solidFill>
          </w14:textFill>
        </w:rPr>
        <w:t>℃，年平均相对湿度为</w:t>
      </w:r>
      <w:r>
        <w:rPr>
          <w:color w:val="000000" w:themeColor="text1"/>
          <w:highlight w:val="none"/>
          <w14:textFill>
            <w14:solidFill>
              <w14:schemeClr w14:val="tx1"/>
            </w14:solidFill>
          </w14:textFill>
        </w:rPr>
        <w:t>77</w:t>
      </w:r>
      <w:r>
        <w:rPr>
          <w:rFonts w:hint="eastAsia"/>
          <w:color w:val="000000" w:themeColor="text1"/>
          <w:highlight w:val="none"/>
          <w14:textFill>
            <w14:solidFill>
              <w14:schemeClr w14:val="tx1"/>
            </w14:solidFill>
          </w14:textFill>
        </w:rPr>
        <w:t>%，全年降水量为</w:t>
      </w:r>
      <w:r>
        <w:rPr>
          <w:color w:val="000000" w:themeColor="text1"/>
          <w:highlight w:val="none"/>
          <w14:textFill>
            <w14:solidFill>
              <w14:schemeClr w14:val="tx1"/>
            </w14:solidFill>
          </w14:textFill>
        </w:rPr>
        <w:t>1132.69</w:t>
      </w:r>
      <w:r>
        <w:rPr>
          <w:rFonts w:hint="eastAsia"/>
          <w:color w:val="000000" w:themeColor="text1"/>
          <w:highlight w:val="none"/>
          <w14:textFill>
            <w14:solidFill>
              <w14:schemeClr w14:val="tx1"/>
            </w14:solidFill>
          </w14:textFill>
        </w:rPr>
        <w:t>mm，年平均风速为</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m/s，主导风向为东北风。</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②地形数据</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项目不考虑地形高差。</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③障碍物</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项目各噪声设备位于露天环境中，井场未设置实心围墙，不考虑障碍物引起的衰减。</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④地面覆盖情况</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项目井场均位于农村地区，地表主要为人工栽培植被和自然林地，地表主要为农作物或林地。</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根据上述预测模式，</w:t>
      </w:r>
      <w:r>
        <w:rPr>
          <w:color w:val="000000" w:themeColor="text1"/>
          <w:highlight w:val="none"/>
          <w14:textFill>
            <w14:solidFill>
              <w14:schemeClr w14:val="tx1"/>
            </w14:solidFill>
          </w14:textFill>
        </w:rPr>
        <w:t>井场钻井噪声在各施工边界的噪声贡献值详见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REF _Ref144067328 \h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和</w:t>
      </w:r>
      <w:r>
        <w:rPr>
          <w:rFonts w:hint="eastAsia"/>
          <w:color w:val="000000" w:themeColor="text1"/>
          <w:highlight w:val="none"/>
          <w:lang w:val="en-US" w:eastAsia="zh-CN"/>
          <w14:textFill>
            <w14:solidFill>
              <w14:schemeClr w14:val="tx1"/>
            </w14:solidFill>
          </w14:textFill>
        </w:rPr>
        <w:t>下图</w:t>
      </w:r>
      <w:r>
        <w:rPr>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258" w:name="_Ref144067328"/>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25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本项目钻井噪声影响表</w:t>
      </w:r>
      <w:r>
        <w:rPr>
          <w:color w:val="000000" w:themeColor="text1"/>
          <w:highlight w:val="none"/>
          <w14:textFill>
            <w14:solidFill>
              <w14:schemeClr w14:val="tx1"/>
            </w14:solidFill>
          </w14:textFill>
        </w:rPr>
        <w:t xml:space="preserve">   单位：dB（A）</w:t>
      </w:r>
    </w:p>
    <w:tbl>
      <w:tblPr>
        <w:tblStyle w:val="52"/>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1"/>
        <w:gridCol w:w="2525"/>
        <w:gridCol w:w="1205"/>
        <w:gridCol w:w="1211"/>
        <w:gridCol w:w="121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预测工况</w:t>
            </w:r>
          </w:p>
        </w:tc>
        <w:tc>
          <w:tcPr>
            <w:tcW w:w="1513"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场界</w:t>
            </w:r>
          </w:p>
        </w:tc>
        <w:tc>
          <w:tcPr>
            <w:tcW w:w="1448" w:type="pct"/>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噪声贡献值</w:t>
            </w:r>
          </w:p>
        </w:tc>
        <w:tc>
          <w:tcPr>
            <w:tcW w:w="1443" w:type="pct"/>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超标值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p>
        </w:tc>
        <w:tc>
          <w:tcPr>
            <w:tcW w:w="1513"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昼间</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夜间</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昼间</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restart"/>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网电供电</w:t>
            </w: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东</w:t>
            </w:r>
            <w:r>
              <w:rPr>
                <w:rFonts w:hint="eastAsia"/>
                <w:color w:val="000000" w:themeColor="text1"/>
                <w:sz w:val="21"/>
                <w:szCs w:val="21"/>
                <w:highlight w:val="none"/>
                <w14:textFill>
                  <w14:solidFill>
                    <w14:schemeClr w14:val="tx1"/>
                  </w14:solidFill>
                </w14:textFill>
              </w:rPr>
              <w:t>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69.8，104.2，1.2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w:t>
            </w:r>
            <w:r>
              <w:rPr>
                <w:rFonts w:hint="eastAsia"/>
                <w:color w:val="000000" w:themeColor="text1"/>
                <w:sz w:val="21"/>
                <w:szCs w:val="21"/>
                <w:highlight w:val="none"/>
                <w:lang w:val="en-US" w:eastAsia="zh-CN"/>
                <w14:textFill>
                  <w14:solidFill>
                    <w14:schemeClr w14:val="tx1"/>
                  </w14:solidFill>
                </w14:textFill>
              </w:rPr>
              <w:t>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23.9，19.5，1.2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w:t>
            </w:r>
            <w:r>
              <w:rPr>
                <w:rFonts w:hint="eastAsia"/>
                <w:color w:val="000000" w:themeColor="text1"/>
                <w:sz w:val="21"/>
                <w:szCs w:val="21"/>
                <w:highlight w:val="none"/>
                <w:lang w:val="en-US" w:eastAsia="zh-CN"/>
                <w14:textFill>
                  <w14:solidFill>
                    <w14:schemeClr w14:val="tx1"/>
                  </w14:solidFill>
                </w14:textFill>
              </w:rPr>
              <w:t>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-20.1，19.7，1.2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-14.9，65.9，1.2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柴油发</w:t>
            </w:r>
          </w:p>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电机供电</w:t>
            </w: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18.3，46.3，1.2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594"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25.6，-2.4，1.2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17.1，28.1，1.2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71</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71</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94"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w:t>
            </w:r>
            <w:r>
              <w:rPr>
                <w:rFonts w:hint="default"/>
                <w:color w:val="000000" w:themeColor="text1"/>
                <w:sz w:val="21"/>
                <w:szCs w:val="21"/>
                <w:highlight w:val="none"/>
                <w14:textFill>
                  <w14:solidFill>
                    <w14:schemeClr w14:val="tx1"/>
                  </w14:solidFill>
                </w14:textFill>
              </w:rPr>
              <w:t>场界（</w:t>
            </w:r>
            <w:r>
              <w:rPr>
                <w:rFonts w:hint="eastAsia"/>
                <w:color w:val="000000" w:themeColor="text1"/>
                <w:sz w:val="21"/>
                <w:szCs w:val="21"/>
                <w:highlight w:val="none"/>
                <w:lang w:val="en-US" w:eastAsia="zh-CN"/>
                <w14:textFill>
                  <w14:solidFill>
                    <w14:schemeClr w14:val="tx1"/>
                  </w14:solidFill>
                </w14:textFill>
              </w:rPr>
              <w:t>8.5，-63.4，1.2</w:t>
            </w:r>
            <w:r>
              <w:rPr>
                <w:rFonts w:hint="default"/>
                <w:color w:val="000000" w:themeColor="text1"/>
                <w:sz w:val="21"/>
                <w:szCs w:val="21"/>
                <w:highlight w:val="none"/>
                <w14:textFill>
                  <w14:solidFill>
                    <w14:schemeClr w14:val="tx1"/>
                  </w14:solidFill>
                </w14:textFill>
              </w:rPr>
              <w:t>）</w:t>
            </w:r>
          </w:p>
        </w:tc>
        <w:tc>
          <w:tcPr>
            <w:tcW w:w="72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69</w:t>
            </w:r>
          </w:p>
        </w:tc>
        <w:tc>
          <w:tcPr>
            <w:tcW w:w="7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leftChars="0" w:right="0" w:right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69</w:t>
            </w:r>
          </w:p>
        </w:tc>
        <w:tc>
          <w:tcPr>
            <w:tcW w:w="725"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c>
          <w:tcPr>
            <w:tcW w:w="718"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r>
    </w:tbl>
    <w:p>
      <w:pPr>
        <w:pStyle w:val="93"/>
        <w:rPr>
          <w:rFonts w:hint="eastAsia" w:eastAsia="黑体"/>
          <w:color w:val="000000" w:themeColor="text1"/>
          <w:highlight w:val="none"/>
          <w:lang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p>
      <w:pPr>
        <w:pStyle w:val="163"/>
        <w:rPr>
          <w:rFonts w:hint="eastAsia"/>
          <w:color w:val="000000" w:themeColor="text1"/>
          <w:highlight w:val="none"/>
          <w14:textFill>
            <w14:solidFill>
              <w14:schemeClr w14:val="tx1"/>
            </w14:solidFill>
          </w14:textFill>
        </w:rPr>
      </w:pPr>
      <w:bookmarkStart w:id="259" w:name="_Ref144067339"/>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25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钻井期</w:t>
      </w:r>
      <w:r>
        <w:rPr>
          <w:rFonts w:hint="eastAsia"/>
          <w:color w:val="000000" w:themeColor="text1"/>
          <w:highlight w:val="none"/>
          <w:lang w:val="en-US" w:eastAsia="zh-CN"/>
          <w14:textFill>
            <w14:solidFill>
              <w14:schemeClr w14:val="tx1"/>
            </w14:solidFill>
          </w14:textFill>
        </w:rPr>
        <w:t>网电</w:t>
      </w:r>
      <w:r>
        <w:rPr>
          <w:rFonts w:hint="eastAsia"/>
          <w:color w:val="000000" w:themeColor="text1"/>
          <w:highlight w:val="none"/>
          <w14:textFill>
            <w14:solidFill>
              <w14:schemeClr w14:val="tx1"/>
            </w14:solidFill>
          </w14:textFill>
        </w:rPr>
        <w:t>工况噪声贡献值等声级线图</w:t>
      </w:r>
    </w:p>
    <w:p>
      <w:pPr>
        <w:ind w:left="0" w:leftChars="0" w:firstLine="0" w:firstLineChars="0"/>
        <w:jc w:val="center"/>
        <w:rPr>
          <w:rFonts w:hint="eastAsia" w:eastAsia="宋体"/>
          <w:color w:val="000000" w:themeColor="text1"/>
          <w:highlight w:val="none"/>
          <w:lang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p>
      <w:pPr>
        <w:pStyle w:val="163"/>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钻井期</w:t>
      </w:r>
      <w:r>
        <w:rPr>
          <w:rFonts w:hint="eastAsia"/>
          <w:color w:val="000000" w:themeColor="text1"/>
          <w:highlight w:val="none"/>
          <w:lang w:val="en-US" w:eastAsia="zh-CN"/>
          <w14:textFill>
            <w14:solidFill>
              <w14:schemeClr w14:val="tx1"/>
            </w14:solidFill>
          </w14:textFill>
        </w:rPr>
        <w:t>柴油机</w:t>
      </w:r>
      <w:r>
        <w:rPr>
          <w:rFonts w:hint="eastAsia"/>
          <w:color w:val="000000" w:themeColor="text1"/>
          <w:highlight w:val="none"/>
          <w14:textFill>
            <w14:solidFill>
              <w14:schemeClr w14:val="tx1"/>
            </w14:solidFill>
          </w14:textFill>
        </w:rPr>
        <w:t>工况噪声贡献值等声级线图</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钻井期电网供电工况</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四个场界昼间噪声满足《建筑施工场界环境噪声排放标准》（GB12523-2011）标准，夜间</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个场界噪声均超标，超标</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dB（A）；采用柴油发电机供电钻井施工期间，井场</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个场界昼间噪声满足《建筑施工场界环境噪声排放标准》（GB12523-2011）标准，夜间</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个场界噪声均超标，超标</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dB（A）。</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以上分析可知，网电供电时场界噪声明显小于柴油发电机供电，拟建项目钻探期间采用网电供电，且在厂界范围外四周仍按一定距离进行了征地，钻井期噪声仅限于钻机施工，随钻井结束而结束，对周边声环境影响可以接受。</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由上述预测结果可知，</w:t>
      </w:r>
      <w:r>
        <w:rPr>
          <w:color w:val="000000" w:themeColor="text1"/>
          <w:highlight w:val="none"/>
          <w14:textFill>
            <w14:solidFill>
              <w14:schemeClr w14:val="tx1"/>
            </w14:solidFill>
          </w14:textFill>
        </w:rPr>
        <w:t>钻井过程为连续24小时作业，昼、夜噪声值变化不大，噪声影响较大，钻井工程夜间各厂界噪声均超过《建筑施工场界环境噪声排放标准》（GB12523-2011）要求</w:t>
      </w:r>
      <w:r>
        <w:rPr>
          <w:rFonts w:hint="eastAsia"/>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钻井阶段敏感目标处噪声预测</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声环境》（HJ2.4-2021）</w:t>
      </w:r>
      <w:r>
        <w:rPr>
          <w:rFonts w:hint="eastAsia"/>
          <w:color w:val="000000" w:themeColor="text1"/>
          <w:highlight w:val="none"/>
          <w14:textFill>
            <w14:solidFill>
              <w14:schemeClr w14:val="tx1"/>
            </w14:solidFill>
          </w14:textFill>
        </w:rPr>
        <w:t>，预测点的贡献值和背景值按能量叠加方法计算得到的声级为预测值，计算公式为：</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1781175" cy="387985"/>
            <wp:effectExtent l="0" t="0" r="0" b="0"/>
            <wp:docPr id="1284131446" name="图片 128413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31446" name="图片 1284131446"/>
                    <pic:cNvPicPr>
                      <a:picLocks noChangeAspect="1"/>
                    </pic:cNvPicPr>
                  </pic:nvPicPr>
                  <pic:blipFill>
                    <a:blip r:embed="rId47"/>
                    <a:stretch>
                      <a:fillRect/>
                    </a:stretch>
                  </pic:blipFill>
                  <pic:spPr>
                    <a:xfrm>
                      <a:off x="0" y="0"/>
                      <a:ext cx="1780952" cy="388328"/>
                    </a:xfrm>
                    <a:prstGeom prst="rect">
                      <a:avLst/>
                    </a:prstGeom>
                  </pic:spPr>
                </pic:pic>
              </a:graphicData>
            </a:graphic>
          </wp:inline>
        </w:drawing>
      </w:r>
    </w:p>
    <w:p>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w:t>
      </w:r>
      <w:r>
        <w:rPr>
          <w:color w:val="000000" w:themeColor="text1"/>
          <w:highlight w:val="none"/>
          <w14:textFill>
            <w14:solidFill>
              <w14:schemeClr w14:val="tx1"/>
            </w14:solidFill>
          </w14:textFill>
        </w:rPr>
        <w:t>Leq——</w:t>
      </w:r>
      <w:r>
        <w:rPr>
          <w:rFonts w:hint="eastAsia"/>
          <w:color w:val="000000" w:themeColor="text1"/>
          <w:highlight w:val="none"/>
          <w14:textFill>
            <w14:solidFill>
              <w14:schemeClr w14:val="tx1"/>
            </w14:solidFill>
          </w14:textFill>
        </w:rPr>
        <w:t>预测点的噪声预测值，</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Leqg——</w:t>
      </w:r>
      <w:r>
        <w:rPr>
          <w:rFonts w:hint="eastAsia"/>
          <w:color w:val="000000" w:themeColor="text1"/>
          <w:highlight w:val="none"/>
          <w14:textFill>
            <w14:solidFill>
              <w14:schemeClr w14:val="tx1"/>
            </w14:solidFill>
          </w14:textFill>
        </w:rPr>
        <w:t>建设项目声源在预测点产生的噪声贡献值，</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Leqb——</w:t>
      </w:r>
      <w:r>
        <w:rPr>
          <w:rFonts w:hint="eastAsia"/>
          <w:color w:val="000000" w:themeColor="text1"/>
          <w:highlight w:val="none"/>
          <w14:textFill>
            <w14:solidFill>
              <w14:schemeClr w14:val="tx1"/>
            </w14:solidFill>
          </w14:textFill>
        </w:rPr>
        <w:t>预测点的背景噪声值，</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pStyle w:val="201"/>
        <w:spacing w:before="1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 敏感点声环境预测结果   单位：dB（A）</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2"/>
        <w:gridCol w:w="1216"/>
        <w:gridCol w:w="950"/>
        <w:gridCol w:w="700"/>
        <w:gridCol w:w="483"/>
        <w:gridCol w:w="483"/>
        <w:gridCol w:w="483"/>
        <w:gridCol w:w="483"/>
        <w:gridCol w:w="483"/>
        <w:gridCol w:w="483"/>
        <w:gridCol w:w="483"/>
        <w:gridCol w:w="483"/>
        <w:gridCol w:w="483"/>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restart"/>
            <w:tcBorders>
              <w:top w:val="single" w:color="auto" w:sz="4" w:space="0"/>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预测工况</w:t>
            </w:r>
          </w:p>
        </w:tc>
        <w:tc>
          <w:tcPr>
            <w:tcW w:w="1216" w:type="dxa"/>
            <w:vMerge w:val="restart"/>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敏感点名称</w:t>
            </w:r>
          </w:p>
        </w:tc>
        <w:tc>
          <w:tcPr>
            <w:tcW w:w="950" w:type="dxa"/>
            <w:vMerge w:val="restart"/>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距</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井口最近距离</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p>
        </w:tc>
        <w:tc>
          <w:tcPr>
            <w:tcW w:w="700" w:type="dxa"/>
            <w:vMerge w:val="restart"/>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与井场相对方向</w:t>
            </w:r>
          </w:p>
        </w:tc>
        <w:tc>
          <w:tcPr>
            <w:tcW w:w="966" w:type="dxa"/>
            <w:gridSpan w:val="2"/>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贡献值</w:t>
            </w:r>
          </w:p>
        </w:tc>
        <w:tc>
          <w:tcPr>
            <w:tcW w:w="966" w:type="dxa"/>
            <w:gridSpan w:val="2"/>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背景值</w:t>
            </w:r>
          </w:p>
        </w:tc>
        <w:tc>
          <w:tcPr>
            <w:tcW w:w="966" w:type="dxa"/>
            <w:gridSpan w:val="2"/>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预测值</w:t>
            </w:r>
          </w:p>
        </w:tc>
        <w:tc>
          <w:tcPr>
            <w:tcW w:w="966" w:type="dxa"/>
            <w:gridSpan w:val="2"/>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超标范围</w:t>
            </w:r>
          </w:p>
        </w:tc>
        <w:tc>
          <w:tcPr>
            <w:tcW w:w="968" w:type="dxa"/>
            <w:gridSpan w:val="2"/>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超达标情况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continue"/>
            <w:tcBorders>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16" w:type="dxa"/>
            <w:vMerge w:val="continue"/>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50" w:type="dxa"/>
            <w:vMerge w:val="continue"/>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restart"/>
            <w:tcBorders>
              <w:top w:val="single" w:color="auto" w:sz="4" w:space="0"/>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网电供电</w:t>
            </w: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1#居民点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30.6，182.3，</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131</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北</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49</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49</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超</w:t>
            </w:r>
            <w:r>
              <w:rPr>
                <w:rFonts w:hint="default" w:ascii="Times New Roman" w:hAnsi="Times New Roman" w:eastAsia="宋体" w:cs="Times New Roman"/>
                <w:color w:val="000000" w:themeColor="text1"/>
                <w:sz w:val="21"/>
                <w:szCs w:val="21"/>
                <w:highlight w:val="none"/>
                <w14:textFill>
                  <w14:solidFill>
                    <w14:schemeClr w14:val="tx1"/>
                  </w14:solidFill>
                </w14:textFill>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continue"/>
            <w:tcBorders>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color w:val="000000" w:themeColor="text1"/>
                <w:sz w:val="21"/>
                <w:szCs w:val="21"/>
                <w:highlight w:val="none"/>
                <w:lang w:eastAsia="zh-CN"/>
                <w14:textFill>
                  <w14:solidFill>
                    <w14:schemeClr w14:val="tx1"/>
                  </w14:solidFill>
                </w14:textFill>
              </w:rPr>
              <w:t>#居民点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-147.5，5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43.8，</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167</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西</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超</w:t>
            </w:r>
            <w:r>
              <w:rPr>
                <w:rFonts w:hint="default" w:ascii="Times New Roman" w:hAnsi="Times New Roman" w:eastAsia="宋体" w:cs="Times New Roman"/>
                <w:color w:val="000000" w:themeColor="text1"/>
                <w:sz w:val="21"/>
                <w:szCs w:val="21"/>
                <w:highlight w:val="none"/>
                <w14:textFill>
                  <w14:solidFill>
                    <w14:schemeClr w14:val="tx1"/>
                  </w14:solidFill>
                </w14:textFill>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continue"/>
            <w:tcBorders>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default" w:ascii="Times New Roman" w:hAnsi="Times New Roman"/>
                <w:color w:val="000000" w:themeColor="text1"/>
                <w:sz w:val="21"/>
                <w:szCs w:val="21"/>
                <w:highlight w:val="none"/>
                <w:lang w:eastAsia="zh-CN"/>
                <w14:textFill>
                  <w14:solidFill>
                    <w14:schemeClr w14:val="tx1"/>
                  </w14:solidFill>
                </w14:textFill>
              </w:rPr>
              <w:t>#居民点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-158.7，-96. 7，</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236</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西南</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restart"/>
            <w:tcBorders>
              <w:top w:val="single" w:color="auto" w:sz="4" w:space="0"/>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柴油发电机供电</w:t>
            </w: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1#居民点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30.6，182.3，</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131</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北</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50</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continue"/>
            <w:tcBorders>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color w:val="000000" w:themeColor="text1"/>
                <w:sz w:val="21"/>
                <w:szCs w:val="21"/>
                <w:highlight w:val="none"/>
                <w:lang w:eastAsia="zh-CN"/>
                <w14:textFill>
                  <w14:solidFill>
                    <w14:schemeClr w14:val="tx1"/>
                  </w14:solidFill>
                </w14:textFill>
              </w:rPr>
              <w:t>#居民点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-147.5，5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43.8，</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167</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西</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51</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2" w:type="dxa"/>
            <w:vMerge w:val="continue"/>
            <w:tcBorders>
              <w:left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default" w:ascii="Times New Roman" w:hAnsi="Times New Roman"/>
                <w:color w:val="000000" w:themeColor="text1"/>
                <w:sz w:val="21"/>
                <w:szCs w:val="21"/>
                <w:highlight w:val="none"/>
                <w:lang w:eastAsia="zh-CN"/>
                <w14:textFill>
                  <w14:solidFill>
                    <w14:schemeClr w14:val="tx1"/>
                  </w14:solidFill>
                </w14:textFill>
              </w:rPr>
              <w:t>#居民点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-158.7，-96. 7，</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95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236</w:t>
            </w:r>
          </w:p>
        </w:tc>
        <w:tc>
          <w:tcPr>
            <w:tcW w:w="700"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西南</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49</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noWrap/>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3"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c>
          <w:tcPr>
            <w:tcW w:w="485" w:type="dxa"/>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spacing w:before="120" w:beforeLines="5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由以上预测结果知，</w:t>
      </w:r>
      <w:r>
        <w:rPr>
          <w:color w:val="000000" w:themeColor="text1"/>
          <w:highlight w:val="none"/>
          <w14:textFill>
            <w14:solidFill>
              <w14:schemeClr w14:val="tx1"/>
            </w14:solidFill>
          </w14:textFill>
        </w:rPr>
        <w:t>钻井期间</w:t>
      </w:r>
      <w:r>
        <w:rPr>
          <w:rFonts w:hint="eastAsia"/>
          <w:color w:val="000000" w:themeColor="text1"/>
          <w:highlight w:val="none"/>
          <w:lang w:val="en-US" w:eastAsia="zh-CN"/>
          <w14:textFill>
            <w14:solidFill>
              <w14:schemeClr w14:val="tx1"/>
            </w14:solidFill>
          </w14:textFill>
        </w:rPr>
        <w:t>网电</w:t>
      </w:r>
      <w:r>
        <w:rPr>
          <w:rFonts w:hint="eastAsia"/>
          <w:color w:val="000000" w:themeColor="text1"/>
          <w:highlight w:val="none"/>
          <w14:textFill>
            <w14:solidFill>
              <w14:schemeClr w14:val="tx1"/>
            </w14:solidFill>
          </w14:textFill>
        </w:rPr>
        <w:t>机</w:t>
      </w:r>
      <w:r>
        <w:rPr>
          <w:color w:val="000000" w:themeColor="text1"/>
          <w:highlight w:val="none"/>
          <w14:textFill>
            <w14:solidFill>
              <w14:schemeClr w14:val="tx1"/>
            </w14:solidFill>
          </w14:textFill>
        </w:rPr>
        <w:t>工况下的噪声达标距离昼间在距井口</w:t>
      </w:r>
      <w:r>
        <w:rPr>
          <w:rFonts w:hint="eastAsia"/>
          <w:color w:val="000000" w:themeColor="text1"/>
          <w:highlight w:val="none"/>
          <w:lang w:val="en-US" w:eastAsia="zh-CN"/>
          <w14:textFill>
            <w14:solidFill>
              <w14:schemeClr w14:val="tx1"/>
            </w14:solidFill>
          </w14:textFill>
        </w:rPr>
        <w:t>91</w:t>
      </w:r>
      <w:r>
        <w:rPr>
          <w:color w:val="000000" w:themeColor="text1"/>
          <w:highlight w:val="none"/>
          <w14:textFill>
            <w14:solidFill>
              <w14:schemeClr w14:val="tx1"/>
            </w14:solidFill>
          </w14:textFill>
        </w:rPr>
        <w:t>m处，该区域内无居民分布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夜间噪声达标距离在无树林等遮挡的空旷处距井口</w:t>
      </w:r>
      <w:r>
        <w:rPr>
          <w:rFonts w:hint="eastAsia"/>
          <w:color w:val="000000" w:themeColor="text1"/>
          <w:highlight w:val="none"/>
          <w:lang w:val="en-US" w:eastAsia="zh-CN"/>
          <w14:textFill>
            <w14:solidFill>
              <w14:schemeClr w14:val="tx1"/>
            </w14:solidFill>
          </w14:textFill>
        </w:rPr>
        <w:t>162</w:t>
      </w:r>
      <w:r>
        <w:rPr>
          <w:color w:val="000000" w:themeColor="text1"/>
          <w:highlight w:val="none"/>
          <w14:textFill>
            <w14:solidFill>
              <w14:schemeClr w14:val="tx1"/>
            </w14:solidFill>
          </w14:textFill>
        </w:rPr>
        <w:t>m处</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钻井期间</w:t>
      </w:r>
      <w:r>
        <w:rPr>
          <w:rFonts w:hint="eastAsia"/>
          <w:color w:val="000000" w:themeColor="text1"/>
          <w:highlight w:val="none"/>
          <w14:textFill>
            <w14:solidFill>
              <w14:schemeClr w14:val="tx1"/>
            </w14:solidFill>
          </w14:textFill>
        </w:rPr>
        <w:t>柴油机</w:t>
      </w:r>
      <w:r>
        <w:rPr>
          <w:color w:val="000000" w:themeColor="text1"/>
          <w:highlight w:val="none"/>
          <w14:textFill>
            <w14:solidFill>
              <w14:schemeClr w14:val="tx1"/>
            </w14:solidFill>
          </w14:textFill>
        </w:rPr>
        <w:t>工况下的噪声达标距离昼间在距井口</w:t>
      </w:r>
      <w:r>
        <w:rPr>
          <w:rFonts w:hint="eastAsia"/>
          <w:color w:val="000000" w:themeColor="text1"/>
          <w:highlight w:val="none"/>
          <w:lang w:val="en-US" w:eastAsia="zh-CN"/>
          <w14:textFill>
            <w14:solidFill>
              <w14:schemeClr w14:val="tx1"/>
            </w14:solidFill>
          </w14:textFill>
        </w:rPr>
        <w:t>119</w:t>
      </w:r>
      <w:r>
        <w:rPr>
          <w:color w:val="000000" w:themeColor="text1"/>
          <w:highlight w:val="none"/>
          <w14:textFill>
            <w14:solidFill>
              <w14:schemeClr w14:val="tx1"/>
            </w14:solidFill>
          </w14:textFill>
        </w:rPr>
        <w:t>m处，该区域内无居民分布；夜间噪声达标距离在无树林等遮挡的空旷处距井口</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08</w:t>
      </w:r>
      <w:r>
        <w:rPr>
          <w:color w:val="000000" w:themeColor="text1"/>
          <w:highlight w:val="none"/>
          <w14:textFill>
            <w14:solidFill>
              <w14:schemeClr w14:val="tx1"/>
            </w14:solidFill>
          </w14:textFill>
        </w:rPr>
        <w:t>m处</w:t>
      </w:r>
      <w:r>
        <w:rPr>
          <w:rFonts w:hint="eastAsia"/>
          <w:color w:val="000000" w:themeColor="text1"/>
          <w:highlight w:val="none"/>
          <w14:textFill>
            <w14:solidFill>
              <w14:schemeClr w14:val="tx1"/>
            </w14:solidFill>
          </w14:textFill>
        </w:rPr>
        <w:t>。结合外环境关系调查可知，井口周边</w:t>
      </w:r>
      <w:r>
        <w:rPr>
          <w:rFonts w:hint="eastAsia"/>
          <w:color w:val="000000" w:themeColor="text1"/>
          <w:highlight w:val="none"/>
          <w:lang w:val="en-US" w:eastAsia="zh-CN"/>
          <w14:textFill>
            <w14:solidFill>
              <w14:schemeClr w14:val="tx1"/>
            </w14:solidFill>
          </w14:textFill>
        </w:rPr>
        <w:t>仅西侧、北侧有超标范围内有</w:t>
      </w:r>
      <w:r>
        <w:rPr>
          <w:color w:val="000000" w:themeColor="text1"/>
          <w:highlight w:val="none"/>
          <w14:textFill>
            <w14:solidFill>
              <w14:schemeClr w14:val="tx1"/>
            </w14:solidFill>
          </w14:textFill>
        </w:rPr>
        <w:t>居民分布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最多为5户20人（其中西侧3户12人，北侧2户8人）分布</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本次环评要求，建设单位在实际施工中，应对周边距离较近的农户重点关注，根据噪声排放情况和监测结果，与超标居民加强沟通协调工作，或采取一定的补偿措施，争取取得其谅解。进行</w:t>
      </w:r>
      <w:r>
        <w:rPr>
          <w:color w:val="000000" w:themeColor="text1"/>
          <w:highlight w:val="none"/>
          <w14:textFill>
            <w14:solidFill>
              <w14:schemeClr w14:val="tx1"/>
            </w14:solidFill>
          </w14:textFill>
        </w:rPr>
        <w:t>总的来看，项目的建设对周围居民影响</w:t>
      </w:r>
      <w:r>
        <w:rPr>
          <w:rFonts w:hint="eastAsia"/>
          <w:color w:val="000000" w:themeColor="text1"/>
          <w:highlight w:val="none"/>
          <w14:textFill>
            <w14:solidFill>
              <w14:schemeClr w14:val="tx1"/>
            </w14:solidFill>
          </w14:textFill>
        </w:rPr>
        <w:t>较小</w:t>
      </w:r>
      <w:r>
        <w:rPr>
          <w:color w:val="000000" w:themeColor="text1"/>
          <w:highlight w:val="none"/>
          <w14:textFill>
            <w14:solidFill>
              <w14:schemeClr w14:val="tx1"/>
            </w14:solidFill>
          </w14:textFill>
        </w:rPr>
        <w:t>。</w:t>
      </w:r>
    </w:p>
    <w:p>
      <w:pPr>
        <w:pStyle w:val="27"/>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综上所述</w:t>
      </w:r>
      <w:r>
        <w:rPr>
          <w:rFonts w:ascii="Times New Roman" w:hAnsi="Times New Roman"/>
          <w:color w:val="000000" w:themeColor="text1"/>
          <w:highlight w:val="none"/>
          <w14:textFill>
            <w14:solidFill>
              <w14:schemeClr w14:val="tx1"/>
            </w14:solidFill>
          </w14:textFill>
        </w:rPr>
        <w:t>，本项目优先采用网电供电，仅在停电时采用柴油发电机供电，正常施工时噪声影响较小。同时</w:t>
      </w:r>
      <w:r>
        <w:rPr>
          <w:rFonts w:hint="eastAsia" w:ascii="Times New Roman" w:hAnsi="Times New Roman"/>
          <w:color w:val="000000" w:themeColor="text1"/>
          <w:highlight w:val="none"/>
          <w:lang w:val="en-US" w:eastAsia="zh-CN"/>
          <w14:textFill>
            <w14:solidFill>
              <w14:schemeClr w14:val="tx1"/>
            </w14:solidFill>
          </w14:textFill>
        </w:rPr>
        <w:t>建设单位应</w:t>
      </w:r>
      <w:r>
        <w:rPr>
          <w:rFonts w:ascii="Times New Roman" w:hAnsi="Times New Roman"/>
          <w:color w:val="000000" w:themeColor="text1"/>
          <w:highlight w:val="none"/>
          <w14:textFill>
            <w14:solidFill>
              <w14:schemeClr w14:val="tx1"/>
            </w14:solidFill>
          </w14:textFill>
        </w:rPr>
        <w:t>通过宣传讲解</w:t>
      </w:r>
      <w:r>
        <w:rPr>
          <w:rFonts w:hint="eastAsia" w:ascii="Times New Roman" w:hAnsi="Times New Roman"/>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加强与周边居民的沟通协调</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取得村民理解和谅解</w:t>
      </w:r>
      <w:r>
        <w:rPr>
          <w:rFonts w:ascii="Times New Roman" w:hAnsi="Times New Roman"/>
          <w:color w:val="000000" w:themeColor="text1"/>
          <w:highlight w:val="none"/>
          <w14:textFill>
            <w14:solidFill>
              <w14:schemeClr w14:val="tx1"/>
            </w14:solidFill>
          </w14:textFill>
        </w:rPr>
        <w:t>的方式，将噪声对周边环境的影响降至最低</w:t>
      </w:r>
      <w:r>
        <w:rPr>
          <w:rFonts w:hint="eastAsia" w:ascii="Times New Roman" w:hAnsi="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做到超标不扰民</w:t>
      </w:r>
      <w:r>
        <w:rPr>
          <w:rFonts w:ascii="Times New Roman" w:hAnsi="Times New Roman"/>
          <w:color w:val="000000" w:themeColor="text1"/>
          <w:highlight w:val="none"/>
          <w14:textFill>
            <w14:solidFill>
              <w14:schemeClr w14:val="tx1"/>
            </w14:solidFill>
          </w14:textFill>
        </w:rPr>
        <w:t>。钻井噪声影响是暂时性的，钻井结束后影响即消失</w:t>
      </w:r>
      <w:r>
        <w:rPr>
          <w:rFonts w:ascii="Times New Roman" w:hAnsi="Times New Roman"/>
          <w:color w:val="000000" w:themeColor="text1"/>
          <w:szCs w:val="24"/>
          <w:highlight w:val="none"/>
          <w14:textFill>
            <w14:solidFill>
              <w14:schemeClr w14:val="tx1"/>
            </w14:solidFill>
          </w14:textFill>
        </w:rPr>
        <w:t>。</w:t>
      </w:r>
    </w:p>
    <w:p>
      <w:pPr>
        <w:pStyle w:val="224"/>
        <w:ind w:firstLine="482"/>
        <w:rPr>
          <w:rFonts w:hint="default" w:ascii="Times New Roman" w:hAnsi="Times New Roman" w:eastAsia="黑体" w:cs="Times New Roman"/>
          <w:b w:val="0"/>
          <w:bCs/>
          <w:color w:val="000000" w:themeColor="text1"/>
          <w:highlight w:val="none"/>
          <w:lang w:eastAsia="zh-CN"/>
          <w14:textFill>
            <w14:solidFill>
              <w14:schemeClr w14:val="tx1"/>
            </w14:solidFill>
          </w14:textFill>
        </w:rPr>
      </w:pPr>
      <w:r>
        <w:rPr>
          <w:rFonts w:hint="default" w:ascii="Times New Roman" w:hAnsi="Times New Roman" w:eastAsia="黑体" w:cs="Times New Roman"/>
          <w:b w:val="0"/>
          <w:bCs/>
          <w:color w:val="000000" w:themeColor="text1"/>
          <w:highlight w:val="none"/>
          <w:lang w:val="en-US" w:eastAsia="zh-CN"/>
          <w14:textFill>
            <w14:solidFill>
              <w14:schemeClr w14:val="tx1"/>
            </w14:solidFill>
          </w14:textFill>
        </w:rPr>
        <w:t>2</w:t>
      </w:r>
      <w:r>
        <w:rPr>
          <w:rFonts w:hint="default" w:ascii="Times New Roman" w:hAnsi="Times New Roman" w:eastAsia="黑体" w:cs="Times New Roman"/>
          <w:b w:val="0"/>
          <w:bCs/>
          <w:color w:val="000000" w:themeColor="text1"/>
          <w:highlight w:val="none"/>
          <w:lang w:eastAsia="zh-CN"/>
          <w14:textFill>
            <w14:solidFill>
              <w14:schemeClr w14:val="tx1"/>
            </w14:solidFill>
          </w14:textFill>
        </w:rPr>
        <w:t>、</w:t>
      </w:r>
      <w:r>
        <w:rPr>
          <w:rFonts w:hint="default" w:ascii="Times New Roman" w:hAnsi="Times New Roman" w:eastAsia="黑体" w:cs="Times New Roman"/>
          <w:b w:val="0"/>
          <w:bCs/>
          <w:color w:val="000000" w:themeColor="text1"/>
          <w:highlight w:val="none"/>
          <w:lang w:val="en-US" w:eastAsia="zh-CN"/>
          <w14:textFill>
            <w14:solidFill>
              <w14:schemeClr w14:val="tx1"/>
            </w14:solidFill>
          </w14:textFill>
        </w:rPr>
        <w:t>事故</w:t>
      </w:r>
      <w:r>
        <w:rPr>
          <w:rFonts w:hint="default" w:ascii="Times New Roman" w:hAnsi="Times New Roman" w:eastAsia="黑体" w:cs="Times New Roman"/>
          <w:b w:val="0"/>
          <w:bCs/>
          <w:color w:val="000000" w:themeColor="text1"/>
          <w:highlight w:val="none"/>
          <w:lang w:eastAsia="zh-CN"/>
          <w14:textFill>
            <w14:solidFill>
              <w14:schemeClr w14:val="tx1"/>
            </w14:solidFill>
          </w14:textFill>
        </w:rPr>
        <w:t>放喷噪声环境影响预测及分析</w:t>
      </w:r>
    </w:p>
    <w:p>
      <w:pPr>
        <w:ind w:firstLine="480"/>
        <w:rPr>
          <w:rFonts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事故放喷是由于地层高压异常导致的，在石油天然气行业是低概率事件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事故放喷时间持续较短，且通过专用的放喷管线将天然气引至放喷池进行点火放喷，事故放喷时间短</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噪声源强度约为95~105dB（A）。项目通过在放喷池设置三面建较高的密实的防火墙，可以降低一定的噪声；随着</w:t>
      </w:r>
      <w:r>
        <w:rPr>
          <w:rFonts w:hint="eastAsia" w:cs="Times New Roman"/>
          <w:color w:val="000000" w:themeColor="text1"/>
          <w:szCs w:val="24"/>
          <w:highlight w:val="none"/>
          <w:lang w:val="en-US" w:eastAsia="zh-CN"/>
          <w14:textFill>
            <w14:solidFill>
              <w14:schemeClr w14:val="tx1"/>
            </w14:solidFill>
          </w14:textFill>
        </w:rPr>
        <w:t>事故放喷</w:t>
      </w:r>
      <w:r>
        <w:rPr>
          <w:rFonts w:hint="default" w:ascii="Times New Roman" w:hAnsi="Times New Roman" w:cs="Times New Roman"/>
          <w:color w:val="000000" w:themeColor="text1"/>
          <w:szCs w:val="24"/>
          <w:highlight w:val="none"/>
          <w14:textFill>
            <w14:solidFill>
              <w14:schemeClr w14:val="tx1"/>
            </w14:solidFill>
          </w14:textFill>
        </w:rPr>
        <w:t>的结束，噪声影响也消失。因此，</w:t>
      </w:r>
      <w:r>
        <w:rPr>
          <w:rFonts w:hint="eastAsia" w:cs="Times New Roman"/>
          <w:color w:val="000000" w:themeColor="text1"/>
          <w:szCs w:val="24"/>
          <w:highlight w:val="none"/>
          <w:lang w:val="en-US" w:eastAsia="zh-CN"/>
          <w14:textFill>
            <w14:solidFill>
              <w14:schemeClr w14:val="tx1"/>
            </w14:solidFill>
          </w14:textFill>
        </w:rPr>
        <w:t>事故</w:t>
      </w:r>
      <w:r>
        <w:rPr>
          <w:rFonts w:hint="default" w:ascii="Times New Roman" w:hAnsi="Times New Roman" w:cs="Times New Roman"/>
          <w:color w:val="000000" w:themeColor="text1"/>
          <w:szCs w:val="24"/>
          <w:highlight w:val="none"/>
          <w14:textFill>
            <w14:solidFill>
              <w14:schemeClr w14:val="tx1"/>
            </w14:solidFill>
          </w14:textFill>
        </w:rPr>
        <w:t>放喷噪声影响短暂的，对周围居民影响是可接受的。</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bookmarkStart w:id="260" w:name="5.1.4施工期固体废物环境影响分析"/>
      <w:bookmarkEnd w:id="260"/>
      <w:r>
        <w:rPr>
          <w:color w:val="000000" w:themeColor="text1"/>
          <w:highlight w:val="none"/>
          <w14:textFill>
            <w14:solidFill>
              <w14:schemeClr w14:val="tx1"/>
            </w14:solidFill>
          </w14:textFill>
        </w:rPr>
        <w:t>土壤环境影响分析</w:t>
      </w:r>
    </w:p>
    <w:p>
      <w:pPr>
        <w:pStyle w:val="27"/>
        <w:ind w:firstLine="482"/>
        <w:rPr>
          <w:rFonts w:ascii="Times New Roman" w:hAnsi="Times New Roman"/>
          <w:b/>
          <w:color w:val="000000" w:themeColor="text1"/>
          <w:szCs w:val="24"/>
          <w:highlight w:val="none"/>
          <w14:textFill>
            <w14:solidFill>
              <w14:schemeClr w14:val="tx1"/>
            </w14:solidFill>
          </w14:textFill>
        </w:rPr>
      </w:pPr>
      <w:r>
        <w:rPr>
          <w:rFonts w:ascii="Times New Roman" w:hAnsi="Times New Roman"/>
          <w:b/>
          <w:color w:val="000000" w:themeColor="text1"/>
          <w:szCs w:val="24"/>
          <w:highlight w:val="none"/>
          <w14:textFill>
            <w14:solidFill>
              <w14:schemeClr w14:val="tx1"/>
            </w14:solidFill>
          </w14:textFill>
        </w:rPr>
        <w:t>（1）土壤环境影响分析</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1）大气污染途径</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天然气开发过程中主要的大气污染物有甲烷、SO</w:t>
      </w:r>
      <w:r>
        <w:rPr>
          <w:rFonts w:ascii="Times New Roman" w:hAnsi="Times New Roman"/>
          <w:bCs/>
          <w:color w:val="000000" w:themeColor="text1"/>
          <w:szCs w:val="24"/>
          <w:highlight w:val="none"/>
          <w:vertAlign w:val="subscript"/>
          <w14:textFill>
            <w14:solidFill>
              <w14:schemeClr w14:val="tx1"/>
            </w14:solidFill>
          </w14:textFill>
        </w:rPr>
        <w:t>2</w:t>
      </w:r>
      <w:r>
        <w:rPr>
          <w:rFonts w:ascii="Times New Roman" w:hAnsi="Times New Roman"/>
          <w:bCs/>
          <w:color w:val="000000" w:themeColor="text1"/>
          <w:szCs w:val="24"/>
          <w:highlight w:val="none"/>
          <w14:textFill>
            <w14:solidFill>
              <w14:schemeClr w14:val="tx1"/>
            </w14:solidFill>
          </w14:textFill>
        </w:rPr>
        <w:t>、NOx、CO、颗粒物及挥发性有机物等，主要来源于场地施工机械、柴油发电机等。大气污染物通过降雨或沉降进入土壤，从而引起土壤污染。</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根据对</w:t>
      </w:r>
      <w:r>
        <w:rPr>
          <w:rFonts w:hint="eastAsia" w:ascii="Times New Roman" w:hAnsi="Times New Roman"/>
          <w:bCs/>
          <w:color w:val="000000" w:themeColor="text1"/>
          <w:szCs w:val="24"/>
          <w:highlight w:val="none"/>
          <w14:textFill>
            <w14:solidFill>
              <w14:schemeClr w14:val="tx1"/>
            </w14:solidFill>
          </w14:textFill>
        </w:rPr>
        <w:t>周边</w:t>
      </w:r>
      <w:r>
        <w:rPr>
          <w:rFonts w:ascii="Times New Roman" w:hAnsi="Times New Roman"/>
          <w:bCs/>
          <w:color w:val="000000" w:themeColor="text1"/>
          <w:szCs w:val="24"/>
          <w:highlight w:val="none"/>
          <w14:textFill>
            <w14:solidFill>
              <w14:schemeClr w14:val="tx1"/>
            </w14:solidFill>
          </w14:textFill>
        </w:rPr>
        <w:t>已建天然气项目的调查，通过施工单位严格施工管理，天然气开发过程中周边大气中一般不会出现重金属、挥发性有机物以及SO</w:t>
      </w:r>
      <w:r>
        <w:rPr>
          <w:rFonts w:ascii="Times New Roman" w:hAnsi="Times New Roman"/>
          <w:bCs/>
          <w:color w:val="000000" w:themeColor="text1"/>
          <w:szCs w:val="24"/>
          <w:highlight w:val="none"/>
          <w:vertAlign w:val="subscript"/>
          <w14:textFill>
            <w14:solidFill>
              <w14:schemeClr w14:val="tx1"/>
            </w14:solidFill>
          </w14:textFill>
        </w:rPr>
        <w:t>2</w:t>
      </w:r>
      <w:r>
        <w:rPr>
          <w:rFonts w:ascii="Times New Roman" w:hAnsi="Times New Roman"/>
          <w:bCs/>
          <w:color w:val="000000" w:themeColor="text1"/>
          <w:szCs w:val="24"/>
          <w:highlight w:val="none"/>
          <w14:textFill>
            <w14:solidFill>
              <w14:schemeClr w14:val="tx1"/>
            </w14:solidFill>
          </w14:textFill>
        </w:rPr>
        <w:t>等酸性氧化物超标的情况，通过大气污染土壤的可能性较小。</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2）水污染途径</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本项目井场建设期污染物主要通过地面漫流、垂直入渗途径污染土壤。</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hint="eastAsia" w:hAnsi="宋体" w:cs="宋体"/>
          <w:bCs/>
          <w:color w:val="000000" w:themeColor="text1"/>
          <w:szCs w:val="24"/>
          <w:highlight w:val="none"/>
          <w14:textFill>
            <w14:solidFill>
              <w14:schemeClr w14:val="tx1"/>
            </w14:solidFill>
          </w14:textFill>
        </w:rPr>
        <w:t>①</w:t>
      </w:r>
      <w:r>
        <w:rPr>
          <w:rFonts w:ascii="Times New Roman" w:hAnsi="Times New Roman"/>
          <w:bCs/>
          <w:color w:val="000000" w:themeColor="text1"/>
          <w:szCs w:val="24"/>
          <w:highlight w:val="none"/>
          <w14:textFill>
            <w14:solidFill>
              <w14:schemeClr w14:val="tx1"/>
            </w14:solidFill>
          </w14:textFill>
        </w:rPr>
        <w:t>地面漫流</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对于泥浆不落地装置区及泥浆循环系统、泥浆料台区、储备罐区、油罐区、柴油机组区、放喷池等区域，在事故情况和降雨情况下产生的废水</w:t>
      </w:r>
      <w:r>
        <w:rPr>
          <w:rFonts w:hint="eastAsia" w:ascii="Times New Roman" w:hAnsi="Times New Roman"/>
          <w:bCs/>
          <w:color w:val="000000" w:themeColor="text1"/>
          <w:szCs w:val="24"/>
          <w:highlight w:val="none"/>
          <w:lang w:val="en-US" w:eastAsia="zh-CN"/>
          <w14:textFill>
            <w14:solidFill>
              <w14:schemeClr w14:val="tx1"/>
            </w14:solidFill>
          </w14:textFill>
        </w:rPr>
        <w:t>及油类物质</w:t>
      </w:r>
      <w:r>
        <w:rPr>
          <w:rFonts w:ascii="Times New Roman" w:hAnsi="Times New Roman"/>
          <w:bCs/>
          <w:color w:val="000000" w:themeColor="text1"/>
          <w:szCs w:val="24"/>
          <w:highlight w:val="none"/>
          <w14:textFill>
            <w14:solidFill>
              <w14:schemeClr w14:val="tx1"/>
            </w14:solidFill>
          </w14:textFill>
        </w:rPr>
        <w:t>会发生地面漫流，进一步污染土壤。</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建设单位对泥浆不落地装置区及泥浆循环系统、泥浆料台区、储备罐区、油罐区、柴油机组区均设置了防雨棚，废油暂存区、发电机均设在活动房内，方井周边、放喷池在雨天加盖篷布，避免暴雨引起废水、废油外溢形成地面漫流。并在废水收集罐周围设置0.5m高围堰，防止废水外溢；油罐区周围设置0.15m高围堰及集油池，防止</w:t>
      </w:r>
      <w:r>
        <w:rPr>
          <w:rFonts w:hint="eastAsia" w:ascii="Times New Roman" w:hAnsi="Times New Roman"/>
          <w:bCs/>
          <w:color w:val="000000" w:themeColor="text1"/>
          <w:szCs w:val="24"/>
          <w:highlight w:val="none"/>
          <w:lang w:eastAsia="zh-CN"/>
          <w14:textFill>
            <w14:solidFill>
              <w14:schemeClr w14:val="tx1"/>
            </w14:solidFill>
          </w14:textFill>
        </w:rPr>
        <w:t>泄漏</w:t>
      </w:r>
      <w:r>
        <w:rPr>
          <w:rFonts w:ascii="Times New Roman" w:hAnsi="Times New Roman"/>
          <w:bCs/>
          <w:color w:val="000000" w:themeColor="text1"/>
          <w:szCs w:val="24"/>
          <w:highlight w:val="none"/>
          <w14:textFill>
            <w14:solidFill>
              <w14:schemeClr w14:val="tx1"/>
            </w14:solidFill>
          </w14:textFill>
        </w:rPr>
        <w:t>油料外溢；放喷池最低面墙设置不低于0.5m，避免雨水进入；井口作业区周边设置导流沟，将可能泄露的废水导流至集污坑；井场四周设置双环沟，外环沟与自然沟渠连接，便于导排场地外雨水等，内环沟用于收集井场内的雨水和可能产生的污水，汇入集污坑。通过以上措施全面防控事故废水和可能受污染的雨水发生地面漫流，进入土壤。</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在全面落实污染防控措施的情况下，污染物的地面漫流对土壤影响较小。</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hint="eastAsia" w:hAnsi="宋体" w:cs="宋体"/>
          <w:bCs/>
          <w:color w:val="000000" w:themeColor="text1"/>
          <w:szCs w:val="24"/>
          <w:highlight w:val="none"/>
          <w14:textFill>
            <w14:solidFill>
              <w14:schemeClr w14:val="tx1"/>
            </w14:solidFill>
          </w14:textFill>
        </w:rPr>
        <w:t>②</w:t>
      </w:r>
      <w:r>
        <w:rPr>
          <w:rFonts w:ascii="Times New Roman" w:hAnsi="Times New Roman"/>
          <w:bCs/>
          <w:color w:val="000000" w:themeColor="text1"/>
          <w:szCs w:val="24"/>
          <w:highlight w:val="none"/>
          <w14:textFill>
            <w14:solidFill>
              <w14:schemeClr w14:val="tx1"/>
            </w14:solidFill>
          </w14:textFill>
        </w:rPr>
        <w:t>垂直入渗</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对于泥浆不落地装置区及泥浆循环系统、泥浆料台区、储备罐区、油罐区、放喷池、方井周边、</w:t>
      </w:r>
      <w:r>
        <w:rPr>
          <w:rFonts w:ascii="Times New Roman" w:hAnsi="Times New Roman"/>
          <w:color w:val="000000" w:themeColor="text1"/>
          <w:szCs w:val="24"/>
          <w:highlight w:val="none"/>
          <w14:textFill>
            <w14:solidFill>
              <w14:schemeClr w14:val="tx1"/>
            </w14:solidFill>
          </w14:textFill>
        </w:rPr>
        <w:t>钻井固废暂存区</w:t>
      </w:r>
      <w:r>
        <w:rPr>
          <w:rFonts w:ascii="Times New Roman" w:hAnsi="Times New Roman"/>
          <w:bCs/>
          <w:color w:val="000000" w:themeColor="text1"/>
          <w:szCs w:val="24"/>
          <w:highlight w:val="none"/>
          <w14:textFill>
            <w14:solidFill>
              <w14:schemeClr w14:val="tx1"/>
            </w14:solidFill>
          </w14:textFill>
        </w:rPr>
        <w:t>、发电机房、柴油机组区等区域，在事故情况下会造成污染物的泄露，通过垂直入渗途径污染土壤。</w:t>
      </w:r>
    </w:p>
    <w:p>
      <w:pPr>
        <w:pStyle w:val="27"/>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szCs w:val="24"/>
          <w:highlight w:val="none"/>
          <w14:textFill>
            <w14:solidFill>
              <w14:schemeClr w14:val="tx1"/>
            </w14:solidFill>
          </w14:textFill>
        </w:rPr>
        <w:t>本项目井场采取分区防渗措施，</w:t>
      </w:r>
      <w:r>
        <w:rPr>
          <w:rFonts w:hint="eastAsia" w:ascii="Times New Roman" w:hAnsi="Times New Roman"/>
          <w:bCs/>
          <w:color w:val="000000" w:themeColor="text1"/>
          <w:szCs w:val="24"/>
          <w:highlight w:val="none"/>
          <w:lang w:eastAsia="zh-CN"/>
          <w14:textFill>
            <w14:solidFill>
              <w14:schemeClr w14:val="tx1"/>
            </w14:solidFill>
          </w14:textFill>
        </w:rPr>
        <w:t>场地内</w:t>
      </w:r>
      <w:r>
        <w:rPr>
          <w:rFonts w:ascii="Times New Roman" w:hAnsi="Times New Roman"/>
          <w:color w:val="000000" w:themeColor="text1"/>
          <w:szCs w:val="24"/>
          <w:highlight w:val="none"/>
          <w14:textFill>
            <w14:solidFill>
              <w14:schemeClr w14:val="tx1"/>
            </w14:solidFill>
          </w14:textFill>
        </w:rPr>
        <w:t>方井、泥浆循环系统区域、泥浆不落地系统区域（含油桶堆放区）、泥浆储备罐区、循环罐区、柴油罐区、放喷池、危险废物暂存场所等采取重点防渗措施；井架基础、发电机房、钻井固废暂存区、气源房、材料棚、雨、污分流区域以及厕所等区域采取一般防渗措施；其他区域等采取简单防渗措施</w:t>
      </w:r>
      <w:r>
        <w:rPr>
          <w:rFonts w:ascii="Times New Roman" w:hAnsi="Times New Roman"/>
          <w:bCs/>
          <w:color w:val="000000" w:themeColor="text1"/>
          <w:szCs w:val="24"/>
          <w:highlight w:val="none"/>
          <w14:textFill>
            <w14:solidFill>
              <w14:schemeClr w14:val="tx1"/>
            </w14:solidFill>
          </w14:textFill>
        </w:rPr>
        <w:t>。在全面落实分区防渗措施的情况下，污染物的垂直入渗对土壤影响较小。</w:t>
      </w:r>
    </w:p>
    <w:p>
      <w:pPr>
        <w:pStyle w:val="27"/>
        <w:ind w:firstLine="480"/>
        <w:rPr>
          <w:rFonts w:ascii="Times New Roman" w:hAnsi="Times New Roman"/>
          <w:color w:val="000000" w:themeColor="text1"/>
          <w:szCs w:val="24"/>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③</w:t>
      </w:r>
      <w:r>
        <w:rPr>
          <w:rFonts w:ascii="Times New Roman" w:hAnsi="Times New Roman"/>
          <w:color w:val="000000" w:themeColor="text1"/>
          <w:szCs w:val="24"/>
          <w:highlight w:val="none"/>
          <w14:textFill>
            <w14:solidFill>
              <w14:schemeClr w14:val="tx1"/>
            </w14:solidFill>
          </w14:textFill>
        </w:rPr>
        <w:t>钻井液漏失进入土壤</w:t>
      </w:r>
    </w:p>
    <w:p>
      <w:pPr>
        <w:pStyle w:val="27"/>
        <w:ind w:firstLine="480"/>
        <w:rPr>
          <w:rFonts w:ascii="Times New Roman" w:hAnsi="Times New Roman"/>
          <w:b/>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钻井选用全井段套管保护+水泥固井工艺，本项目仅采用套管和水泥固井防止地下水污染，并在设计中做好及时堵漏准备，防止泥浆流失进入地下水或土壤环境。因此在采取措施后，钻井液漏失进入土壤环境可能性很小。</w:t>
      </w:r>
    </w:p>
    <w:p>
      <w:pPr>
        <w:pStyle w:val="27"/>
        <w:ind w:firstLine="482"/>
        <w:rPr>
          <w:rFonts w:ascii="Times New Roman" w:hAnsi="Times New Roman"/>
          <w:b/>
          <w:color w:val="000000" w:themeColor="text1"/>
          <w:szCs w:val="24"/>
          <w:highlight w:val="none"/>
          <w14:textFill>
            <w14:solidFill>
              <w14:schemeClr w14:val="tx1"/>
            </w14:solidFill>
          </w14:textFill>
        </w:rPr>
      </w:pPr>
      <w:r>
        <w:rPr>
          <w:rFonts w:ascii="Times New Roman" w:hAnsi="Times New Roman"/>
          <w:b/>
          <w:color w:val="000000" w:themeColor="text1"/>
          <w:szCs w:val="24"/>
          <w:highlight w:val="none"/>
          <w14:textFill>
            <w14:solidFill>
              <w14:schemeClr w14:val="tx1"/>
            </w14:solidFill>
          </w14:textFill>
        </w:rPr>
        <w:t>（2）土壤环境影响预测与评价</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本项目新增占地进行建设，项目施工期时间短、工程量小，施工占地范围小，对土壤环境的扰动范围很小。本次土壤环境影响评价采用</w:t>
      </w:r>
      <w:r>
        <w:rPr>
          <w:rFonts w:hint="eastAsia" w:ascii="Times New Roman" w:hAnsi="Times New Roman"/>
          <w:color w:val="000000" w:themeColor="text1"/>
          <w:szCs w:val="24"/>
          <w:highlight w:val="none"/>
          <w14:textFill>
            <w14:solidFill>
              <w14:schemeClr w14:val="tx1"/>
            </w14:solidFill>
          </w14:textFill>
        </w:rPr>
        <w:t>同区域的老君7</w:t>
      </w:r>
      <w:r>
        <w:rPr>
          <w:rFonts w:ascii="Times New Roman" w:hAnsi="Times New Roman"/>
          <w:color w:val="000000" w:themeColor="text1"/>
          <w:szCs w:val="24"/>
          <w:highlight w:val="none"/>
          <w14:textFill>
            <w14:solidFill>
              <w14:schemeClr w14:val="tx1"/>
            </w14:solidFill>
          </w14:textFill>
        </w:rPr>
        <w:t>01</w:t>
      </w:r>
      <w:r>
        <w:rPr>
          <w:rFonts w:hint="eastAsia" w:ascii="Times New Roman" w:hAnsi="Times New Roman"/>
          <w:color w:val="000000" w:themeColor="text1"/>
          <w:szCs w:val="24"/>
          <w:highlight w:val="none"/>
          <w14:textFill>
            <w14:solidFill>
              <w14:schemeClr w14:val="tx1"/>
            </w14:solidFill>
          </w14:textFill>
        </w:rPr>
        <w:t>集气站</w:t>
      </w:r>
      <w:r>
        <w:rPr>
          <w:rFonts w:ascii="Times New Roman" w:hAnsi="Times New Roman"/>
          <w:color w:val="000000" w:themeColor="text1"/>
          <w:szCs w:val="24"/>
          <w:highlight w:val="none"/>
          <w14:textFill>
            <w14:solidFill>
              <w14:schemeClr w14:val="tx1"/>
            </w14:solidFill>
          </w14:textFill>
        </w:rPr>
        <w:t>内监测数据进行分析（老君701集气站涉及施工钻井期与运营采气期，因此具有可比性）。</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根据</w:t>
      </w:r>
      <w:r>
        <w:rPr>
          <w:rFonts w:hint="eastAsia" w:ascii="Times New Roman" w:hAnsi="Times New Roman"/>
          <w:color w:val="000000" w:themeColor="text1"/>
          <w:szCs w:val="24"/>
          <w:highlight w:val="none"/>
          <w14:textFill>
            <w14:solidFill>
              <w14:schemeClr w14:val="tx1"/>
            </w14:solidFill>
          </w14:textFill>
        </w:rPr>
        <w:t>《老君7011井台钻井及试采工程环评报告书》中对</w:t>
      </w:r>
      <w:r>
        <w:rPr>
          <w:rFonts w:ascii="Times New Roman" w:hAnsi="Times New Roman"/>
          <w:color w:val="000000" w:themeColor="text1"/>
          <w:szCs w:val="24"/>
          <w:highlight w:val="none"/>
          <w14:textFill>
            <w14:solidFill>
              <w14:schemeClr w14:val="tx1"/>
            </w14:solidFill>
          </w14:textFill>
        </w:rPr>
        <w:t>老君701集气站</w:t>
      </w:r>
      <w:r>
        <w:rPr>
          <w:rFonts w:hint="eastAsia" w:ascii="Times New Roman" w:hAnsi="Times New Roman"/>
          <w:color w:val="000000" w:themeColor="text1"/>
          <w:szCs w:val="24"/>
          <w:highlight w:val="none"/>
          <w14:textFill>
            <w14:solidFill>
              <w14:schemeClr w14:val="tx1"/>
            </w14:solidFill>
          </w14:textFill>
        </w:rPr>
        <w:t>的</w:t>
      </w:r>
      <w:r>
        <w:rPr>
          <w:rFonts w:ascii="Times New Roman" w:hAnsi="Times New Roman"/>
          <w:color w:val="000000" w:themeColor="text1"/>
          <w:szCs w:val="24"/>
          <w:highlight w:val="none"/>
          <w14:textFill>
            <w14:solidFill>
              <w14:schemeClr w14:val="tx1"/>
            </w14:solidFill>
          </w14:textFill>
        </w:rPr>
        <w:t>土壤环境现状监测数据，</w:t>
      </w:r>
      <w:r>
        <w:rPr>
          <w:rFonts w:hint="eastAsia" w:ascii="Times New Roman" w:hAnsi="Times New Roman"/>
          <w:color w:val="000000" w:themeColor="text1"/>
          <w:szCs w:val="24"/>
          <w:highlight w:val="none"/>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022</w:t>
      </w:r>
      <w:r>
        <w:rPr>
          <w:rFonts w:hint="eastAsia" w:ascii="Times New Roman" w:hAnsi="Times New Roman"/>
          <w:color w:val="000000" w:themeColor="text1"/>
          <w:szCs w:val="24"/>
          <w:highlight w:val="none"/>
          <w14:textFill>
            <w14:solidFill>
              <w14:schemeClr w14:val="tx1"/>
            </w14:solidFill>
          </w14:textFill>
        </w:rPr>
        <w:t>年</w:t>
      </w:r>
      <w:r>
        <w:rPr>
          <w:rFonts w:ascii="Times New Roman" w:hAnsi="Times New Roman"/>
          <w:color w:val="000000" w:themeColor="text1"/>
          <w:szCs w:val="24"/>
          <w:highlight w:val="none"/>
          <w14:textFill>
            <w14:solidFill>
              <w14:schemeClr w14:val="tx1"/>
            </w14:solidFill>
          </w14:textFill>
        </w:rPr>
        <w:t>在已钻井施工完成的老君701集气站旁布设了6个土壤监测点，其中新建井场内布置1个表层样点，3个柱状样点，井场外布置2个表层样点，各监测指标均满足</w:t>
      </w:r>
      <w:r>
        <w:rPr>
          <w:rFonts w:ascii="Times New Roman" w:hAnsi="Times New Roman"/>
          <w:bCs/>
          <w:color w:val="000000" w:themeColor="text1"/>
          <w:szCs w:val="24"/>
          <w:highlight w:val="none"/>
          <w14:textFill>
            <w14:solidFill>
              <w14:schemeClr w14:val="tx1"/>
            </w14:solidFill>
          </w14:textFill>
        </w:rPr>
        <w:t>《土壤环境质量 建设用地土壤污染风险管控标准（试行）（GB36600—2018）》第二类用地筛选值和《土壤环境质量 农用地土壤污染风险管控标准（试行）（GB15618—2018）》中“其他”用地类型筛选值，特征因子石油烃满足参考的《土壤环境质量 建设用地土壤污染风险管控标准（试行）（GB36600—2018）》筛选值。由此可见，</w:t>
      </w:r>
      <w:r>
        <w:rPr>
          <w:rFonts w:ascii="Times New Roman" w:hAnsi="Times New Roman"/>
          <w:color w:val="000000" w:themeColor="text1"/>
          <w:szCs w:val="24"/>
          <w:highlight w:val="none"/>
          <w14:textFill>
            <w14:solidFill>
              <w14:schemeClr w14:val="tx1"/>
            </w14:solidFill>
          </w14:textFill>
        </w:rPr>
        <w:t>老君701集气站（含钻井与采气期）的建设并未对土壤环境造成污染。</w:t>
      </w:r>
    </w:p>
    <w:p>
      <w:pPr>
        <w:pStyle w:val="201"/>
        <w:spacing w:before="120"/>
        <w:rPr>
          <w:color w:val="000000" w:themeColor="text1"/>
          <w:highlight w:val="none"/>
          <w14:textFill>
            <w14:solidFill>
              <w14:schemeClr w14:val="tx1"/>
            </w14:solidFill>
          </w14:textFill>
        </w:rPr>
      </w:pPr>
      <w:bookmarkStart w:id="261" w:name="_Ref2644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bookmarkEnd w:id="26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钻井工程对土壤影响类比分析一览表</w:t>
      </w:r>
    </w:p>
    <w:tbl>
      <w:tblPr>
        <w:tblStyle w:val="5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919"/>
        <w:gridCol w:w="3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类比项目</w:t>
            </w:r>
          </w:p>
        </w:tc>
        <w:tc>
          <w:tcPr>
            <w:tcW w:w="171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eastAsia" w:eastAsia="宋体"/>
                <w:b/>
                <w:bCs/>
                <w:snapToGrid w:val="0"/>
                <w:color w:val="000000" w:themeColor="text1"/>
                <w:szCs w:val="20"/>
                <w:highlight w:val="none"/>
                <w14:textFill>
                  <w14:solidFill>
                    <w14:schemeClr w14:val="tx1"/>
                  </w14:solidFill>
                </w14:textFill>
                <w14:ligatures w14:val="standardContextual"/>
              </w:rPr>
              <w:t>本项目</w:t>
            </w:r>
          </w:p>
        </w:tc>
        <w:tc>
          <w:tcPr>
            <w:tcW w:w="218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b/>
                <w:bCs/>
                <w:snapToGrid w:val="0"/>
                <w:color w:val="000000" w:themeColor="text1"/>
                <w:szCs w:val="20"/>
                <w:highlight w:val="none"/>
                <w14:textFill>
                  <w14:solidFill>
                    <w14:schemeClr w14:val="tx1"/>
                  </w14:solidFill>
                </w14:textFill>
                <w14:ligatures w14:val="standardContextual"/>
              </w:rPr>
            </w:pPr>
            <w:r>
              <w:rPr>
                <w:rFonts w:hint="default" w:eastAsia="Times New Roman"/>
                <w:b/>
                <w:bCs/>
                <w:color w:val="000000" w:themeColor="text1"/>
                <w:szCs w:val="24"/>
                <w:highlight w:val="none"/>
                <w14:textFill>
                  <w14:solidFill>
                    <w14:schemeClr w14:val="tx1"/>
                  </w14:solidFill>
                </w14:textFill>
                <w14:ligatures w14:val="standardContextual"/>
              </w:rPr>
              <w:t>老君701</w:t>
            </w:r>
            <w:r>
              <w:rPr>
                <w:rFonts w:hint="eastAsia" w:ascii="宋体" w:hAnsi="宋体" w:eastAsia="宋体" w:cs="宋体"/>
                <w:b/>
                <w:bCs/>
                <w:color w:val="000000" w:themeColor="text1"/>
                <w:szCs w:val="24"/>
                <w:highlight w:val="none"/>
                <w14:textFill>
                  <w14:solidFill>
                    <w14:schemeClr w14:val="tx1"/>
                  </w14:solidFill>
                </w14:textFill>
                <w14:ligatures w14:val="standardContextual"/>
              </w:rPr>
              <w:t>集气站（含钻井与采气期</w:t>
            </w:r>
            <w:r>
              <w:rPr>
                <w:rFonts w:hint="default" w:eastAsia="Times New Roman"/>
                <w:b/>
                <w:bCs/>
                <w:color w:val="000000" w:themeColor="text1"/>
                <w:szCs w:val="24"/>
                <w:highlight w:val="none"/>
                <w14:textFill>
                  <w14:solidFill>
                    <w14:schemeClr w14:val="tx1"/>
                  </w14:solidFill>
                </w14:textFill>
                <w14:ligatures w14:val="standardContextu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地理位置</w:t>
            </w:r>
          </w:p>
        </w:tc>
        <w:tc>
          <w:tcPr>
            <w:tcW w:w="171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宣汉县</w:t>
            </w:r>
          </w:p>
        </w:tc>
        <w:tc>
          <w:tcPr>
            <w:tcW w:w="218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宣汉县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项目建设内容</w:t>
            </w:r>
          </w:p>
        </w:tc>
        <w:tc>
          <w:tcPr>
            <w:tcW w:w="171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ascii="宋体" w:eastAsia="宋体"/>
                <w:snapToGrid w:val="0"/>
                <w:color w:val="000000" w:themeColor="text1"/>
                <w:szCs w:val="20"/>
                <w:highlight w:val="none"/>
                <w14:textFill>
                  <w14:solidFill>
                    <w14:schemeClr w14:val="tx1"/>
                  </w14:solidFill>
                </w14:textFill>
                <w14:ligatures w14:val="standardContextual"/>
              </w:rPr>
              <w:t>钻采工艺采用常规钻井工艺，污染防治措施为川东北地区普遍措施</w:t>
            </w:r>
          </w:p>
        </w:tc>
        <w:tc>
          <w:tcPr>
            <w:tcW w:w="218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钻采工艺采用常规钻井工艺，污染防治措施为川</w:t>
            </w:r>
            <w:r>
              <w:rPr>
                <w:rFonts w:hint="eastAsia" w:ascii="宋体" w:eastAsia="宋体"/>
                <w:snapToGrid w:val="0"/>
                <w:color w:val="000000" w:themeColor="text1"/>
                <w:szCs w:val="20"/>
                <w:highlight w:val="none"/>
                <w14:textFill>
                  <w14:solidFill>
                    <w14:schemeClr w14:val="tx1"/>
                  </w14:solidFill>
                </w14:textFill>
                <w14:ligatures w14:val="standardContextual"/>
              </w:rPr>
              <w:t>东北</w:t>
            </w:r>
            <w:r>
              <w:rPr>
                <w:rFonts w:hint="eastAsia" w:eastAsia="宋体"/>
                <w:snapToGrid w:val="0"/>
                <w:color w:val="000000" w:themeColor="text1"/>
                <w:szCs w:val="20"/>
                <w:highlight w:val="none"/>
                <w14:textFill>
                  <w14:solidFill>
                    <w14:schemeClr w14:val="tx1"/>
                  </w14:solidFill>
                </w14:textFill>
                <w14:ligatures w14:val="standardContextual"/>
              </w:rPr>
              <w:t>地区普遍措施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所在地环境特征</w:t>
            </w:r>
          </w:p>
        </w:tc>
        <w:tc>
          <w:tcPr>
            <w:tcW w:w="171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宋体"/>
                <w:snapToGrid w:val="0"/>
                <w:color w:val="000000" w:themeColor="text1"/>
                <w:szCs w:val="20"/>
                <w:highlight w:val="none"/>
                <w14:textFill>
                  <w14:solidFill>
                    <w14:schemeClr w14:val="tx1"/>
                  </w14:solidFill>
                </w14:textFill>
                <w14:ligatures w14:val="standardContextual"/>
              </w:rPr>
            </w:pPr>
            <w:r>
              <w:rPr>
                <w:rFonts w:hint="default" w:eastAsia="宋体"/>
                <w:snapToGrid w:val="0"/>
                <w:color w:val="000000" w:themeColor="text1"/>
                <w:szCs w:val="20"/>
                <w:highlight w:val="none"/>
                <w14:textFill>
                  <w14:solidFill>
                    <w14:schemeClr w14:val="tx1"/>
                  </w14:solidFill>
                </w14:textFill>
                <w14:ligatures w14:val="standardContextual"/>
              </w:rPr>
              <w:t>外环境为耕地和散居农户为主</w:t>
            </w:r>
          </w:p>
        </w:tc>
        <w:tc>
          <w:tcPr>
            <w:tcW w:w="218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外环境为耕地和散居农户为主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宋体"/>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土壤环境影响</w:t>
            </w:r>
          </w:p>
        </w:tc>
        <w:tc>
          <w:tcPr>
            <w:tcW w:w="1712"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宋体"/>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项目施工期对土壤环境的影响是很小的</w:t>
            </w:r>
          </w:p>
        </w:tc>
        <w:tc>
          <w:tcPr>
            <w:tcW w:w="2184" w:type="pct"/>
            <w:vAlign w:val="center"/>
          </w:tcPr>
          <w:p>
            <w:pPr>
              <w:pStyle w:val="295"/>
              <w:keepNext w:val="0"/>
              <w:keepLines w:val="0"/>
              <w:widowControl/>
              <w:suppressLineNumbers w:val="0"/>
              <w:spacing w:before="0" w:beforeAutospacing="0" w:after="0" w:afterAutospacing="0" w:line="240" w:lineRule="auto"/>
              <w:ind w:left="0" w:right="0" w:firstLine="0"/>
              <w:rPr>
                <w:rFonts w:hint="default" w:eastAsia="Times New Roman"/>
                <w:snapToGrid w:val="0"/>
                <w:color w:val="000000" w:themeColor="text1"/>
                <w:szCs w:val="20"/>
                <w:highlight w:val="none"/>
                <w14:textFill>
                  <w14:solidFill>
                    <w14:schemeClr w14:val="tx1"/>
                  </w14:solidFill>
                </w14:textFill>
                <w14:ligatures w14:val="standardContextual"/>
              </w:rPr>
            </w:pPr>
            <w:r>
              <w:rPr>
                <w:rFonts w:hint="eastAsia" w:eastAsia="宋体"/>
                <w:snapToGrid w:val="0"/>
                <w:color w:val="000000" w:themeColor="text1"/>
                <w:szCs w:val="20"/>
                <w:highlight w:val="none"/>
                <w14:textFill>
                  <w14:solidFill>
                    <w14:schemeClr w14:val="tx1"/>
                  </w14:solidFill>
                </w14:textFill>
                <w14:ligatures w14:val="standardContextual"/>
              </w:rPr>
              <w:t>本项目环境质量监测报告，该井场建设期未发生过土壤环境污染事故和土壤投诉，无超标、酸化或碱化现象</w:t>
            </w:r>
          </w:p>
        </w:tc>
      </w:tr>
    </w:tbl>
    <w:p>
      <w:pPr>
        <w:pStyle w:val="27"/>
        <w:spacing w:before="120" w:beforeLines="50"/>
        <w:ind w:firstLine="480"/>
        <w:rPr>
          <w:rFonts w:ascii="Times New Roman" w:hAnsi="Times New Roman"/>
          <w:bCs/>
          <w:color w:val="000000" w:themeColor="text1"/>
          <w:szCs w:val="24"/>
          <w:highlight w:val="none"/>
          <w14:textFill>
            <w14:solidFill>
              <w14:schemeClr w14:val="tx1"/>
            </w14:solidFill>
          </w14:textFill>
        </w:rPr>
      </w:pPr>
      <w:r>
        <w:rPr>
          <w:rFonts w:ascii="Times New Roman" w:hAnsi="Times New Roman"/>
          <w:bCs/>
          <w:color w:val="000000" w:themeColor="text1"/>
          <w:highlight w:val="none"/>
          <w14:textFill>
            <w14:solidFill>
              <w14:schemeClr w14:val="tx1"/>
            </w14:solidFill>
          </w14:textFill>
        </w:rPr>
        <w:t>因此，根据项目对土壤环境影响途径分析和类比同类项目同类地区的建设经验，项目建设对土壤环境的影响很小，可接受。本</w:t>
      </w:r>
      <w:r>
        <w:rPr>
          <w:rFonts w:ascii="Times New Roman" w:hAnsi="Times New Roman"/>
          <w:color w:val="000000" w:themeColor="text1"/>
          <w:szCs w:val="24"/>
          <w:highlight w:val="none"/>
          <w14:textFill>
            <w14:solidFill>
              <w14:schemeClr w14:val="tx1"/>
            </w14:solidFill>
          </w14:textFill>
        </w:rPr>
        <w:t>项目除采取上述土壤污染防治措施外，还应将</w:t>
      </w:r>
      <w:r>
        <w:rPr>
          <w:rFonts w:ascii="Times New Roman" w:hAnsi="Times New Roman"/>
          <w:bCs/>
          <w:color w:val="000000" w:themeColor="text1"/>
          <w:szCs w:val="24"/>
          <w:highlight w:val="none"/>
          <w14:textFill>
            <w14:solidFill>
              <w14:schemeClr w14:val="tx1"/>
            </w14:solidFill>
          </w14:textFill>
        </w:rPr>
        <w:t>土壤污染防治措施和地下水污染防治、生态环境治理措施相结合，综合做好土壤环境、地下水环境和生态环境的保护；完钻后对钻井期临时占地进行污染治理后恢复，并进行生态修复，临时占地还耕前进行土壤监测，确保无污染后再用作农用地复耕。</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固体废物环境影响分析</w:t>
      </w:r>
    </w:p>
    <w:p>
      <w:pPr>
        <w:pStyle w:val="27"/>
        <w:ind w:firstLine="482"/>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（1）钻井固废</w:t>
      </w:r>
      <w:r>
        <w:rPr>
          <w:rFonts w:hint="eastAsia" w:ascii="Times New Roman" w:hAnsi="Times New Roman"/>
          <w:b/>
          <w:bCs/>
          <w:color w:val="000000" w:themeColor="text1"/>
          <w:szCs w:val="24"/>
          <w:highlight w:val="none"/>
          <w14:textFill>
            <w14:solidFill>
              <w14:schemeClr w14:val="tx1"/>
            </w14:solidFill>
          </w14:textFill>
        </w:rPr>
        <w:t>环境</w:t>
      </w:r>
      <w:r>
        <w:rPr>
          <w:rFonts w:ascii="Times New Roman" w:hAnsi="Times New Roman"/>
          <w:b/>
          <w:color w:val="000000" w:themeColor="text1"/>
          <w:szCs w:val="24"/>
          <w:highlight w:val="none"/>
          <w14:textFill>
            <w14:solidFill>
              <w14:schemeClr w14:val="tx1"/>
            </w14:solidFill>
          </w14:textFill>
        </w:rPr>
        <w:t>影响分析</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项目导管段使用清水</w:t>
      </w:r>
      <w:r>
        <w:rPr>
          <w:rFonts w:hint="eastAsia" w:ascii="Times New Roman" w:hAnsi="Times New Roman"/>
          <w:color w:val="000000" w:themeColor="text1"/>
          <w:szCs w:val="24"/>
          <w:highlight w:val="none"/>
          <w:lang w:val="en-US" w:eastAsia="zh-CN"/>
          <w14:textFill>
            <w14:solidFill>
              <w14:schemeClr w14:val="tx1"/>
            </w14:solidFill>
          </w14:textFill>
        </w:rPr>
        <w:t>钻井液</w:t>
      </w:r>
      <w:r>
        <w:rPr>
          <w:rFonts w:ascii="Times New Roman" w:hAnsi="Times New Roman"/>
          <w:color w:val="000000" w:themeColor="text1"/>
          <w:szCs w:val="24"/>
          <w:highlight w:val="none"/>
          <w14:textFill>
            <w14:solidFill>
              <w14:schemeClr w14:val="tx1"/>
            </w14:solidFill>
          </w14:textFill>
        </w:rPr>
        <w:t>钻</w:t>
      </w:r>
      <w:r>
        <w:rPr>
          <w:rFonts w:hint="eastAsia" w:ascii="Times New Roman" w:hAnsi="Times New Roman"/>
          <w:color w:val="000000" w:themeColor="text1"/>
          <w:szCs w:val="24"/>
          <w:highlight w:val="none"/>
          <w:lang w:val="en-US" w:eastAsia="zh-CN"/>
          <w14:textFill>
            <w14:solidFill>
              <w14:schemeClr w14:val="tx1"/>
            </w14:solidFill>
          </w14:textFill>
        </w:rPr>
        <w:t>井</w:t>
      </w:r>
      <w:r>
        <w:rPr>
          <w:rFonts w:ascii="Times New Roman" w:hAnsi="Times New Roman"/>
          <w:color w:val="000000" w:themeColor="text1"/>
          <w:szCs w:val="24"/>
          <w:highlight w:val="none"/>
          <w14:textFill>
            <w14:solidFill>
              <w14:schemeClr w14:val="tx1"/>
            </w14:solidFill>
          </w14:textFill>
        </w:rPr>
        <w:t>，</w:t>
      </w:r>
      <w:r>
        <w:rPr>
          <w:rFonts w:hint="eastAsia" w:ascii="Times New Roman" w:hAnsi="Times New Roman"/>
          <w:color w:val="000000" w:themeColor="text1"/>
          <w:szCs w:val="24"/>
          <w:highlight w:val="none"/>
          <w:lang w:val="en-US" w:eastAsia="zh-CN"/>
          <w14:textFill>
            <w14:solidFill>
              <w14:schemeClr w14:val="tx1"/>
            </w14:solidFill>
          </w14:textFill>
        </w:rPr>
        <w:t>无废弃钻井泥浆产生，清水钻阶段主要产生</w:t>
      </w:r>
      <w:r>
        <w:rPr>
          <w:rFonts w:ascii="Times New Roman" w:hAnsi="Times New Roman"/>
          <w:color w:val="000000" w:themeColor="text1"/>
          <w:szCs w:val="24"/>
          <w:highlight w:val="none"/>
          <w14:textFill>
            <w14:solidFill>
              <w14:schemeClr w14:val="tx1"/>
            </w14:solidFill>
          </w14:textFill>
        </w:rPr>
        <w:t>清水钻岩屑产生量约</w:t>
      </w:r>
      <w:r>
        <w:rPr>
          <w:rFonts w:hint="eastAsia" w:ascii="Times New Roman" w:hAnsi="Times New Roman"/>
          <w:color w:val="000000" w:themeColor="text1"/>
          <w:szCs w:val="24"/>
          <w:highlight w:val="none"/>
          <w:lang w:eastAsia="zh-CN"/>
          <w14:textFill>
            <w14:solidFill>
              <w14:schemeClr w14:val="tx1"/>
            </w14:solidFill>
          </w14:textFill>
        </w:rPr>
        <w:t>205.51m</w:t>
      </w:r>
      <w:r>
        <w:rPr>
          <w:rFonts w:ascii="Times New Roman" w:hAnsi="Times New Roman"/>
          <w:color w:val="000000" w:themeColor="text1"/>
          <w:szCs w:val="24"/>
          <w:highlight w:val="none"/>
          <w:vertAlign w:val="superscript"/>
          <w14:textFill>
            <w14:solidFill>
              <w14:schemeClr w14:val="tx1"/>
            </w14:solidFill>
          </w14:textFill>
        </w:rPr>
        <w:t>3</w:t>
      </w:r>
      <w:r>
        <w:rPr>
          <w:rFonts w:ascii="Times New Roman" w:hAnsi="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及时就近交给依法取得生态环境部门关于利用和处置相关工业固体废物项目环评批复、具有处理处置相应固体废物能力并配套建设有废气、废水、固废等污染物治理设施的单位进行资源化利用</w:t>
      </w:r>
      <w:r>
        <w:rPr>
          <w:rFonts w:ascii="Times New Roman" w:hAnsi="Times New Roman"/>
          <w:color w:val="000000" w:themeColor="text1"/>
          <w:szCs w:val="24"/>
          <w:highlight w:val="none"/>
          <w14:textFill>
            <w14:solidFill>
              <w14:schemeClr w14:val="tx1"/>
            </w14:solidFill>
          </w14:textFill>
        </w:rPr>
        <w:t>。</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水基泥浆体系中不添加有毒有害重金属等物质，主要成分为水、无机盐、普通有机聚合物等无毒物质。水基钻井固废</w:t>
      </w:r>
      <w:r>
        <w:rPr>
          <w:rFonts w:hint="eastAsia" w:ascii="Times New Roman" w:hAnsi="Times New Roman"/>
          <w:color w:val="000000" w:themeColor="text1"/>
          <w:szCs w:val="24"/>
          <w:highlight w:val="none"/>
          <w14:textFill>
            <w14:solidFill>
              <w14:schemeClr w14:val="tx1"/>
            </w14:solidFill>
          </w14:textFill>
        </w:rPr>
        <w:t>（即废水基钻井泥浆、水基钻井岩屑）</w:t>
      </w:r>
      <w:r>
        <w:rPr>
          <w:rFonts w:ascii="Times New Roman" w:hAnsi="Times New Roman"/>
          <w:color w:val="000000" w:themeColor="text1"/>
          <w:szCs w:val="24"/>
          <w:highlight w:val="none"/>
          <w14:textFill>
            <w14:solidFill>
              <w14:schemeClr w14:val="tx1"/>
            </w14:solidFill>
          </w14:textFill>
        </w:rPr>
        <w:t>为经泥浆不落地工艺对钻井泥浆及岩屑等进行固液分离后产生的固相废渣，属于第Ⅱ类一般工业固体废物，按照</w:t>
      </w:r>
      <w:r>
        <w:rPr>
          <w:rFonts w:ascii="Times New Roman" w:hAnsi="Times New Roman"/>
          <w:bCs/>
          <w:color w:val="000000" w:themeColor="text1"/>
          <w:szCs w:val="24"/>
          <w:highlight w:val="none"/>
          <w14:textFill>
            <w14:solidFill>
              <w14:schemeClr w14:val="tx1"/>
            </w14:solidFill>
          </w14:textFill>
        </w:rPr>
        <w:t>《一般工业固体废物贮存和填埋污染控制标准》（GB18599-2020）</w:t>
      </w:r>
      <w:r>
        <w:rPr>
          <w:rFonts w:ascii="Times New Roman" w:hAnsi="Times New Roman"/>
          <w:color w:val="000000" w:themeColor="text1"/>
          <w:szCs w:val="24"/>
          <w:highlight w:val="none"/>
          <w14:textFill>
            <w14:solidFill>
              <w14:schemeClr w14:val="tx1"/>
            </w14:solidFill>
          </w14:textFill>
        </w:rPr>
        <w:t>中对第Ⅱ类一般工业固体废物的处置要求，本项目现场在泥浆不落地装置附近设置的钻井固废暂存区暂存钻井固废，防渗层渗透系数≤1.0×10</w:t>
      </w:r>
      <w:r>
        <w:rPr>
          <w:rFonts w:ascii="Times New Roman" w:hAnsi="Times New Roman"/>
          <w:color w:val="000000" w:themeColor="text1"/>
          <w:szCs w:val="24"/>
          <w:highlight w:val="none"/>
          <w:vertAlign w:val="superscript"/>
          <w14:textFill>
            <w14:solidFill>
              <w14:schemeClr w14:val="tx1"/>
            </w14:solidFill>
          </w14:textFill>
        </w:rPr>
        <w:t>-7</w:t>
      </w:r>
      <w:r>
        <w:rPr>
          <w:rFonts w:ascii="Times New Roman" w:hAnsi="Times New Roman"/>
          <w:color w:val="000000" w:themeColor="text1"/>
          <w:szCs w:val="24"/>
          <w:highlight w:val="none"/>
          <w14:textFill>
            <w14:solidFill>
              <w14:schemeClr w14:val="tx1"/>
            </w14:solidFill>
          </w14:textFill>
        </w:rPr>
        <w:t>cm/s，满足第Ⅱ类一般工业固体废物处置场防渗要求。本项目水基钻井固废总计产生量约</w:t>
      </w:r>
      <w:r>
        <w:rPr>
          <w:rFonts w:hint="eastAsia" w:ascii="Times New Roman" w:hAnsi="Times New Roman"/>
          <w:color w:val="000000" w:themeColor="text1"/>
          <w:szCs w:val="24"/>
          <w:highlight w:val="none"/>
          <w:lang w:eastAsia="zh-CN"/>
          <w14:textFill>
            <w14:solidFill>
              <w14:schemeClr w14:val="tx1"/>
            </w14:solidFill>
          </w14:textFill>
        </w:rPr>
        <w:t>8145.234t</w:t>
      </w:r>
      <w:r>
        <w:rPr>
          <w:rFonts w:ascii="Times New Roman" w:hAnsi="Times New Roman"/>
          <w:color w:val="000000" w:themeColor="text1"/>
          <w:szCs w:val="24"/>
          <w:highlight w:val="none"/>
          <w14:textFill>
            <w14:solidFill>
              <w14:schemeClr w14:val="tx1"/>
            </w14:solidFill>
          </w14:textFill>
        </w:rPr>
        <w:t>，水基钻井固废在泥浆不落地装置附近设置钻井固废暂存区由废渣收集罐收集后临时暂存，定期用密闭罐车及时就近交给依法取得生态环境部门关于利用和处置相关工业固体废物项目环评批复、具有处理处置相应固体废物能力并配套建设有废气、废水、固废等污染物治理设施的单位进行资源化利用，不会对区域环境造成影响。</w:t>
      </w:r>
      <w:r>
        <w:rPr>
          <w:rFonts w:hint="eastAsia" w:ascii="Times New Roman" w:hAnsi="Times New Roman"/>
          <w:color w:val="000000" w:themeColor="text1"/>
          <w:szCs w:val="24"/>
          <w:highlight w:val="none"/>
          <w:lang w:val="en-US" w:eastAsia="zh-CN"/>
          <w14:textFill>
            <w14:solidFill>
              <w14:schemeClr w14:val="tx1"/>
            </w14:solidFill>
          </w14:textFill>
        </w:rPr>
        <w:t>三开采用</w:t>
      </w:r>
      <w:r>
        <w:rPr>
          <w:rFonts w:ascii="Times New Roman" w:hAnsi="Times New Roman"/>
          <w:color w:val="000000" w:themeColor="text1"/>
          <w:szCs w:val="24"/>
          <w:highlight w:val="none"/>
          <w14:textFill>
            <w14:solidFill>
              <w14:schemeClr w14:val="tx1"/>
            </w14:solidFill>
          </w14:textFill>
        </w:rPr>
        <w:t>油基钻井废泥浆、岩屑暂存于新建的60m</w:t>
      </w:r>
      <w:r>
        <w:rPr>
          <w:rFonts w:ascii="Times New Roman" w:hAnsi="Times New Roman"/>
          <w:color w:val="000000" w:themeColor="text1"/>
          <w:szCs w:val="24"/>
          <w:highlight w:val="none"/>
          <w:vertAlign w:val="superscript"/>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危险废物暂存场所（采取必要的防风、防晒、防雨、防漏、防渗、防腐以及其他环境污染防治措施，不得露天堆放危险废物），泥浆和油基钻井岩屑及时后交由有资质的单位处置，不会对区域环境造成影响。</w:t>
      </w:r>
    </w:p>
    <w:p>
      <w:pPr>
        <w:pStyle w:val="27"/>
        <w:ind w:firstLine="482"/>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（2）废油</w:t>
      </w:r>
      <w:r>
        <w:rPr>
          <w:rFonts w:hint="eastAsia" w:ascii="Times New Roman" w:hAnsi="Times New Roman"/>
          <w:b/>
          <w:bCs/>
          <w:color w:val="000000" w:themeColor="text1"/>
          <w:szCs w:val="24"/>
          <w:highlight w:val="none"/>
          <w:lang w:eastAsia="zh-CN"/>
          <w14:textFill>
            <w14:solidFill>
              <w14:schemeClr w14:val="tx1"/>
            </w14:solidFill>
          </w14:textFill>
        </w:rPr>
        <w:t>、</w:t>
      </w:r>
      <w:r>
        <w:rPr>
          <w:rFonts w:hint="eastAsia" w:ascii="Times New Roman" w:hAnsi="Times New Roman"/>
          <w:b/>
          <w:bCs/>
          <w:color w:val="000000" w:themeColor="text1"/>
          <w:szCs w:val="24"/>
          <w:highlight w:val="none"/>
          <w:lang w:val="en-US" w:eastAsia="zh-CN"/>
          <w14:textFill>
            <w14:solidFill>
              <w14:schemeClr w14:val="tx1"/>
            </w14:solidFill>
          </w14:textFill>
        </w:rPr>
        <w:t>废含油抹布和手套</w:t>
      </w:r>
      <w:r>
        <w:rPr>
          <w:rFonts w:ascii="Times New Roman" w:hAnsi="Times New Roman"/>
          <w:b/>
          <w:color w:val="000000" w:themeColor="text1"/>
          <w:szCs w:val="24"/>
          <w:highlight w:val="none"/>
          <w14:textFill>
            <w14:solidFill>
              <w14:schemeClr w14:val="tx1"/>
            </w14:solidFill>
          </w14:textFill>
        </w:rPr>
        <w:t>影响分析</w:t>
      </w:r>
    </w:p>
    <w:p>
      <w:pPr>
        <w:pStyle w:val="27"/>
        <w:ind w:firstLine="48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井场内设备保养润滑用油及跑冒滴漏产生的少量含油属于危险废物</w:t>
      </w:r>
      <w:r>
        <w:rPr>
          <w:rFonts w:hint="eastAsia" w:ascii="Times New Roman" w:hAnsi="Times New Roman"/>
          <w:color w:val="000000" w:themeColor="text1"/>
          <w:szCs w:val="24"/>
          <w:highlight w:val="none"/>
          <w:lang w:eastAsia="zh-CN"/>
          <w14:textFill>
            <w14:solidFill>
              <w14:schemeClr w14:val="tx1"/>
            </w14:solidFill>
          </w14:textFill>
        </w:rPr>
        <w:t>（产</w:t>
      </w:r>
      <w:r>
        <w:rPr>
          <w:rFonts w:ascii="Times New Roman" w:hAnsi="Times New Roman"/>
          <w:color w:val="000000" w:themeColor="text1"/>
          <w:szCs w:val="24"/>
          <w:highlight w:val="none"/>
          <w14:textFill>
            <w14:solidFill>
              <w14:schemeClr w14:val="tx1"/>
            </w14:solidFill>
          </w14:textFill>
        </w:rPr>
        <w:t>物类别为HW08，废物代码900-214-08），按照</w:t>
      </w:r>
      <w:bookmarkStart w:id="262" w:name="_Hlk92724121"/>
      <w:r>
        <w:rPr>
          <w:rFonts w:ascii="Times New Roman" w:hAnsi="Times New Roman"/>
          <w:color w:val="000000" w:themeColor="text1"/>
          <w:szCs w:val="24"/>
          <w:highlight w:val="none"/>
          <w14:textFill>
            <w14:solidFill>
              <w14:schemeClr w14:val="tx1"/>
            </w14:solidFill>
          </w14:textFill>
        </w:rPr>
        <w:t>《危险废物贮存污染控制标准》（GB18597-2023）</w:t>
      </w:r>
      <w:bookmarkEnd w:id="262"/>
      <w:r>
        <w:rPr>
          <w:rFonts w:ascii="Times New Roman" w:hAnsi="Times New Roman"/>
          <w:color w:val="000000" w:themeColor="text1"/>
          <w:szCs w:val="24"/>
          <w:highlight w:val="none"/>
          <w14:textFill>
            <w14:solidFill>
              <w14:schemeClr w14:val="tx1"/>
            </w14:solidFill>
          </w14:textFill>
        </w:rPr>
        <w:t>和《废矿物油回收利用污染控制技术规范》（HJ607-2011）的相关规定要求，对产生的油类用废油桶集中收集，钻井队综合利用或交由有资质的单位处理，</w:t>
      </w:r>
      <w:r>
        <w:rPr>
          <w:rFonts w:ascii="Times New Roman" w:hAnsi="Times New Roman"/>
          <w:color w:val="000000" w:themeColor="text1"/>
          <w:highlight w:val="none"/>
          <w14:textFill>
            <w14:solidFill>
              <w14:schemeClr w14:val="tx1"/>
            </w14:solidFill>
          </w14:textFill>
        </w:rPr>
        <w:t>设置废油桶集中收集暂存于泥浆不落地装置区临时堆放区内，并做好</w:t>
      </w:r>
      <w:r>
        <w:rPr>
          <w:color w:val="000000" w:themeColor="text1"/>
          <w:lang w:eastAsia="zh-CN"/>
          <w14:textFill>
            <w14:solidFill>
              <w14:schemeClr w14:val="tx1"/>
            </w14:solidFill>
          </w14:textFill>
        </w:rPr>
        <w:t>防风、防晒、防雨、防漏、防渗、防腐以及其他环境污染防治措施</w:t>
      </w:r>
      <w:r>
        <w:rPr>
          <w:rFonts w:ascii="Times New Roman" w:hAnsi="Times New Roman"/>
          <w:color w:val="000000" w:themeColor="text1"/>
          <w:highlight w:val="none"/>
          <w14:textFill>
            <w14:solidFill>
              <w14:schemeClr w14:val="tx1"/>
            </w14:solidFill>
          </w14:textFill>
        </w:rPr>
        <w:t>，暂存期间做好废油管理记录，通过</w:t>
      </w:r>
      <w:r>
        <w:rPr>
          <w:rFonts w:ascii="Times New Roman" w:hAnsi="Times New Roman"/>
          <w:color w:val="000000" w:themeColor="text1"/>
          <w:szCs w:val="24"/>
          <w:highlight w:val="none"/>
          <w14:textFill>
            <w14:solidFill>
              <w14:schemeClr w14:val="tx1"/>
            </w14:solidFill>
          </w14:textFill>
        </w:rPr>
        <w:t>后期</w:t>
      </w:r>
      <w:r>
        <w:rPr>
          <w:rFonts w:ascii="Times New Roman" w:hAnsi="Times New Roman"/>
          <w:color w:val="000000" w:themeColor="text1"/>
          <w:highlight w:val="none"/>
          <w14:textFill>
            <w14:solidFill>
              <w14:schemeClr w14:val="tx1"/>
            </w14:solidFill>
          </w14:textFill>
        </w:rPr>
        <w:t>擦拭站场设备、原料添加、放喷点火等方式回收综合利用，根据类比调查井站产生废油能在井站内全部综合利用。</w:t>
      </w:r>
      <w:r>
        <w:rPr>
          <w:rFonts w:hint="eastAsia" w:ascii="Times New Roman" w:hAnsi="Times New Roman"/>
          <w:color w:val="000000" w:themeColor="text1"/>
          <w:highlight w:val="none"/>
          <w:lang w:val="en-US" w:eastAsia="zh-CN"/>
          <w14:textFill>
            <w14:solidFill>
              <w14:schemeClr w14:val="tx1"/>
            </w14:solidFill>
          </w14:textFill>
        </w:rPr>
        <w:t>废含油抹布和手套采用油桶收集后，</w:t>
      </w:r>
      <w:r>
        <w:rPr>
          <w:rFonts w:ascii="Times New Roman" w:hAnsi="Times New Roman"/>
          <w:color w:val="000000" w:themeColor="text1"/>
          <w:highlight w:val="none"/>
          <w14:textFill>
            <w14:solidFill>
              <w14:schemeClr w14:val="tx1"/>
            </w14:solidFill>
          </w14:textFill>
        </w:rPr>
        <w:t>暂存于泥浆不落地装置区临时堆放区内</w:t>
      </w:r>
      <w:r>
        <w:rPr>
          <w:rFonts w:hint="eastAsia" w:ascii="Times New Roman" w:hAnsi="Times New Roman"/>
          <w:color w:val="000000" w:themeColor="text1"/>
          <w:highlight w:val="none"/>
          <w:lang w:eastAsia="zh-CN"/>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若因为个别特殊情况存在不能综合利用的废油，则和擦拭站场设备产生的</w:t>
      </w:r>
      <w:r>
        <w:rPr>
          <w:rFonts w:hint="eastAsia" w:ascii="Times New Roman" w:hAnsi="Times New Roman"/>
          <w:color w:val="000000" w:themeColor="text1"/>
          <w:highlight w:val="none"/>
          <w:lang w:val="en-US" w:eastAsia="zh-CN"/>
          <w14:textFill>
            <w14:solidFill>
              <w14:schemeClr w14:val="tx1"/>
            </w14:solidFill>
          </w14:textFill>
        </w:rPr>
        <w:t>废含油抹布和手套</w:t>
      </w:r>
      <w:r>
        <w:rPr>
          <w:rFonts w:ascii="Times New Roman" w:hAnsi="Times New Roman"/>
          <w:color w:val="000000" w:themeColor="text1"/>
          <w:highlight w:val="none"/>
          <w14:textFill>
            <w14:solidFill>
              <w14:schemeClr w14:val="tx1"/>
            </w14:solidFill>
          </w14:textFill>
        </w:rPr>
        <w:t>其他含油固废交由有资质的单位处理</w:t>
      </w:r>
      <w:r>
        <w:rPr>
          <w:rFonts w:ascii="Times New Roman" w:hAnsi="Times New Roman"/>
          <w:color w:val="000000" w:themeColor="text1"/>
          <w:szCs w:val="24"/>
          <w:highlight w:val="none"/>
          <w14:textFill>
            <w14:solidFill>
              <w14:schemeClr w14:val="tx1"/>
            </w14:solidFill>
          </w14:textFill>
        </w:rPr>
        <w:t>，对周围环境的影响较小。</w:t>
      </w:r>
    </w:p>
    <w:p>
      <w:pPr>
        <w:pStyle w:val="27"/>
        <w:ind w:firstLine="482"/>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（3）生活垃圾</w:t>
      </w:r>
      <w:r>
        <w:rPr>
          <w:rFonts w:ascii="Times New Roman" w:hAnsi="Times New Roman"/>
          <w:b/>
          <w:color w:val="000000" w:themeColor="text1"/>
          <w:szCs w:val="24"/>
          <w:highlight w:val="none"/>
          <w14:textFill>
            <w14:solidFill>
              <w14:schemeClr w14:val="tx1"/>
            </w14:solidFill>
          </w14:textFill>
        </w:rPr>
        <w:t>影响分析</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生活垃圾可分为两类，如可降解的果皮、菜根、废纸、烟盒、剩饭菜等，不可降解的塑料制品、废金属、废电池等，这些垃圾分类堆放，定期交由环卫部门妥善处置。</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一般情况下，生活垃圾对环境影响不大，但在管理不严特别是大风天气时，轻质垃圾如废纸、塑料等随风移动，散乱在地或悬挂灌木，影响环境卫生；再者，遇到大雨时，如果垃圾没有堆放好，可能会被水冲走，影响周围土壤环境；若垃圾不能及时清运，则容易经风吹雨淋而腐烂变质，不但会影响周围环境的卫生和美观，而且产生的恶臭、淋液可能影响局部地下水。生活垃圾重在管理，施工作业场地设垃圾收集桶，生活垃圾依托当地环卫部门对生活垃圾进行定期清运在统一外运至当地垃圾处理场所进行处置后，对环境影响较小。</w:t>
      </w:r>
    </w:p>
    <w:p>
      <w:pPr>
        <w:pStyle w:val="27"/>
        <w:ind w:firstLine="482"/>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（4）</w:t>
      </w:r>
      <w:r>
        <w:rPr>
          <w:rFonts w:ascii="Times New Roman" w:hAnsi="Times New Roman"/>
          <w:b/>
          <w:bCs/>
          <w:color w:val="000000" w:themeColor="text1"/>
          <w:highlight w:val="none"/>
          <w14:textFill>
            <w14:solidFill>
              <w14:schemeClr w14:val="tx1"/>
            </w14:solidFill>
          </w14:textFill>
        </w:rPr>
        <w:t>废包装材料</w:t>
      </w:r>
      <w:r>
        <w:rPr>
          <w:rFonts w:ascii="Times New Roman" w:hAnsi="Times New Roman"/>
          <w:b/>
          <w:color w:val="000000" w:themeColor="text1"/>
          <w:szCs w:val="24"/>
          <w:highlight w:val="none"/>
          <w14:textFill>
            <w14:solidFill>
              <w14:schemeClr w14:val="tx1"/>
            </w14:solidFill>
          </w14:textFill>
        </w:rPr>
        <w:t>影响分析</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废弃包装材料集中收集后施工队自己回用部分，剩余部分送当地废品回收站处理，对周围环境的影响也较小。</w:t>
      </w:r>
    </w:p>
    <w:p>
      <w:pPr>
        <w:pStyle w:val="27"/>
        <w:ind w:firstLine="482"/>
        <w:rPr>
          <w:rFonts w:ascii="Times New Roman" w:hAnsi="Times New Roman"/>
          <w:b/>
          <w:bCs/>
          <w:color w:val="000000" w:themeColor="text1"/>
          <w:szCs w:val="24"/>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（5）其他</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散失的钻井泥浆材料（重晶石、膨润土粉、堵漏剂）、水泥废浆、废弃包装材料、防冻保温废料及废棉纱等一般固废，产生量少，全部收集并资源化回收利用；完井搬迁时可能产生少量建筑垃圾，主要如包装袋，废弃建筑材料等，其量小，由施工队伍统一收集清运至政府指定地方，对环境影响轻微。</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综上分析，项目固体废物均可得到综合利用和妥善处置，项目产生的固体废物对环境的影响较小。</w:t>
      </w:r>
    </w:p>
    <w:p>
      <w:pPr>
        <w:pStyle w:val="4"/>
        <w:spacing w:before="120"/>
        <w:rPr>
          <w:rFonts w:hint="default" w:ascii="Times New Roman" w:hAnsi="Times New Roman" w:cs="Times New Roman"/>
          <w:b/>
          <w:color w:val="000000" w:themeColor="text1"/>
          <w:highlight w:val="none"/>
          <w:lang w:eastAsia="zh-CN"/>
          <w14:textFill>
            <w14:solidFill>
              <w14:schemeClr w14:val="tx1"/>
            </w14:solidFill>
          </w14:textFill>
        </w:rPr>
      </w:pPr>
      <w:bookmarkStart w:id="263" w:name="_Toc120173153"/>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eastAsia" w:cs="Times New Roman"/>
          <w:color w:val="000000" w:themeColor="text1"/>
          <w:highlight w:val="none"/>
          <w:lang w:val="en-US" w:eastAsia="zh-CN"/>
          <w14:textFill>
            <w14:solidFill>
              <w14:schemeClr w14:val="tx1"/>
            </w14:solidFill>
          </w14:textFill>
        </w:rPr>
        <w:t>储层改造</w:t>
      </w:r>
      <w:r>
        <w:rPr>
          <w:rFonts w:hint="default" w:ascii="Times New Roman" w:hAnsi="Times New Roman" w:cs="Times New Roman"/>
          <w:color w:val="000000" w:themeColor="text1"/>
          <w:highlight w:val="none"/>
          <w:lang w:eastAsia="zh-CN"/>
          <w14:textFill>
            <w14:solidFill>
              <w14:schemeClr w14:val="tx1"/>
            </w14:solidFill>
          </w14:textFill>
        </w:rPr>
        <w:t>工程环境影响分析</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大气环境影响分析</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储层改造</w:t>
      </w:r>
      <w:r>
        <w:rPr>
          <w:rFonts w:hint="default" w:ascii="Times New Roman" w:hAnsi="Times New Roman" w:cs="Times New Roman"/>
          <w:color w:val="000000" w:themeColor="text1"/>
          <w:highlight w:val="none"/>
          <w14:textFill>
            <w14:solidFill>
              <w14:schemeClr w14:val="tx1"/>
            </w14:solidFill>
          </w14:textFill>
        </w:rPr>
        <w:t>阶段废气主要为压裂作业废气</w:t>
      </w:r>
      <w:r>
        <w:rPr>
          <w:rFonts w:hint="eastAsia"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完井测试放喷废气。</w:t>
      </w:r>
    </w:p>
    <w:p>
      <w:pPr>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1</w:t>
      </w:r>
      <w:r>
        <w:rPr>
          <w:rFonts w:hint="default" w:ascii="Times New Roman" w:hAnsi="Times New Roman" w:cs="Times New Roman"/>
          <w:b/>
          <w:bCs/>
          <w:color w:val="000000" w:themeColor="text1"/>
          <w:highlight w:val="none"/>
          <w14:textFill>
            <w14:solidFill>
              <w14:schemeClr w14:val="tx1"/>
            </w14:solidFill>
          </w14:textFill>
        </w:rPr>
        <w:t>）压裂作业废气</w:t>
      </w:r>
      <w:r>
        <w:rPr>
          <w:rFonts w:hint="default" w:ascii="Times New Roman" w:hAnsi="Times New Roman" w:cs="Times New Roman"/>
          <w:b/>
          <w:color w:val="000000" w:themeColor="text1"/>
          <w:szCs w:val="24"/>
          <w:highlight w:val="none"/>
          <w14:textFill>
            <w14:solidFill>
              <w14:schemeClr w14:val="tx1"/>
            </w14:solidFill>
          </w14:textFill>
        </w:rPr>
        <w:t>影响分析</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压裂作业废气主要为压裂车施工机械尾气，主要污染物为NO</w:t>
      </w:r>
      <w:r>
        <w:rPr>
          <w:rFonts w:hint="default" w:ascii="Times New Roman" w:hAnsi="Times New Roman" w:cs="Times New Roman"/>
          <w:color w:val="000000" w:themeColor="text1"/>
          <w:highlight w:val="none"/>
          <w:vertAlign w:val="subscript"/>
          <w14:textFill>
            <w14:solidFill>
              <w14:schemeClr w14:val="tx1"/>
            </w14:solidFill>
          </w14:textFill>
        </w:rPr>
        <w:t>X</w:t>
      </w:r>
      <w:r>
        <w:rPr>
          <w:rFonts w:hint="default" w:ascii="Times New Roman" w:hAnsi="Times New Roman" w:cs="Times New Roman"/>
          <w:color w:val="000000" w:themeColor="text1"/>
          <w:highlight w:val="none"/>
          <w14:textFill>
            <w14:solidFill>
              <w14:schemeClr w14:val="tx1"/>
            </w14:solidFill>
          </w14:textFill>
        </w:rPr>
        <w:t>、烟尘及少量CO，采用合格燃油、加强设备保养减少尾气排放量。压裂作业持续时间较短、污染物产生量小，对当地大气环境影响较小，影响可接受。</w:t>
      </w:r>
    </w:p>
    <w:p>
      <w:pPr>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）测试放喷废气</w:t>
      </w:r>
      <w:r>
        <w:rPr>
          <w:rFonts w:hint="default" w:ascii="Times New Roman" w:hAnsi="Times New Roman" w:cs="Times New Roman"/>
          <w:b/>
          <w:color w:val="000000" w:themeColor="text1"/>
          <w:szCs w:val="24"/>
          <w:highlight w:val="none"/>
          <w14:textFill>
            <w14:solidFill>
              <w14:schemeClr w14:val="tx1"/>
            </w14:solidFill>
          </w14:textFill>
        </w:rPr>
        <w:t>影响分析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测试放喷废气采用地面灼烧处理，放喷池地势空旷，该技术在钻井工程中广泛应用，技术成熟可靠，措施可行，</w:t>
      </w:r>
      <w:r>
        <w:rPr>
          <w:rFonts w:hint="default" w:ascii="Times New Roman" w:hAnsi="Times New Roman" w:cs="Times New Roman"/>
          <w:color w:val="000000" w:themeColor="text1"/>
          <w:szCs w:val="24"/>
          <w:highlight w:val="none"/>
          <w14:textFill>
            <w14:solidFill>
              <w14:schemeClr w14:val="tx1"/>
            </w14:solidFill>
          </w14:textFill>
        </w:rPr>
        <w:t>其主要污染物为CO</w:t>
      </w:r>
      <w:r>
        <w:rPr>
          <w:rFonts w:hint="default" w:ascii="Times New Roman" w:hAnsi="Times New Roman" w:cs="Times New Roman"/>
          <w:color w:val="000000" w:themeColor="text1"/>
          <w:szCs w:val="24"/>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等，放喷时间短，属临时排放，类比区域已完钻井测试情况，测试放喷废气对大气环境的影响是可接受的。</w:t>
      </w:r>
      <w:r>
        <w:rPr>
          <w:rFonts w:hint="default" w:ascii="Times New Roman" w:hAnsi="Times New Roman" w:cs="Times New Roman"/>
          <w:color w:val="000000" w:themeColor="text1"/>
          <w:szCs w:val="24"/>
          <w:highlight w:val="none"/>
          <w14:textFill>
            <w14:solidFill>
              <w14:schemeClr w14:val="tx1"/>
            </w14:solidFill>
          </w14:textFill>
        </w:rPr>
        <w:t>并将随测试放喷的结束而消除，对周边大气环境影响较小。</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总之，</w:t>
      </w:r>
      <w:r>
        <w:rPr>
          <w:rFonts w:hint="eastAsia" w:cs="Times New Roman"/>
          <w:color w:val="000000" w:themeColor="text1"/>
          <w:highlight w:val="none"/>
          <w:lang w:val="en-US" w:eastAsia="zh-CN"/>
          <w14:textFill>
            <w14:solidFill>
              <w14:schemeClr w14:val="tx1"/>
            </w14:solidFill>
          </w14:textFill>
        </w:rPr>
        <w:t>储层</w:t>
      </w:r>
      <w:r>
        <w:rPr>
          <w:rFonts w:hint="default" w:ascii="Times New Roman" w:hAnsi="Times New Roman" w:cs="Times New Roman"/>
          <w:color w:val="000000" w:themeColor="text1"/>
          <w:highlight w:val="none"/>
          <w14:textFill>
            <w14:solidFill>
              <w14:schemeClr w14:val="tx1"/>
            </w14:solidFill>
          </w14:textFill>
        </w:rPr>
        <w:t>期间废气污染物排放量少，且排放时间短，对井场所在地大气环境影响甚微。</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地表水环境影响分析</w:t>
      </w:r>
    </w:p>
    <w:p>
      <w:pPr>
        <w:ind w:firstLine="482"/>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（1）场地渗透、外溢对地表水环境影响分析</w:t>
      </w:r>
    </w:p>
    <w:p>
      <w:pPr>
        <w:ind w:firstLine="48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w:t>
      </w:r>
      <w:r>
        <w:rPr>
          <w:rFonts w:hint="default" w:ascii="Times New Roman" w:hAnsi="Times New Roman" w:cs="Times New Roman"/>
          <w:bCs/>
          <w:color w:val="000000" w:themeColor="text1"/>
          <w:highlight w:val="none"/>
          <w14:textFill>
            <w14:solidFill>
              <w14:schemeClr w14:val="tx1"/>
            </w14:solidFill>
          </w14:textFill>
        </w:rPr>
        <w:t>项目产生的洗井废水和压裂返排液被</w:t>
      </w:r>
      <w:r>
        <w:rPr>
          <w:rFonts w:hint="eastAsia" w:cs="Times New Roman"/>
          <w:bCs/>
          <w:color w:val="000000" w:themeColor="text1"/>
          <w:highlight w:val="none"/>
          <w:lang w:val="en-US" w:eastAsia="zh-CN"/>
          <w14:textFill>
            <w14:solidFill>
              <w14:schemeClr w14:val="tx1"/>
            </w14:solidFill>
          </w14:textFill>
        </w:rPr>
        <w:t>暂时</w:t>
      </w:r>
      <w:r>
        <w:rPr>
          <w:rFonts w:hint="eastAsia" w:cs="Times New Roman"/>
          <w:bCs/>
          <w:color w:val="000000" w:themeColor="text1"/>
          <w:highlight w:val="none"/>
          <w:lang w:eastAsia="zh-CN"/>
          <w14:textFill>
            <w14:solidFill>
              <w14:schemeClr w14:val="tx1"/>
            </w14:solidFill>
          </w14:textFill>
        </w:rPr>
        <w:t>贮存于放喷池或压裂液储罐中</w:t>
      </w:r>
      <w:r>
        <w:rPr>
          <w:rFonts w:hint="default" w:ascii="Times New Roman" w:hAnsi="Times New Roman" w:cs="Times New Roman"/>
          <w:bCs/>
          <w:color w:val="000000" w:themeColor="text1"/>
          <w:highlight w:val="none"/>
          <w14:textFill>
            <w14:solidFill>
              <w14:schemeClr w14:val="tx1"/>
            </w14:solidFill>
          </w14:textFill>
        </w:rPr>
        <w:t>。根据工程分析中的废水收集回用措施可知，</w:t>
      </w:r>
      <w:r>
        <w:rPr>
          <w:rFonts w:hint="eastAsia" w:cs="Times New Roman"/>
          <w:bCs/>
          <w:color w:val="000000" w:themeColor="text1"/>
          <w:highlight w:val="none"/>
          <w:lang w:eastAsia="zh-CN"/>
          <w14:textFill>
            <w14:solidFill>
              <w14:schemeClr w14:val="tx1"/>
            </w14:solidFill>
          </w14:textFill>
        </w:rPr>
        <w:t>压裂液储罐</w:t>
      </w:r>
      <w:r>
        <w:rPr>
          <w:rFonts w:hint="default" w:ascii="Times New Roman" w:hAnsi="Times New Roman" w:cs="Times New Roman"/>
          <w:bCs/>
          <w:color w:val="000000" w:themeColor="text1"/>
          <w:highlight w:val="none"/>
          <w14:textFill>
            <w14:solidFill>
              <w14:schemeClr w14:val="tx1"/>
            </w14:solidFill>
          </w14:textFill>
        </w:rPr>
        <w:t>、放喷池容积能够满足</w:t>
      </w:r>
      <w:r>
        <w:rPr>
          <w:rFonts w:hint="eastAsia" w:cs="Times New Roman"/>
          <w:bCs/>
          <w:color w:val="000000" w:themeColor="text1"/>
          <w:highlight w:val="none"/>
          <w:lang w:val="en-US" w:eastAsia="zh-CN"/>
          <w14:textFill>
            <w14:solidFill>
              <w14:schemeClr w14:val="tx1"/>
            </w14:solidFill>
          </w14:textFill>
        </w:rPr>
        <w:t>储层改造期间</w:t>
      </w:r>
      <w:r>
        <w:rPr>
          <w:rFonts w:hint="default" w:ascii="Times New Roman" w:hAnsi="Times New Roman" w:cs="Times New Roman"/>
          <w:bCs/>
          <w:color w:val="000000" w:themeColor="text1"/>
          <w:highlight w:val="none"/>
          <w14:textFill>
            <w14:solidFill>
              <w14:schemeClr w14:val="tx1"/>
            </w14:solidFill>
          </w14:textFill>
        </w:rPr>
        <w:t>洗井废水、压裂返排液贮存要求；当发生事故排水时，废水</w:t>
      </w:r>
      <w:r>
        <w:rPr>
          <w:rFonts w:hint="eastAsia" w:cs="Times New Roman"/>
          <w:bCs/>
          <w:color w:val="000000" w:themeColor="text1"/>
          <w:highlight w:val="none"/>
          <w:lang w:val="en-US" w:eastAsia="zh-CN"/>
          <w14:textFill>
            <w14:solidFill>
              <w14:schemeClr w14:val="tx1"/>
            </w14:solidFill>
          </w14:textFill>
        </w:rPr>
        <w:t>可</w:t>
      </w:r>
      <w:r>
        <w:rPr>
          <w:rFonts w:hint="default" w:ascii="Times New Roman" w:hAnsi="Times New Roman" w:cs="Times New Roman"/>
          <w:bCs/>
          <w:color w:val="000000" w:themeColor="text1"/>
          <w:highlight w:val="none"/>
          <w14:textFill>
            <w14:solidFill>
              <w14:schemeClr w14:val="tx1"/>
            </w14:solidFill>
          </w14:textFill>
        </w:rPr>
        <w:t>直接汇入放喷池中，不会造成废水外溢。另外，在工程设计时，</w:t>
      </w:r>
      <w:r>
        <w:rPr>
          <w:rFonts w:hint="eastAsia" w:cs="Times New Roman"/>
          <w:bCs/>
          <w:color w:val="000000" w:themeColor="text1"/>
          <w:highlight w:val="none"/>
          <w:lang w:val="en-US" w:eastAsia="zh-CN"/>
          <w14:textFill>
            <w14:solidFill>
              <w14:schemeClr w14:val="tx1"/>
            </w14:solidFill>
          </w14:textFill>
        </w:rPr>
        <w:t>井场</w:t>
      </w:r>
      <w:r>
        <w:rPr>
          <w:rFonts w:hint="eastAsia" w:cs="Times New Roman"/>
          <w:bCs/>
          <w:color w:val="000000" w:themeColor="text1"/>
          <w:highlight w:val="none"/>
          <w:lang w:eastAsia="zh-CN"/>
          <w14:textFill>
            <w14:solidFill>
              <w14:schemeClr w14:val="tx1"/>
            </w14:solidFill>
          </w14:textFill>
        </w:rPr>
        <w:t>压裂液储罐</w:t>
      </w:r>
      <w:r>
        <w:rPr>
          <w:rFonts w:hint="default" w:ascii="Times New Roman" w:hAnsi="Times New Roman" w:cs="Times New Roman"/>
          <w:bCs/>
          <w:color w:val="000000" w:themeColor="text1"/>
          <w:highlight w:val="none"/>
          <w14:textFill>
            <w14:solidFill>
              <w14:schemeClr w14:val="tx1"/>
            </w14:solidFill>
          </w14:textFill>
        </w:rPr>
        <w:t>、放喷池均比地面高且有遮雨篷遮盖，可防止周边雨水汇入；井场周围设置雨水沟，井场周边雨水均不会进入井场内，井场内的雨水则顺着地势而排入四周的雨水沟</w:t>
      </w:r>
      <w:r>
        <w:rPr>
          <w:rFonts w:hint="eastAsia"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可避免因雨水进入而增加废水量。</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在采取上述措施后，</w:t>
      </w:r>
      <w:r>
        <w:rPr>
          <w:rFonts w:hint="eastAsia" w:cs="Times New Roman"/>
          <w:color w:val="000000" w:themeColor="text1"/>
          <w:highlight w:val="none"/>
          <w:lang w:val="en-US" w:eastAsia="zh-CN"/>
          <w14:textFill>
            <w14:solidFill>
              <w14:schemeClr w14:val="tx1"/>
            </w14:solidFill>
          </w14:textFill>
        </w:rPr>
        <w:t>储层改造期间洗井废水、压裂返排液以</w:t>
      </w:r>
      <w:r>
        <w:rPr>
          <w:rFonts w:hint="default" w:ascii="Times New Roman" w:hAnsi="Times New Roman" w:cs="Times New Roman"/>
          <w:color w:val="000000" w:themeColor="text1"/>
          <w:highlight w:val="none"/>
          <w14:textFill>
            <w14:solidFill>
              <w14:schemeClr w14:val="tx1"/>
            </w14:solidFill>
          </w14:textFill>
        </w:rPr>
        <w:t>渗透、外溢等方式进入地表水环境的量极少，类比本项目已实施钻井情况，预计不会对周边河流等水环境造成污染影响，对地表水环境影响很小。</w:t>
      </w:r>
    </w:p>
    <w:p>
      <w:pPr>
        <w:ind w:firstLine="482"/>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（2）项目用水对区域水资源影响分析</w:t>
      </w:r>
    </w:p>
    <w:p>
      <w:pPr>
        <w:ind w:firstLine="48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本项目</w:t>
      </w:r>
      <w:r>
        <w:rPr>
          <w:rFonts w:hint="eastAsia" w:cs="Times New Roman"/>
          <w:bCs/>
          <w:color w:val="000000" w:themeColor="text1"/>
          <w:highlight w:val="none"/>
          <w:lang w:val="en-US" w:eastAsia="zh-CN"/>
          <w14:textFill>
            <w14:solidFill>
              <w14:schemeClr w14:val="tx1"/>
            </w14:solidFill>
          </w14:textFill>
        </w:rPr>
        <w:t>储层改造期间新增</w:t>
      </w:r>
      <w:r>
        <w:rPr>
          <w:rFonts w:hint="default" w:ascii="Times New Roman" w:hAnsi="Times New Roman" w:cs="Times New Roman"/>
          <w:bCs/>
          <w:color w:val="000000" w:themeColor="text1"/>
          <w:highlight w:val="none"/>
          <w14:textFill>
            <w14:solidFill>
              <w14:schemeClr w14:val="tx1"/>
            </w14:solidFill>
          </w14:textFill>
        </w:rPr>
        <w:t>的生产用水</w:t>
      </w:r>
      <w:r>
        <w:rPr>
          <w:rFonts w:hint="eastAsia" w:cs="Times New Roman"/>
          <w:bCs/>
          <w:color w:val="000000" w:themeColor="text1"/>
          <w:highlight w:val="none"/>
          <w:lang w:val="en-US" w:eastAsia="zh-CN"/>
          <w14:textFill>
            <w14:solidFill>
              <w14:schemeClr w14:val="tx1"/>
            </w14:solidFill>
          </w14:textFill>
        </w:rPr>
        <w:t>主要</w:t>
      </w:r>
      <w:r>
        <w:rPr>
          <w:rFonts w:hint="default" w:ascii="Times New Roman" w:hAnsi="Times New Roman" w:cs="Times New Roman"/>
          <w:bCs/>
          <w:color w:val="000000" w:themeColor="text1"/>
          <w:highlight w:val="none"/>
          <w14:textFill>
            <w14:solidFill>
              <w14:schemeClr w14:val="tx1"/>
            </w14:solidFill>
          </w14:textFill>
        </w:rPr>
        <w:t>就近采用附近地表水（</w:t>
      </w:r>
      <w:r>
        <w:rPr>
          <w:rFonts w:hint="eastAsia" w:cs="Times New Roman"/>
          <w:bCs/>
          <w:color w:val="000000" w:themeColor="text1"/>
          <w:highlight w:val="none"/>
          <w:lang w:val="en-US" w:eastAsia="zh-CN"/>
          <w14:textFill>
            <w14:solidFill>
              <w14:schemeClr w14:val="tx1"/>
            </w14:solidFill>
          </w14:textFill>
        </w:rPr>
        <w:t>州河</w:t>
      </w:r>
      <w:r>
        <w:rPr>
          <w:rFonts w:hint="default" w:ascii="Times New Roman" w:hAnsi="Times New Roman"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采取罐车拉运方式</w:t>
      </w:r>
      <w:r>
        <w:rPr>
          <w:rFonts w:hint="default" w:ascii="Times New Roman" w:hAnsi="Times New Roman" w:cs="Times New Roman"/>
          <w:bCs/>
          <w:color w:val="000000" w:themeColor="text1"/>
          <w:highlight w:val="none"/>
          <w14:textFill>
            <w14:solidFill>
              <w14:schemeClr w14:val="tx1"/>
            </w14:solidFill>
          </w14:textFill>
        </w:rPr>
        <w:t>。由于项目距离</w:t>
      </w:r>
      <w:r>
        <w:rPr>
          <w:rFonts w:hint="eastAsia" w:cs="Times New Roman"/>
          <w:bCs/>
          <w:color w:val="000000" w:themeColor="text1"/>
          <w:highlight w:val="none"/>
          <w:lang w:val="en-US" w:eastAsia="zh-CN"/>
          <w14:textFill>
            <w14:solidFill>
              <w14:schemeClr w14:val="tx1"/>
            </w14:solidFill>
          </w14:textFill>
        </w:rPr>
        <w:t>州河</w:t>
      </w:r>
      <w:r>
        <w:rPr>
          <w:rFonts w:hint="default" w:ascii="Times New Roman" w:hAnsi="Times New Roman" w:cs="Times New Roman"/>
          <w:bCs/>
          <w:color w:val="000000" w:themeColor="text1"/>
          <w:highlight w:val="none"/>
          <w14:textFill>
            <w14:solidFill>
              <w14:schemeClr w14:val="tx1"/>
            </w14:solidFill>
          </w14:textFill>
        </w:rPr>
        <w:t>较近，</w:t>
      </w:r>
      <w:r>
        <w:rPr>
          <w:rFonts w:hint="eastAsia" w:cs="Times New Roman"/>
          <w:bCs/>
          <w:color w:val="000000" w:themeColor="text1"/>
          <w:highlight w:val="none"/>
          <w:lang w:val="en-US" w:eastAsia="zh-CN"/>
          <w14:textFill>
            <w14:solidFill>
              <w14:schemeClr w14:val="tx1"/>
            </w14:solidFill>
          </w14:textFill>
        </w:rPr>
        <w:t>井场与州河之间有道路连接，州河</w:t>
      </w:r>
      <w:r>
        <w:rPr>
          <w:rFonts w:hint="default" w:ascii="Times New Roman" w:hAnsi="Times New Roman" w:cs="Times New Roman"/>
          <w:bCs/>
          <w:color w:val="000000" w:themeColor="text1"/>
          <w:highlight w:val="none"/>
          <w14:textFill>
            <w14:solidFill>
              <w14:schemeClr w14:val="tx1"/>
            </w14:solidFill>
          </w14:textFill>
        </w:rPr>
        <w:t>水量充足，</w:t>
      </w:r>
      <w:r>
        <w:rPr>
          <w:rFonts w:hint="eastAsia" w:cs="Times New Roman"/>
          <w:bCs/>
          <w:color w:val="000000" w:themeColor="text1"/>
          <w:highlight w:val="none"/>
          <w:lang w:val="en-US" w:eastAsia="zh-CN"/>
          <w14:textFill>
            <w14:solidFill>
              <w14:schemeClr w14:val="tx1"/>
            </w14:solidFill>
          </w14:textFill>
        </w:rPr>
        <w:t>在州河</w:t>
      </w:r>
      <w:r>
        <w:rPr>
          <w:rFonts w:hint="default" w:ascii="Times New Roman" w:hAnsi="Times New Roman" w:cs="Times New Roman"/>
          <w:bCs/>
          <w:color w:val="000000" w:themeColor="text1"/>
          <w:highlight w:val="none"/>
          <w14:textFill>
            <w14:solidFill>
              <w14:schemeClr w14:val="tx1"/>
            </w14:solidFill>
          </w14:textFill>
        </w:rPr>
        <w:t>项目</w:t>
      </w:r>
      <w:r>
        <w:rPr>
          <w:rFonts w:hint="eastAsia" w:cs="Times New Roman"/>
          <w:bCs/>
          <w:color w:val="000000" w:themeColor="text1"/>
          <w:highlight w:val="none"/>
          <w:lang w:val="en-US" w:eastAsia="zh-CN"/>
          <w14:textFill>
            <w14:solidFill>
              <w14:schemeClr w14:val="tx1"/>
            </w14:solidFill>
          </w14:textFill>
        </w:rPr>
        <w:t>通过</w:t>
      </w:r>
      <w:r>
        <w:rPr>
          <w:rFonts w:hint="default" w:ascii="Times New Roman" w:hAnsi="Times New Roman" w:cs="Times New Roman"/>
          <w:bCs/>
          <w:color w:val="000000" w:themeColor="text1"/>
          <w:highlight w:val="none"/>
          <w14:textFill>
            <w14:solidFill>
              <w14:schemeClr w14:val="tx1"/>
            </w14:solidFill>
          </w14:textFill>
        </w:rPr>
        <w:t>合理安排</w:t>
      </w:r>
      <w:r>
        <w:rPr>
          <w:rFonts w:hint="eastAsia" w:cs="Times New Roman"/>
          <w:bCs/>
          <w:color w:val="000000" w:themeColor="text1"/>
          <w:highlight w:val="none"/>
          <w:lang w:val="en-US" w:eastAsia="zh-CN"/>
          <w14:textFill>
            <w14:solidFill>
              <w14:schemeClr w14:val="tx1"/>
            </w14:solidFill>
          </w14:textFill>
        </w:rPr>
        <w:t>用水时间</w:t>
      </w:r>
      <w:r>
        <w:rPr>
          <w:rFonts w:hint="default" w:ascii="Times New Roman" w:hAnsi="Times New Roman" w:cs="Times New Roman"/>
          <w:bCs/>
          <w:color w:val="000000" w:themeColor="text1"/>
          <w:highlight w:val="none"/>
          <w14:textFill>
            <w14:solidFill>
              <w14:schemeClr w14:val="tx1"/>
            </w14:solidFill>
          </w14:textFill>
        </w:rPr>
        <w:t>，尽量不在枯水期取水，用水前做好与当地主管部门沟通协调工作，项目</w:t>
      </w:r>
      <w:r>
        <w:rPr>
          <w:rFonts w:hint="eastAsia" w:cs="Times New Roman"/>
          <w:bCs/>
          <w:color w:val="000000" w:themeColor="text1"/>
          <w:highlight w:val="none"/>
          <w:lang w:val="en-US" w:eastAsia="zh-CN"/>
          <w14:textFill>
            <w14:solidFill>
              <w14:schemeClr w14:val="tx1"/>
            </w14:solidFill>
          </w14:textFill>
        </w:rPr>
        <w:t>储层改造施工</w:t>
      </w:r>
      <w:r>
        <w:rPr>
          <w:rFonts w:hint="default" w:ascii="Times New Roman" w:hAnsi="Times New Roman" w:cs="Times New Roman"/>
          <w:bCs/>
          <w:color w:val="000000" w:themeColor="text1"/>
          <w:highlight w:val="none"/>
          <w14:textFill>
            <w14:solidFill>
              <w14:schemeClr w14:val="tx1"/>
            </w14:solidFill>
          </w14:textFill>
        </w:rPr>
        <w:t>取水不会对周边耕地等用水造成影响；若必须在枯水期取水要首先满足下游生态流量和管理部门的要求。</w:t>
      </w:r>
    </w:p>
    <w:p>
      <w:pPr>
        <w:ind w:firstLine="482"/>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（3）对区域地表水</w:t>
      </w:r>
      <w:r>
        <w:rPr>
          <w:rFonts w:hint="default" w:ascii="Times New Roman" w:hAnsi="Times New Roman" w:cs="Times New Roman"/>
          <w:b/>
          <w:color w:val="000000" w:themeColor="text1"/>
          <w:szCs w:val="24"/>
          <w:highlight w:val="none"/>
          <w14:textFill>
            <w14:solidFill>
              <w14:schemeClr w14:val="tx1"/>
            </w14:solidFill>
          </w14:textFill>
        </w:rPr>
        <w:t>影响分析</w:t>
      </w:r>
    </w:p>
    <w:p>
      <w:pPr>
        <w:ind w:firstLine="480"/>
        <w:rPr>
          <w:rFonts w:hint="default" w:ascii="Times New Roman" w:hAnsi="Times New Roman" w:cs="Times New Roman"/>
          <w:bCs/>
          <w:color w:val="000000" w:themeColor="text1"/>
          <w:highlight w:val="none"/>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储层改造期间产生的</w:t>
      </w:r>
      <w:r>
        <w:rPr>
          <w:rFonts w:hint="default" w:ascii="Times New Roman" w:hAnsi="Times New Roman" w:cs="Times New Roman"/>
          <w:color w:val="000000" w:themeColor="text1"/>
          <w:highlight w:val="none"/>
          <w14:textFill>
            <w14:solidFill>
              <w14:schemeClr w14:val="tx1"/>
            </w14:solidFill>
          </w14:textFill>
        </w:rPr>
        <w:t>压裂返排液及洗井废水</w:t>
      </w:r>
      <w:r>
        <w:rPr>
          <w:rFonts w:hint="eastAsia" w:cs="Times New Roman"/>
          <w:color w:val="000000" w:themeColor="text1"/>
          <w:highlight w:val="none"/>
          <w:lang w:eastAsia="zh-CN"/>
          <w14:textFill>
            <w14:solidFill>
              <w14:schemeClr w14:val="tx1"/>
            </w14:solidFill>
          </w14:textFill>
        </w:rPr>
        <w:t>临时暂存于放喷池或者压裂液储罐中</w:t>
      </w:r>
      <w:r>
        <w:rPr>
          <w:rFonts w:hint="default" w:ascii="Times New Roman" w:hAnsi="Times New Roman" w:cs="Times New Roman"/>
          <w:color w:val="000000" w:themeColor="text1"/>
          <w:highlight w:val="none"/>
          <w14:textFill>
            <w14:solidFill>
              <w14:schemeClr w14:val="tx1"/>
            </w14:solidFill>
          </w14:textFill>
        </w:rPr>
        <w:t>，优先回用于钻井工段及周边平台钻井工段，不能回用的用罐车拉运至</w:t>
      </w:r>
      <w:r>
        <w:rPr>
          <w:rFonts w:hint="eastAsia"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default" w:ascii="Times New Roman" w:hAnsi="Times New Roman" w:cs="Times New Roman"/>
          <w:bCs/>
          <w:color w:val="000000" w:themeColor="text1"/>
          <w:highlight w:val="none"/>
          <w14:textFill>
            <w14:solidFill>
              <w14:schemeClr w14:val="tx1"/>
            </w14:solidFill>
          </w14:textFill>
        </w:rPr>
        <w:t>，不外排。项目废水产生量少，经处理达标后污染物排放量也少，对当地地表水环境的影响在可接受范围内。</w:t>
      </w:r>
    </w:p>
    <w:p>
      <w:pPr>
        <w:ind w:firstLine="482"/>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（4）对项目周边耕地</w:t>
      </w:r>
      <w:r>
        <w:rPr>
          <w:rFonts w:hint="default" w:ascii="Times New Roman" w:hAnsi="Times New Roman" w:cs="Times New Roman"/>
          <w:b/>
          <w:color w:val="000000" w:themeColor="text1"/>
          <w:szCs w:val="24"/>
          <w:highlight w:val="none"/>
          <w14:textFill>
            <w14:solidFill>
              <w14:schemeClr w14:val="tx1"/>
            </w14:solidFill>
          </w14:textFill>
        </w:rPr>
        <w:t>影响分析</w:t>
      </w:r>
    </w:p>
    <w:p>
      <w:pPr>
        <w:ind w:firstLine="480"/>
        <w:rPr>
          <w:rFonts w:hint="eastAsia"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本项目井场周围设置雨水沟</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场地内不会有污水不会溢出进入周边环境，同时储层改造期间产生的</w:t>
      </w:r>
      <w:r>
        <w:rPr>
          <w:rFonts w:hint="default" w:ascii="Times New Roman" w:hAnsi="Times New Roman" w:cs="Times New Roman"/>
          <w:color w:val="000000" w:themeColor="text1"/>
          <w:highlight w:val="none"/>
          <w14:textFill>
            <w14:solidFill>
              <w14:schemeClr w14:val="tx1"/>
            </w14:solidFill>
          </w14:textFill>
        </w:rPr>
        <w:t>压裂返排液及洗井废水</w:t>
      </w:r>
      <w:r>
        <w:rPr>
          <w:rFonts w:hint="eastAsia" w:cs="Times New Roman"/>
          <w:color w:val="000000" w:themeColor="text1"/>
          <w:highlight w:val="none"/>
          <w:lang w:eastAsia="zh-CN"/>
          <w14:textFill>
            <w14:solidFill>
              <w14:schemeClr w14:val="tx1"/>
            </w14:solidFill>
          </w14:textFill>
        </w:rPr>
        <w:t>临时暂存于放喷池或者压裂液储罐中</w:t>
      </w:r>
      <w:r>
        <w:rPr>
          <w:rFonts w:hint="default" w:ascii="Times New Roman" w:hAnsi="Times New Roman" w:cs="Times New Roman"/>
          <w:color w:val="000000" w:themeColor="text1"/>
          <w:highlight w:val="none"/>
          <w14:textFill>
            <w14:solidFill>
              <w14:schemeClr w14:val="tx1"/>
            </w14:solidFill>
          </w14:textFill>
        </w:rPr>
        <w:t>，优先回用于钻井工段及周边平台钻井工段，不能回用的用罐车拉运至</w:t>
      </w:r>
      <w:r>
        <w:rPr>
          <w:rFonts w:hint="eastAsia"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default" w:ascii="Times New Roman" w:hAnsi="Times New Roman" w:cs="Times New Roman"/>
          <w:bCs/>
          <w:color w:val="000000" w:themeColor="text1"/>
          <w:highlight w:val="none"/>
          <w14:textFill>
            <w14:solidFill>
              <w14:schemeClr w14:val="tx1"/>
            </w14:solidFill>
          </w14:textFill>
        </w:rPr>
        <w:t>，不外排</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因此，储层改造期间不会有污水进入</w:t>
      </w:r>
      <w:r>
        <w:rPr>
          <w:rFonts w:hint="default" w:ascii="Times New Roman" w:hAnsi="Times New Roman" w:cs="Times New Roman"/>
          <w:bCs/>
          <w:color w:val="000000" w:themeColor="text1"/>
          <w:highlight w:val="none"/>
          <w14:textFill>
            <w14:solidFill>
              <w14:schemeClr w14:val="tx1"/>
            </w14:solidFill>
          </w14:textFill>
        </w:rPr>
        <w:t>周围环境，对周边耕地影响甚微</w:t>
      </w:r>
      <w:r>
        <w:rPr>
          <w:rFonts w:hint="eastAsia" w:cs="Times New Roman"/>
          <w:bCs/>
          <w:color w:val="000000" w:themeColor="text1"/>
          <w:highlight w:val="none"/>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声环境影响分析</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该项目</w:t>
      </w:r>
      <w:r>
        <w:rPr>
          <w:rFonts w:hint="eastAsia" w:cs="Times New Roman"/>
          <w:color w:val="000000" w:themeColor="text1"/>
          <w:highlight w:val="none"/>
          <w:lang w:val="en-US" w:eastAsia="zh-CN"/>
          <w14:textFill>
            <w14:solidFill>
              <w14:schemeClr w14:val="tx1"/>
            </w14:solidFill>
          </w14:textFill>
        </w:rPr>
        <w:t>储层改造</w:t>
      </w:r>
      <w:r>
        <w:rPr>
          <w:rFonts w:hint="default" w:ascii="Times New Roman" w:hAnsi="Times New Roman" w:cs="Times New Roman"/>
          <w:color w:val="000000" w:themeColor="text1"/>
          <w:highlight w:val="none"/>
          <w14:textFill>
            <w14:solidFill>
              <w14:schemeClr w14:val="tx1"/>
            </w14:solidFill>
          </w14:textFill>
        </w:rPr>
        <w:t>期间噪声影响主要来源于在完井压裂和油气测试过程将产生压裂设备噪声和测试放喷噪声。</w:t>
      </w:r>
    </w:p>
    <w:p>
      <w:pPr>
        <w:pStyle w:val="27"/>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4"/>
          <w:highlight w:val="none"/>
          <w14:textFill>
            <w14:solidFill>
              <w14:schemeClr w14:val="tx1"/>
            </w14:solidFill>
          </w14:textFill>
        </w:rPr>
        <w:t>、压裂噪声环境影响预测及分析</w:t>
      </w:r>
    </w:p>
    <w:p>
      <w:pPr>
        <w:pStyle w:val="27"/>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压裂作业时间短，仅在白天施工。压裂过程中噪声源主要来自于压裂泵车，单台噪声源强情况90~100dB（A），由于压裂机组设备分布较为集中，距离敏感点较远，敏感点与项目之间有诸多树林间隔。根据《环境影响评价技术导则 声环境》（HJ2.4-2021）：实际的室外声源组，可以用处于该组中部的等效点声源来描述，本项目最多同时6台压裂设备同时作业。</w:t>
      </w:r>
    </w:p>
    <w:p>
      <w:pPr>
        <w:pStyle w:val="27"/>
        <w:ind w:firstLine="480"/>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根据平面布置，主要噪声设备位于井口及后场，厂界距离井口</w:t>
      </w:r>
      <w:r>
        <w:rPr>
          <w:rFonts w:hint="eastAsia" w:ascii="Times New Roman" w:hAnsi="Times New Roman"/>
          <w:color w:val="000000" w:themeColor="text1"/>
          <w:szCs w:val="24"/>
          <w:highlight w:val="none"/>
          <w:lang w:val="en-US" w:eastAsia="zh-CN"/>
          <w14:textFill>
            <w14:solidFill>
              <w14:schemeClr w14:val="tx1"/>
            </w14:solidFill>
          </w14:textFill>
        </w:rPr>
        <w:t>25</w:t>
      </w:r>
      <w:r>
        <w:rPr>
          <w:rFonts w:ascii="Times New Roman" w:hAnsi="Times New Roman"/>
          <w:color w:val="000000" w:themeColor="text1"/>
          <w:szCs w:val="24"/>
          <w:highlight w:val="none"/>
          <w14:textFill>
            <w14:solidFill>
              <w14:schemeClr w14:val="tx1"/>
            </w14:solidFill>
          </w14:textFill>
        </w:rPr>
        <w:t>m～</w:t>
      </w:r>
      <w:r>
        <w:rPr>
          <w:rFonts w:hint="eastAsia" w:ascii="Times New Roman" w:hAnsi="Times New Roman"/>
          <w:color w:val="000000" w:themeColor="text1"/>
          <w:szCs w:val="24"/>
          <w:highlight w:val="none"/>
          <w:lang w:val="en-US" w:eastAsia="zh-CN"/>
          <w14:textFill>
            <w14:solidFill>
              <w14:schemeClr w14:val="tx1"/>
            </w14:solidFill>
          </w14:textFill>
        </w:rPr>
        <w:t>6</w:t>
      </w:r>
      <w:r>
        <w:rPr>
          <w:rFonts w:ascii="Times New Roman" w:hAnsi="Times New Roman"/>
          <w:color w:val="000000" w:themeColor="text1"/>
          <w:szCs w:val="24"/>
          <w:highlight w:val="none"/>
          <w14:textFill>
            <w14:solidFill>
              <w14:schemeClr w14:val="tx1"/>
            </w14:solidFill>
          </w14:textFill>
        </w:rPr>
        <w:t>0m，忽略地面效应和山体树林隔挡，考虑地面及设备用房的衰减量为2dB（A），预测结果如下。</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本项目压裂作业噪声影响</w:t>
      </w:r>
      <w:r>
        <w:rPr>
          <w:color w:val="000000" w:themeColor="text1"/>
          <w:highlight w:val="none"/>
          <w14:textFill>
            <w14:solidFill>
              <w14:schemeClr w14:val="tx1"/>
            </w14:solidFill>
          </w14:textFill>
        </w:rPr>
        <w:t xml:space="preserve">  单位：dB（A）</w:t>
      </w:r>
    </w:p>
    <w:tbl>
      <w:tblPr>
        <w:tblStyle w:val="52"/>
        <w:tblW w:w="8222" w:type="dxa"/>
        <w:jc w:val="center"/>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1761"/>
        <w:gridCol w:w="1289"/>
        <w:gridCol w:w="1293"/>
        <w:gridCol w:w="1293"/>
        <w:gridCol w:w="1293"/>
        <w:gridCol w:w="1293"/>
      </w:tblGrid>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pStyle w:val="295"/>
              <w:keepNext w:val="0"/>
              <w:keepLines w:val="0"/>
              <w:widowControl/>
              <w:suppressLineNumbers w:val="0"/>
              <w:spacing w:before="0" w:beforeAutospacing="0" w:after="0" w:afterAutospacing="0"/>
              <w:ind w:left="0" w:right="0"/>
              <w:jc w:val="right"/>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w:t>
            </w:r>
          </w:p>
          <w:p>
            <w:pPr>
              <w:pStyle w:val="295"/>
              <w:keepNext w:val="0"/>
              <w:keepLines w:val="0"/>
              <w:widowControl/>
              <w:suppressLineNumbers w:val="0"/>
              <w:spacing w:before="0" w:beforeAutospacing="0" w:after="0" w:afterAutospacing="0"/>
              <w:ind w:left="0" w:right="0"/>
              <w:jc w:val="left"/>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点位</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贡献值</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最近场界处</w:t>
            </w:r>
          </w:p>
        </w:tc>
        <w:tc>
          <w:tcPr>
            <w:tcW w:w="128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7</w:t>
            </w:r>
            <w:r>
              <w:rPr>
                <w:rFonts w:hint="eastAsia"/>
                <w:color w:val="000000" w:themeColor="text1"/>
                <w:szCs w:val="20"/>
                <w:highlight w:val="none"/>
                <w:lang w:val="en-US" w:eastAsia="zh-CN"/>
                <w14:textFill>
                  <w14:solidFill>
                    <w14:schemeClr w14:val="tx1"/>
                  </w14:solidFill>
                </w14:textFill>
              </w:rPr>
              <w:t>5</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最远场界处</w:t>
            </w:r>
          </w:p>
        </w:tc>
        <w:tc>
          <w:tcPr>
            <w:tcW w:w="128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6</w:t>
            </w:r>
            <w:r>
              <w:rPr>
                <w:rFonts w:hint="eastAsia"/>
                <w:color w:val="000000" w:themeColor="text1"/>
                <w:szCs w:val="20"/>
                <w:highlight w:val="none"/>
                <w:lang w:val="en-US" w:eastAsia="zh-CN"/>
                <w14:textFill>
                  <w14:solidFill>
                    <w14:schemeClr w14:val="tx1"/>
                  </w14:solidFill>
                </w14:textFill>
              </w:rPr>
              <w:t>8</w:t>
            </w:r>
          </w:p>
        </w:tc>
        <w:tc>
          <w:tcPr>
            <w:tcW w:w="2586"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达</w:t>
            </w:r>
            <w:r>
              <w:rPr>
                <w:rFonts w:hint="default"/>
                <w:color w:val="000000" w:themeColor="text1"/>
                <w:szCs w:val="20"/>
                <w:highlight w:val="none"/>
                <w14:textFill>
                  <w14:solidFill>
                    <w14:schemeClr w14:val="tx1"/>
                  </w14:solidFill>
                </w14:textFill>
              </w:rPr>
              <w:t>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施工期场界标准70dB（A）（昼间）、55dB（A）（夜间）</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3050" w:type="dxa"/>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贡献值</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背景值</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预测值</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达标情况</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距井口100m处</w:t>
            </w:r>
          </w:p>
        </w:tc>
        <w:tc>
          <w:tcPr>
            <w:tcW w:w="128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6</w:t>
            </w:r>
            <w:r>
              <w:rPr>
                <w:rFonts w:hint="eastAsia"/>
                <w:color w:val="000000" w:themeColor="text1"/>
                <w:szCs w:val="20"/>
                <w:highlight w:val="none"/>
                <w:lang w:val="en-US" w:eastAsia="zh-CN"/>
                <w14:textFill>
                  <w14:solidFill>
                    <w14:schemeClr w14:val="tx1"/>
                  </w14:solidFill>
                </w14:textFill>
              </w:rPr>
              <w:t>5</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55</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bCs/>
                <w:color w:val="000000" w:themeColor="text1"/>
                <w:szCs w:val="20"/>
                <w:highlight w:val="none"/>
                <w14:textFill>
                  <w14:solidFill>
                    <w14:schemeClr w14:val="tx1"/>
                  </w14:solidFill>
                </w14:textFill>
              </w:rPr>
              <w:t>6</w:t>
            </w:r>
            <w:r>
              <w:rPr>
                <w:rFonts w:hint="eastAsia"/>
                <w:bCs/>
                <w:color w:val="000000" w:themeColor="text1"/>
                <w:szCs w:val="20"/>
                <w:highlight w:val="none"/>
                <w:lang w:val="en-US" w:eastAsia="zh-CN"/>
                <w14:textFill>
                  <w14:solidFill>
                    <w14:schemeClr w14:val="tx1"/>
                  </w14:solidFill>
                </w14:textFill>
              </w:rPr>
              <w:t>5</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超标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176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距井口200m处</w:t>
            </w:r>
          </w:p>
        </w:tc>
        <w:tc>
          <w:tcPr>
            <w:tcW w:w="1289"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昼间</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5</w:t>
            </w:r>
            <w:r>
              <w:rPr>
                <w:rFonts w:hint="eastAsia"/>
                <w:color w:val="000000" w:themeColor="text1"/>
                <w:szCs w:val="20"/>
                <w:highlight w:val="none"/>
                <w:lang w:val="en-US" w:eastAsia="zh-CN"/>
                <w14:textFill>
                  <w14:solidFill>
                    <w14:schemeClr w14:val="tx1"/>
                  </w14:solidFill>
                </w14:textFill>
              </w:rPr>
              <w:t>7</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55</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5</w:t>
            </w:r>
            <w:r>
              <w:rPr>
                <w:rFonts w:hint="eastAsia"/>
                <w:color w:val="000000" w:themeColor="text1"/>
                <w:szCs w:val="20"/>
                <w:highlight w:val="none"/>
                <w:lang w:val="en-US" w:eastAsia="zh-CN"/>
                <w14:textFill>
                  <w14:solidFill>
                    <w14:schemeClr w14:val="tx1"/>
                  </w14:solidFill>
                </w14:textFill>
              </w:rPr>
              <w:t>9</w:t>
            </w:r>
          </w:p>
        </w:tc>
        <w:tc>
          <w:tcPr>
            <w:tcW w:w="1293"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达标</w:t>
            </w:r>
          </w:p>
        </w:tc>
      </w:tr>
      <w:tr>
        <w:tblPrEx>
          <w:tblBorders>
            <w:top w:val="double" w:color="auto" w:sz="4" w:space="0"/>
            <w:left w:val="double" w:color="auto" w:sz="4" w:space="0"/>
            <w:bottom w:val="double" w:color="auto" w:sz="4" w:space="0"/>
            <w:right w:val="double" w:color="auto" w:sz="4" w:space="0"/>
            <w:insideH w:val="single" w:color="auto" w:sz="12" w:space="0"/>
            <w:insideV w:val="single" w:color="auto" w:sz="12" w:space="0"/>
          </w:tblBorders>
          <w:tblCellMar>
            <w:top w:w="0" w:type="dxa"/>
            <w:left w:w="108" w:type="dxa"/>
            <w:bottom w:w="0" w:type="dxa"/>
            <w:right w:w="108" w:type="dxa"/>
          </w:tblCellMar>
        </w:tblPrEx>
        <w:trPr>
          <w:jc w:val="center"/>
        </w:trPr>
        <w:tc>
          <w:tcPr>
            <w:tcW w:w="8222" w:type="dxa"/>
            <w:gridSpan w:val="6"/>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敏感点标准60dB（A）（昼间）、50dB（A）（夜间）</w:t>
            </w:r>
          </w:p>
        </w:tc>
      </w:tr>
    </w:tbl>
    <w:p>
      <w:pPr>
        <w:pStyle w:val="27"/>
        <w:spacing w:before="120" w:beforeLines="50"/>
        <w:ind w:firstLine="480"/>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szCs w:val="24"/>
          <w:highlight w:val="none"/>
          <w:lang w:val="en-US" w:eastAsia="zh-CN"/>
          <w14:textFill>
            <w14:solidFill>
              <w14:schemeClr w14:val="tx1"/>
            </w14:solidFill>
          </w14:textFill>
        </w:rPr>
        <w:t>由</w:t>
      </w:r>
      <w:r>
        <w:rPr>
          <w:rFonts w:ascii="Times New Roman" w:hAnsi="Times New Roman"/>
          <w:color w:val="000000" w:themeColor="text1"/>
          <w:szCs w:val="24"/>
          <w:highlight w:val="none"/>
          <w14:textFill>
            <w14:solidFill>
              <w14:schemeClr w14:val="tx1"/>
            </w14:solidFill>
          </w14:textFill>
        </w:rPr>
        <w:t>上表可知，压裂作业期间场界噪声不能满足《建筑施工场界环境噪声排放标准》（GB12523-2011）标准，压裂作业仅在昼间进行，不在夜间施工，进一步预测得知，压裂作业期间昼间噪声达标距离为井口约1</w:t>
      </w:r>
      <w:r>
        <w:rPr>
          <w:rFonts w:hint="eastAsia" w:ascii="Times New Roman" w:hAnsi="Times New Roman"/>
          <w:color w:val="000000" w:themeColor="text1"/>
          <w:szCs w:val="24"/>
          <w:highlight w:val="none"/>
          <w:lang w:val="en-US" w:eastAsia="zh-CN"/>
          <w14:textFill>
            <w14:solidFill>
              <w14:schemeClr w14:val="tx1"/>
            </w14:solidFill>
          </w14:textFill>
        </w:rPr>
        <w:t>54</w:t>
      </w:r>
      <w:r>
        <w:rPr>
          <w:rFonts w:ascii="Times New Roman" w:hAnsi="Times New Roman"/>
          <w:color w:val="000000" w:themeColor="text1"/>
          <w:szCs w:val="24"/>
          <w:highlight w:val="none"/>
          <w14:textFill>
            <w14:solidFill>
              <w14:schemeClr w14:val="tx1"/>
            </w14:solidFill>
          </w14:textFill>
        </w:rPr>
        <w:t>m范围内，此范围内均</w:t>
      </w:r>
      <w:r>
        <w:rPr>
          <w:rFonts w:hint="eastAsia" w:ascii="Times New Roman" w:hAnsi="Times New Roman"/>
          <w:color w:val="000000" w:themeColor="text1"/>
          <w:szCs w:val="24"/>
          <w:highlight w:val="none"/>
          <w:lang w:val="en-US" w:eastAsia="zh-CN"/>
          <w14:textFill>
            <w14:solidFill>
              <w14:schemeClr w14:val="tx1"/>
            </w14:solidFill>
          </w14:textFill>
        </w:rPr>
        <w:t>有2户8人</w:t>
      </w:r>
      <w:r>
        <w:rPr>
          <w:rFonts w:ascii="Times New Roman" w:hAnsi="Times New Roman"/>
          <w:color w:val="000000" w:themeColor="text1"/>
          <w:szCs w:val="24"/>
          <w:highlight w:val="none"/>
          <w14:textFill>
            <w14:solidFill>
              <w14:schemeClr w14:val="tx1"/>
            </w14:solidFill>
          </w14:textFill>
        </w:rPr>
        <w:t>分布。压裂施工时间短，夜间不作业，单井约2</w:t>
      </w:r>
      <w:r>
        <w:rPr>
          <w:rFonts w:hint="eastAsia" w:ascii="Times New Roman" w:hAnsi="Times New Roman"/>
          <w:color w:val="000000" w:themeColor="text1"/>
          <w:szCs w:val="24"/>
          <w:highlight w:val="none"/>
          <w:lang w:eastAsia="zh-CN"/>
          <w14:textFill>
            <w14:solidFill>
              <w14:schemeClr w14:val="tx1"/>
            </w14:solidFill>
          </w14:textFill>
        </w:rPr>
        <w:t>～</w:t>
      </w:r>
      <w:r>
        <w:rPr>
          <w:rFonts w:ascii="Times New Roman" w:hAnsi="Times New Roman"/>
          <w:color w:val="000000" w:themeColor="text1"/>
          <w:szCs w:val="24"/>
          <w:highlight w:val="none"/>
          <w14:textFill>
            <w14:solidFill>
              <w14:schemeClr w14:val="tx1"/>
            </w14:solidFill>
          </w14:textFill>
        </w:rPr>
        <w:t>5天完成压裂作业，压裂施工不是连续施工，噪声产生也不是连续的，随着压裂作业的结束，噪声影响也消失。因此，压裂作业噪声影响是短暂的，</w:t>
      </w:r>
      <w:r>
        <w:rPr>
          <w:rFonts w:hint="eastAsia" w:ascii="Times New Roman" w:hAnsi="Times New Roman"/>
          <w:color w:val="000000" w:themeColor="text1"/>
          <w:szCs w:val="24"/>
          <w:highlight w:val="none"/>
          <w:lang w:val="en-US" w:eastAsia="zh-CN"/>
          <w14:textFill>
            <w14:solidFill>
              <w14:schemeClr w14:val="tx1"/>
            </w14:solidFill>
          </w14:textFill>
        </w:rPr>
        <w:t>建设单位</w:t>
      </w:r>
      <w:r>
        <w:rPr>
          <w:rFonts w:hint="eastAsia"/>
          <w:color w:val="000000" w:themeColor="text1"/>
          <w:highlight w:val="none"/>
          <w:lang w:val="en-US" w:eastAsia="zh-CN"/>
          <w14:textFill>
            <w14:solidFill>
              <w14:schemeClr w14:val="tx1"/>
            </w14:solidFill>
          </w14:textFill>
        </w:rPr>
        <w:t>根据噪声排放情况和监测结果，与超标居民加强沟通协调工作，或采取一定的补偿措施，争取取得其谅解后，项目压裂作业</w:t>
      </w:r>
      <w:r>
        <w:rPr>
          <w:rFonts w:ascii="Times New Roman" w:hAnsi="Times New Roman"/>
          <w:color w:val="000000" w:themeColor="text1"/>
          <w:szCs w:val="24"/>
          <w:highlight w:val="none"/>
          <w14:textFill>
            <w14:solidFill>
              <w14:schemeClr w14:val="tx1"/>
            </w14:solidFill>
          </w14:textFill>
        </w:rPr>
        <w:t>对周围居民影响是可接受的。</w:t>
      </w:r>
    </w:p>
    <w:p>
      <w:pPr>
        <w:pStyle w:val="224"/>
        <w:ind w:firstLine="482"/>
        <w:rPr>
          <w:rFonts w:hint="default" w:ascii="Times New Roman" w:hAnsi="Times New Roman" w:cs="Times New Roman"/>
          <w:b/>
          <w:color w:val="000000" w:themeColor="text1"/>
          <w:highlight w:val="none"/>
          <w:lang w:eastAsia="zh-CN"/>
          <w14:textFill>
            <w14:solidFill>
              <w14:schemeClr w14:val="tx1"/>
            </w14:solidFill>
          </w14:textFill>
        </w:rPr>
      </w:pPr>
      <w:r>
        <w:rPr>
          <w:rFonts w:hint="eastAsia" w:ascii="Times New Roman" w:hAnsi="Times New Roman" w:cs="Times New Roman"/>
          <w:b/>
          <w:color w:val="000000" w:themeColor="text1"/>
          <w:highlight w:val="none"/>
          <w:lang w:val="en-US" w:eastAsia="zh-CN"/>
          <w14:textFill>
            <w14:solidFill>
              <w14:schemeClr w14:val="tx1"/>
            </w14:solidFill>
          </w14:textFill>
        </w:rPr>
        <w:t>2</w:t>
      </w:r>
      <w:r>
        <w:rPr>
          <w:rFonts w:hint="default" w:ascii="Times New Roman" w:hAnsi="Times New Roman" w:cs="Times New Roman"/>
          <w:b/>
          <w:color w:val="000000" w:themeColor="text1"/>
          <w:highlight w:val="none"/>
          <w:lang w:eastAsia="zh-CN"/>
          <w14:textFill>
            <w14:solidFill>
              <w14:schemeClr w14:val="tx1"/>
            </w14:solidFill>
          </w14:textFill>
        </w:rPr>
        <w:t>、测试放喷噪声环境影响预测及分析</w:t>
      </w:r>
    </w:p>
    <w:p>
      <w:pPr>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天然气测试放喷过程的噪声为连续噪声，仅在完井时测试中进行放喷，时间约为3小时，噪声源强度约为95~105dB（A）。项目通过在放喷池设置三面建较高的密实的防火墙，可以降低一定的噪声；同时由于测试放喷时间较短，并选择在昼间进行测试，随着测试的结束，噪声影响也消失。同时，根据本项目的测试外围应急疏散方案，放喷测试前组织临时疏散周边居民，因此，测试放喷噪声影响短暂的，对周围居民影响是可接受的。</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土壤环境影响分析</w:t>
      </w:r>
    </w:p>
    <w:p>
      <w:pPr>
        <w:pStyle w:val="27"/>
        <w:ind w:firstLine="482"/>
        <w:rPr>
          <w:rFonts w:hint="default" w:ascii="Times New Roman" w:hAnsi="Times New Roman" w:cs="Times New Roman"/>
          <w:b/>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（1）土壤环境影响分析</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1）大气污染途径</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eastAsia" w:ascii="Times New Roman" w:hAnsi="Times New Roman" w:cs="Times New Roman"/>
          <w:bCs/>
          <w:color w:val="000000" w:themeColor="text1"/>
          <w:szCs w:val="24"/>
          <w:highlight w:val="none"/>
          <w:lang w:val="en-US" w:eastAsia="zh-CN"/>
          <w14:textFill>
            <w14:solidFill>
              <w14:schemeClr w14:val="tx1"/>
            </w14:solidFill>
          </w14:textFill>
        </w:rPr>
        <w:t>储层改造施工时的</w:t>
      </w:r>
      <w:r>
        <w:rPr>
          <w:rFonts w:hint="default" w:ascii="Times New Roman" w:hAnsi="Times New Roman" w:cs="Times New Roman"/>
          <w:bCs/>
          <w:color w:val="000000" w:themeColor="text1"/>
          <w:szCs w:val="24"/>
          <w:highlight w:val="none"/>
          <w14:textFill>
            <w14:solidFill>
              <w14:schemeClr w14:val="tx1"/>
            </w14:solidFill>
          </w14:textFill>
        </w:rPr>
        <w:t>压裂车</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燃料燃烧废气中</w:t>
      </w:r>
      <w:r>
        <w:rPr>
          <w:rFonts w:hint="default" w:ascii="Times New Roman" w:hAnsi="Times New Roman" w:cs="Times New Roman"/>
          <w:bCs/>
          <w:color w:val="000000" w:themeColor="text1"/>
          <w:szCs w:val="24"/>
          <w:highlight w:val="none"/>
          <w14:textFill>
            <w14:solidFill>
              <w14:schemeClr w14:val="tx1"/>
            </w14:solidFill>
          </w14:textFill>
        </w:rPr>
        <w:t>有SO</w:t>
      </w:r>
      <w:r>
        <w:rPr>
          <w:rFonts w:hint="default" w:ascii="Times New Roman" w:hAnsi="Times New Roman" w:cs="Times New Roman"/>
          <w:bCs/>
          <w:color w:val="000000" w:themeColor="text1"/>
          <w:szCs w:val="24"/>
          <w:highlight w:val="none"/>
          <w:vertAlign w:val="subscript"/>
          <w14:textFill>
            <w14:solidFill>
              <w14:schemeClr w14:val="tx1"/>
            </w14:solidFill>
          </w14:textFill>
        </w:rPr>
        <w:t>2</w:t>
      </w:r>
      <w:r>
        <w:rPr>
          <w:rFonts w:hint="eastAsia" w:ascii="Times New Roman" w:hAnsi="Times New Roman" w:cs="Times New Roman"/>
          <w:bCs/>
          <w:color w:val="000000" w:themeColor="text1"/>
          <w:szCs w:val="24"/>
          <w:highlight w:val="none"/>
          <w:vertAlign w:val="baseline"/>
          <w:lang w:eastAsia="zh-CN"/>
          <w14:textFill>
            <w14:solidFill>
              <w14:schemeClr w14:val="tx1"/>
            </w14:solidFill>
          </w14:textFill>
        </w:rPr>
        <w:t>、</w:t>
      </w:r>
      <w:r>
        <w:rPr>
          <w:rFonts w:hint="eastAsia" w:ascii="Times New Roman" w:hAnsi="Times New Roman" w:cs="Times New Roman"/>
          <w:bCs/>
          <w:color w:val="000000" w:themeColor="text1"/>
          <w:szCs w:val="24"/>
          <w:highlight w:val="none"/>
          <w:vertAlign w:val="baseline"/>
          <w:lang w:val="en-US" w:eastAsia="zh-CN"/>
          <w14:textFill>
            <w14:solidFill>
              <w14:schemeClr w14:val="tx1"/>
            </w14:solidFill>
          </w14:textFill>
        </w:rPr>
        <w:t>NOx</w:t>
      </w:r>
      <w:r>
        <w:rPr>
          <w:rFonts w:hint="eastAsia" w:ascii="Times New Roman" w:hAnsi="Times New Roman" w:cs="Times New Roman"/>
          <w:bCs/>
          <w:color w:val="000000" w:themeColor="text1"/>
          <w:szCs w:val="24"/>
          <w:highlight w:val="none"/>
          <w:lang w:eastAsia="zh-CN"/>
          <w14:textFill>
            <w14:solidFill>
              <w14:schemeClr w14:val="tx1"/>
            </w14:solidFill>
          </w14:textFill>
        </w:rPr>
        <w:t>，</w:t>
      </w:r>
      <w:r>
        <w:rPr>
          <w:rFonts w:hint="default" w:ascii="Times New Roman" w:hAnsi="Times New Roman" w:cs="Times New Roman"/>
          <w:bCs/>
          <w:color w:val="000000" w:themeColor="text1"/>
          <w:szCs w:val="24"/>
          <w:highlight w:val="none"/>
          <w14:textFill>
            <w14:solidFill>
              <w14:schemeClr w14:val="tx1"/>
            </w14:solidFill>
          </w14:textFill>
        </w:rPr>
        <w:t>放喷燃烧</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时的燃烧废气中</w:t>
      </w:r>
      <w:r>
        <w:rPr>
          <w:rFonts w:hint="default" w:ascii="Times New Roman" w:hAnsi="Times New Roman" w:cs="Times New Roman"/>
          <w:bCs/>
          <w:color w:val="000000" w:themeColor="text1"/>
          <w:szCs w:val="24"/>
          <w:highlight w:val="none"/>
          <w14:textFill>
            <w14:solidFill>
              <w14:schemeClr w14:val="tx1"/>
            </w14:solidFill>
          </w14:textFill>
        </w:rPr>
        <w:t>有</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C</w:t>
      </w:r>
      <w:r>
        <w:rPr>
          <w:rFonts w:hint="default" w:ascii="Times New Roman" w:hAnsi="Times New Roman" w:cs="Times New Roman"/>
          <w:bCs/>
          <w:color w:val="000000" w:themeColor="text1"/>
          <w:szCs w:val="24"/>
          <w:highlight w:val="none"/>
          <w14:textFill>
            <w14:solidFill>
              <w14:schemeClr w14:val="tx1"/>
            </w14:solidFill>
          </w14:textFill>
        </w:rPr>
        <w:t>O</w:t>
      </w:r>
      <w:r>
        <w:rPr>
          <w:rFonts w:hint="default" w:ascii="Times New Roman" w:hAnsi="Times New Roman" w:cs="Times New Roman"/>
          <w:bCs/>
          <w:color w:val="000000" w:themeColor="text1"/>
          <w:szCs w:val="24"/>
          <w:highlight w:val="none"/>
          <w:vertAlign w:val="subscript"/>
          <w14:textFill>
            <w14:solidFill>
              <w14:schemeClr w14:val="tx1"/>
            </w14:solidFill>
          </w14:textFill>
        </w:rPr>
        <w:t>2</w:t>
      </w:r>
      <w:r>
        <w:rPr>
          <w:rFonts w:hint="default" w:ascii="Times New Roman" w:hAnsi="Times New Roman" w:cs="Times New Roman"/>
          <w:bCs/>
          <w:color w:val="000000" w:themeColor="text1"/>
          <w:szCs w:val="24"/>
          <w:highlight w:val="none"/>
          <w14:textFill>
            <w14:solidFill>
              <w14:schemeClr w14:val="tx1"/>
            </w14:solidFill>
          </w14:textFill>
        </w:rPr>
        <w:t>。</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上述</w:t>
      </w:r>
      <w:r>
        <w:rPr>
          <w:rFonts w:hint="default" w:ascii="Times New Roman" w:hAnsi="Times New Roman" w:cs="Times New Roman"/>
          <w:bCs/>
          <w:color w:val="000000" w:themeColor="text1"/>
          <w:szCs w:val="24"/>
          <w:highlight w:val="none"/>
          <w14:textFill>
            <w14:solidFill>
              <w14:schemeClr w14:val="tx1"/>
            </w14:solidFill>
          </w14:textFill>
        </w:rPr>
        <w:t>大气污染物通过降雨或沉降进入土壤，从而引起土壤污染。</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根据对周边已建天然气项目的调查，通过施工单位严格施工管理，天然气开发过程中周边大气中一般不会出现</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C</w:t>
      </w:r>
      <w:r>
        <w:rPr>
          <w:rFonts w:hint="default" w:ascii="Times New Roman" w:hAnsi="Times New Roman" w:cs="Times New Roman"/>
          <w:bCs/>
          <w:color w:val="000000" w:themeColor="text1"/>
          <w:szCs w:val="24"/>
          <w:highlight w:val="none"/>
          <w14:textFill>
            <w14:solidFill>
              <w14:schemeClr w14:val="tx1"/>
            </w14:solidFill>
          </w14:textFill>
        </w:rPr>
        <w:t>O</w:t>
      </w:r>
      <w:r>
        <w:rPr>
          <w:rFonts w:hint="default" w:ascii="Times New Roman" w:hAnsi="Times New Roman" w:cs="Times New Roman"/>
          <w:bCs/>
          <w:color w:val="000000" w:themeColor="text1"/>
          <w:szCs w:val="24"/>
          <w:highlight w:val="none"/>
          <w:vertAlign w:val="subscript"/>
          <w14:textFill>
            <w14:solidFill>
              <w14:schemeClr w14:val="tx1"/>
            </w14:solidFill>
          </w14:textFill>
        </w:rPr>
        <w:t>2</w:t>
      </w:r>
      <w:r>
        <w:rPr>
          <w:rFonts w:hint="eastAsia" w:ascii="Times New Roman" w:hAnsi="Times New Roman" w:cs="Times New Roman"/>
          <w:bCs/>
          <w:color w:val="000000" w:themeColor="text1"/>
          <w:szCs w:val="24"/>
          <w:highlight w:val="none"/>
          <w:vertAlign w:val="baseline"/>
          <w:lang w:val="en-US" w:eastAsia="zh-CN"/>
          <w14:textFill>
            <w14:solidFill>
              <w14:schemeClr w14:val="tx1"/>
            </w14:solidFill>
          </w14:textFill>
        </w:rPr>
        <w:t>、</w:t>
      </w:r>
      <w:r>
        <w:rPr>
          <w:rFonts w:hint="default" w:ascii="Times New Roman" w:hAnsi="Times New Roman" w:cs="Times New Roman"/>
          <w:bCs/>
          <w:color w:val="000000" w:themeColor="text1"/>
          <w:szCs w:val="24"/>
          <w:highlight w:val="none"/>
          <w14:textFill>
            <w14:solidFill>
              <w14:schemeClr w14:val="tx1"/>
            </w14:solidFill>
          </w14:textFill>
        </w:rPr>
        <w:t>SO</w:t>
      </w:r>
      <w:r>
        <w:rPr>
          <w:rFonts w:hint="default" w:ascii="Times New Roman" w:hAnsi="Times New Roman" w:cs="Times New Roman"/>
          <w:bCs/>
          <w:color w:val="000000" w:themeColor="text1"/>
          <w:szCs w:val="24"/>
          <w:highlight w:val="none"/>
          <w:vertAlign w:val="subscript"/>
          <w14:textFill>
            <w14:solidFill>
              <w14:schemeClr w14:val="tx1"/>
            </w14:solidFill>
          </w14:textFill>
        </w:rPr>
        <w:t>2</w:t>
      </w:r>
      <w:r>
        <w:rPr>
          <w:rFonts w:hint="default" w:ascii="Times New Roman" w:hAnsi="Times New Roman" w:cs="Times New Roman"/>
          <w:bCs/>
          <w:color w:val="000000" w:themeColor="text1"/>
          <w:szCs w:val="24"/>
          <w:highlight w:val="none"/>
          <w14:textFill>
            <w14:solidFill>
              <w14:schemeClr w14:val="tx1"/>
            </w14:solidFill>
          </w14:textFill>
        </w:rPr>
        <w:t>等酸性氧化物超标的情况，通过大气污染土壤的可能性较小。</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2）水污染途径</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本项目井场建设期污染物主要通过地面漫流、垂直入渗途径污染土壤。</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①地面漫流</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对于</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储层改造阶段废水储层设施（压裂液储罐、放喷池）等</w:t>
      </w:r>
      <w:r>
        <w:rPr>
          <w:rFonts w:hint="default" w:ascii="Times New Roman" w:hAnsi="Times New Roman" w:cs="Times New Roman"/>
          <w:bCs/>
          <w:color w:val="000000" w:themeColor="text1"/>
          <w:szCs w:val="24"/>
          <w:highlight w:val="none"/>
          <w14:textFill>
            <w14:solidFill>
              <w14:schemeClr w14:val="tx1"/>
            </w14:solidFill>
          </w14:textFill>
        </w:rPr>
        <w:t>区域，在事故情况和降雨情况下产生的废水会发生地面漫流，进一步污染土壤。</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建设单位对</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压裂液储罐、</w:t>
      </w:r>
      <w:r>
        <w:rPr>
          <w:rFonts w:hint="default" w:ascii="Times New Roman" w:hAnsi="Times New Roman" w:cs="Times New Roman"/>
          <w:bCs/>
          <w:color w:val="000000" w:themeColor="text1"/>
          <w:szCs w:val="24"/>
          <w:highlight w:val="none"/>
          <w14:textFill>
            <w14:solidFill>
              <w14:schemeClr w14:val="tx1"/>
            </w14:solidFill>
          </w14:textFill>
        </w:rPr>
        <w:t>放喷池在雨天加盖篷布，避免暴雨引起废水、废油外溢形成地面漫流。并在</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储罐</w:t>
      </w:r>
      <w:r>
        <w:rPr>
          <w:rFonts w:hint="default" w:ascii="Times New Roman" w:hAnsi="Times New Roman" w:cs="Times New Roman"/>
          <w:bCs/>
          <w:color w:val="000000" w:themeColor="text1"/>
          <w:szCs w:val="24"/>
          <w:highlight w:val="none"/>
          <w14:textFill>
            <w14:solidFill>
              <w14:schemeClr w14:val="tx1"/>
            </w14:solidFill>
          </w14:textFill>
        </w:rPr>
        <w:t>周围设置0.</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Cs w:val="24"/>
          <w:highlight w:val="none"/>
          <w14:textFill>
            <w14:solidFill>
              <w14:schemeClr w14:val="tx1"/>
            </w14:solidFill>
          </w14:textFill>
        </w:rPr>
        <w:t>m高围堰，防止废水外溢；放喷池最低面墙设置不低于0.5m，避免雨水进入；井口作业区周边设置导流沟，将可能泄露的废水导流至集污坑；井场四周设置双环沟，外环沟与自然沟渠连接，便于导排场地外雨水等，内环沟用于收集井场内的雨水和可能产生的污水，汇入集污坑。通过以上措施全面防控事故废水和可能受污染的雨水发生地面漫流，进入土壤。</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在全面落实污染防控措施的情况下，污染物的地面漫流对土壤影响较小。</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②垂直入渗</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对于</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储层改造阶段废水储层设施（压裂液储罐、放喷池）等</w:t>
      </w:r>
      <w:r>
        <w:rPr>
          <w:rFonts w:hint="default" w:ascii="Times New Roman" w:hAnsi="Times New Roman" w:cs="Times New Roman"/>
          <w:bCs/>
          <w:color w:val="000000" w:themeColor="text1"/>
          <w:szCs w:val="24"/>
          <w:highlight w:val="none"/>
          <w14:textFill>
            <w14:solidFill>
              <w14:schemeClr w14:val="tx1"/>
            </w14:solidFill>
          </w14:textFill>
        </w:rPr>
        <w:t>区域，在事故情况下会造成污染物的</w:t>
      </w:r>
      <w:r>
        <w:rPr>
          <w:rFonts w:hint="eastAsia" w:ascii="Times New Roman" w:hAnsi="Times New Roman" w:cs="Times New Roman"/>
          <w:bCs/>
          <w:color w:val="000000" w:themeColor="text1"/>
          <w:szCs w:val="24"/>
          <w:highlight w:val="none"/>
          <w:lang w:eastAsia="zh-CN"/>
          <w14:textFill>
            <w14:solidFill>
              <w14:schemeClr w14:val="tx1"/>
            </w14:solidFill>
          </w14:textFill>
        </w:rPr>
        <w:t>泄漏</w:t>
      </w:r>
      <w:r>
        <w:rPr>
          <w:rFonts w:hint="default" w:ascii="Times New Roman" w:hAnsi="Times New Roman" w:cs="Times New Roman"/>
          <w:bCs/>
          <w:color w:val="000000" w:themeColor="text1"/>
          <w:szCs w:val="24"/>
          <w:highlight w:val="none"/>
          <w14:textFill>
            <w14:solidFill>
              <w14:schemeClr w14:val="tx1"/>
            </w14:solidFill>
          </w14:textFill>
        </w:rPr>
        <w:t>，通过垂直入渗途径污染土壤。</w:t>
      </w:r>
    </w:p>
    <w:p>
      <w:pPr>
        <w:pStyle w:val="27"/>
        <w:ind w:firstLine="480"/>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本项目采取分区防渗措施，</w:t>
      </w:r>
      <w:r>
        <w:rPr>
          <w:rFonts w:hint="default" w:ascii="Times New Roman" w:hAnsi="Times New Roman" w:cs="Times New Roman"/>
          <w:color w:val="000000" w:themeColor="text1"/>
          <w:szCs w:val="24"/>
          <w:highlight w:val="none"/>
          <w14:textFill>
            <w14:solidFill>
              <w14:schemeClr w14:val="tx1"/>
            </w14:solidFill>
          </w14:textFill>
        </w:rPr>
        <w:t>场地内方井、放喷池、</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压裂液储罐</w:t>
      </w:r>
      <w:r>
        <w:rPr>
          <w:rFonts w:hint="default" w:ascii="Times New Roman" w:hAnsi="Times New Roman" w:cs="Times New Roman"/>
          <w:color w:val="000000" w:themeColor="text1"/>
          <w:szCs w:val="24"/>
          <w:highlight w:val="none"/>
          <w14:textFill>
            <w14:solidFill>
              <w14:schemeClr w14:val="tx1"/>
            </w14:solidFill>
          </w14:textFill>
        </w:rPr>
        <w:t>等采取重点防渗措施</w:t>
      </w:r>
      <w:r>
        <w:rPr>
          <w:rFonts w:hint="default" w:ascii="Times New Roman" w:hAnsi="Times New Roman" w:cs="Times New Roman"/>
          <w:bCs/>
          <w:color w:val="000000" w:themeColor="text1"/>
          <w:szCs w:val="24"/>
          <w:highlight w:val="none"/>
          <w14:textFill>
            <w14:solidFill>
              <w14:schemeClr w14:val="tx1"/>
            </w14:solidFill>
          </w14:textFill>
        </w:rPr>
        <w:t>。在全面落实分区防渗措施的情况下，污染物的垂直入渗对土壤影响较小。</w:t>
      </w:r>
    </w:p>
    <w:p>
      <w:pPr>
        <w:pStyle w:val="27"/>
        <w:ind w:firstLine="482"/>
        <w:rPr>
          <w:rFonts w:hint="default" w:ascii="Times New Roman" w:hAnsi="Times New Roman" w:cs="Times New Roman"/>
          <w:b/>
          <w:color w:val="000000" w:themeColor="text1"/>
          <w:szCs w:val="24"/>
          <w:highlight w:val="none"/>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（2）土壤环境影响预测与评价</w:t>
      </w:r>
    </w:p>
    <w:p>
      <w:pPr>
        <w:pStyle w:val="27"/>
        <w:ind w:firstLine="480"/>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本次评价储层改造阶段同样类比</w:t>
      </w:r>
      <w:r>
        <w:rPr>
          <w:rFonts w:hint="default" w:ascii="Times New Roman" w:hAnsi="Times New Roman" w:cs="Times New Roman"/>
          <w:color w:val="000000" w:themeColor="text1"/>
          <w:szCs w:val="24"/>
          <w:highlight w:val="none"/>
          <w14:textFill>
            <w14:solidFill>
              <w14:schemeClr w14:val="tx1"/>
            </w14:solidFill>
          </w14:textFill>
        </w:rPr>
        <w:t>同区域的老君701集气站内监测数据进行分析（老君701集气站涉及施工</w:t>
      </w:r>
      <w:r>
        <w:rPr>
          <w:rFonts w:hint="eastAsia" w:ascii="Times New Roman" w:hAnsi="Times New Roman" w:cs="Times New Roman"/>
          <w:color w:val="000000" w:themeColor="text1"/>
          <w:szCs w:val="24"/>
          <w:highlight w:val="none"/>
          <w:lang w:val="en-US" w:eastAsia="zh-CN"/>
          <w14:textFill>
            <w14:solidFill>
              <w14:schemeClr w14:val="tx1"/>
            </w14:solidFill>
          </w14:textFill>
        </w:rPr>
        <w:t>储层改造</w:t>
      </w:r>
      <w:r>
        <w:rPr>
          <w:rFonts w:hint="default" w:ascii="Times New Roman" w:hAnsi="Times New Roman" w:cs="Times New Roman"/>
          <w:color w:val="000000" w:themeColor="text1"/>
          <w:szCs w:val="24"/>
          <w:highlight w:val="none"/>
          <w14:textFill>
            <w14:solidFill>
              <w14:schemeClr w14:val="tx1"/>
            </w14:solidFill>
          </w14:textFill>
        </w:rPr>
        <w:t>期，因此具有可比性）</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类比结果见前文</w:t>
      </w:r>
      <w:r>
        <w:rPr>
          <w:rFonts w:hint="eastAsia" w:ascii="Times New Roman" w:hAnsi="Times New Roman" w:cs="Times New Roman"/>
          <w:color w:val="000000" w:themeColor="text1"/>
          <w:szCs w:val="24"/>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szCs w:val="24"/>
          <w:highlight w:val="none"/>
          <w:lang w:val="en-US" w:eastAsia="zh-CN"/>
          <w14:textFill>
            <w14:solidFill>
              <w14:schemeClr w14:val="tx1"/>
            </w14:solidFill>
          </w14:textFill>
        </w:rPr>
        <w:instrText xml:space="preserve"> REF _Ref26447 \h </w:instrText>
      </w:r>
      <w:r>
        <w:rPr>
          <w:rFonts w:hint="eastAsia" w:ascii="Times New Roman" w:hAnsi="Times New Roman" w:cs="Times New Roman"/>
          <w:color w:val="000000" w:themeColor="text1"/>
          <w:szCs w:val="24"/>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szCs w:val="24"/>
          <w:highlight w:val="none"/>
          <w14:textFill>
            <w14:solidFill>
              <w14:schemeClr w14:val="tx1"/>
            </w14:solidFill>
          </w14:textFill>
        </w:rPr>
        <w:t>表</w:t>
      </w:r>
      <w:r>
        <w:rPr>
          <w:rFonts w:hint="default" w:ascii="Times New Roman" w:hAnsi="Times New Roman" w:cs="Times New Roman"/>
          <w:color w:val="000000" w:themeColor="text1"/>
          <w:szCs w:val="24"/>
          <w:highlight w:val="none"/>
          <w14:textFill>
            <w14:solidFill>
              <w14:schemeClr w14:val="tx1"/>
            </w14:solidFill>
          </w14:textFill>
        </w:rPr>
        <w:fldChar w:fldCharType="begin"/>
      </w:r>
      <w:r>
        <w:rPr>
          <w:rFonts w:hint="default" w:ascii="Times New Roman" w:hAnsi="Times New Roman" w:cs="Times New Roman"/>
          <w:color w:val="000000" w:themeColor="text1"/>
          <w:szCs w:val="24"/>
          <w:highlight w:val="none"/>
          <w14:textFill>
            <w14:solidFill>
              <w14:schemeClr w14:val="tx1"/>
            </w14:solidFill>
          </w14:textFill>
        </w:rPr>
        <w:instrText xml:space="preserve"> </w:instrText>
      </w:r>
      <w:r>
        <w:rPr>
          <w:rFonts w:hint="eastAsia" w:ascii="Times New Roman" w:hAnsi="Times New Roman" w:cs="Times New Roman"/>
          <w:color w:val="000000" w:themeColor="text1"/>
          <w:szCs w:val="24"/>
          <w:highlight w:val="none"/>
          <w14:textFill>
            <w14:solidFill>
              <w14:schemeClr w14:val="tx1"/>
            </w14:solidFill>
          </w14:textFill>
        </w:rPr>
        <w:instrText xml:space="preserve">STYLEREF 2 \s</w:instrText>
      </w:r>
      <w:r>
        <w:rPr>
          <w:rFonts w:hint="default" w:ascii="Times New Roman" w:hAnsi="Times New Roman" w:cs="Times New Roman"/>
          <w:color w:val="000000" w:themeColor="text1"/>
          <w:szCs w:val="24"/>
          <w:highlight w:val="none"/>
          <w14:textFill>
            <w14:solidFill>
              <w14:schemeClr w14:val="tx1"/>
            </w14:solidFill>
          </w14:textFill>
        </w:rPr>
        <w:instrText xml:space="preserve"> </w:instrText>
      </w:r>
      <w:r>
        <w:rPr>
          <w:rFonts w:hint="default" w:ascii="Times New Roman" w:hAnsi="Times New Roman" w:cs="Times New Roman"/>
          <w:color w:val="000000" w:themeColor="text1"/>
          <w:szCs w:val="24"/>
          <w:highlight w:val="none"/>
          <w14:textFill>
            <w14:solidFill>
              <w14:schemeClr w14:val="tx1"/>
            </w14:solidFill>
          </w14:textFill>
        </w:rPr>
        <w:fldChar w:fldCharType="separate"/>
      </w:r>
      <w:r>
        <w:rPr>
          <w:rFonts w:hint="eastAsia" w:ascii="Times New Roman" w:hAnsi="Times New Roman" w:cs="Times New Roman"/>
          <w:color w:val="000000" w:themeColor="text1"/>
          <w:szCs w:val="24"/>
          <w:highlight w:val="none"/>
          <w14:textFill>
            <w14:solidFill>
              <w14:schemeClr w14:val="tx1"/>
            </w14:solidFill>
          </w14:textFill>
        </w:rPr>
        <w:t>5.1</w:t>
      </w:r>
      <w:r>
        <w:rPr>
          <w:rFonts w:hint="default" w:ascii="Times New Roman" w:hAnsi="Times New Roman" w:cs="Times New Roman"/>
          <w:color w:val="000000" w:themeColor="text1"/>
          <w:szCs w:val="24"/>
          <w:highlight w:val="none"/>
          <w14:textFill>
            <w14:solidFill>
              <w14:schemeClr w14:val="tx1"/>
            </w14:solidFill>
          </w14:textFill>
        </w:rPr>
        <w:fldChar w:fldCharType="end"/>
      </w:r>
      <w:r>
        <w:rPr>
          <w:rFonts w:hint="default" w:ascii="Times New Roman" w:hAnsi="Times New Roman" w:cs="Times New Roman"/>
          <w:color w:val="000000" w:themeColor="text1"/>
          <w:szCs w:val="24"/>
          <w:highlight w:val="none"/>
          <w14:textFill>
            <w14:solidFill>
              <w14:schemeClr w14:val="tx1"/>
            </w14:solidFill>
          </w14:textFill>
        </w:rPr>
        <w:noBreakHyphen/>
      </w:r>
      <w:r>
        <w:rPr>
          <w:rFonts w:hint="eastAsia" w:ascii="Times New Roman" w:hAnsi="Times New Roman" w:cs="Times New Roman"/>
          <w:color w:val="000000" w:themeColor="text1"/>
          <w:szCs w:val="24"/>
          <w:highlight w:val="none"/>
          <w14:textFill>
            <w14:solidFill>
              <w14:schemeClr w14:val="tx1"/>
            </w14:solidFill>
          </w14:textFill>
        </w:rPr>
        <w:t>8</w:t>
      </w:r>
      <w:r>
        <w:rPr>
          <w:rFonts w:hint="eastAsia" w:ascii="Times New Roman" w:hAnsi="Times New Roman" w:cs="Times New Roman"/>
          <w:color w:val="000000" w:themeColor="text1"/>
          <w:szCs w:val="24"/>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szCs w:val="24"/>
          <w:highlight w:val="none"/>
          <w:lang w:val="en-US" w:eastAsia="zh-CN"/>
          <w14:textFill>
            <w14:solidFill>
              <w14:schemeClr w14:val="tx1"/>
            </w14:solidFill>
          </w14:textFill>
        </w:rPr>
        <w:t>中数据。</w:t>
      </w:r>
    </w:p>
    <w:p>
      <w:pPr>
        <w:pStyle w:val="27"/>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根据项目对土壤环境影响途径分析和类比同类项目同类地区的建设经验，项目建设对土壤环境的影响很小，可接受。</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固体废物环境影响分析</w:t>
      </w:r>
    </w:p>
    <w:p>
      <w:pPr>
        <w:pStyle w:val="27"/>
        <w:ind w:firstLine="482"/>
        <w:rPr>
          <w:rFonts w:hint="default" w:ascii="Times New Roman" w:hAnsi="Times New Roman" w:cs="Times New Roman"/>
          <w:b/>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4"/>
          <w:highlight w:val="none"/>
          <w14:textFill>
            <w14:solidFill>
              <w14:schemeClr w14:val="tx1"/>
            </w14:solidFill>
          </w14:textFill>
        </w:rPr>
        <w:t>）生活垃圾</w:t>
      </w:r>
      <w:r>
        <w:rPr>
          <w:rFonts w:hint="default" w:ascii="Times New Roman" w:hAnsi="Times New Roman" w:cs="Times New Roman"/>
          <w:b/>
          <w:color w:val="000000" w:themeColor="text1"/>
          <w:szCs w:val="24"/>
          <w:highlight w:val="none"/>
          <w14:textFill>
            <w14:solidFill>
              <w14:schemeClr w14:val="tx1"/>
            </w14:solidFill>
          </w14:textFill>
        </w:rPr>
        <w:t>影响分析</w:t>
      </w:r>
    </w:p>
    <w:p>
      <w:pPr>
        <w:pStyle w:val="27"/>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生活垃圾可分为两类，如可降解的果皮、菜根、废纸、烟盒、剩饭菜等，不可降解的塑料制品、废金属、废电池等，这些垃圾分类堆放，定期交由环卫部门妥善处置。</w:t>
      </w:r>
    </w:p>
    <w:p>
      <w:pPr>
        <w:pStyle w:val="27"/>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一般情况下，生活垃圾对环境影响不大，但在管理不严特别是大风天气时，轻质垃圾如废纸、塑料等随风移动，散乱在地或悬挂灌木，影响环境卫生；再者，遇到大雨时，如果垃圾没有堆放好，可能会被水冲走，影响周围土壤环境；若垃圾不能及时清运，则容易经风吹雨淋而腐烂变质，不但会影响周围环境的卫生和美观，而且产生的恶臭、淋液可能影响局部地下水。生活垃圾重在管理，施工作业场地设垃圾收集桶，生活垃圾依托当地环卫部门对生活垃圾进行定期清运在统一外运至当地垃圾处理场所进行处置后，对环境影响较小。</w:t>
      </w:r>
    </w:p>
    <w:p>
      <w:pPr>
        <w:pStyle w:val="27"/>
        <w:ind w:firstLine="482"/>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Cs w:val="24"/>
          <w:highlight w:val="none"/>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Cs w:val="24"/>
          <w:highlight w:val="none"/>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建筑垃圾</w:t>
      </w:r>
    </w:p>
    <w:p>
      <w:pPr>
        <w:pStyle w:val="27"/>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完井搬迁时可能产生少量建筑垃圾，主要如包装袋，废弃建筑材料等，其量小，由施工队伍统一收集清运至政府指定地方</w:t>
      </w:r>
      <w:r>
        <w:rPr>
          <w:rFonts w:hint="default" w:ascii="Times New Roman" w:hAnsi="Times New Roman" w:cs="Times New Roman"/>
          <w:color w:val="000000" w:themeColor="text1"/>
          <w:szCs w:val="24"/>
          <w:highlight w:val="none"/>
          <w14:textFill>
            <w14:solidFill>
              <w14:schemeClr w14:val="tx1"/>
            </w14:solidFill>
          </w14:textFill>
        </w:rPr>
        <w:t>，对周围环境的影响也较小。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施工期</w:t>
      </w:r>
      <w:r>
        <w:rPr>
          <w:rFonts w:ascii="Times New Roman" w:hAnsi="Times New Roman" w:eastAsia="黑体"/>
          <w:b w:val="0"/>
          <w:color w:val="000000" w:themeColor="text1"/>
          <w:sz w:val="24"/>
          <w:szCs w:val="24"/>
          <w:highlight w:val="none"/>
          <w:lang w:eastAsia="zh-CN"/>
          <w14:textFill>
            <w14:solidFill>
              <w14:schemeClr w14:val="tx1"/>
            </w14:solidFill>
          </w14:textFill>
        </w:rPr>
        <w:t>油气集输工程</w:t>
      </w:r>
      <w:r>
        <w:rPr>
          <w:rFonts w:hint="eastAsia"/>
          <w:color w:val="000000" w:themeColor="text1"/>
          <w:highlight w:val="none"/>
          <w:lang w:val="en-US" w:eastAsia="zh-CN"/>
          <w14:textFill>
            <w14:solidFill>
              <w14:schemeClr w14:val="tx1"/>
            </w14:solidFill>
          </w14:textFill>
        </w:rPr>
        <w:t>建设</w:t>
      </w:r>
      <w:r>
        <w:rPr>
          <w:color w:val="000000" w:themeColor="text1"/>
          <w:highlight w:val="none"/>
          <w:lang w:eastAsia="zh-CN"/>
          <w14:textFill>
            <w14:solidFill>
              <w14:schemeClr w14:val="tx1"/>
            </w14:solidFill>
          </w14:textFill>
        </w:rPr>
        <w:t>环境影响分析</w:t>
      </w:r>
      <w:bookmarkEnd w:id="263"/>
    </w:p>
    <w:p>
      <w:pPr>
        <w:ind w:firstLine="482"/>
        <w:rPr>
          <w:rFonts w:hint="default" w:ascii="Times New Roman" w:hAnsi="Times New Roman" w:eastAsia="黑体" w:cs="Times New Roman"/>
          <w:b w:val="0"/>
          <w:bCs/>
          <w:color w:val="000000" w:themeColor="text1"/>
          <w:szCs w:val="24"/>
          <w:highlight w:val="none"/>
          <w14:textFill>
            <w14:solidFill>
              <w14:schemeClr w14:val="tx1"/>
            </w14:solidFill>
          </w14:textFill>
        </w:rPr>
      </w:pPr>
      <w:r>
        <w:rPr>
          <w:rFonts w:hint="default" w:ascii="Times New Roman" w:hAnsi="Times New Roman" w:eastAsia="黑体" w:cs="Times New Roman"/>
          <w:b w:val="0"/>
          <w:bCs/>
          <w:color w:val="000000" w:themeColor="text1"/>
          <w:szCs w:val="24"/>
          <w:highlight w:val="none"/>
          <w14:textFill>
            <w14:solidFill>
              <w14:schemeClr w14:val="tx1"/>
            </w14:solidFill>
          </w14:textFill>
        </w:rPr>
        <w:t>1、大气环境影响分析</w:t>
      </w:r>
    </w:p>
    <w:p>
      <w:pPr>
        <w:widowControl/>
        <w:ind w:firstLine="480"/>
        <w:jc w:val="left"/>
        <w:rPr>
          <w:rFonts w:cs="宋体"/>
          <w:color w:val="000000" w:themeColor="text1"/>
          <w:kern w:val="0"/>
          <w:szCs w:val="24"/>
          <w:highlight w:val="none"/>
          <w14:textFill>
            <w14:solidFill>
              <w14:schemeClr w14:val="tx1"/>
            </w14:solidFill>
          </w14:textFill>
        </w:rPr>
      </w:pPr>
      <w:r>
        <w:rPr>
          <w:rFonts w:hint="eastAsia" w:cs="宋体"/>
          <w:color w:val="000000" w:themeColor="text1"/>
          <w:kern w:val="0"/>
          <w:szCs w:val="24"/>
          <w:highlight w:val="none"/>
          <w14:textFill>
            <w14:solidFill>
              <w14:schemeClr w14:val="tx1"/>
            </w14:solidFill>
          </w14:textFill>
        </w:rPr>
        <w:t>管线</w:t>
      </w:r>
      <w:r>
        <w:rPr>
          <w:rFonts w:hint="eastAsia" w:cs="宋体"/>
          <w:color w:val="000000" w:themeColor="text1"/>
          <w:kern w:val="0"/>
          <w:szCs w:val="24"/>
          <w:highlight w:val="none"/>
          <w:lang w:val="en-US" w:eastAsia="zh-CN"/>
          <w14:textFill>
            <w14:solidFill>
              <w14:schemeClr w14:val="tx1"/>
            </w14:solidFill>
          </w14:textFill>
        </w:rPr>
        <w:t>和试采站建设</w:t>
      </w:r>
      <w:r>
        <w:rPr>
          <w:rFonts w:hint="eastAsia" w:cs="宋体"/>
          <w:color w:val="000000" w:themeColor="text1"/>
          <w:kern w:val="0"/>
          <w:szCs w:val="24"/>
          <w:highlight w:val="none"/>
          <w14:textFill>
            <w14:solidFill>
              <w14:schemeClr w14:val="tx1"/>
            </w14:solidFill>
          </w14:textFill>
        </w:rPr>
        <w:t>施工废气污染源主要来自地面开挖、回填、土石堆放和运输车辆行驶产生的扬尘</w:t>
      </w:r>
      <w:r>
        <w:rPr>
          <w:rFonts w:hint="eastAsia" w:cs="宋体"/>
          <w:color w:val="000000" w:themeColor="text1"/>
          <w:kern w:val="0"/>
          <w:szCs w:val="24"/>
          <w:highlight w:val="none"/>
          <w:lang w:eastAsia="zh-CN"/>
          <w14:textFill>
            <w14:solidFill>
              <w14:schemeClr w14:val="tx1"/>
            </w14:solidFill>
          </w14:textFill>
        </w:rPr>
        <w:t>，以</w:t>
      </w:r>
      <w:r>
        <w:rPr>
          <w:rFonts w:hint="eastAsia" w:cs="宋体"/>
          <w:color w:val="000000" w:themeColor="text1"/>
          <w:kern w:val="0"/>
          <w:szCs w:val="24"/>
          <w:highlight w:val="none"/>
          <w14:textFill>
            <w14:solidFill>
              <w14:schemeClr w14:val="tx1"/>
            </w14:solidFill>
          </w14:textFill>
        </w:rPr>
        <w:t>及施工机械、运输车辆排放的尾气，</w:t>
      </w:r>
      <w:r>
        <w:rPr>
          <w:rFonts w:hint="eastAsia" w:cs="Times New Roman"/>
          <w:bCs/>
          <w:color w:val="000000" w:themeColor="text1"/>
          <w:highlight w:val="none"/>
          <w:lang w:val="en-US" w:eastAsia="zh-CN"/>
          <w14:textFill>
            <w14:solidFill>
              <w14:schemeClr w14:val="tx1"/>
            </w14:solidFill>
          </w14:textFill>
        </w:rPr>
        <w:t>焊接烟尘以及防腐废气，</w:t>
      </w:r>
      <w:r>
        <w:rPr>
          <w:rFonts w:hint="eastAsia" w:cs="宋体"/>
          <w:color w:val="000000" w:themeColor="text1"/>
          <w:kern w:val="0"/>
          <w:szCs w:val="24"/>
          <w:highlight w:val="none"/>
          <w14:textFill>
            <w14:solidFill>
              <w14:schemeClr w14:val="tx1"/>
            </w14:solidFill>
          </w14:textFill>
        </w:rPr>
        <w:t>主要污染物为CO和NOx等。这些污染物将对环境空气造成一定程度的污染，但这种污染是短期的，工程结束后，将不复存在。</w:t>
      </w:r>
    </w:p>
    <w:p>
      <w:pPr>
        <w:widowControl/>
        <w:ind w:firstLine="482"/>
        <w:jc w:val="left"/>
        <w:rPr>
          <w:rFonts w:cs="宋体"/>
          <w:color w:val="000000" w:themeColor="text1"/>
          <w:kern w:val="0"/>
          <w:szCs w:val="24"/>
          <w:highlight w:val="none"/>
          <w14:textFill>
            <w14:solidFill>
              <w14:schemeClr w14:val="tx1"/>
            </w14:solidFill>
          </w14:textFill>
        </w:rPr>
      </w:pPr>
      <w:r>
        <w:rPr>
          <w:rFonts w:cs="宋体"/>
          <w:b/>
          <w:bCs/>
          <w:color w:val="000000" w:themeColor="text1"/>
          <w:kern w:val="0"/>
          <w:szCs w:val="24"/>
          <w:highlight w:val="none"/>
          <w14:textFill>
            <w14:solidFill>
              <w14:schemeClr w14:val="tx1"/>
            </w14:solidFill>
          </w14:textFill>
        </w:rPr>
        <w:t>（1）扬尘</w:t>
      </w:r>
    </w:p>
    <w:p>
      <w:pPr>
        <w:widowControl/>
        <w:ind w:firstLine="480"/>
        <w:jc w:val="left"/>
        <w:rPr>
          <w:rFonts w:cs="宋体"/>
          <w:color w:val="000000" w:themeColor="text1"/>
          <w:kern w:val="0"/>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扬尘主要产生于两个部分：</w:t>
      </w:r>
      <w:r>
        <w:rPr>
          <w:rFonts w:hint="eastAsia" w:cs="宋体"/>
          <w:color w:val="000000" w:themeColor="text1"/>
          <w:kern w:val="0"/>
          <w:szCs w:val="24"/>
          <w:highlight w:val="none"/>
          <w:lang w:val="en-US" w:eastAsia="zh-CN"/>
          <w14:textFill>
            <w14:solidFill>
              <w14:schemeClr w14:val="tx1"/>
            </w14:solidFill>
          </w14:textFill>
        </w:rPr>
        <w:t>试采站基础、管线</w:t>
      </w:r>
      <w:r>
        <w:rPr>
          <w:rFonts w:hint="eastAsia" w:cs="Times New Roman"/>
          <w:bCs/>
          <w:color w:val="000000" w:themeColor="text1"/>
          <w:highlight w:val="none"/>
          <w:lang w:val="en-US" w:eastAsia="zh-CN"/>
          <w14:textFill>
            <w14:solidFill>
              <w14:schemeClr w14:val="tx1"/>
            </w14:solidFill>
          </w14:textFill>
        </w:rPr>
        <w:t>场地平整压实作业</w:t>
      </w:r>
      <w:r>
        <w:rPr>
          <w:rFonts w:cs="宋体"/>
          <w:color w:val="000000" w:themeColor="text1"/>
          <w:kern w:val="0"/>
          <w:szCs w:val="24"/>
          <w:highlight w:val="none"/>
          <w14:textFill>
            <w14:solidFill>
              <w14:schemeClr w14:val="tx1"/>
            </w14:solidFill>
          </w14:textFill>
        </w:rPr>
        <w:t>的地面开挖、填埋、土石方堆放，以及车辆运输过程产生的扬尘。施工期间产生的扬尘污染主要取决于施工作业方式、材料的堆放以及风力等因素，其中受风力的影响因素最大，随着风速的增大，施工扬尘的污染程度和超标范围也将随之增强和扩大。</w:t>
      </w:r>
    </w:p>
    <w:p>
      <w:pPr>
        <w:widowControl/>
        <w:ind w:firstLine="480"/>
        <w:rPr>
          <w:rFonts w:cs="宋体"/>
          <w:color w:val="000000" w:themeColor="text1"/>
          <w:kern w:val="0"/>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管道的地面开挖、填埋、土石方堆放过程为分段进行，施工时间较短，作业带内产生的扬尘为无组织面源排放，根据类似工程的实际现场调查：在大风情况下施工现场下风向1m处扬尘浓度可达3mg/m</w:t>
      </w:r>
      <w:r>
        <w:rPr>
          <w:rFonts w:cs="宋体"/>
          <w:color w:val="000000" w:themeColor="text1"/>
          <w:kern w:val="0"/>
          <w:szCs w:val="24"/>
          <w:highlight w:val="none"/>
          <w:vertAlign w:val="superscript"/>
          <w14:textFill>
            <w14:solidFill>
              <w14:schemeClr w14:val="tx1"/>
            </w14:solidFill>
          </w14:textFill>
        </w:rPr>
        <w:t>3</w:t>
      </w:r>
      <w:r>
        <w:rPr>
          <w:rFonts w:cs="宋体"/>
          <w:color w:val="000000" w:themeColor="text1"/>
          <w:kern w:val="0"/>
          <w:szCs w:val="24"/>
          <w:highlight w:val="none"/>
          <w14:textFill>
            <w14:solidFill>
              <w14:schemeClr w14:val="tx1"/>
            </w14:solidFill>
          </w14:textFill>
        </w:rPr>
        <w:t>以上，25m处为1.53mg/m</w:t>
      </w:r>
      <w:r>
        <w:rPr>
          <w:rFonts w:cs="宋体"/>
          <w:color w:val="000000" w:themeColor="text1"/>
          <w:kern w:val="0"/>
          <w:szCs w:val="24"/>
          <w:highlight w:val="none"/>
          <w:vertAlign w:val="superscript"/>
          <w14:textFill>
            <w14:solidFill>
              <w14:schemeClr w14:val="tx1"/>
            </w14:solidFill>
          </w14:textFill>
        </w:rPr>
        <w:t>3</w:t>
      </w:r>
      <w:r>
        <w:rPr>
          <w:rFonts w:cs="宋体"/>
          <w:color w:val="000000" w:themeColor="text1"/>
          <w:kern w:val="0"/>
          <w:szCs w:val="24"/>
          <w:highlight w:val="none"/>
          <w14:textFill>
            <w14:solidFill>
              <w14:schemeClr w14:val="tx1"/>
            </w14:solidFill>
          </w14:textFill>
        </w:rPr>
        <w:t>，下风向60m范围内TSP浓度超标。管道沿线的较近居住民施工期内会受到施工扬尘的影响，但由于施工过程为分段进行，施工时间较短，</w:t>
      </w:r>
      <w:r>
        <w:rPr>
          <w:rFonts w:hint="eastAsia" w:cs="宋体"/>
          <w:color w:val="000000" w:themeColor="text1"/>
          <w:kern w:val="0"/>
          <w:szCs w:val="24"/>
          <w:highlight w:val="none"/>
          <w14:textFill>
            <w14:solidFill>
              <w14:schemeClr w14:val="tx1"/>
            </w14:solidFill>
          </w14:textFill>
        </w:rPr>
        <w:t>且本项目管线周边1</w:t>
      </w:r>
      <w:r>
        <w:rPr>
          <w:rFonts w:cs="宋体"/>
          <w:color w:val="000000" w:themeColor="text1"/>
          <w:kern w:val="0"/>
          <w:szCs w:val="24"/>
          <w:highlight w:val="none"/>
          <w14:textFill>
            <w14:solidFill>
              <w14:schemeClr w14:val="tx1"/>
            </w14:solidFill>
          </w14:textFill>
        </w:rPr>
        <w:t>00</w:t>
      </w:r>
      <w:r>
        <w:rPr>
          <w:rFonts w:hint="eastAsia" w:cs="宋体"/>
          <w:color w:val="000000" w:themeColor="text1"/>
          <w:kern w:val="0"/>
          <w:szCs w:val="24"/>
          <w:highlight w:val="none"/>
          <w14:textFill>
            <w14:solidFill>
              <w14:schemeClr w14:val="tx1"/>
            </w14:solidFill>
          </w14:textFill>
        </w:rPr>
        <w:t>m范围内居民都将拆迁</w:t>
      </w:r>
      <w:r>
        <w:rPr>
          <w:rFonts w:cs="宋体"/>
          <w:color w:val="000000" w:themeColor="text1"/>
          <w:kern w:val="0"/>
          <w:szCs w:val="24"/>
          <w:highlight w:val="none"/>
          <w14:textFill>
            <w14:solidFill>
              <w14:schemeClr w14:val="tx1"/>
            </w14:solidFill>
          </w14:textFill>
        </w:rPr>
        <w:t>，因此总体而言，管线施工作业扬尘污染是短时的，且影响不会很大。</w:t>
      </w:r>
      <w:r>
        <w:rPr>
          <w:rFonts w:hint="eastAsia" w:cs="宋体"/>
          <w:color w:val="000000" w:themeColor="text1"/>
          <w:kern w:val="0"/>
          <w:szCs w:val="24"/>
          <w:highlight w:val="none"/>
          <w14:textFill>
            <w14:solidFill>
              <w14:schemeClr w14:val="tx1"/>
            </w14:solidFill>
          </w14:textFill>
        </w:rPr>
        <w:t>因此</w:t>
      </w:r>
      <w:r>
        <w:rPr>
          <w:rFonts w:cs="宋体"/>
          <w:color w:val="000000" w:themeColor="text1"/>
          <w:kern w:val="0"/>
          <w:szCs w:val="24"/>
          <w:highlight w:val="none"/>
          <w14:textFill>
            <w14:solidFill>
              <w14:schemeClr w14:val="tx1"/>
            </w14:solidFill>
          </w14:textFill>
        </w:rPr>
        <w:t>在采取合理化管理、作业面和土堆适当喷水、土堆和建筑材料遮盖、大风天停止作业等措施后，施工扬尘对周围保护目标的影响会大为降低。</w:t>
      </w:r>
    </w:p>
    <w:p>
      <w:pPr>
        <w:widowControl/>
        <w:ind w:firstLine="480"/>
        <w:jc w:val="left"/>
        <w:rPr>
          <w:rFonts w:cs="宋体"/>
          <w:color w:val="000000" w:themeColor="text1"/>
          <w:kern w:val="0"/>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汽车施工阶段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洒水抑尘、车辆不要装载过满并采取密闭或遮盖措施，可大大减少运输扬尘对周围环境空气的影响。</w:t>
      </w:r>
    </w:p>
    <w:p>
      <w:pPr>
        <w:widowControl/>
        <w:ind w:firstLine="480"/>
        <w:jc w:val="left"/>
        <w:rPr>
          <w:rFonts w:cs="宋体"/>
          <w:color w:val="000000" w:themeColor="text1"/>
          <w:kern w:val="0"/>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总体而言，施工期扬尘对管道沿经各大气敏感点影响很小，属可接受范围。</w:t>
      </w:r>
    </w:p>
    <w:p>
      <w:pPr>
        <w:widowControl/>
        <w:ind w:firstLine="482"/>
        <w:jc w:val="left"/>
        <w:rPr>
          <w:rFonts w:cs="宋体"/>
          <w:b/>
          <w:bCs/>
          <w:color w:val="000000" w:themeColor="text1"/>
          <w:kern w:val="0"/>
          <w:szCs w:val="24"/>
          <w:highlight w:val="none"/>
          <w14:textFill>
            <w14:solidFill>
              <w14:schemeClr w14:val="tx1"/>
            </w14:solidFill>
          </w14:textFill>
        </w:rPr>
      </w:pPr>
      <w:r>
        <w:rPr>
          <w:rFonts w:cs="宋体"/>
          <w:b/>
          <w:bCs/>
          <w:color w:val="000000" w:themeColor="text1"/>
          <w:kern w:val="0"/>
          <w:szCs w:val="24"/>
          <w:highlight w:val="none"/>
          <w14:textFill>
            <w14:solidFill>
              <w14:schemeClr w14:val="tx1"/>
            </w14:solidFill>
          </w14:textFill>
        </w:rPr>
        <w:t>（2）施工机具尾气</w:t>
      </w:r>
    </w:p>
    <w:p>
      <w:pPr>
        <w:widowControl/>
        <w:ind w:firstLine="480"/>
        <w:jc w:val="left"/>
        <w:rPr>
          <w:rFonts w:cs="宋体"/>
          <w:color w:val="000000" w:themeColor="text1"/>
          <w:kern w:val="0"/>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施工期间，运输汽车、施工机械由于使用汽油或柴油，将产生燃烧尾气，主要污染物为CO、NOx等。但由于废气量较小，且施工现场均在野外，有利于空气的扩散，同时废气污染源具有间歇性和流动性，该类污染源对大气环境的影响较小。</w:t>
      </w:r>
    </w:p>
    <w:p>
      <w:pPr>
        <w:widowControl/>
        <w:ind w:firstLine="482"/>
        <w:jc w:val="left"/>
        <w:rPr>
          <w:rFonts w:cs="宋体"/>
          <w:b/>
          <w:bCs/>
          <w:color w:val="000000" w:themeColor="text1"/>
          <w:kern w:val="0"/>
          <w:szCs w:val="24"/>
          <w:highlight w:val="none"/>
          <w14:textFill>
            <w14:solidFill>
              <w14:schemeClr w14:val="tx1"/>
            </w14:solidFill>
          </w14:textFill>
        </w:rPr>
      </w:pPr>
      <w:r>
        <w:rPr>
          <w:rFonts w:cs="宋体"/>
          <w:b/>
          <w:bCs/>
          <w:color w:val="000000" w:themeColor="text1"/>
          <w:kern w:val="0"/>
          <w:szCs w:val="24"/>
          <w:highlight w:val="none"/>
          <w14:textFill>
            <w14:solidFill>
              <w14:schemeClr w14:val="tx1"/>
            </w14:solidFill>
          </w14:textFill>
        </w:rPr>
        <w:t>（3）焊接烟尘</w:t>
      </w:r>
    </w:p>
    <w:p>
      <w:pPr>
        <w:widowControl/>
        <w:ind w:firstLine="480"/>
        <w:jc w:val="left"/>
        <w:rPr>
          <w:rFonts w:cs="宋体"/>
          <w:color w:val="000000" w:themeColor="text1"/>
          <w:kern w:val="0"/>
          <w:szCs w:val="24"/>
          <w:highlight w:val="none"/>
          <w14:textFill>
            <w14:solidFill>
              <w14:schemeClr w14:val="tx1"/>
            </w14:solidFill>
          </w14:textFill>
        </w:rPr>
      </w:pPr>
      <w:r>
        <w:rPr>
          <w:rFonts w:ascii="宋体" w:hAnsi="宋体" w:cs="宋体"/>
          <w:color w:val="000000" w:themeColor="text1"/>
          <w:kern w:val="0"/>
          <w:szCs w:val="24"/>
          <w:highlight w:val="none"/>
          <w14:textFill>
            <w14:solidFill>
              <w14:schemeClr w14:val="tx1"/>
            </w14:solidFill>
          </w14:textFill>
        </w:rPr>
        <w:t>焊接烟气主要是在管道敷设焊接时产生的，主要污染物为烟尘，产生量较少。焊接工序随着管道的敷设分段进行，焊接烟尘属于流动源且为间歇式排放。焊接工序为野外露天工作，</w:t>
      </w:r>
      <w:r>
        <w:rPr>
          <w:rFonts w:hint="eastAsia" w:cs="Times New Roman"/>
          <w:bCs/>
          <w:color w:val="000000" w:themeColor="text1"/>
          <w:highlight w:val="none"/>
          <w:lang w:val="en-US" w:eastAsia="zh-CN"/>
          <w14:textFill>
            <w14:solidFill>
              <w14:schemeClr w14:val="tx1"/>
            </w14:solidFill>
          </w14:textFill>
        </w:rPr>
        <w:t>采用自带焊烟净化器处理后排放，</w:t>
      </w:r>
      <w:r>
        <w:rPr>
          <w:rFonts w:ascii="宋体" w:hAnsi="宋体" w:cs="宋体"/>
          <w:color w:val="000000" w:themeColor="text1"/>
          <w:kern w:val="0"/>
          <w:szCs w:val="24"/>
          <w:highlight w:val="none"/>
          <w14:textFill>
            <w14:solidFill>
              <w14:schemeClr w14:val="tx1"/>
            </w14:solidFill>
          </w14:textFill>
        </w:rPr>
        <w:t>且项目管线在布置时已考虑避开居民等环境敏感点。项目焊接烟气经大气扩散后对环境及敏感点的影响较小</w:t>
      </w:r>
      <w:r>
        <w:rPr>
          <w:rFonts w:cs="宋体"/>
          <w:color w:val="000000" w:themeColor="text1"/>
          <w:kern w:val="0"/>
          <w:szCs w:val="24"/>
          <w:highlight w:val="none"/>
          <w14:textFill>
            <w14:solidFill>
              <w14:schemeClr w14:val="tx1"/>
            </w14:solidFill>
          </w14:textFill>
        </w:rPr>
        <w:t>。</w:t>
      </w:r>
    </w:p>
    <w:p>
      <w:pPr>
        <w:widowControl/>
        <w:ind w:firstLine="482"/>
        <w:jc w:val="left"/>
        <w:rPr>
          <w:rFonts w:ascii="宋体" w:hAnsi="宋体" w:cs="宋体"/>
          <w:b/>
          <w:bCs/>
          <w:color w:val="000000" w:themeColor="text1"/>
          <w:kern w:val="0"/>
          <w:szCs w:val="24"/>
          <w:highlight w:val="none"/>
          <w14:textFill>
            <w14:solidFill>
              <w14:schemeClr w14:val="tx1"/>
            </w14:solidFill>
          </w14:textFill>
        </w:rPr>
      </w:pPr>
      <w:r>
        <w:rPr>
          <w:rFonts w:ascii="宋体" w:hAnsi="宋体" w:cs="宋体"/>
          <w:b/>
          <w:bCs/>
          <w:color w:val="000000" w:themeColor="text1"/>
          <w:kern w:val="0"/>
          <w:szCs w:val="24"/>
          <w:highlight w:val="none"/>
          <w14:textFill>
            <w14:solidFill>
              <w14:schemeClr w14:val="tx1"/>
            </w14:solidFill>
          </w14:textFill>
        </w:rPr>
        <w:t>（</w:t>
      </w:r>
      <w:r>
        <w:rPr>
          <w:rFonts w:cs="Times New Roman"/>
          <w:b/>
          <w:bCs/>
          <w:color w:val="000000" w:themeColor="text1"/>
          <w:kern w:val="0"/>
          <w:szCs w:val="24"/>
          <w:highlight w:val="none"/>
          <w14:textFill>
            <w14:solidFill>
              <w14:schemeClr w14:val="tx1"/>
            </w14:solidFill>
          </w14:textFill>
        </w:rPr>
        <w:t>4</w:t>
      </w:r>
      <w:r>
        <w:rPr>
          <w:rFonts w:ascii="宋体" w:hAnsi="宋体" w:cs="宋体"/>
          <w:b/>
          <w:bCs/>
          <w:color w:val="000000" w:themeColor="text1"/>
          <w:kern w:val="0"/>
          <w:szCs w:val="24"/>
          <w:highlight w:val="none"/>
          <w14:textFill>
            <w14:solidFill>
              <w14:schemeClr w14:val="tx1"/>
            </w14:solidFill>
          </w14:textFill>
        </w:rPr>
        <w:t>）防腐废气</w:t>
      </w:r>
    </w:p>
    <w:p>
      <w:pPr>
        <w:widowControl/>
        <w:ind w:firstLine="480"/>
        <w:jc w:val="left"/>
        <w:rPr>
          <w:rFonts w:cs="Times New Roman"/>
          <w:bCs/>
          <w:color w:val="000000" w:themeColor="text1"/>
          <w:highlight w:val="none"/>
          <w14:textFill>
            <w14:solidFill>
              <w14:schemeClr w14:val="tx1"/>
            </w14:solidFill>
          </w14:textFill>
        </w:rPr>
      </w:pPr>
      <w:r>
        <w:rPr>
          <w:rFonts w:ascii="宋体" w:hAnsi="宋体" w:cs="宋体"/>
          <w:color w:val="000000" w:themeColor="text1"/>
          <w:kern w:val="0"/>
          <w:szCs w:val="24"/>
          <w:highlight w:val="none"/>
          <w14:textFill>
            <w14:solidFill>
              <w14:schemeClr w14:val="tx1"/>
            </w14:solidFill>
          </w14:textFill>
        </w:rPr>
        <w:t>防腐废气主要是在管道补口补伤时产生的，产生量较少，且为间断性分散状排放，由于管线周围地域开阔，经大气扩散后对环境及敏感点的影响不大</w:t>
      </w:r>
      <w:r>
        <w:rPr>
          <w:rFonts w:hint="eastAsia" w:ascii="宋体" w:hAnsi="宋体" w:cs="宋体"/>
          <w:color w:val="000000" w:themeColor="text1"/>
          <w:kern w:val="0"/>
          <w:szCs w:val="24"/>
          <w:highlight w:val="none"/>
          <w14:textFill>
            <w14:solidFill>
              <w14:schemeClr w14:val="tx1"/>
            </w14:solidFill>
          </w14:textFill>
        </w:rPr>
        <w:t>。</w:t>
      </w:r>
    </w:p>
    <w:p>
      <w:pPr>
        <w:ind w:firstLine="482"/>
        <w:rPr>
          <w:rFonts w:hint="default" w:ascii="Times New Roman" w:hAnsi="Times New Roman" w:eastAsia="黑体" w:cs="Times New Roman"/>
          <w:b w:val="0"/>
          <w:bCs/>
          <w:color w:val="000000" w:themeColor="text1"/>
          <w:szCs w:val="24"/>
          <w:highlight w:val="none"/>
          <w14:textFill>
            <w14:solidFill>
              <w14:schemeClr w14:val="tx1"/>
            </w14:solidFill>
          </w14:textFill>
        </w:rPr>
      </w:pPr>
      <w:r>
        <w:rPr>
          <w:rFonts w:hint="default" w:ascii="Times New Roman" w:hAnsi="Times New Roman" w:eastAsia="黑体" w:cs="Times New Roman"/>
          <w:b w:val="0"/>
          <w:bCs/>
          <w:color w:val="000000" w:themeColor="text1"/>
          <w:szCs w:val="24"/>
          <w:highlight w:val="none"/>
          <w14:textFill>
            <w14:solidFill>
              <w14:schemeClr w14:val="tx1"/>
            </w14:solidFill>
          </w14:textFill>
        </w:rPr>
        <w:t>2、地表水环境影响分析</w:t>
      </w:r>
    </w:p>
    <w:p>
      <w:pPr>
        <w:ind w:firstLine="480"/>
        <w:rPr>
          <w:rFonts w:cs="Times New Roman"/>
          <w:bCs/>
          <w:color w:val="000000" w:themeColor="text1"/>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本项目管线不涉及沟渠和河流的穿越，且项目</w:t>
      </w:r>
      <w:r>
        <w:rPr>
          <w:rFonts w:cs="Times New Roman"/>
          <w:color w:val="000000" w:themeColor="text1"/>
          <w:szCs w:val="24"/>
          <w:highlight w:val="none"/>
          <w14:textFill>
            <w14:solidFill>
              <w14:schemeClr w14:val="tx1"/>
            </w14:solidFill>
          </w14:textFill>
        </w:rPr>
        <w:t>废水主要</w:t>
      </w:r>
      <w:r>
        <w:rPr>
          <w:rFonts w:hint="eastAsia" w:cs="Times New Roman"/>
          <w:color w:val="000000" w:themeColor="text1"/>
          <w:szCs w:val="24"/>
          <w:highlight w:val="none"/>
          <w14:textFill>
            <w14:solidFill>
              <w14:schemeClr w14:val="tx1"/>
            </w14:solidFill>
          </w14:textFill>
        </w:rPr>
        <w:t>为</w:t>
      </w:r>
      <w:r>
        <w:rPr>
          <w:rFonts w:cs="Times New Roman"/>
          <w:color w:val="000000" w:themeColor="text1"/>
          <w:szCs w:val="24"/>
          <w:highlight w:val="none"/>
          <w14:textFill>
            <w14:solidFill>
              <w14:schemeClr w14:val="tx1"/>
            </w14:solidFill>
          </w14:textFill>
        </w:rPr>
        <w:t>项目废水主要为</w:t>
      </w:r>
      <w:r>
        <w:rPr>
          <w:rFonts w:hint="eastAsia" w:cs="Times New Roman"/>
          <w:color w:val="000000" w:themeColor="text1"/>
          <w:szCs w:val="24"/>
          <w:highlight w:val="none"/>
          <w14:textFill>
            <w14:solidFill>
              <w14:schemeClr w14:val="tx1"/>
            </w14:solidFill>
          </w14:textFill>
        </w:rPr>
        <w:t>管线</w:t>
      </w:r>
      <w:r>
        <w:rPr>
          <w:color w:val="000000" w:themeColor="text1"/>
          <w:highlight w:val="none"/>
          <w:lang w:bidi="en-US"/>
          <w14:textFill>
            <w14:solidFill>
              <w14:schemeClr w14:val="tx1"/>
            </w14:solidFill>
          </w14:textFill>
        </w:rPr>
        <w:t>试压废水</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施工废水</w:t>
      </w:r>
      <w:r>
        <w:rPr>
          <w:rFonts w:cs="Times New Roman"/>
          <w:bCs/>
          <w:color w:val="000000" w:themeColor="text1"/>
          <w:szCs w:val="24"/>
          <w:highlight w:val="none"/>
          <w14:textFill>
            <w14:solidFill>
              <w14:schemeClr w14:val="tx1"/>
            </w14:solidFill>
          </w14:textFill>
        </w:rPr>
        <w:t>（主要污染物为SS）</w:t>
      </w:r>
      <w:r>
        <w:rPr>
          <w:rFonts w:hint="eastAsia" w:cs="Times New Roman"/>
          <w:color w:val="000000" w:themeColor="text1"/>
          <w:szCs w:val="24"/>
          <w:highlight w:val="none"/>
          <w14:textFill>
            <w14:solidFill>
              <w14:schemeClr w14:val="tx1"/>
            </w14:solidFill>
          </w14:textFill>
        </w:rPr>
        <w:t>和</w:t>
      </w:r>
      <w:r>
        <w:rPr>
          <w:rFonts w:cs="Times New Roman"/>
          <w:color w:val="000000" w:themeColor="text1"/>
          <w:szCs w:val="24"/>
          <w:highlight w:val="none"/>
          <w14:textFill>
            <w14:solidFill>
              <w14:schemeClr w14:val="tx1"/>
            </w14:solidFill>
          </w14:textFill>
        </w:rPr>
        <w:t>施工人员的生活污水（主要污染物为</w:t>
      </w:r>
      <w:r>
        <w:rPr>
          <w:rFonts w:cs="Times New Roman"/>
          <w:bCs/>
          <w:color w:val="000000" w:themeColor="text1"/>
          <w:szCs w:val="24"/>
          <w:highlight w:val="none"/>
          <w14:textFill>
            <w14:solidFill>
              <w14:schemeClr w14:val="tx1"/>
            </w14:solidFill>
          </w14:textFill>
        </w:rPr>
        <w:t>COD、SS和NH</w:t>
      </w:r>
      <w:r>
        <w:rPr>
          <w:rFonts w:cs="Times New Roman"/>
          <w:bCs/>
          <w:color w:val="000000" w:themeColor="text1"/>
          <w:szCs w:val="24"/>
          <w:highlight w:val="none"/>
          <w:vertAlign w:val="sub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-N等</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管线</w:t>
      </w:r>
      <w:r>
        <w:rPr>
          <w:rFonts w:cs="Times New Roman"/>
          <w:color w:val="000000" w:themeColor="text1"/>
          <w:szCs w:val="24"/>
          <w:highlight w:val="none"/>
          <w14:textFill>
            <w14:solidFill>
              <w14:schemeClr w14:val="tx1"/>
            </w14:solidFill>
          </w14:textFill>
        </w:rPr>
        <w:t>建设工程量小，施工时间短，</w:t>
      </w:r>
      <w:r>
        <w:rPr>
          <w:rFonts w:cs="Times New Roman"/>
          <w:bCs/>
          <w:color w:val="000000" w:themeColor="text1"/>
          <w:highlight w:val="none"/>
          <w14:textFill>
            <w14:solidFill>
              <w14:schemeClr w14:val="tx1"/>
            </w14:solidFill>
          </w14:textFill>
        </w:rPr>
        <w:t>生活污水经生态厕所收集后定期由密闭罐车拉运至周边生活污水处理厂处理</w:t>
      </w:r>
      <w:r>
        <w:rPr>
          <w:rFonts w:cs="Times New Roman"/>
          <w:color w:val="000000" w:themeColor="text1"/>
          <w:szCs w:val="24"/>
          <w:highlight w:val="none"/>
          <w14:textFill>
            <w14:solidFill>
              <w14:schemeClr w14:val="tx1"/>
            </w14:solidFill>
          </w14:textFill>
        </w:rPr>
        <w:t>；少量生产废水在施工现场设置沉淀池，施工废水经隔油沉淀处理后回用于洒水降尘，不外排</w:t>
      </w:r>
      <w:r>
        <w:rPr>
          <w:rFonts w:hint="eastAsia" w:cs="Times New Roman"/>
          <w:color w:val="000000" w:themeColor="text1"/>
          <w:szCs w:val="24"/>
          <w:highlight w:val="none"/>
          <w14:textFill>
            <w14:solidFill>
              <w14:schemeClr w14:val="tx1"/>
            </w14:solidFill>
          </w14:textFill>
        </w:rPr>
        <w:t>；管线</w:t>
      </w:r>
      <w:r>
        <w:rPr>
          <w:color w:val="000000" w:themeColor="text1"/>
          <w:highlight w:val="none"/>
          <w:lang w:bidi="en-US"/>
          <w14:textFill>
            <w14:solidFill>
              <w14:schemeClr w14:val="tx1"/>
            </w14:solidFill>
          </w14:textFill>
        </w:rPr>
        <w:t>试压废水试压完成沉淀后用于洒水降尘，不外排</w:t>
      </w:r>
      <w:r>
        <w:rPr>
          <w:rFonts w:cs="Times New Roman"/>
          <w:color w:val="000000" w:themeColor="text1"/>
          <w:szCs w:val="24"/>
          <w:highlight w:val="none"/>
          <w14:textFill>
            <w14:solidFill>
              <w14:schemeClr w14:val="tx1"/>
            </w14:solidFill>
          </w14:textFill>
        </w:rPr>
        <w:t>。对地表水环境影响小</w:t>
      </w:r>
      <w:r>
        <w:rPr>
          <w:rFonts w:cs="Times New Roman"/>
          <w:bCs/>
          <w:color w:val="000000" w:themeColor="text1"/>
          <w:highlight w:val="none"/>
          <w14:textFill>
            <w14:solidFill>
              <w14:schemeClr w14:val="tx1"/>
            </w14:solidFill>
          </w14:textFill>
        </w:rPr>
        <w:t>。</w:t>
      </w:r>
    </w:p>
    <w:p>
      <w:pPr>
        <w:ind w:firstLine="482"/>
        <w:rPr>
          <w:rFonts w:hint="default" w:ascii="Times New Roman" w:hAnsi="Times New Roman" w:eastAsia="黑体" w:cs="Times New Roman"/>
          <w:b w:val="0"/>
          <w:bCs/>
          <w:color w:val="000000" w:themeColor="text1"/>
          <w:szCs w:val="24"/>
          <w:highlight w:val="none"/>
          <w14:textFill>
            <w14:solidFill>
              <w14:schemeClr w14:val="tx1"/>
            </w14:solidFill>
          </w14:textFill>
        </w:rPr>
      </w:pPr>
      <w:r>
        <w:rPr>
          <w:rFonts w:hint="default" w:ascii="Times New Roman" w:hAnsi="Times New Roman" w:eastAsia="黑体" w:cs="Times New Roman"/>
          <w:b w:val="0"/>
          <w:bCs/>
          <w:color w:val="000000" w:themeColor="text1"/>
          <w:szCs w:val="24"/>
          <w:highlight w:val="none"/>
          <w14:textFill>
            <w14:solidFill>
              <w14:schemeClr w14:val="tx1"/>
            </w14:solidFill>
          </w14:textFill>
        </w:rPr>
        <w:t>3、声环境影响分析</w:t>
      </w:r>
    </w:p>
    <w:p>
      <w:pPr>
        <w:adjustRightInd w:val="0"/>
        <w:snapToGrid w:val="0"/>
        <w:spacing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color w:val="000000" w:themeColor="text1"/>
          <w:sz w:val="24"/>
          <w:szCs w:val="24"/>
          <w:highlight w:val="none"/>
          <w:lang w:eastAsia="zh-CN"/>
          <w14:textFill>
            <w14:solidFill>
              <w14:schemeClr w14:val="tx1"/>
            </w14:solidFill>
          </w14:textFill>
        </w:rPr>
        <w:t>站场与管线建设的噪声主要是推土机、挖掘机、载重汽车等运行中产生的，工程量小、时间短，噪声源强小，夜间不施工，对环境影响小，与钻前工程影响范围和影响距离相似，</w:t>
      </w:r>
      <w:r>
        <w:rPr>
          <w:rFonts w:hint="eastAsia" w:ascii="Times New Roman" w:hAnsi="Times New Roman"/>
          <w:color w:val="000000" w:themeColor="text1"/>
          <w:sz w:val="24"/>
          <w:szCs w:val="24"/>
          <w:highlight w:val="none"/>
          <w:lang w:val="en-US" w:eastAsia="zh-CN"/>
          <w14:textFill>
            <w14:solidFill>
              <w14:schemeClr w14:val="tx1"/>
            </w14:solidFill>
          </w14:textFill>
        </w:rPr>
        <w:t>部分距离较近的居民点</w:t>
      </w:r>
      <w:r>
        <w:rPr>
          <w:rFonts w:ascii="Times New Roman" w:hAnsi="Times New Roman"/>
          <w:color w:val="000000" w:themeColor="text1"/>
          <w:sz w:val="24"/>
          <w:szCs w:val="24"/>
          <w:highlight w:val="none"/>
          <w:lang w:eastAsia="zh-CN"/>
          <w14:textFill>
            <w14:solidFill>
              <w14:schemeClr w14:val="tx1"/>
            </w14:solidFill>
          </w14:textFill>
        </w:rPr>
        <w:t>根据影响预测在管线施工期间</w:t>
      </w:r>
      <w:r>
        <w:rPr>
          <w:rFonts w:hint="eastAsia" w:ascii="Times New Roman" w:hAnsi="Times New Roman"/>
          <w:color w:val="000000" w:themeColor="text1"/>
          <w:sz w:val="24"/>
          <w:szCs w:val="24"/>
          <w:highlight w:val="none"/>
          <w:lang w:val="en-US" w:eastAsia="zh-CN"/>
          <w14:textFill>
            <w14:solidFill>
              <w14:schemeClr w14:val="tx1"/>
            </w14:solidFill>
          </w14:textFill>
        </w:rPr>
        <w:t>不</w:t>
      </w:r>
      <w:r>
        <w:rPr>
          <w:rFonts w:ascii="Times New Roman" w:hAnsi="Times New Roman"/>
          <w:color w:val="000000" w:themeColor="text1"/>
          <w:sz w:val="24"/>
          <w:szCs w:val="24"/>
          <w:highlight w:val="none"/>
          <w:lang w:eastAsia="zh-CN"/>
          <w14:textFill>
            <w14:solidFill>
              <w14:schemeClr w14:val="tx1"/>
            </w14:solidFill>
          </w14:textFill>
        </w:rPr>
        <w:t>能够满足</w:t>
      </w:r>
      <w:r>
        <w:rPr>
          <w:rFonts w:ascii="Times New Roman" w:hAnsi="Times New Roman"/>
          <w:bCs/>
          <w:color w:val="000000" w:themeColor="text1"/>
          <w:sz w:val="24"/>
          <w:highlight w:val="none"/>
          <w:lang w:eastAsia="zh-CN"/>
          <w14:textFill>
            <w14:solidFill>
              <w14:schemeClr w14:val="tx1"/>
            </w14:solidFill>
          </w14:textFill>
        </w:rPr>
        <w:t>《声环境质量标准》（GB3096-2008）2类标准要求</w:t>
      </w:r>
      <w:r>
        <w:rPr>
          <w:rFonts w:hint="eastAsia" w:ascii="Times New Roman" w:hAnsi="Times New Roman"/>
          <w:bCs/>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但管线施工时间短，仅在昼间施工，施工噪声不连续，加强与近距离居民沟通后，噪声影响较小</w:t>
      </w:r>
      <w:r>
        <w:rPr>
          <w:rFonts w:ascii="Times New Roman" w:hAnsi="Times New Roman"/>
          <w:color w:val="000000" w:themeColor="text1"/>
          <w:sz w:val="24"/>
          <w:szCs w:val="24"/>
          <w:highlight w:val="none"/>
          <w:lang w:eastAsia="zh-CN"/>
          <w14:textFill>
            <w14:solidFill>
              <w14:schemeClr w14:val="tx1"/>
            </w14:solidFill>
          </w14:textFill>
        </w:rPr>
        <w:t>。</w:t>
      </w:r>
    </w:p>
    <w:p>
      <w:pPr>
        <w:ind w:firstLine="482"/>
        <w:rPr>
          <w:rFonts w:hint="default" w:ascii="Times New Roman" w:hAnsi="Times New Roman" w:eastAsia="黑体" w:cs="Times New Roman"/>
          <w:b w:val="0"/>
          <w:bCs/>
          <w:color w:val="000000" w:themeColor="text1"/>
          <w:szCs w:val="24"/>
          <w:highlight w:val="none"/>
          <w14:textFill>
            <w14:solidFill>
              <w14:schemeClr w14:val="tx1"/>
            </w14:solidFill>
          </w14:textFill>
        </w:rPr>
      </w:pPr>
      <w:r>
        <w:rPr>
          <w:rFonts w:hint="default" w:ascii="Times New Roman" w:hAnsi="Times New Roman" w:eastAsia="黑体" w:cs="Times New Roman"/>
          <w:b w:val="0"/>
          <w:bCs/>
          <w:color w:val="000000" w:themeColor="text1"/>
          <w:szCs w:val="24"/>
          <w:highlight w:val="none"/>
          <w14:textFill>
            <w14:solidFill>
              <w14:schemeClr w14:val="tx1"/>
            </w14:solidFill>
          </w14:textFill>
        </w:rPr>
        <w:t>4、固废</w:t>
      </w:r>
      <w:r>
        <w:rPr>
          <w:rFonts w:hint="eastAsia" w:ascii="Times New Roman" w:hAnsi="Times New Roman" w:eastAsia="黑体" w:cs="Times New Roman"/>
          <w:b w:val="0"/>
          <w:bCs/>
          <w:color w:val="000000" w:themeColor="text1"/>
          <w:szCs w:val="24"/>
          <w:highlight w:val="none"/>
          <w14:textFill>
            <w14:solidFill>
              <w14:schemeClr w14:val="tx1"/>
            </w14:solidFill>
          </w14:textFill>
        </w:rPr>
        <w:t>环境</w:t>
      </w:r>
      <w:r>
        <w:rPr>
          <w:rFonts w:hint="default" w:ascii="Times New Roman" w:hAnsi="Times New Roman" w:eastAsia="黑体" w:cs="Times New Roman"/>
          <w:b w:val="0"/>
          <w:bCs/>
          <w:color w:val="000000" w:themeColor="text1"/>
          <w:szCs w:val="24"/>
          <w:highlight w:val="none"/>
          <w14:textFill>
            <w14:solidFill>
              <w14:schemeClr w14:val="tx1"/>
            </w14:solidFill>
          </w14:textFill>
        </w:rPr>
        <w:t>影响分析</w:t>
      </w:r>
    </w:p>
    <w:p>
      <w:pPr>
        <w:ind w:firstLine="482"/>
        <w:rPr>
          <w:rFonts w:cs="Times New Roman"/>
          <w:color w:val="000000" w:themeColor="text1"/>
          <w:szCs w:val="24"/>
          <w:highlight w:val="none"/>
          <w14:textFill>
            <w14:solidFill>
              <w14:schemeClr w14:val="tx1"/>
            </w14:solidFill>
          </w14:textFill>
        </w:rPr>
      </w:pPr>
      <w:r>
        <w:rPr>
          <w:rFonts w:cs="宋体"/>
          <w:color w:val="000000" w:themeColor="text1"/>
          <w:kern w:val="0"/>
          <w:szCs w:val="24"/>
          <w:highlight w:val="none"/>
          <w14:textFill>
            <w14:solidFill>
              <w14:schemeClr w14:val="tx1"/>
            </w14:solidFill>
          </w14:textFill>
        </w:rPr>
        <w:t>站场与管线建设产生少量建筑垃圾，如包装袋、废弃建筑材料、废焊条、焊渣等，其量小，可回收利用的收集后外售废品回收站，剩余废料由施工队伍统一收集清运至政府指定地方。施工人员多为当地民工，租住在附近农户，无集中生活垃圾产生，其产生的生活垃圾利用附近农户现有的设施进行收集处置，无集中生活垃圾产生。</w:t>
      </w:r>
      <w:r>
        <w:rPr>
          <w:rFonts w:hint="eastAsia" w:cs="Times New Roman"/>
          <w:color w:val="000000" w:themeColor="text1"/>
          <w:szCs w:val="24"/>
          <w:highlight w:val="none"/>
          <w:lang w:val="en-US" w:eastAsia="zh-CN"/>
          <w14:textFill>
            <w14:solidFill>
              <w14:schemeClr w14:val="tx1"/>
            </w14:solidFill>
          </w14:textFill>
        </w:rPr>
        <w:t>此外，</w:t>
      </w:r>
      <w:r>
        <w:rPr>
          <w:rFonts w:cs="Times New Roman"/>
          <w:color w:val="000000" w:themeColor="text1"/>
          <w:szCs w:val="24"/>
          <w:highlight w:val="none"/>
          <w14:textFill>
            <w14:solidFill>
              <w14:schemeClr w14:val="tx1"/>
            </w14:solidFill>
          </w14:textFill>
        </w:rPr>
        <w:t>项目站场建设</w:t>
      </w:r>
      <w:r>
        <w:rPr>
          <w:rFonts w:hint="eastAsia" w:cs="Times New Roman"/>
          <w:color w:val="000000" w:themeColor="text1"/>
          <w:szCs w:val="24"/>
          <w:highlight w:val="none"/>
          <w:lang w:val="en-US" w:eastAsia="zh-CN"/>
          <w14:textFill>
            <w14:solidFill>
              <w14:schemeClr w14:val="tx1"/>
            </w14:solidFill>
          </w14:textFill>
        </w:rPr>
        <w:t>和集输管线施工还会</w:t>
      </w:r>
      <w:r>
        <w:rPr>
          <w:rFonts w:cs="Times New Roman"/>
          <w:color w:val="000000" w:themeColor="text1"/>
          <w:szCs w:val="24"/>
          <w:highlight w:val="none"/>
          <w14:textFill>
            <w14:solidFill>
              <w14:schemeClr w14:val="tx1"/>
            </w14:solidFill>
          </w14:textFill>
        </w:rPr>
        <w:t>产生</w:t>
      </w:r>
      <w:r>
        <w:rPr>
          <w:rFonts w:hint="eastAsia" w:cs="Times New Roman"/>
          <w:color w:val="000000" w:themeColor="text1"/>
          <w:szCs w:val="24"/>
          <w:highlight w:val="none"/>
          <w:lang w:val="en-US" w:eastAsia="zh-CN"/>
          <w14:textFill>
            <w14:solidFill>
              <w14:schemeClr w14:val="tx1"/>
            </w14:solidFill>
          </w14:textFill>
        </w:rPr>
        <w:t>少量</w:t>
      </w:r>
      <w:r>
        <w:rPr>
          <w:rFonts w:cs="Times New Roman"/>
          <w:color w:val="000000" w:themeColor="text1"/>
          <w:szCs w:val="24"/>
          <w:highlight w:val="none"/>
          <w14:textFill>
            <w14:solidFill>
              <w14:schemeClr w14:val="tx1"/>
            </w14:solidFill>
          </w14:textFill>
        </w:rPr>
        <w:t>管道焊接、防腐作业中产生的废材料</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如废焊条、废材料桶等，由施工单位带走处置，不在现场暂存</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因此，</w:t>
      </w:r>
      <w:r>
        <w:rPr>
          <w:rFonts w:cs="宋体"/>
          <w:color w:val="000000" w:themeColor="text1"/>
          <w:kern w:val="0"/>
          <w:szCs w:val="24"/>
          <w:highlight w:val="none"/>
          <w14:textFill>
            <w14:solidFill>
              <w14:schemeClr w14:val="tx1"/>
            </w14:solidFill>
          </w14:textFill>
        </w:rPr>
        <w:t>站场建设固废产生量少，经有效收集处置后，不会产生二次污染，对环境影响小</w:t>
      </w:r>
      <w:r>
        <w:rPr>
          <w:rFonts w:cs="Times New Roman"/>
          <w:color w:val="000000" w:themeColor="text1"/>
          <w:szCs w:val="24"/>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64" w:name="_bookmark29"/>
      <w:bookmarkEnd w:id="264"/>
      <w:bookmarkStart w:id="265" w:name="5.1.5生态影响分析"/>
      <w:bookmarkEnd w:id="265"/>
      <w:bookmarkStart w:id="266" w:name="5.2运营期环境影响分析"/>
      <w:bookmarkEnd w:id="266"/>
      <w:bookmarkStart w:id="267" w:name="_Toc19935"/>
      <w:r>
        <w:rPr>
          <w:color w:val="000000" w:themeColor="text1"/>
          <w:highlight w:val="none"/>
          <w:lang w:eastAsia="zh-CN"/>
          <w14:textFill>
            <w14:solidFill>
              <w14:schemeClr w14:val="tx1"/>
            </w14:solidFill>
          </w14:textFill>
        </w:rPr>
        <w:t>试采期环境影响分析</w:t>
      </w:r>
      <w:bookmarkEnd w:id="26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68" w:name="5.2.1地表水环境影响分析"/>
      <w:bookmarkEnd w:id="268"/>
      <w:bookmarkStart w:id="269" w:name="_Toc120173155"/>
      <w:r>
        <w:rPr>
          <w:color w:val="000000" w:themeColor="text1"/>
          <w:highlight w:val="none"/>
          <w:lang w:eastAsia="zh-CN"/>
          <w14:textFill>
            <w14:solidFill>
              <w14:schemeClr w14:val="tx1"/>
            </w14:solidFill>
          </w14:textFill>
        </w:rPr>
        <w:t>试采期生态环境影响分析</w:t>
      </w:r>
      <w:bookmarkEnd w:id="269"/>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对土地利用类型的影响</w:t>
      </w:r>
    </w:p>
    <w:p>
      <w:pPr>
        <w:pStyle w:val="130"/>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本项目试采期不涉及新增占地（仅在钻井井场占地范围内进行建设），不会直接改变土地利用方式，项目运营不会改变评价区内现有的土地利用的基本格局</w:t>
      </w:r>
      <w:r>
        <w:rPr>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对植被及生物量的影响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（1）工程占地</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试采期</w:t>
      </w:r>
      <w:r>
        <w:rPr>
          <w:color w:val="000000" w:themeColor="text1"/>
          <w:highlight w:val="none"/>
          <w14:textFill>
            <w14:solidFill>
              <w14:schemeClr w14:val="tx1"/>
            </w14:solidFill>
          </w14:textFill>
        </w:rPr>
        <w:t>不涉及新增占地，对植被及生物量无直接影响。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（2）人员活动</w:t>
      </w:r>
    </w:p>
    <w:p>
      <w:pPr>
        <w:ind w:firstLine="480"/>
        <w:rPr>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本项目试采期为无人值守站场，同时，项目区现有土地开发利用程度较高，野生动物组成比较简单，种类较少，多为已经适应人类生产生活等环境的鸟类和小型啮齿类动物，项目试采对其影响较小</w:t>
      </w:r>
      <w:r>
        <w:rPr>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对陆生野生动物的影响分析</w:t>
      </w:r>
    </w:p>
    <w:p>
      <w:pPr>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本项目试采期不涉及新增占地，无人值守，但试生产期间的噪声、放空、生产废弃物可能间接对陆生野生动物产生一定影响，其生境在某种程度上会受到一定的影响，但在周边也可以找到相同或相似生境，可迁移到合适生境中生活，对其生存不会造成威胁。同时项目区现有土地开发利用程度较高，野生动物组成比较简单，种类较少，多为已经适应人类生产生活等环境的鸟类和小型啮齿类动物，项目试采期间，要加强对巡检人员教育宣传，严</w:t>
      </w:r>
      <w:r>
        <w:rPr>
          <w:rFonts w:hint="eastAsia"/>
          <w:bCs/>
          <w:color w:val="000000" w:themeColor="text1"/>
          <w:highlight w:val="none"/>
          <w:lang w:eastAsia="zh-CN"/>
          <w14:textFill>
            <w14:solidFill>
              <w14:schemeClr w14:val="tx1"/>
            </w14:solidFill>
          </w14:textFill>
        </w:rPr>
        <w:t>禁</w:t>
      </w:r>
      <w:r>
        <w:rPr>
          <w:bCs/>
          <w:color w:val="000000" w:themeColor="text1"/>
          <w:highlight w:val="none"/>
          <w14:textFill>
            <w14:solidFill>
              <w14:schemeClr w14:val="tx1"/>
            </w14:solidFill>
          </w14:textFill>
        </w:rPr>
        <w:t>非法捕杀野生动物，将对其影响降到</w:t>
      </w:r>
      <w:r>
        <w:rPr>
          <w:rFonts w:hint="eastAsia"/>
          <w:bCs/>
          <w:color w:val="000000" w:themeColor="text1"/>
          <w:highlight w:val="none"/>
          <w:lang w:eastAsia="zh-CN"/>
          <w14:textFill>
            <w14:solidFill>
              <w14:schemeClr w14:val="tx1"/>
            </w14:solidFill>
          </w14:textFill>
        </w:rPr>
        <w:t>最低</w:t>
      </w:r>
      <w:r>
        <w:rPr>
          <w:bCs/>
          <w:color w:val="000000" w:themeColor="text1"/>
          <w:highlight w:val="none"/>
          <w14:textFill>
            <w14:solidFill>
              <w14:schemeClr w14:val="tx1"/>
            </w14:solidFill>
          </w14:textFill>
        </w:rPr>
        <w:t>小</w:t>
      </w:r>
      <w:r>
        <w:rPr>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对重点保护野生动植物的影响</w:t>
      </w:r>
    </w:p>
    <w:p>
      <w:pPr>
        <w:ind w:firstLine="480"/>
        <w:rPr>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根据实地调查，在项目评价区内未发现国家和省级重点保护野生动植物</w:t>
      </w:r>
      <w:r>
        <w:rPr>
          <w:color w:val="000000" w:themeColor="text1"/>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对天然林、公益林及生态红线影响分析</w:t>
      </w:r>
    </w:p>
    <w:p>
      <w:pPr>
        <w:adjustRightInd/>
        <w:snapToGrid/>
        <w:ind w:firstLine="480"/>
        <w:rPr>
          <w:rFonts w:cs="Times New Roman"/>
          <w:bCs/>
          <w:color w:val="000000" w:themeColor="text1"/>
          <w:szCs w:val="20"/>
          <w:highlight w:val="none"/>
          <w14:textFill>
            <w14:solidFill>
              <w14:schemeClr w14:val="tx1"/>
            </w14:solidFill>
          </w14:textFill>
        </w:rPr>
      </w:pPr>
      <w:r>
        <w:rPr>
          <w:rFonts w:cs="Times New Roman"/>
          <w:bCs/>
          <w:color w:val="000000" w:themeColor="text1"/>
          <w:szCs w:val="20"/>
          <w:highlight w:val="none"/>
          <w14:textFill>
            <w14:solidFill>
              <w14:schemeClr w14:val="tx1"/>
            </w14:solidFill>
          </w14:textFill>
        </w:rPr>
        <w:t>本项目试采期不涉及新增占地，因此</w:t>
      </w:r>
      <w:r>
        <w:rPr>
          <w:rFonts w:cs="Times New Roman"/>
          <w:color w:val="000000" w:themeColor="text1"/>
          <w:szCs w:val="20"/>
          <w:highlight w:val="none"/>
          <w14:textFill>
            <w14:solidFill>
              <w14:schemeClr w14:val="tx1"/>
            </w14:solidFill>
          </w14:textFill>
        </w:rPr>
        <w:t>对天然林、公益林、</w:t>
      </w:r>
      <w:r>
        <w:rPr>
          <w:rFonts w:cs="Times New Roman"/>
          <w:bCs/>
          <w:color w:val="000000" w:themeColor="text1"/>
          <w:szCs w:val="20"/>
          <w:highlight w:val="none"/>
          <w14:textFill>
            <w14:solidFill>
              <w14:schemeClr w14:val="tx1"/>
            </w14:solidFill>
          </w14:textFill>
        </w:rPr>
        <w:t>生态红线</w:t>
      </w:r>
      <w:r>
        <w:rPr>
          <w:rFonts w:cs="Times New Roman"/>
          <w:color w:val="000000" w:themeColor="text1"/>
          <w:szCs w:val="20"/>
          <w:highlight w:val="none"/>
          <w14:textFill>
            <w14:solidFill>
              <w14:schemeClr w14:val="tx1"/>
            </w14:solidFill>
          </w14:textFill>
        </w:rPr>
        <w:t>无直接影响</w:t>
      </w:r>
      <w:r>
        <w:rPr>
          <w:rFonts w:cs="Times New Roman"/>
          <w:bCs/>
          <w:color w:val="000000" w:themeColor="text1"/>
          <w:szCs w:val="20"/>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对景观生态和生态系统影响分析</w:t>
      </w:r>
    </w:p>
    <w:p>
      <w:pPr>
        <w:ind w:firstLine="480"/>
        <w:rPr>
          <w:rFonts w:hint="eastAsia" w:cs="Times New Roman"/>
          <w:bCs/>
          <w:color w:val="000000" w:themeColor="text1"/>
          <w:highlight w:val="none"/>
          <w:lang w:eastAsia="zh-CN"/>
          <w14:textFill>
            <w14:solidFill>
              <w14:schemeClr w14:val="tx1"/>
            </w14:solidFill>
          </w14:textFill>
        </w:rPr>
      </w:pPr>
      <w:r>
        <w:rPr>
          <w:rFonts w:cs="Times New Roman"/>
          <w:bCs/>
          <w:color w:val="000000" w:themeColor="text1"/>
          <w:highlight w:val="none"/>
          <w14:textFill>
            <w14:solidFill>
              <w14:schemeClr w14:val="tx1"/>
            </w14:solidFill>
          </w14:textFill>
        </w:rPr>
        <w:t>项目试采期不新增占地，森林模地根基不会动摇，景观的恢复稳定性和阻抗稳定性不会改变，生态环境不会发生质的变化，项目区及周边区域生态效能、景观风貌、环境质量、物种多样性等生态因子影响很小，不会对区域生态完整性产生影响</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highlight w:val="none"/>
          <w:lang w:eastAsia="zh-CN"/>
          <w14:textFill>
            <w14:solidFill>
              <w14:schemeClr w14:val="tx1"/>
            </w14:solidFill>
          </w14:textFill>
        </w:rPr>
        <w:t>项目管线占地均为临时占地，项目建成后，要及时</w:t>
      </w:r>
      <w:r>
        <w:rPr>
          <w:rFonts w:hint="default" w:cs="Times New Roman"/>
          <w:bCs/>
          <w:color w:val="000000" w:themeColor="text1"/>
          <w:highlight w:val="none"/>
          <w14:textFill>
            <w14:solidFill>
              <w14:schemeClr w14:val="tx1"/>
            </w14:solidFill>
          </w14:textFill>
        </w:rPr>
        <w:t>拆除临时建筑设施，恢复植被，尽量采用以当地乡土灌草先锋物种种植为首选的临时植被恢复工程，</w:t>
      </w:r>
      <w:r>
        <w:rPr>
          <w:rFonts w:hint="eastAsia" w:cs="Times New Roman"/>
          <w:bCs/>
          <w:color w:val="000000" w:themeColor="text1"/>
          <w:highlight w:val="none"/>
          <w:lang w:eastAsia="zh-CN"/>
          <w14:textFill>
            <w14:solidFill>
              <w14:schemeClr w14:val="tx1"/>
            </w14:solidFill>
          </w14:textFill>
        </w:rPr>
        <w:t>对穿越公益林段，栽植原占用树种马尾松并结合</w:t>
      </w:r>
      <w:r>
        <w:rPr>
          <w:rFonts w:hint="default" w:cs="Times New Roman"/>
          <w:bCs/>
          <w:color w:val="000000" w:themeColor="text1"/>
          <w:highlight w:val="none"/>
          <w14:textFill>
            <w14:solidFill>
              <w14:schemeClr w14:val="tx1"/>
            </w14:solidFill>
          </w14:textFill>
        </w:rPr>
        <w:t>乡土灌草先锋物种种植</w:t>
      </w:r>
      <w:r>
        <w:rPr>
          <w:rFonts w:hint="eastAsia" w:cs="Times New Roman"/>
          <w:bCs/>
          <w:color w:val="000000" w:themeColor="text1"/>
          <w:highlight w:val="none"/>
          <w:lang w:eastAsia="zh-CN"/>
          <w14:textFill>
            <w14:solidFill>
              <w14:schemeClr w14:val="tx1"/>
            </w14:solidFill>
          </w14:textFill>
        </w:rPr>
        <w:t>。项目区亚热带温暖湿润气候特点，可快速恢复植被，快速</w:t>
      </w:r>
      <w:r>
        <w:rPr>
          <w:rFonts w:hint="default" w:cs="Times New Roman"/>
          <w:bCs/>
          <w:color w:val="000000" w:themeColor="text1"/>
          <w:highlight w:val="none"/>
          <w14:textFill>
            <w14:solidFill>
              <w14:schemeClr w14:val="tx1"/>
            </w14:solidFill>
          </w14:textFill>
        </w:rPr>
        <w:t>增加与周围自然景观的协调性</w:t>
      </w:r>
      <w:r>
        <w:rPr>
          <w:rFonts w:hint="eastAsia" w:cs="Times New Roman"/>
          <w:bCs/>
          <w:color w:val="000000" w:themeColor="text1"/>
          <w:highlight w:val="none"/>
          <w:lang w:eastAsia="zh-CN"/>
          <w14:textFill>
            <w14:solidFill>
              <w14:schemeClr w14:val="tx1"/>
            </w14:solidFill>
          </w14:textFill>
        </w:rPr>
        <w:t>，将</w:t>
      </w:r>
      <w:r>
        <w:rPr>
          <w:rFonts w:cs="Times New Roman"/>
          <w:bCs/>
          <w:color w:val="000000" w:themeColor="text1"/>
          <w:highlight w:val="none"/>
          <w14:textFill>
            <w14:solidFill>
              <w14:schemeClr w14:val="tx1"/>
            </w14:solidFill>
          </w14:textFill>
        </w:rPr>
        <w:t>生态和景观阻隔效应</w:t>
      </w:r>
      <w:r>
        <w:rPr>
          <w:rFonts w:hint="eastAsia" w:cs="Times New Roman"/>
          <w:bCs/>
          <w:color w:val="000000" w:themeColor="text1"/>
          <w:highlight w:val="none"/>
          <w:lang w:eastAsia="zh-CN"/>
          <w14:textFill>
            <w14:solidFill>
              <w14:schemeClr w14:val="tx1"/>
            </w14:solidFill>
          </w14:textFill>
        </w:rPr>
        <w:t>降到最低。</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水土流失影响</w:t>
      </w:r>
      <w:r>
        <w:rPr>
          <w:color w:val="000000" w:themeColor="text1"/>
          <w:highlight w:val="none"/>
          <w14:textFill>
            <w14:solidFill>
              <w14:schemeClr w14:val="tx1"/>
            </w14:solidFill>
          </w14:textFill>
        </w:rPr>
        <w:t>分析</w:t>
      </w:r>
    </w:p>
    <w:p>
      <w:pPr>
        <w:ind w:firstLine="480"/>
        <w:rPr>
          <w:rFonts w:cs="Times New Roman"/>
          <w:bCs/>
          <w:color w:val="000000" w:themeColor="text1"/>
          <w:szCs w:val="24"/>
          <w:highlight w:val="none"/>
          <w14:textFill>
            <w14:solidFill>
              <w14:schemeClr w14:val="tx1"/>
            </w14:solidFill>
          </w14:textFill>
        </w:rPr>
      </w:pPr>
      <w:r>
        <w:rPr>
          <w:rFonts w:cs="Times New Roman"/>
          <w:color w:val="000000" w:themeColor="text1"/>
          <w:highlight w:val="none"/>
          <w14:textFill>
            <w14:solidFill>
              <w14:schemeClr w14:val="tx1"/>
            </w14:solidFill>
          </w14:textFill>
        </w:rPr>
        <w:t>项目</w:t>
      </w:r>
      <w:r>
        <w:rPr>
          <w:rFonts w:hint="eastAsia" w:cs="Times New Roman"/>
          <w:color w:val="000000" w:themeColor="text1"/>
          <w:highlight w:val="none"/>
          <w14:textFill>
            <w14:solidFill>
              <w14:schemeClr w14:val="tx1"/>
            </w14:solidFill>
          </w14:textFill>
        </w:rPr>
        <w:t>试采</w:t>
      </w:r>
      <w:r>
        <w:rPr>
          <w:rFonts w:cs="Times New Roman"/>
          <w:color w:val="000000" w:themeColor="text1"/>
          <w:highlight w:val="none"/>
          <w14:textFill>
            <w14:solidFill>
              <w14:schemeClr w14:val="tx1"/>
            </w14:solidFill>
          </w14:textFill>
        </w:rPr>
        <w:t>期不涉及新增占地，</w:t>
      </w:r>
      <w:r>
        <w:rPr>
          <w:rFonts w:hint="eastAsia" w:cs="Times New Roman"/>
          <w:color w:val="000000" w:themeColor="text1"/>
          <w:highlight w:val="none"/>
          <w14:textFill>
            <w14:solidFill>
              <w14:schemeClr w14:val="tx1"/>
            </w14:solidFill>
          </w14:textFill>
        </w:rPr>
        <w:t>试采井站采取了硬化措施并设置排水沟，管线进行了生态恢复，基本不会产生水土流失</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对水土流失重点治理区影响很小。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bookmarkStart w:id="270" w:name="_Toc120173156"/>
      <w:r>
        <w:rPr>
          <w:color w:val="000000" w:themeColor="text1"/>
          <w:highlight w:val="none"/>
          <w14:textFill>
            <w14:solidFill>
              <w14:schemeClr w14:val="tx1"/>
            </w14:solidFill>
          </w14:textFill>
        </w:rPr>
        <w:t>大气环境影响分析</w:t>
      </w:r>
      <w:bookmarkEnd w:id="270"/>
    </w:p>
    <w:p>
      <w:pPr>
        <w:adjustRightInd w:val="0"/>
        <w:snapToGrid w:val="0"/>
        <w:spacing w:line="360" w:lineRule="auto"/>
        <w:ind w:firstLine="480" w:firstLineChars="200"/>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废气污染物源情况</w:t>
      </w:r>
    </w:p>
    <w:p>
      <w:pPr>
        <w:adjustRightInd w:val="0"/>
        <w:snapToGrid w:val="0"/>
        <w:spacing w:line="360" w:lineRule="auto"/>
        <w:ind w:firstLine="480" w:firstLineChars="200"/>
        <w:rPr>
          <w:rFonts w:ascii="Times New Roman" w:hAnsi="Times New Roman"/>
          <w:bCs/>
          <w:color w:val="000000" w:themeColor="text1"/>
          <w:sz w:val="24"/>
          <w:szCs w:val="24"/>
          <w:highlight w:val="none"/>
          <w:lang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本项目有组织</w:t>
      </w:r>
      <w:r>
        <w:rPr>
          <w:rFonts w:ascii="Times New Roman" w:hAnsi="Times New Roman"/>
          <w:bCs/>
          <w:color w:val="000000" w:themeColor="text1"/>
          <w:sz w:val="24"/>
          <w:szCs w:val="24"/>
          <w:highlight w:val="none"/>
          <w:lang w:eastAsia="zh-CN"/>
          <w14:textFill>
            <w14:solidFill>
              <w14:schemeClr w14:val="tx1"/>
            </w14:solidFill>
          </w14:textFill>
        </w:rPr>
        <w:t>废气主要来自</w:t>
      </w:r>
      <w:r>
        <w:rPr>
          <w:rFonts w:ascii="Times New Roman" w:hAnsi="Times New Roman"/>
          <w:bCs/>
          <w:color w:val="000000" w:themeColor="text1"/>
          <w:sz w:val="24"/>
          <w:highlight w:val="none"/>
          <w:lang w:eastAsia="zh-CN"/>
          <w14:textFill>
            <w14:solidFill>
              <w14:schemeClr w14:val="tx1"/>
            </w14:solidFill>
          </w14:textFill>
        </w:rPr>
        <w:t>水套加热炉燃烧废气</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排放情况见下表</w:t>
      </w:r>
      <w:r>
        <w:rPr>
          <w:rFonts w:ascii="Times New Roman" w:hAnsi="Times New Roman"/>
          <w:bCs/>
          <w:color w:val="000000" w:themeColor="text1"/>
          <w:sz w:val="24"/>
          <w:szCs w:val="24"/>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项目运营后正常工况下有组织排放源强参数调查清单</w:t>
      </w:r>
    </w:p>
    <w:tbl>
      <w:tblPr>
        <w:tblStyle w:val="52"/>
        <w:tblW w:w="5000" w:type="pct"/>
        <w:tblInd w:w="0" w:type="dxa"/>
        <w:tblLayout w:type="fixed"/>
        <w:tblCellMar>
          <w:top w:w="0" w:type="dxa"/>
          <w:left w:w="108" w:type="dxa"/>
          <w:bottom w:w="0" w:type="dxa"/>
          <w:right w:w="108" w:type="dxa"/>
        </w:tblCellMar>
      </w:tblPr>
      <w:tblGrid>
        <w:gridCol w:w="728"/>
        <w:gridCol w:w="583"/>
        <w:gridCol w:w="871"/>
        <w:gridCol w:w="754"/>
        <w:gridCol w:w="995"/>
        <w:gridCol w:w="726"/>
        <w:gridCol w:w="871"/>
        <w:gridCol w:w="726"/>
        <w:gridCol w:w="875"/>
        <w:gridCol w:w="733"/>
        <w:gridCol w:w="662"/>
      </w:tblGrid>
      <w:tr>
        <w:tblPrEx>
          <w:tblCellMar>
            <w:top w:w="0" w:type="dxa"/>
            <w:left w:w="108" w:type="dxa"/>
            <w:bottom w:w="0" w:type="dxa"/>
            <w:right w:w="108" w:type="dxa"/>
          </w:tblCellMar>
        </w:tblPrEx>
        <w:trPr>
          <w:trHeight w:val="20" w:hRule="atLeast"/>
          <w:tblHeader/>
        </w:trPr>
        <w:tc>
          <w:tcPr>
            <w:tcW w:w="427"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污染源名称</w:t>
            </w: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排气筒编号</w:t>
            </w:r>
          </w:p>
        </w:tc>
        <w:tc>
          <w:tcPr>
            <w:tcW w:w="953" w:type="pct"/>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排气筒底部中心坐标（°）</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排气筒底部</w:t>
            </w:r>
            <w:r>
              <w:rPr>
                <w:rFonts w:hint="eastAsia"/>
                <w:b/>
                <w:bCs/>
                <w:color w:val="000000" w:themeColor="text1"/>
                <w:szCs w:val="20"/>
                <w14:textFill>
                  <w14:solidFill>
                    <w14:schemeClr w14:val="tx1"/>
                  </w14:solidFill>
                </w14:textFill>
              </w:rPr>
              <w:t>海拔</w:t>
            </w:r>
            <w:r>
              <w:rPr>
                <w:rFonts w:hint="default"/>
                <w:b/>
                <w:bCs/>
                <w:color w:val="000000" w:themeColor="text1"/>
                <w:szCs w:val="20"/>
                <w14:textFill>
                  <w14:solidFill>
                    <w14:schemeClr w14:val="tx1"/>
                  </w14:solidFill>
                </w14:textFill>
              </w:rPr>
              <w:t>（m）</w:t>
            </w:r>
          </w:p>
        </w:tc>
        <w:tc>
          <w:tcPr>
            <w:tcW w:w="1875" w:type="pct"/>
            <w:gridSpan w:val="4"/>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排气筒参数</w:t>
            </w:r>
          </w:p>
        </w:tc>
        <w:tc>
          <w:tcPr>
            <w:tcW w:w="819" w:type="pct"/>
            <w:gridSpan w:val="2"/>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污染物排放速率（kg/h）</w:t>
            </w:r>
          </w:p>
        </w:tc>
      </w:tr>
      <w:tr>
        <w:tblPrEx>
          <w:tblCellMar>
            <w:top w:w="0" w:type="dxa"/>
            <w:left w:w="108" w:type="dxa"/>
            <w:bottom w:w="0" w:type="dxa"/>
            <w:right w:w="108" w:type="dxa"/>
          </w:tblCellMar>
        </w:tblPrEx>
        <w:trPr>
          <w:trHeight w:val="20" w:hRule="atLeast"/>
          <w:tblHeader/>
        </w:trPr>
        <w:tc>
          <w:tcPr>
            <w:tcW w:w="427"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经度</w:t>
            </w:r>
          </w:p>
        </w:tc>
        <w:tc>
          <w:tcPr>
            <w:tcW w:w="44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纬度</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p>
        </w:tc>
        <w:tc>
          <w:tcPr>
            <w:tcW w:w="4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高度（m）</w:t>
            </w:r>
          </w:p>
        </w:tc>
        <w:tc>
          <w:tcPr>
            <w:tcW w:w="511"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内径（m）</w:t>
            </w:r>
          </w:p>
        </w:tc>
        <w:tc>
          <w:tcPr>
            <w:tcW w:w="4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温度（℃）</w:t>
            </w:r>
          </w:p>
        </w:tc>
        <w:tc>
          <w:tcPr>
            <w:tcW w:w="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流速（m</w:t>
            </w:r>
            <w:r>
              <w:rPr>
                <w:rFonts w:hint="default"/>
                <w:b/>
                <w:bCs/>
                <w:color w:val="000000" w:themeColor="text1"/>
                <w:szCs w:val="20"/>
                <w:vertAlign w:val="superscript"/>
                <w14:textFill>
                  <w14:solidFill>
                    <w14:schemeClr w14:val="tx1"/>
                  </w14:solidFill>
                </w14:textFill>
              </w:rPr>
              <w:t>3</w:t>
            </w:r>
            <w:r>
              <w:rPr>
                <w:rFonts w:hint="default"/>
                <w:b/>
                <w:bCs/>
                <w:color w:val="000000" w:themeColor="text1"/>
                <w:szCs w:val="20"/>
                <w14:textFill>
                  <w14:solidFill>
                    <w14:schemeClr w14:val="tx1"/>
                  </w14:solidFill>
                </w14:textFill>
              </w:rPr>
              <w:t>/</w:t>
            </w:r>
            <w:r>
              <w:rPr>
                <w:rFonts w:hint="eastAsia"/>
                <w:b/>
                <w:bCs/>
                <w:color w:val="000000" w:themeColor="text1"/>
                <w:szCs w:val="20"/>
                <w14:textFill>
                  <w14:solidFill>
                    <w14:schemeClr w14:val="tx1"/>
                  </w14:solidFill>
                </w14:textFill>
              </w:rPr>
              <w:t>h</w:t>
            </w:r>
            <w:r>
              <w:rPr>
                <w:rFonts w:hint="default"/>
                <w:b/>
                <w:bCs/>
                <w:color w:val="000000" w:themeColor="text1"/>
                <w:szCs w:val="20"/>
                <w14:textFill>
                  <w14:solidFill>
                    <w14:schemeClr w14:val="tx1"/>
                  </w14:solidFill>
                </w14:textFill>
              </w:rPr>
              <w:t>）</w:t>
            </w:r>
          </w:p>
        </w:tc>
        <w:tc>
          <w:tcPr>
            <w:tcW w:w="430"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NOx</w:t>
            </w:r>
          </w:p>
        </w:tc>
        <w:tc>
          <w:tcPr>
            <w:tcW w:w="389"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颗粒物</w:t>
            </w:r>
          </w:p>
        </w:tc>
      </w:tr>
      <w:tr>
        <w:tblPrEx>
          <w:tblCellMar>
            <w:top w:w="0" w:type="dxa"/>
            <w:left w:w="108" w:type="dxa"/>
            <w:bottom w:w="0" w:type="dxa"/>
            <w:right w:w="108" w:type="dxa"/>
          </w:tblCellMar>
        </w:tblPrEx>
        <w:trPr>
          <w:trHeight w:val="20" w:hRule="atLeast"/>
        </w:trPr>
        <w:tc>
          <w:tcPr>
            <w:tcW w:w="427"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水套加热炉排气筒</w:t>
            </w:r>
          </w:p>
        </w:tc>
        <w:tc>
          <w:tcPr>
            <w:tcW w:w="342"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P1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Cs w:val="20"/>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7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firstLine="420" w:firstLineChars="200"/>
              <w:rPr>
                <w:rFonts w:hint="default"/>
                <w:color w:val="000000" w:themeColor="text1"/>
                <w:szCs w:val="20"/>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468</w:t>
            </w:r>
          </w:p>
        </w:tc>
        <w:tc>
          <w:tcPr>
            <w:tcW w:w="4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p>
        </w:tc>
        <w:tc>
          <w:tcPr>
            <w:tcW w:w="511"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lang w:bidi="ar"/>
                <w14:textFill>
                  <w14:solidFill>
                    <w14:schemeClr w14:val="tx1"/>
                  </w14:solidFill>
                </w14:textFill>
              </w:rPr>
              <w:t>0.2</w:t>
            </w:r>
          </w:p>
        </w:tc>
        <w:tc>
          <w:tcPr>
            <w:tcW w:w="426"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200</w:t>
            </w:r>
          </w:p>
        </w:tc>
        <w:tc>
          <w:tcPr>
            <w:tcW w:w="513"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lang w:bidi="ar"/>
                <w14:textFill>
                  <w14:solidFill>
                    <w14:schemeClr w14:val="tx1"/>
                  </w14:solidFill>
                </w14:textFill>
              </w:rPr>
              <w:t>1247.13</w:t>
            </w:r>
          </w:p>
        </w:tc>
        <w:tc>
          <w:tcPr>
            <w:tcW w:w="430"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0.0</w:t>
            </w:r>
            <w:r>
              <w:rPr>
                <w:rFonts w:hint="eastAsia"/>
                <w:color w:val="000000" w:themeColor="text1"/>
                <w:szCs w:val="20"/>
                <w14:textFill>
                  <w14:solidFill>
                    <w14:schemeClr w14:val="tx1"/>
                  </w14:solidFill>
                </w14:textFill>
              </w:rPr>
              <w:t>2</w:t>
            </w:r>
          </w:p>
        </w:tc>
        <w:tc>
          <w:tcPr>
            <w:tcW w:w="389" w:type="pc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0.000</w:t>
            </w:r>
            <w:r>
              <w:rPr>
                <w:rFonts w:hint="eastAsia"/>
                <w:color w:val="000000" w:themeColor="text1"/>
                <w:szCs w:val="20"/>
                <w14:textFill>
                  <w14:solidFill>
                    <w14:schemeClr w14:val="tx1"/>
                  </w14:solidFill>
                </w14:textFill>
              </w:rPr>
              <w:t>31</w:t>
            </w:r>
          </w:p>
        </w:tc>
      </w:tr>
    </w:tbl>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2、预测分析</w:t>
      </w:r>
    </w:p>
    <w:p>
      <w:pPr>
        <w:adjustRightInd w:val="0"/>
        <w:snapToGrid w:val="0"/>
        <w:spacing w:line="360" w:lineRule="auto"/>
        <w:ind w:firstLine="480" w:firstLineChars="200"/>
        <w:rPr>
          <w:rFonts w:hint="eastAsia"/>
          <w:bCs/>
          <w:color w:val="000000" w:themeColor="text1"/>
          <w:sz w:val="24"/>
          <w:szCs w:val="24"/>
          <w:highlight w:val="none"/>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采用大气导则估算模式—AERSCREEN进行估算，估算参数详见，估算结果详见表5.2-4。</w:t>
      </w:r>
    </w:p>
    <w:p>
      <w:pPr>
        <w:pStyle w:val="201"/>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ascii="Times New Roman" w:hAnsi="Times New Roman" w:eastAsia="黑体"/>
          <w:color w:val="000000" w:themeColor="text1"/>
          <w:kern w:val="2"/>
          <w:highlight w:val="none"/>
          <w14:textFill>
            <w14:solidFill>
              <w14:schemeClr w14:val="tx1"/>
            </w14:solidFill>
          </w14:textFill>
        </w:rPr>
        <w:t>估算模型参数表</w:t>
      </w:r>
    </w:p>
    <w:tbl>
      <w:tblPr>
        <w:tblStyle w:val="5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3539"/>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60" w:type="pct"/>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参数</w:t>
            </w:r>
          </w:p>
        </w:tc>
        <w:tc>
          <w:tcPr>
            <w:tcW w:w="164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城市/农村选项</w:t>
            </w: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城市/农村</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人口数（城市选项时）</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60" w:type="pct"/>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最高环境温度/℃</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60" w:type="pct"/>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最低环境温度/℃</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60" w:type="pct"/>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土地利用类型</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针</w:t>
            </w:r>
            <w:r>
              <w:rPr>
                <w:rFonts w:hint="default"/>
                <w:color w:val="000000" w:themeColor="text1"/>
                <w:szCs w:val="20"/>
                <w14:textFill>
                  <w14:solidFill>
                    <w14:schemeClr w14:val="tx1"/>
                  </w14:solidFill>
                </w14:textFill>
              </w:rPr>
              <w:t>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60" w:type="pct"/>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区域湿度条件</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中等</w:t>
            </w:r>
            <w:r>
              <w:rPr>
                <w:rFonts w:hint="default"/>
                <w:color w:val="000000" w:themeColor="text1"/>
                <w:szCs w:val="20"/>
                <w14:textFill>
                  <w14:solidFill>
                    <w14:schemeClr w14:val="tx1"/>
                  </w14:solidFill>
                </w14:textFill>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是否考虑地形</w:t>
            </w: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考虑地形</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地形数据分辨率/m</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是否考虑岸线熏烟</w:t>
            </w: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考虑岸线熏烟</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岸线距离/km</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4" w:type="pct"/>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207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岸线方向/°</w:t>
            </w:r>
          </w:p>
        </w:tc>
        <w:tc>
          <w:tcPr>
            <w:tcW w:w="164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w:t>
            </w:r>
          </w:p>
        </w:tc>
      </w:tr>
    </w:tbl>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3</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有组织废气排放影响估算结果表</w:t>
      </w:r>
    </w:p>
    <w:tbl>
      <w:tblPr>
        <w:tblStyle w:val="5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499"/>
        <w:gridCol w:w="1455"/>
        <w:gridCol w:w="1602"/>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距源中心下风向</w:t>
            </w:r>
          </w:p>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距离D/m</w:t>
            </w:r>
          </w:p>
        </w:tc>
        <w:tc>
          <w:tcPr>
            <w:tcW w:w="3834" w:type="pct"/>
            <w:gridSpan w:val="4"/>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水套加热炉排气筒（P1）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p>
        </w:tc>
        <w:tc>
          <w:tcPr>
            <w:tcW w:w="1730" w:type="pct"/>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NOx</w:t>
            </w:r>
          </w:p>
        </w:tc>
        <w:tc>
          <w:tcPr>
            <w:tcW w:w="2104" w:type="pct"/>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p>
        </w:tc>
        <w:tc>
          <w:tcPr>
            <w:tcW w:w="87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C/（μg/m³）</w:t>
            </w:r>
          </w:p>
        </w:tc>
        <w:tc>
          <w:tcPr>
            <w:tcW w:w="85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P/%</w:t>
            </w:r>
          </w:p>
        </w:tc>
        <w:tc>
          <w:tcPr>
            <w:tcW w:w="93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C/（μg/m³）</w:t>
            </w:r>
          </w:p>
        </w:tc>
        <w:tc>
          <w:tcPr>
            <w:tcW w:w="116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14:textFill>
                  <w14:solidFill>
                    <w14:schemeClr w14:val="tx1"/>
                  </w14:solidFill>
                </w14:textFill>
              </w:rPr>
            </w:pPr>
            <w:r>
              <w:rPr>
                <w:rFonts w:hint="default"/>
                <w:b/>
                <w:bCs/>
                <w:color w:val="000000" w:themeColor="text1"/>
                <w:szCs w:val="20"/>
                <w14:textFill>
                  <w14:solidFill>
                    <w14:schemeClr w14:val="tx1"/>
                  </w14:solidFill>
                </w14:textFill>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下风向最大浓度</w:t>
            </w:r>
          </w:p>
        </w:tc>
        <w:tc>
          <w:tcPr>
            <w:tcW w:w="878"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18.6</w:t>
            </w:r>
          </w:p>
        </w:tc>
        <w:tc>
          <w:tcPr>
            <w:tcW w:w="85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7.44</w:t>
            </w:r>
          </w:p>
        </w:tc>
        <w:tc>
          <w:tcPr>
            <w:tcW w:w="938"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2.88</w:t>
            </w:r>
          </w:p>
        </w:tc>
        <w:tc>
          <w:tcPr>
            <w:tcW w:w="116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最大浓度出现距离</w:t>
            </w:r>
          </w:p>
        </w:tc>
        <w:tc>
          <w:tcPr>
            <w:tcW w:w="3834" w:type="pct"/>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79</w:t>
            </w:r>
            <w:r>
              <w:rPr>
                <w:rFonts w:hint="default"/>
                <w:color w:val="000000" w:themeColor="text1"/>
                <w:szCs w:val="20"/>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6"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距源最远距离D10%</w:t>
            </w:r>
          </w:p>
        </w:tc>
        <w:tc>
          <w:tcPr>
            <w:tcW w:w="3834" w:type="pct"/>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Pmax＜10%</w:t>
            </w:r>
          </w:p>
        </w:tc>
      </w:tr>
    </w:tbl>
    <w:p>
      <w:pPr>
        <w:adjustRightInd w:val="0"/>
        <w:snapToGrid w:val="0"/>
        <w:spacing w:line="360" w:lineRule="exact"/>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注：上表中C表示落地浓度，P表示占标率。</w:t>
      </w:r>
    </w:p>
    <w:p>
      <w:pPr>
        <w:tabs>
          <w:tab w:val="left" w:pos="600"/>
        </w:tabs>
        <w:adjustRightInd w:val="0"/>
        <w:snapToGrid w:val="0"/>
        <w:spacing w:line="360" w:lineRule="auto"/>
        <w:ind w:left="0" w:leftChars="0" w:firstLine="0" w:firstLineChars="0"/>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0" distR="0">
            <wp:extent cx="5276850" cy="2662555"/>
            <wp:effectExtent l="0" t="0" r="0" b="4445"/>
            <wp:docPr id="1657727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27245" name="图片 1"/>
                    <pic:cNvPicPr>
                      <a:picLocks noChangeAspect="1"/>
                    </pic:cNvPicPr>
                  </pic:nvPicPr>
                  <pic:blipFill>
                    <a:blip r:embed="rId48"/>
                    <a:stretch>
                      <a:fillRect/>
                    </a:stretch>
                  </pic:blipFill>
                  <pic:spPr>
                    <a:xfrm>
                      <a:off x="0" y="0"/>
                      <a:ext cx="5276850" cy="2662555"/>
                    </a:xfrm>
                    <a:prstGeom prst="rect">
                      <a:avLst/>
                    </a:prstGeom>
                  </pic:spPr>
                </pic:pic>
              </a:graphicData>
            </a:graphic>
          </wp:inline>
        </w:drawing>
      </w:r>
    </w:p>
    <w:p>
      <w:pPr>
        <w:pStyle w:val="21"/>
        <w:tabs>
          <w:tab w:val="left" w:pos="863"/>
        </w:tabs>
        <w:adjustRightInd w:val="0"/>
        <w:snapToGrid w:val="0"/>
        <w:spacing w:before="0"/>
        <w:ind w:left="0"/>
        <w:jc w:val="center"/>
        <w:rPr>
          <w:rFonts w:ascii="Times New Roman" w:hAnsi="Times New Roman" w:eastAsia="黑体"/>
          <w:color w:val="000000" w:themeColor="text1"/>
          <w:sz w:val="21"/>
          <w:szCs w:val="21"/>
          <w:highlight w:val="none"/>
          <w:lang w:eastAsia="zh-CN"/>
          <w14:textFill>
            <w14:solidFill>
              <w14:schemeClr w14:val="tx1"/>
            </w14:solidFill>
          </w14:textFill>
        </w:rPr>
      </w:pPr>
      <w:r>
        <w:rPr>
          <w:rFonts w:ascii="Times New Roman" w:hAnsi="Times New Roman" w:eastAsia="黑体"/>
          <w:color w:val="000000" w:themeColor="text1"/>
          <w:sz w:val="21"/>
          <w:szCs w:val="21"/>
          <w:highlight w:val="none"/>
          <w:lang w:eastAsia="zh-CN"/>
          <w14:textFill>
            <w14:solidFill>
              <w14:schemeClr w14:val="tx1"/>
            </w14:solidFill>
          </w14:textFill>
        </w:rPr>
        <w:t xml:space="preserve">图 </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begin"/>
      </w:r>
      <w:r>
        <w:rPr>
          <w:rFonts w:ascii="Times New Roman" w:hAnsi="Times New Roman" w:eastAsia="黑体"/>
          <w:color w:val="000000" w:themeColor="text1"/>
          <w:sz w:val="21"/>
          <w:szCs w:val="21"/>
          <w:highlight w:val="none"/>
          <w:lang w:eastAsia="zh-CN"/>
          <w14:textFill>
            <w14:solidFill>
              <w14:schemeClr w14:val="tx1"/>
            </w14:solidFill>
          </w14:textFill>
        </w:rPr>
        <w:instrText xml:space="preserve"> STYLEREF 2 \s </w:instrText>
      </w:r>
      <w:r>
        <w:rPr>
          <w:rFonts w:ascii="Times New Roman" w:hAnsi="Times New Roman" w:eastAsia="黑体"/>
          <w:color w:val="000000" w:themeColor="text1"/>
          <w:sz w:val="21"/>
          <w:szCs w:val="21"/>
          <w:highlight w:val="none"/>
          <w:lang w:eastAsia="zh-CN"/>
          <w14:textFill>
            <w14:solidFill>
              <w14:schemeClr w14:val="tx1"/>
            </w14:solidFill>
          </w14:textFill>
        </w:rPr>
        <w:fldChar w:fldCharType="separate"/>
      </w:r>
      <w:r>
        <w:rPr>
          <w:rFonts w:ascii="Times New Roman" w:hAnsi="Times New Roman" w:eastAsia="黑体"/>
          <w:color w:val="000000" w:themeColor="text1"/>
          <w:sz w:val="21"/>
          <w:szCs w:val="21"/>
          <w:highlight w:val="none"/>
          <w:lang w:eastAsia="zh-CN"/>
          <w14:textFill>
            <w14:solidFill>
              <w14:schemeClr w14:val="tx1"/>
            </w14:solidFill>
          </w14:textFill>
        </w:rPr>
        <w:t>5.2</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end"/>
      </w:r>
      <w:r>
        <w:rPr>
          <w:rFonts w:hint="eastAsia" w:ascii="Times New Roman" w:hAnsi="Times New Roman" w:eastAsia="黑体"/>
          <w:color w:val="000000" w:themeColor="text1"/>
          <w:sz w:val="21"/>
          <w:szCs w:val="21"/>
          <w:highlight w:val="none"/>
          <w:lang w:eastAsia="zh-CN"/>
          <w14:textFill>
            <w14:solidFill>
              <w14:schemeClr w14:val="tx1"/>
            </w14:solidFill>
          </w14:textFill>
        </w:rPr>
        <w:t>-</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begin"/>
      </w:r>
      <w:r>
        <w:rPr>
          <w:rFonts w:ascii="Times New Roman" w:hAnsi="Times New Roman" w:eastAsia="黑体"/>
          <w:color w:val="000000" w:themeColor="text1"/>
          <w:sz w:val="21"/>
          <w:szCs w:val="21"/>
          <w:highlight w:val="none"/>
          <w:lang w:eastAsia="zh-CN"/>
          <w14:textFill>
            <w14:solidFill>
              <w14:schemeClr w14:val="tx1"/>
            </w14:solidFill>
          </w14:textFill>
        </w:rPr>
        <w:instrText xml:space="preserve"> SEQ 图 \* ARABIC \s 2 </w:instrText>
      </w:r>
      <w:r>
        <w:rPr>
          <w:rFonts w:ascii="Times New Roman" w:hAnsi="Times New Roman" w:eastAsia="黑体"/>
          <w:color w:val="000000" w:themeColor="text1"/>
          <w:sz w:val="21"/>
          <w:szCs w:val="21"/>
          <w:highlight w:val="none"/>
          <w:lang w:eastAsia="zh-CN"/>
          <w14:textFill>
            <w14:solidFill>
              <w14:schemeClr w14:val="tx1"/>
            </w14:solidFill>
          </w14:textFill>
        </w:rPr>
        <w:fldChar w:fldCharType="separate"/>
      </w:r>
      <w:r>
        <w:rPr>
          <w:rFonts w:ascii="Times New Roman" w:hAnsi="Times New Roman" w:eastAsia="黑体"/>
          <w:color w:val="000000" w:themeColor="text1"/>
          <w:sz w:val="21"/>
          <w:szCs w:val="21"/>
          <w:highlight w:val="none"/>
          <w:lang w:eastAsia="zh-CN"/>
          <w14:textFill>
            <w14:solidFill>
              <w14:schemeClr w14:val="tx1"/>
            </w14:solidFill>
          </w14:textFill>
        </w:rPr>
        <w:t>2</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end"/>
      </w:r>
      <w:r>
        <w:rPr>
          <w:rFonts w:hint="eastAsia" w:ascii="Times New Roman" w:hAnsi="Times New Roman" w:eastAsia="黑体"/>
          <w:color w:val="000000" w:themeColor="text1"/>
          <w:sz w:val="21"/>
          <w:szCs w:val="21"/>
          <w:highlight w:val="none"/>
          <w:lang w:eastAsia="zh-CN"/>
          <w14:textFill>
            <w14:solidFill>
              <w14:schemeClr w14:val="tx1"/>
            </w14:solidFill>
          </w14:textFill>
        </w:rPr>
        <w:t xml:space="preserve"> </w:t>
      </w:r>
      <w:r>
        <w:rPr>
          <w:rFonts w:ascii="Times New Roman" w:hAnsi="Times New Roman" w:eastAsia="黑体"/>
          <w:color w:val="000000" w:themeColor="text1"/>
          <w:sz w:val="21"/>
          <w:szCs w:val="21"/>
          <w:highlight w:val="none"/>
          <w:lang w:eastAsia="zh-CN"/>
          <w14:textFill>
            <w14:solidFill>
              <w14:schemeClr w14:val="tx1"/>
            </w14:solidFill>
          </w14:textFill>
        </w:rPr>
        <w:t xml:space="preserve"> 废气有组织污染源点</w:t>
      </w:r>
      <w:r>
        <w:rPr>
          <w:rFonts w:hint="eastAsia" w:ascii="Times New Roman" w:hAnsi="Times New Roman" w:eastAsia="黑体"/>
          <w:color w:val="000000" w:themeColor="text1"/>
          <w:sz w:val="21"/>
          <w:szCs w:val="21"/>
          <w:highlight w:val="none"/>
          <w:lang w:eastAsia="zh-CN"/>
          <w14:textFill>
            <w14:solidFill>
              <w14:schemeClr w14:val="tx1"/>
            </w14:solidFill>
          </w14:textFill>
        </w:rPr>
        <w:t>大气预测结果浓度分布折线图</w:t>
      </w:r>
    </w:p>
    <w:p>
      <w:pPr>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ascii="Times New Roman" w:hAnsi="Times New Roman" w:eastAsia="宋体" w:cs="Times New Roman"/>
          <w:color w:val="000000" w:themeColor="text1"/>
          <w:sz w:val="24"/>
          <w:szCs w:val="24"/>
          <w:highlight w:val="none"/>
          <w:lang w:bidi="en-US"/>
          <w14:textFill>
            <w14:solidFill>
              <w14:schemeClr w14:val="tx1"/>
            </w14:solidFill>
          </w14:textFill>
        </w:rPr>
        <w:t>由表5.2-3预测结果可知，</w:t>
      </w:r>
      <w:r>
        <w:rPr>
          <w:rFonts w:cs="Times New Roman"/>
          <w:color w:val="000000" w:themeColor="text1"/>
          <w:szCs w:val="24"/>
          <w14:textFill>
            <w14:solidFill>
              <w14:schemeClr w14:val="tx1"/>
            </w14:solidFill>
          </w14:textFill>
        </w:rPr>
        <w:t>本项目水套加热炉</w:t>
      </w:r>
      <w:r>
        <w:rPr>
          <w:rFonts w:cs="Times New Roman"/>
          <w:color w:val="000000" w:themeColor="text1"/>
          <w:szCs w:val="24"/>
          <w:lang w:bidi="en-US"/>
          <w14:textFill>
            <w14:solidFill>
              <w14:schemeClr w14:val="tx1"/>
            </w14:solidFill>
          </w14:textFill>
        </w:rPr>
        <w:t>排放的</w:t>
      </w:r>
      <w:bookmarkStart w:id="271" w:name="OLE_LINK69"/>
      <w:bookmarkStart w:id="272" w:name="OLE_LINK72"/>
      <w:r>
        <w:rPr>
          <w:rFonts w:cs="Times New Roman"/>
          <w:color w:val="000000" w:themeColor="text1"/>
          <w:szCs w:val="24"/>
          <w14:textFill>
            <w14:solidFill>
              <w14:schemeClr w14:val="tx1"/>
            </w14:solidFill>
          </w14:textFill>
        </w:rPr>
        <w:t>NO</w:t>
      </w:r>
      <w:bookmarkEnd w:id="271"/>
      <w:r>
        <w:rPr>
          <w:rFonts w:cs="Times New Roman"/>
          <w:color w:val="000000" w:themeColor="text1"/>
          <w:szCs w:val="24"/>
          <w:vertAlign w:val="subscript"/>
          <w14:textFill>
            <w14:solidFill>
              <w14:schemeClr w14:val="tx1"/>
            </w14:solidFill>
          </w14:textFill>
        </w:rPr>
        <w:t>X</w:t>
      </w:r>
      <w:bookmarkEnd w:id="272"/>
      <w:bookmarkStart w:id="273" w:name="OLE_LINK74"/>
      <w:r>
        <w:rPr>
          <w:rFonts w:hint="eastAsia" w:cs="Times New Roman"/>
          <w:color w:val="000000" w:themeColor="text1"/>
          <w:szCs w:val="24"/>
          <w14:textFill>
            <w14:solidFill>
              <w14:schemeClr w14:val="tx1"/>
            </w14:solidFill>
          </w14:textFill>
        </w:rPr>
        <w:t>、颗粒物</w:t>
      </w:r>
      <w:r>
        <w:rPr>
          <w:rFonts w:cs="Times New Roman"/>
          <w:color w:val="000000" w:themeColor="text1"/>
          <w:szCs w:val="24"/>
          <w:lang w:bidi="en-US"/>
          <w14:textFill>
            <w14:solidFill>
              <w14:schemeClr w14:val="tx1"/>
            </w14:solidFill>
          </w14:textFill>
        </w:rPr>
        <w:t>最大落地浓度出现在</w:t>
      </w:r>
      <w:bookmarkEnd w:id="273"/>
      <w:r>
        <w:rPr>
          <w:rFonts w:hint="eastAsia" w:cs="Times New Roman"/>
          <w:color w:val="000000" w:themeColor="text1"/>
          <w:szCs w:val="24"/>
          <w:lang w:bidi="en-US"/>
          <w14:textFill>
            <w14:solidFill>
              <w14:schemeClr w14:val="tx1"/>
            </w14:solidFill>
          </w14:textFill>
        </w:rPr>
        <w:t>79</w:t>
      </w:r>
      <w:r>
        <w:rPr>
          <w:rFonts w:cs="Times New Roman"/>
          <w:color w:val="000000" w:themeColor="text1"/>
          <w:szCs w:val="24"/>
          <w:lang w:bidi="en-US"/>
          <w14:textFill>
            <w14:solidFill>
              <w14:schemeClr w14:val="tx1"/>
            </w14:solidFill>
          </w14:textFill>
        </w:rPr>
        <w:t>m处，</w:t>
      </w:r>
      <w:bookmarkStart w:id="274" w:name="OLE_LINK73"/>
      <w:r>
        <w:rPr>
          <w:rFonts w:cs="Times New Roman"/>
          <w:color w:val="000000" w:themeColor="text1"/>
          <w:szCs w:val="24"/>
          <w:lang w:bidi="en-US"/>
          <w14:textFill>
            <w14:solidFill>
              <w14:schemeClr w14:val="tx1"/>
            </w14:solidFill>
          </w14:textFill>
        </w:rPr>
        <w:t>最</w:t>
      </w:r>
      <w:r>
        <w:rPr>
          <w:rFonts w:cs="Times New Roman"/>
          <w:color w:val="000000" w:themeColor="text1"/>
          <w:szCs w:val="24"/>
          <w14:textFill>
            <w14:solidFill>
              <w14:schemeClr w14:val="tx1"/>
            </w14:solidFill>
          </w14:textFill>
        </w:rPr>
        <w:t>大落地浓度分别为</w:t>
      </w:r>
      <w:bookmarkEnd w:id="274"/>
      <w:r>
        <w:rPr>
          <w:rFonts w:hint="eastAsia" w:cs="Times New Roman"/>
          <w:color w:val="000000" w:themeColor="text1"/>
          <w:szCs w:val="24"/>
          <w14:textFill>
            <w14:solidFill>
              <w14:schemeClr w14:val="tx1"/>
            </w14:solidFill>
          </w14:textFill>
        </w:rPr>
        <w:t>18.6</w:t>
      </w:r>
      <w:r>
        <w:rPr>
          <w:rFonts w:cs="Times New Roman"/>
          <w:color w:val="000000" w:themeColor="text1"/>
          <w:szCs w:val="24"/>
          <w14:textFill>
            <w14:solidFill>
              <w14:schemeClr w14:val="tx1"/>
            </w14:solidFill>
          </w14:textFill>
        </w:rPr>
        <w:t>μg/m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2.88</w:t>
      </w:r>
      <w:r>
        <w:rPr>
          <w:rFonts w:cs="Times New Roman"/>
          <w:color w:val="000000" w:themeColor="text1"/>
          <w:szCs w:val="24"/>
          <w14:textFill>
            <w14:solidFill>
              <w14:schemeClr w14:val="tx1"/>
            </w14:solidFill>
          </w14:textFill>
        </w:rPr>
        <w:t>μg/m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cs="Times New Roman"/>
          <w:color w:val="000000" w:themeColor="text1"/>
          <w:szCs w:val="24"/>
          <w:lang w:bidi="en-US"/>
          <w14:textFill>
            <w14:solidFill>
              <w14:schemeClr w14:val="tx1"/>
            </w14:solidFill>
          </w14:textFill>
        </w:rPr>
        <w:t>相应占标率分别为</w:t>
      </w:r>
      <w:r>
        <w:rPr>
          <w:rFonts w:hint="eastAsia" w:cs="Times New Roman"/>
          <w:color w:val="000000" w:themeColor="text1"/>
          <w:szCs w:val="24"/>
          <w:lang w:bidi="en-US"/>
          <w14:textFill>
            <w14:solidFill>
              <w14:schemeClr w14:val="tx1"/>
            </w14:solidFill>
          </w14:textFill>
        </w:rPr>
        <w:t>7.44</w:t>
      </w:r>
      <w:r>
        <w:rPr>
          <w:rFonts w:cs="Times New Roman"/>
          <w:color w:val="000000" w:themeColor="text1"/>
          <w:szCs w:val="24"/>
          <w:lang w:bidi="en-US"/>
          <w14:textFill>
            <w14:solidFill>
              <w14:schemeClr w14:val="tx1"/>
            </w14:solidFill>
          </w14:textFill>
        </w:rPr>
        <w:t>%、</w:t>
      </w:r>
      <w:r>
        <w:rPr>
          <w:rFonts w:hint="eastAsia" w:cs="Times New Roman"/>
          <w:color w:val="000000" w:themeColor="text1"/>
          <w:szCs w:val="24"/>
          <w:lang w:bidi="en-US"/>
          <w14:textFill>
            <w14:solidFill>
              <w14:schemeClr w14:val="tx1"/>
            </w14:solidFill>
          </w14:textFill>
        </w:rPr>
        <w:t>0.32</w:t>
      </w:r>
      <w:r>
        <w:rPr>
          <w:rFonts w:cs="Times New Roman"/>
          <w:color w:val="000000" w:themeColor="text1"/>
          <w:szCs w:val="24"/>
          <w:lang w:bidi="en-US"/>
          <w14:textFill>
            <w14:solidFill>
              <w14:schemeClr w14:val="tx1"/>
            </w14:solidFill>
          </w14:textFill>
        </w:rPr>
        <w:t>%。由此可见，在正常排放情况下，本项目水套加热炉有组织排放的污染物对环境影响较小，不会改变周围大气环境功能</w:t>
      </w: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，评价工作等级为二级，不进行进一步预测与评价，只对污染物排放量进行核算。</w:t>
      </w:r>
    </w:p>
    <w:p>
      <w:pPr>
        <w:adjustRightInd w:val="0"/>
        <w:snapToGrid w:val="0"/>
        <w:spacing w:line="360" w:lineRule="auto"/>
        <w:ind w:firstLine="480" w:firstLineChars="200"/>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3、染物排放量核算</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根据《环境影响评价技术导则—大气环境》（HJ2.2-2018）要求“二级评价项目不进行进一步预测与评价，只对污染物排放量进行核算。污染物排放量核算表包括有组织及无组织排放量、大气污染物年排放量、非正常排放量等。”</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ascii="Times New Roman" w:hAnsi="Times New Roman" w:eastAsia="宋体" w:cs="Times New Roman"/>
          <w:color w:val="000000" w:themeColor="text1"/>
          <w:sz w:val="24"/>
          <w:szCs w:val="24"/>
          <w:highlight w:val="none"/>
          <w:lang w:bidi="en-US"/>
          <w14:textFill>
            <w14:solidFill>
              <w14:schemeClr w14:val="tx1"/>
            </w14:solidFill>
          </w14:textFill>
        </w:rPr>
        <w:t>1）有组织排放量核算</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4</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项目大气有组织排放量核算表</w:t>
      </w:r>
    </w:p>
    <w:tbl>
      <w:tblPr>
        <w:tblStyle w:val="52"/>
        <w:tblW w:w="82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4"/>
        <w:gridCol w:w="2305"/>
        <w:gridCol w:w="1058"/>
        <w:gridCol w:w="1508"/>
        <w:gridCol w:w="1450"/>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60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序号</w:t>
            </w:r>
          </w:p>
        </w:tc>
        <w:tc>
          <w:tcPr>
            <w:tcW w:w="230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排放口编号</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污染物</w:t>
            </w:r>
          </w:p>
        </w:tc>
        <w:tc>
          <w:tcPr>
            <w:tcW w:w="150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核算排放浓度</w:t>
            </w:r>
            <w:r>
              <w:rPr>
                <w:rFonts w:hint="eastAsia" w:cs="Times New Roman"/>
                <w:b/>
                <w:bCs/>
                <w:color w:val="000000" w:themeColor="text1"/>
                <w:sz w:val="21"/>
                <w:szCs w:val="21"/>
                <w14:textFill>
                  <w14:solidFill>
                    <w14:schemeClr w14:val="tx1"/>
                  </w14:solidFill>
                </w14:textFill>
              </w:rPr>
              <w:t>（</w:t>
            </w:r>
            <w:r>
              <w:rPr>
                <w:rFonts w:hint="default" w:cs="Times New Roman"/>
                <w:b/>
                <w:bCs/>
                <w:color w:val="000000" w:themeColor="text1"/>
                <w:sz w:val="21"/>
                <w:szCs w:val="21"/>
                <w14:textFill>
                  <w14:solidFill>
                    <w14:schemeClr w14:val="tx1"/>
                  </w14:solidFill>
                </w14:textFill>
              </w:rPr>
              <w:t>mg/m</w:t>
            </w:r>
            <w:r>
              <w:rPr>
                <w:rFonts w:hint="default" w:cs="Times New Roman"/>
                <w:b/>
                <w:bCs/>
                <w:color w:val="000000" w:themeColor="text1"/>
                <w:sz w:val="21"/>
                <w:szCs w:val="21"/>
                <w:vertAlign w:val="superscript"/>
                <w14:textFill>
                  <w14:solidFill>
                    <w14:schemeClr w14:val="tx1"/>
                  </w14:solidFill>
                </w14:textFill>
              </w:rPr>
              <w:t>3</w:t>
            </w:r>
            <w:r>
              <w:rPr>
                <w:rFonts w:hint="eastAsia" w:cs="Times New Roman"/>
                <w:b/>
                <w:bCs/>
                <w:color w:val="000000" w:themeColor="text1"/>
                <w:sz w:val="21"/>
                <w:szCs w:val="21"/>
                <w:vertAlign w:val="superscript"/>
                <w14:textFill>
                  <w14:solidFill>
                    <w14:schemeClr w14:val="tx1"/>
                  </w14:solidFill>
                </w14:textFill>
              </w:rPr>
              <w:t>）</w:t>
            </w:r>
          </w:p>
        </w:tc>
        <w:tc>
          <w:tcPr>
            <w:tcW w:w="14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核算排放速率</w:t>
            </w:r>
            <w:r>
              <w:rPr>
                <w:rFonts w:hint="eastAsia" w:cs="Times New Roman"/>
                <w:b/>
                <w:bCs/>
                <w:color w:val="000000" w:themeColor="text1"/>
                <w:sz w:val="21"/>
                <w:szCs w:val="21"/>
                <w14:textFill>
                  <w14:solidFill>
                    <w14:schemeClr w14:val="tx1"/>
                  </w14:solidFill>
                </w14:textFill>
              </w:rPr>
              <w:t>（</w:t>
            </w:r>
            <w:r>
              <w:rPr>
                <w:rFonts w:hint="default" w:cs="Times New Roman"/>
                <w:b/>
                <w:bCs/>
                <w:color w:val="000000" w:themeColor="text1"/>
                <w:sz w:val="21"/>
                <w:szCs w:val="21"/>
                <w14:textFill>
                  <w14:solidFill>
                    <w14:schemeClr w14:val="tx1"/>
                  </w14:solidFill>
                </w14:textFill>
              </w:rPr>
              <w:t>kg/h</w:t>
            </w:r>
            <w:r>
              <w:rPr>
                <w:rFonts w:hint="eastAsia" w:cs="Times New Roman"/>
                <w:b/>
                <w:bCs/>
                <w:color w:val="000000" w:themeColor="text1"/>
                <w:sz w:val="21"/>
                <w:szCs w:val="21"/>
                <w14:textFill>
                  <w14:solidFill>
                    <w14:schemeClr w14:val="tx1"/>
                  </w14:solidFill>
                </w14:textFill>
              </w:rPr>
              <w:t>）</w:t>
            </w:r>
          </w:p>
        </w:tc>
        <w:tc>
          <w:tcPr>
            <w:tcW w:w="129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核算年排放量</w:t>
            </w:r>
            <w:r>
              <w:rPr>
                <w:rFonts w:hint="eastAsia" w:cs="Times New Roman"/>
                <w:b/>
                <w:bCs/>
                <w:color w:val="000000" w:themeColor="text1"/>
                <w:sz w:val="21"/>
                <w:szCs w:val="21"/>
                <w14:textFill>
                  <w14:solidFill>
                    <w14:schemeClr w14:val="tx1"/>
                  </w14:solidFill>
                </w14:textFill>
              </w:rPr>
              <w:t>（</w:t>
            </w:r>
            <w:r>
              <w:rPr>
                <w:rFonts w:hint="default" w:cs="Times New Roman"/>
                <w:b/>
                <w:bCs/>
                <w:color w:val="000000" w:themeColor="text1"/>
                <w:sz w:val="21"/>
                <w:szCs w:val="21"/>
                <w14:textFill>
                  <w14:solidFill>
                    <w14:schemeClr w14:val="tx1"/>
                  </w14:solidFill>
                </w14:textFill>
              </w:rPr>
              <w:t>t/a</w:t>
            </w:r>
            <w:r>
              <w:rPr>
                <w:rFonts w:hint="eastAsia" w:cs="Times New Roman"/>
                <w:b/>
                <w:bCs/>
                <w:color w:val="000000" w:themeColor="text1"/>
                <w:sz w:val="21"/>
                <w:szCs w:val="2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8220" w:type="dxa"/>
            <w:gridSpan w:val="6"/>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一般排放口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60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w:t>
            </w:r>
          </w:p>
        </w:tc>
        <w:tc>
          <w:tcPr>
            <w:tcW w:w="230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水套加热炉排气筒</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150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10</w:t>
            </w:r>
          </w:p>
        </w:tc>
        <w:tc>
          <w:tcPr>
            <w:tcW w:w="14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0.0031</w:t>
            </w:r>
          </w:p>
        </w:tc>
        <w:tc>
          <w:tcPr>
            <w:tcW w:w="129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60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p>
        </w:tc>
        <w:tc>
          <w:tcPr>
            <w:tcW w:w="230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NO</w:t>
            </w:r>
            <w:r>
              <w:rPr>
                <w:rFonts w:hint="default" w:cs="Times New Roman"/>
                <w:color w:val="000000" w:themeColor="text1"/>
                <w:sz w:val="21"/>
                <w:szCs w:val="21"/>
                <w:vertAlign w:val="subscript"/>
                <w14:textFill>
                  <w14:solidFill>
                    <w14:schemeClr w14:val="tx1"/>
                  </w14:solidFill>
                </w14:textFill>
              </w:rPr>
              <w:t>X</w:t>
            </w:r>
          </w:p>
        </w:tc>
        <w:tc>
          <w:tcPr>
            <w:tcW w:w="150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64.68</w:t>
            </w:r>
          </w:p>
        </w:tc>
        <w:tc>
          <w:tcPr>
            <w:tcW w:w="145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w:t>
            </w:r>
          </w:p>
        </w:tc>
        <w:tc>
          <w:tcPr>
            <w:tcW w:w="129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0.174</w:t>
            </w:r>
          </w:p>
        </w:tc>
      </w:tr>
    </w:tbl>
    <w:p>
      <w:pPr>
        <w:tabs>
          <w:tab w:val="left" w:pos="600"/>
        </w:tabs>
        <w:adjustRightInd w:val="0"/>
        <w:snapToGrid w:val="0"/>
        <w:spacing w:before="120" w:beforeLines="50"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ascii="Times New Roman" w:hAnsi="Times New Roman" w:eastAsia="宋体" w:cs="Times New Roman"/>
          <w:color w:val="000000" w:themeColor="text1"/>
          <w:sz w:val="24"/>
          <w:szCs w:val="24"/>
          <w:highlight w:val="none"/>
          <w:lang w:bidi="en-US"/>
          <w14:textFill>
            <w14:solidFill>
              <w14:schemeClr w14:val="tx1"/>
            </w14:solidFill>
          </w14:textFill>
        </w:rPr>
        <w:t>2）无组织排放量核算</w:t>
      </w:r>
    </w:p>
    <w:p>
      <w:pPr>
        <w:tabs>
          <w:tab w:val="left" w:pos="600"/>
        </w:tabs>
        <w:ind w:firstLine="480"/>
        <w:rPr>
          <w:rFonts w:cs="Times New Roman"/>
          <w:color w:val="000000" w:themeColor="text1"/>
          <w:szCs w:val="24"/>
          <w:lang w:bidi="en-US"/>
          <w14:textFill>
            <w14:solidFill>
              <w14:schemeClr w14:val="tx1"/>
            </w14:solidFill>
          </w14:textFill>
        </w:rPr>
      </w:pPr>
      <w:r>
        <w:rPr>
          <w:rFonts w:hint="eastAsia" w:cs="Times New Roman"/>
          <w:color w:val="000000" w:themeColor="text1"/>
          <w:szCs w:val="24"/>
          <w:lang w:bidi="en-US"/>
          <w14:textFill>
            <w14:solidFill>
              <w14:schemeClr w14:val="tx1"/>
            </w14:solidFill>
          </w14:textFill>
        </w:rPr>
        <w:t>试采期雷页1井试采站正常生产情况下，流程设备、管线、阀室等工艺设备为高压密闭作业，无天然气泄漏废气产生，因此不核算无组织排放废气。</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cs="Times New Roman"/>
          <w:color w:val="000000" w:themeColor="text1"/>
          <w:szCs w:val="24"/>
          <w:lang w:bidi="en-US"/>
          <w14:textFill>
            <w14:solidFill>
              <w14:schemeClr w14:val="tx1"/>
            </w14:solidFill>
          </w14:textFill>
        </w:rPr>
        <w:t>本项目建成后，水套加热炉或分离器需要检修时，将对装置内残余天然气进行放空，每次排放时间2min～2h（可控），根据普光现有工程类比分析，单次排放天然气约180m</w:t>
      </w:r>
      <w:r>
        <w:rPr>
          <w:rFonts w:hint="eastAsia" w:cs="Times New Roman"/>
          <w:color w:val="000000" w:themeColor="text1"/>
          <w:szCs w:val="24"/>
          <w:vertAlign w:val="superscript"/>
          <w:lang w:bidi="en-US"/>
          <w14:textFill>
            <w14:solidFill>
              <w14:schemeClr w14:val="tx1"/>
            </w14:solidFill>
          </w14:textFill>
        </w:rPr>
        <w:t>3</w:t>
      </w:r>
      <w:r>
        <w:rPr>
          <w:rFonts w:hint="eastAsia" w:cs="Times New Roman"/>
          <w:color w:val="000000" w:themeColor="text1"/>
          <w:szCs w:val="24"/>
          <w:lang w:bidi="en-US"/>
          <w14:textFill>
            <w14:solidFill>
              <w14:schemeClr w14:val="tx1"/>
            </w14:solidFill>
          </w14:textFill>
        </w:rPr>
        <w:t>按照每年检修2次，则排放天然气360m</w:t>
      </w:r>
      <w:r>
        <w:rPr>
          <w:rFonts w:hint="eastAsia" w:cs="Times New Roman"/>
          <w:color w:val="000000" w:themeColor="text1"/>
          <w:szCs w:val="24"/>
          <w:vertAlign w:val="superscript"/>
          <w:lang w:bidi="en-US"/>
          <w14:textFill>
            <w14:solidFill>
              <w14:schemeClr w14:val="tx1"/>
            </w14:solidFill>
          </w14:textFill>
        </w:rPr>
        <w:t>3</w:t>
      </w:r>
      <w:r>
        <w:rPr>
          <w:rFonts w:hint="eastAsia" w:cs="Times New Roman"/>
          <w:color w:val="000000" w:themeColor="text1"/>
          <w:szCs w:val="24"/>
          <w:lang w:bidi="en-US"/>
          <w14:textFill>
            <w14:solidFill>
              <w14:schemeClr w14:val="tx1"/>
            </w14:solidFill>
          </w14:textFill>
        </w:rPr>
        <w:t>。设备检修排放的废气采用放空管燃烧处理后排入大气环境</w:t>
      </w: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3）大气污染物年排放量核算</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大气污染物年排放量核算表</w:t>
      </w:r>
    </w:p>
    <w:p>
      <w:pPr>
        <w:spacing w:line="360" w:lineRule="auto"/>
        <w:ind w:firstLine="40" w:firstLineChars="200"/>
        <w:rPr>
          <w:rFonts w:ascii="Times New Roman" w:hAnsi="Times New Roman" w:eastAsia="黑体"/>
          <w:b/>
          <w:bCs/>
          <w:color w:val="000000" w:themeColor="text1"/>
          <w:sz w:val="2"/>
          <w:szCs w:val="2"/>
          <w:highlight w:val="none"/>
          <w14:textFill>
            <w14:solidFill>
              <w14:schemeClr w14:val="tx1"/>
            </w14:solidFill>
          </w14:textFill>
        </w:rPr>
      </w:pPr>
    </w:p>
    <w:tbl>
      <w:tblPr>
        <w:tblStyle w:val="52"/>
        <w:tblW w:w="8220" w:type="dxa"/>
        <w:jc w:val="center"/>
        <w:tblLayout w:type="fixed"/>
        <w:tblCellMar>
          <w:top w:w="0" w:type="dxa"/>
          <w:left w:w="0" w:type="dxa"/>
          <w:bottom w:w="0" w:type="dxa"/>
          <w:right w:w="0" w:type="dxa"/>
        </w:tblCellMar>
      </w:tblPr>
      <w:tblGrid>
        <w:gridCol w:w="2177"/>
        <w:gridCol w:w="3139"/>
        <w:gridCol w:w="2904"/>
      </w:tblGrid>
      <w:tr>
        <w:tblPrEx>
          <w:tblCellMar>
            <w:top w:w="0" w:type="dxa"/>
            <w:left w:w="0" w:type="dxa"/>
            <w:bottom w:w="0" w:type="dxa"/>
            <w:right w:w="0" w:type="dxa"/>
          </w:tblCellMar>
        </w:tblPrEx>
        <w:trPr>
          <w:jc w:val="center"/>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kern w:val="0"/>
                <w:sz w:val="21"/>
                <w:szCs w:val="21"/>
                <w:lang w:eastAsia="en-US"/>
                <w14:textFill>
                  <w14:solidFill>
                    <w14:schemeClr w14:val="tx1"/>
                  </w14:solidFill>
                </w14:textFill>
              </w:rPr>
            </w:pPr>
            <w:r>
              <w:rPr>
                <w:rFonts w:hint="default" w:cs="Times New Roman"/>
                <w:b/>
                <w:bCs/>
                <w:color w:val="000000" w:themeColor="text1"/>
                <w:kern w:val="0"/>
                <w:sz w:val="21"/>
                <w:szCs w:val="21"/>
                <w:lang w:eastAsia="en-US"/>
                <w14:textFill>
                  <w14:solidFill>
                    <w14:schemeClr w14:val="tx1"/>
                  </w14:solidFill>
                </w14:textFill>
              </w:rPr>
              <w:t>序号</w:t>
            </w:r>
          </w:p>
        </w:tc>
        <w:tc>
          <w:tcPr>
            <w:tcW w:w="313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kern w:val="0"/>
                <w:sz w:val="21"/>
                <w:szCs w:val="21"/>
                <w:lang w:eastAsia="en-US"/>
                <w14:textFill>
                  <w14:solidFill>
                    <w14:schemeClr w14:val="tx1"/>
                  </w14:solidFill>
                </w14:textFill>
              </w:rPr>
            </w:pPr>
            <w:r>
              <w:rPr>
                <w:rFonts w:hint="default" w:cs="Times New Roman"/>
                <w:b/>
                <w:bCs/>
                <w:color w:val="000000" w:themeColor="text1"/>
                <w:kern w:val="0"/>
                <w:sz w:val="21"/>
                <w:szCs w:val="21"/>
                <w:lang w:eastAsia="en-US"/>
                <w14:textFill>
                  <w14:solidFill>
                    <w14:schemeClr w14:val="tx1"/>
                  </w14:solidFill>
                </w14:textFill>
              </w:rPr>
              <w:t>污染物</w:t>
            </w:r>
          </w:p>
        </w:tc>
        <w:tc>
          <w:tcPr>
            <w:tcW w:w="290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000000" w:themeColor="text1"/>
                <w:kern w:val="0"/>
                <w:sz w:val="21"/>
                <w:szCs w:val="21"/>
                <w:lang w:eastAsia="en-US"/>
                <w14:textFill>
                  <w14:solidFill>
                    <w14:schemeClr w14:val="tx1"/>
                  </w14:solidFill>
                </w14:textFill>
              </w:rPr>
            </w:pPr>
            <w:r>
              <w:rPr>
                <w:rFonts w:hint="default" w:cs="Times New Roman"/>
                <w:b/>
                <w:bCs/>
                <w:color w:val="000000" w:themeColor="text1"/>
                <w:kern w:val="0"/>
                <w:sz w:val="21"/>
                <w:szCs w:val="21"/>
                <w:lang w:eastAsia="en-US"/>
                <w14:textFill>
                  <w14:solidFill>
                    <w14:schemeClr w14:val="tx1"/>
                  </w14:solidFill>
                </w14:textFill>
              </w:rPr>
              <w:t>年排放量（t/a）</w:t>
            </w:r>
          </w:p>
        </w:tc>
      </w:tr>
      <w:tr>
        <w:tblPrEx>
          <w:tblCellMar>
            <w:top w:w="0" w:type="dxa"/>
            <w:left w:w="0" w:type="dxa"/>
            <w:bottom w:w="0" w:type="dxa"/>
            <w:right w:w="0" w:type="dxa"/>
          </w:tblCellMar>
        </w:tblPrEx>
        <w:trPr>
          <w:jc w:val="center"/>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w:t>
            </w:r>
          </w:p>
        </w:tc>
        <w:tc>
          <w:tcPr>
            <w:tcW w:w="31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颗粒物</w:t>
            </w:r>
          </w:p>
        </w:tc>
        <w:tc>
          <w:tcPr>
            <w:tcW w:w="29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0.027</w:t>
            </w:r>
          </w:p>
        </w:tc>
      </w:tr>
      <w:tr>
        <w:tblPrEx>
          <w:tblCellMar>
            <w:top w:w="0" w:type="dxa"/>
            <w:left w:w="0" w:type="dxa"/>
            <w:bottom w:w="0" w:type="dxa"/>
            <w:right w:w="0" w:type="dxa"/>
          </w:tblCellMar>
        </w:tblPrEx>
        <w:trPr>
          <w:jc w:val="center"/>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2</w:t>
            </w:r>
          </w:p>
        </w:tc>
        <w:tc>
          <w:tcPr>
            <w:tcW w:w="31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NO</w:t>
            </w:r>
            <w:r>
              <w:rPr>
                <w:rFonts w:hint="default" w:cs="Times New Roman"/>
                <w:color w:val="000000" w:themeColor="text1"/>
                <w:sz w:val="21"/>
                <w:szCs w:val="21"/>
                <w:vertAlign w:val="subscript"/>
                <w14:textFill>
                  <w14:solidFill>
                    <w14:schemeClr w14:val="tx1"/>
                  </w14:solidFill>
                </w14:textFill>
              </w:rPr>
              <w:t>X</w:t>
            </w:r>
          </w:p>
        </w:tc>
        <w:tc>
          <w:tcPr>
            <w:tcW w:w="290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0.174</w:t>
            </w:r>
          </w:p>
        </w:tc>
      </w:tr>
    </w:tbl>
    <w:p>
      <w:pPr>
        <w:keepNext w:val="0"/>
        <w:keepLines w:val="0"/>
        <w:pageBreakBefore w:val="0"/>
        <w:widowControl w:val="0"/>
        <w:tabs>
          <w:tab w:val="left" w:pos="600"/>
        </w:tabs>
        <w:kinsoku/>
        <w:wordWrap/>
        <w:overflowPunct/>
        <w:topLinePunct w:val="0"/>
        <w:autoSpaceDE/>
        <w:autoSpaceDN/>
        <w:bidi w:val="0"/>
        <w:adjustRightInd w:val="0"/>
        <w:snapToGrid w:val="0"/>
        <w:spacing w:before="164" w:beforeLines="50" w:line="360" w:lineRule="auto"/>
        <w:ind w:firstLine="480" w:firstLineChars="200"/>
        <w:textAlignment w:val="auto"/>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cs="Times New Roman"/>
          <w:color w:val="000000" w:themeColor="text1"/>
          <w:sz w:val="24"/>
          <w:szCs w:val="24"/>
          <w:highlight w:val="none"/>
          <w:lang w:val="en-US" w:eastAsia="zh-CN" w:bidi="en-US"/>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w:t>
      </w:r>
      <w:r>
        <w:rPr>
          <w:rFonts w:hint="eastAsia" w:cs="Times New Roman"/>
          <w:color w:val="000000" w:themeColor="text1"/>
          <w:sz w:val="24"/>
          <w:szCs w:val="24"/>
          <w:highlight w:val="none"/>
          <w:lang w:val="en-US" w:eastAsia="zh-CN" w:bidi="en-US"/>
          <w14:textFill>
            <w14:solidFill>
              <w14:schemeClr w14:val="tx1"/>
            </w14:solidFill>
          </w14:textFill>
        </w:rPr>
        <w:t>非正常</w:t>
      </w: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大气污染物年排放量核算</w:t>
      </w:r>
    </w:p>
    <w:p>
      <w:pPr>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本项目试采期</w:t>
      </w:r>
      <w:r>
        <w:rPr>
          <w:rFonts w:hint="eastAsia" w:ascii="Times New Roman" w:hAnsi="Times New Roman"/>
          <w:bCs/>
          <w:color w:val="000000" w:themeColor="text1"/>
          <w:sz w:val="24"/>
          <w:highlight w:val="none"/>
          <w:lang w:val="en-US" w:eastAsia="zh-CN"/>
          <w14:textFill>
            <w14:solidFill>
              <w14:schemeClr w14:val="tx1"/>
            </w14:solidFill>
          </w14:textFill>
        </w:rPr>
        <w:t>非正常工况主要为井口紧急高压放空，其排放量如下。</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6</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大气污染物年排放量核算表</w:t>
      </w:r>
    </w:p>
    <w:p>
      <w:pPr>
        <w:spacing w:line="360" w:lineRule="auto"/>
        <w:ind w:firstLine="40" w:firstLineChars="200"/>
        <w:rPr>
          <w:rFonts w:ascii="Times New Roman" w:hAnsi="Times New Roman" w:eastAsia="黑体"/>
          <w:b/>
          <w:bCs/>
          <w:color w:val="000000" w:themeColor="text1"/>
          <w:sz w:val="2"/>
          <w:szCs w:val="2"/>
          <w:highlight w:val="none"/>
          <w14:textFill>
            <w14:solidFill>
              <w14:schemeClr w14:val="tx1"/>
            </w14:solidFill>
          </w14:textFill>
        </w:rPr>
      </w:pPr>
    </w:p>
    <w:tbl>
      <w:tblPr>
        <w:tblStyle w:val="52"/>
        <w:tblW w:w="8220" w:type="dxa"/>
        <w:jc w:val="center"/>
        <w:tblLayout w:type="fixed"/>
        <w:tblCellMar>
          <w:top w:w="0" w:type="dxa"/>
          <w:left w:w="0" w:type="dxa"/>
          <w:bottom w:w="0" w:type="dxa"/>
          <w:right w:w="0" w:type="dxa"/>
        </w:tblCellMar>
      </w:tblPr>
      <w:tblGrid>
        <w:gridCol w:w="555"/>
        <w:gridCol w:w="1233"/>
        <w:gridCol w:w="1400"/>
        <w:gridCol w:w="2350"/>
        <w:gridCol w:w="1033"/>
        <w:gridCol w:w="1649"/>
      </w:tblGrid>
      <w:tr>
        <w:tblPrEx>
          <w:tblCellMar>
            <w:top w:w="0" w:type="dxa"/>
            <w:left w:w="0" w:type="dxa"/>
            <w:bottom w:w="0" w:type="dxa"/>
            <w:right w:w="0" w:type="dxa"/>
          </w:tblCellMar>
        </w:tblPrEx>
        <w:trPr>
          <w:trHeight w:val="212" w:hRule="atLeast"/>
          <w:jc w:val="center"/>
        </w:trPr>
        <w:tc>
          <w:tcPr>
            <w:tcW w:w="555"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序号</w:t>
            </w: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污染物</w:t>
            </w: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年排放量</w:t>
            </w:r>
          </w:p>
        </w:tc>
        <w:tc>
          <w:tcPr>
            <w:tcW w:w="2350"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处置方式</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最终</w:t>
            </w:r>
            <w:r>
              <w:rPr>
                <w:rFonts w:hint="default" w:ascii="Times New Roman" w:hAnsi="Times New Roman"/>
                <w:color w:val="000000" w:themeColor="text1"/>
                <w:sz w:val="21"/>
                <w:szCs w:val="21"/>
                <w:highlight w:val="none"/>
                <w14:textFill>
                  <w14:solidFill>
                    <w14:schemeClr w14:val="tx1"/>
                  </w14:solidFill>
                </w14:textFill>
              </w:rPr>
              <w:t>污染物</w:t>
            </w:r>
          </w:p>
        </w:tc>
        <w:tc>
          <w:tcPr>
            <w:tcW w:w="1649" w:type="dxa"/>
            <w:tcBorders>
              <w:top w:val="single" w:color="000000" w:sz="4" w:space="0"/>
              <w:left w:val="single" w:color="000000" w:sz="4" w:space="0"/>
              <w:bottom w:val="single" w:color="000000" w:sz="4" w:space="0"/>
              <w:right w:val="single" w:color="000000" w:sz="4" w:space="0"/>
            </w:tcBorders>
            <w:vAlign w:val="center"/>
          </w:tcPr>
          <w:p>
            <w:pPr>
              <w:pStyle w:val="97"/>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最终</w:t>
            </w:r>
            <w:r>
              <w:rPr>
                <w:rFonts w:hint="default" w:ascii="Times New Roman" w:hAnsi="Times New Roman"/>
                <w:color w:val="000000" w:themeColor="text1"/>
                <w:sz w:val="21"/>
                <w:szCs w:val="21"/>
                <w:highlight w:val="none"/>
                <w14:textFill>
                  <w14:solidFill>
                    <w14:schemeClr w14:val="tx1"/>
                  </w14:solidFill>
                </w14:textFill>
              </w:rPr>
              <w:t>污染物</w:t>
            </w:r>
            <w:r>
              <w:rPr>
                <w:rFonts w:hint="eastAsia" w:ascii="Times New Roman" w:hAnsi="Times New Roman"/>
                <w:color w:val="000000" w:themeColor="text1"/>
                <w:sz w:val="21"/>
                <w:szCs w:val="21"/>
                <w:highlight w:val="none"/>
                <w:lang w:val="en-US" w:eastAsia="zh-CN"/>
                <w14:textFill>
                  <w14:solidFill>
                    <w14:schemeClr w14:val="tx1"/>
                  </w14:solidFill>
                </w14:textFill>
              </w:rPr>
              <w:t>排放量</w:t>
            </w:r>
          </w:p>
        </w:tc>
      </w:tr>
      <w:tr>
        <w:tblPrEx>
          <w:tblCellMar>
            <w:top w:w="0" w:type="dxa"/>
            <w:left w:w="0" w:type="dxa"/>
            <w:bottom w:w="0" w:type="dxa"/>
            <w:right w:w="0" w:type="dxa"/>
          </w:tblCellMar>
        </w:tblPrEx>
        <w:trPr>
          <w:trHeight w:val="215" w:hRule="atLeast"/>
          <w:jc w:val="center"/>
        </w:trPr>
        <w:tc>
          <w:tcPr>
            <w:tcW w:w="5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6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天然气（甲烷）</w:t>
            </w: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6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bCs/>
                <w:color w:val="000000" w:themeColor="text1"/>
                <w:sz w:val="21"/>
                <w:szCs w:val="21"/>
                <w:highlight w:val="none"/>
                <w:lang w:val="en-US" w:eastAsia="zh-CN"/>
                <w14:textFill>
                  <w14:solidFill>
                    <w14:schemeClr w14:val="tx1"/>
                  </w14:solidFill>
                </w14:textFill>
              </w:rPr>
              <w:t>约2</w:t>
            </w:r>
            <w:r>
              <w:rPr>
                <w:rFonts w:hint="eastAsia"/>
                <w:bCs/>
                <w:color w:val="000000" w:themeColor="text1"/>
                <w:sz w:val="21"/>
                <w:szCs w:val="21"/>
                <w:highlight w:val="none"/>
                <w:lang w:val="en-US" w:eastAsia="zh-CN"/>
                <w14:textFill>
                  <w14:solidFill>
                    <w14:schemeClr w14:val="tx1"/>
                  </w14:solidFill>
                </w14:textFill>
              </w:rPr>
              <w:t>～</w:t>
            </w:r>
            <w:r>
              <w:rPr>
                <w:rFonts w:hint="eastAsia" w:ascii="Times New Roman" w:hAnsi="Times New Roman"/>
                <w:bCs/>
                <w:color w:val="000000" w:themeColor="text1"/>
                <w:sz w:val="21"/>
                <w:szCs w:val="21"/>
                <w:highlight w:val="none"/>
                <w:lang w:val="en-US" w:eastAsia="zh-CN"/>
                <w14:textFill>
                  <w14:solidFill>
                    <w14:schemeClr w14:val="tx1"/>
                  </w14:solidFill>
                </w14:textFill>
              </w:rPr>
              <w:t>5次/a</w:t>
            </w:r>
            <w:r>
              <w:rPr>
                <w:rFonts w:hint="eastAsia"/>
                <w:bCs/>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50</w:t>
            </w:r>
            <w:r>
              <w:rPr>
                <w:rFonts w:hint="default"/>
                <w:color w:val="000000" w:themeColor="text1"/>
                <w:sz w:val="21"/>
                <w:szCs w:val="21"/>
                <w:highlight w:val="none"/>
                <w:lang w:eastAsia="zh-CN"/>
                <w14:textFill>
                  <w14:solidFill>
                    <w14:schemeClr w14:val="tx1"/>
                  </w14:solidFill>
                </w14:textFill>
              </w:rPr>
              <w:t>Nm</w:t>
            </w:r>
            <w:r>
              <w:rPr>
                <w:rFonts w:hint="default"/>
                <w:color w:val="000000" w:themeColor="text1"/>
                <w:sz w:val="21"/>
                <w:szCs w:val="21"/>
                <w:highlight w:val="none"/>
                <w:vertAlign w:val="superscript"/>
                <w:lang w:eastAsia="zh-CN"/>
                <w14:textFill>
                  <w14:solidFill>
                    <w14:schemeClr w14:val="tx1"/>
                  </w14:solidFill>
                </w14:textFill>
              </w:rPr>
              <w:t>3</w:t>
            </w:r>
            <w:r>
              <w:rPr>
                <w:rFonts w:hint="default"/>
                <w:color w:val="000000" w:themeColor="text1"/>
                <w:sz w:val="21"/>
                <w:szCs w:val="21"/>
                <w:highlight w:val="none"/>
                <w:lang w:eastAsia="zh-CN"/>
                <w14:textFill>
                  <w14:solidFill>
                    <w14:schemeClr w14:val="tx1"/>
                  </w14:solidFill>
                </w14:textFill>
              </w:rPr>
              <w:t>/次</w:t>
            </w:r>
          </w:p>
        </w:tc>
        <w:tc>
          <w:tcPr>
            <w:tcW w:w="2350" w:type="dxa"/>
            <w:tcBorders>
              <w:top w:val="single" w:color="000000" w:sz="4" w:space="0"/>
              <w:left w:val="single" w:color="000000" w:sz="4" w:space="0"/>
              <w:bottom w:val="single" w:color="000000" w:sz="4" w:space="0"/>
              <w:right w:val="single" w:color="000000" w:sz="4" w:space="0"/>
            </w:tcBorders>
            <w:vAlign w:val="center"/>
          </w:tcPr>
          <w:p>
            <w:pPr>
              <w:pStyle w:val="6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引至放空火炬燃烧后经15m高排气筒有组织排放</w:t>
            </w:r>
          </w:p>
        </w:tc>
        <w:tc>
          <w:tcPr>
            <w:tcW w:w="1033" w:type="dxa"/>
            <w:tcBorders>
              <w:top w:val="single" w:color="000000" w:sz="4" w:space="0"/>
              <w:left w:val="single" w:color="000000" w:sz="4" w:space="0"/>
              <w:bottom w:val="single" w:color="000000" w:sz="4" w:space="0"/>
              <w:right w:val="single" w:color="000000" w:sz="4" w:space="0"/>
            </w:tcBorders>
            <w:vAlign w:val="center"/>
          </w:tcPr>
          <w:p>
            <w:pPr>
              <w:pStyle w:val="6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p>
        </w:tc>
        <w:tc>
          <w:tcPr>
            <w:tcW w:w="1649" w:type="dxa"/>
            <w:tcBorders>
              <w:top w:val="single" w:color="000000" w:sz="4" w:space="0"/>
              <w:left w:val="single" w:color="000000" w:sz="4" w:space="0"/>
              <w:bottom w:val="single" w:color="000000" w:sz="4" w:space="0"/>
              <w:right w:val="single" w:color="000000" w:sz="4" w:space="0"/>
            </w:tcBorders>
            <w:vAlign w:val="center"/>
          </w:tcPr>
          <w:p>
            <w:pPr>
              <w:pStyle w:val="6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少量</w:t>
            </w:r>
          </w:p>
        </w:tc>
      </w:tr>
    </w:tbl>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eastAsia" w:eastAsia="黑体" w:cs="Times New Roman"/>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大气环境影响分析</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1）水套加热炉废气环境影响分析</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ascii="Times New Roman" w:hAnsi="Times New Roman" w:eastAsia="宋体" w:cs="Times New Roman"/>
          <w:color w:val="000000" w:themeColor="text1"/>
          <w:sz w:val="24"/>
          <w:szCs w:val="24"/>
          <w:highlight w:val="none"/>
          <w:lang w:bidi="en-US"/>
          <w14:textFill>
            <w14:solidFill>
              <w14:schemeClr w14:val="tx1"/>
            </w14:solidFill>
          </w14:textFill>
        </w:rPr>
        <w:t>根据上述预测分析可知，</w:t>
      </w:r>
      <w:r>
        <w:rPr>
          <w:rFonts w:hint="eastAsia" w:cs="Times New Roman"/>
          <w:color w:val="000000" w:themeColor="text1"/>
          <w:sz w:val="24"/>
          <w:szCs w:val="24"/>
          <w:highlight w:val="none"/>
          <w:lang w:val="en-US" w:eastAsia="zh-CN" w:bidi="en-US"/>
          <w14:textFill>
            <w14:solidFill>
              <w14:schemeClr w14:val="tx1"/>
            </w14:solidFill>
          </w14:textFill>
        </w:rPr>
        <w:t>本项目</w:t>
      </w:r>
      <w:r>
        <w:rPr>
          <w:rFonts w:ascii="Times New Roman" w:hAnsi="Times New Roman" w:eastAsia="宋体" w:cs="Times New Roman"/>
          <w:color w:val="000000" w:themeColor="text1"/>
          <w:sz w:val="24"/>
          <w:szCs w:val="24"/>
          <w:highlight w:val="none"/>
          <w:lang w:bidi="en-US"/>
          <w14:textFill>
            <w14:solidFill>
              <w14:schemeClr w14:val="tx1"/>
            </w14:solidFill>
          </w14:textFill>
        </w:rPr>
        <w:t>拟建</w:t>
      </w:r>
      <w:r>
        <w:rPr>
          <w:rFonts w:hint="eastAsia" w:cs="Times New Roman"/>
          <w:color w:val="000000" w:themeColor="text1"/>
          <w:sz w:val="24"/>
          <w:szCs w:val="24"/>
          <w:highlight w:val="none"/>
          <w:lang w:val="en-US" w:eastAsia="zh-CN" w:bidi="en-US"/>
          <w14:textFill>
            <w14:solidFill>
              <w14:schemeClr w14:val="tx1"/>
            </w14:solidFill>
          </w14:textFill>
        </w:rPr>
        <w:t>的</w:t>
      </w:r>
      <w:r>
        <w:rPr>
          <w:rFonts w:ascii="Times New Roman" w:hAnsi="Times New Roman" w:eastAsia="宋体" w:cs="Times New Roman"/>
          <w:color w:val="000000" w:themeColor="text1"/>
          <w:sz w:val="24"/>
          <w:szCs w:val="24"/>
          <w:highlight w:val="none"/>
          <w:lang w:bidi="en-US"/>
          <w14:textFill>
            <w14:solidFill>
              <w14:schemeClr w14:val="tx1"/>
            </w14:solidFill>
          </w14:textFill>
        </w:rPr>
        <w:t>水套加热炉污染物</w:t>
      </w:r>
      <w:r>
        <w:rPr>
          <w:rFonts w:cs="Times New Roman"/>
          <w:color w:val="000000" w:themeColor="text1"/>
          <w:szCs w:val="24"/>
          <w:lang w:bidi="en-US"/>
          <w14:textFill>
            <w14:solidFill>
              <w14:schemeClr w14:val="tx1"/>
            </w14:solidFill>
          </w14:textFill>
        </w:rPr>
        <w:t>排放的</w:t>
      </w:r>
      <w:r>
        <w:rPr>
          <w:rFonts w:cs="Times New Roman"/>
          <w:color w:val="000000" w:themeColor="text1"/>
          <w:szCs w:val="24"/>
          <w14:textFill>
            <w14:solidFill>
              <w14:schemeClr w14:val="tx1"/>
            </w14:solidFill>
          </w14:textFill>
        </w:rPr>
        <w:t>NO</w:t>
      </w:r>
      <w:r>
        <w:rPr>
          <w:rFonts w:cs="Times New Roman"/>
          <w:color w:val="000000" w:themeColor="text1"/>
          <w:szCs w:val="24"/>
          <w:vertAlign w:val="subscript"/>
          <w14:textFill>
            <w14:solidFill>
              <w14:schemeClr w14:val="tx1"/>
            </w14:solidFill>
          </w14:textFill>
        </w:rPr>
        <w:t>X</w:t>
      </w:r>
      <w:r>
        <w:rPr>
          <w:rFonts w:hint="eastAsia" w:cs="Times New Roman"/>
          <w:color w:val="000000" w:themeColor="text1"/>
          <w:szCs w:val="24"/>
          <w14:textFill>
            <w14:solidFill>
              <w14:schemeClr w14:val="tx1"/>
            </w14:solidFill>
          </w14:textFill>
        </w:rPr>
        <w:t>、颗粒物</w:t>
      </w:r>
      <w:r>
        <w:rPr>
          <w:rFonts w:cs="Times New Roman"/>
          <w:color w:val="000000" w:themeColor="text1"/>
          <w:szCs w:val="24"/>
          <w:lang w:bidi="en-US"/>
          <w14:textFill>
            <w14:solidFill>
              <w14:schemeClr w14:val="tx1"/>
            </w14:solidFill>
          </w14:textFill>
        </w:rPr>
        <w:t>最大落地浓度出现在</w:t>
      </w:r>
      <w:r>
        <w:rPr>
          <w:rFonts w:hint="eastAsia" w:cs="Times New Roman"/>
          <w:color w:val="000000" w:themeColor="text1"/>
          <w:szCs w:val="24"/>
          <w:lang w:bidi="en-US"/>
          <w14:textFill>
            <w14:solidFill>
              <w14:schemeClr w14:val="tx1"/>
            </w14:solidFill>
          </w14:textFill>
        </w:rPr>
        <w:t>79</w:t>
      </w:r>
      <w:r>
        <w:rPr>
          <w:rFonts w:cs="Times New Roman"/>
          <w:color w:val="000000" w:themeColor="text1"/>
          <w:szCs w:val="24"/>
          <w:lang w:bidi="en-US"/>
          <w14:textFill>
            <w14:solidFill>
              <w14:schemeClr w14:val="tx1"/>
            </w14:solidFill>
          </w14:textFill>
        </w:rPr>
        <w:t>m处，最</w:t>
      </w:r>
      <w:r>
        <w:rPr>
          <w:rFonts w:cs="Times New Roman"/>
          <w:color w:val="000000" w:themeColor="text1"/>
          <w:szCs w:val="24"/>
          <w14:textFill>
            <w14:solidFill>
              <w14:schemeClr w14:val="tx1"/>
            </w14:solidFill>
          </w14:textFill>
        </w:rPr>
        <w:t>大落地浓度分别为</w:t>
      </w:r>
      <w:r>
        <w:rPr>
          <w:rFonts w:hint="eastAsia" w:cs="Times New Roman"/>
          <w:color w:val="000000" w:themeColor="text1"/>
          <w:szCs w:val="24"/>
          <w14:textFill>
            <w14:solidFill>
              <w14:schemeClr w14:val="tx1"/>
            </w14:solidFill>
          </w14:textFill>
        </w:rPr>
        <w:t>18.6</w:t>
      </w:r>
      <w:r>
        <w:rPr>
          <w:rFonts w:cs="Times New Roman"/>
          <w:color w:val="000000" w:themeColor="text1"/>
          <w:szCs w:val="24"/>
          <w14:textFill>
            <w14:solidFill>
              <w14:schemeClr w14:val="tx1"/>
            </w14:solidFill>
          </w14:textFill>
        </w:rPr>
        <w:t>μg/m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2.88</w:t>
      </w:r>
      <w:r>
        <w:rPr>
          <w:rFonts w:cs="Times New Roman"/>
          <w:color w:val="000000" w:themeColor="text1"/>
          <w:szCs w:val="24"/>
          <w14:textFill>
            <w14:solidFill>
              <w14:schemeClr w14:val="tx1"/>
            </w14:solidFill>
          </w14:textFill>
        </w:rPr>
        <w:t>μg/m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w:t>
      </w:r>
      <w:r>
        <w:rPr>
          <w:rFonts w:cs="Times New Roman"/>
          <w:color w:val="000000" w:themeColor="text1"/>
          <w:szCs w:val="24"/>
          <w:lang w:bidi="en-US"/>
          <w14:textFill>
            <w14:solidFill>
              <w14:schemeClr w14:val="tx1"/>
            </w14:solidFill>
          </w14:textFill>
        </w:rPr>
        <w:t>相应占标率分别为</w:t>
      </w:r>
      <w:r>
        <w:rPr>
          <w:rFonts w:hint="eastAsia" w:cs="Times New Roman"/>
          <w:color w:val="000000" w:themeColor="text1"/>
          <w:szCs w:val="24"/>
          <w:lang w:bidi="en-US"/>
          <w14:textFill>
            <w14:solidFill>
              <w14:schemeClr w14:val="tx1"/>
            </w14:solidFill>
          </w14:textFill>
        </w:rPr>
        <w:t>7.44</w:t>
      </w:r>
      <w:r>
        <w:rPr>
          <w:rFonts w:cs="Times New Roman"/>
          <w:color w:val="000000" w:themeColor="text1"/>
          <w:szCs w:val="24"/>
          <w:lang w:bidi="en-US"/>
          <w14:textFill>
            <w14:solidFill>
              <w14:schemeClr w14:val="tx1"/>
            </w14:solidFill>
          </w14:textFill>
        </w:rPr>
        <w:t>%、</w:t>
      </w:r>
      <w:r>
        <w:rPr>
          <w:rFonts w:hint="eastAsia" w:cs="Times New Roman"/>
          <w:color w:val="000000" w:themeColor="text1"/>
          <w:szCs w:val="24"/>
          <w:lang w:bidi="en-US"/>
          <w14:textFill>
            <w14:solidFill>
              <w14:schemeClr w14:val="tx1"/>
            </w14:solidFill>
          </w14:textFill>
        </w:rPr>
        <w:t>0.32</w:t>
      </w:r>
      <w:r>
        <w:rPr>
          <w:rFonts w:cs="Times New Roman"/>
          <w:color w:val="000000" w:themeColor="text1"/>
          <w:szCs w:val="24"/>
          <w:lang w:bidi="en-US"/>
          <w14:textFill>
            <w14:solidFill>
              <w14:schemeClr w14:val="tx1"/>
            </w14:solidFill>
          </w14:textFill>
        </w:rPr>
        <w:t>%</w:t>
      </w:r>
      <w:r>
        <w:rPr>
          <w:rFonts w:ascii="Times New Roman" w:hAnsi="Times New Roman" w:eastAsia="宋体" w:cs="Times New Roman"/>
          <w:color w:val="000000" w:themeColor="text1"/>
          <w:sz w:val="24"/>
          <w:szCs w:val="24"/>
          <w:highlight w:val="none"/>
          <w:lang w:bidi="en-US"/>
          <w14:textFill>
            <w14:solidFill>
              <w14:schemeClr w14:val="tx1"/>
            </w14:solidFill>
          </w14:textFill>
        </w:rPr>
        <w:t>，污染物排放量小，</w:t>
      </w: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不会显著增加环境空气中污染物浓度，</w:t>
      </w:r>
      <w:r>
        <w:rPr>
          <w:rFonts w:ascii="Times New Roman" w:hAnsi="Times New Roman" w:eastAsia="宋体" w:cs="Times New Roman"/>
          <w:color w:val="000000" w:themeColor="text1"/>
          <w:sz w:val="24"/>
          <w:szCs w:val="24"/>
          <w:highlight w:val="none"/>
          <w:lang w:bidi="en-US"/>
          <w14:textFill>
            <w14:solidFill>
              <w14:schemeClr w14:val="tx1"/>
            </w14:solidFill>
          </w14:textFill>
        </w:rPr>
        <w:t>污染物排放对环境空气的影响较小。</w:t>
      </w:r>
    </w:p>
    <w:p>
      <w:pPr>
        <w:tabs>
          <w:tab w:val="left" w:pos="600"/>
        </w:tabs>
        <w:adjustRightInd w:val="0"/>
        <w:snapToGrid w:val="0"/>
        <w:spacing w:line="360" w:lineRule="auto"/>
        <w:ind w:firstLine="480" w:firstLineChars="200"/>
        <w:rPr>
          <w:rFonts w:ascii="Times New Roman" w:hAnsi="Times New Roman" w:eastAsia="宋体" w:cs="Times New Roman"/>
          <w:color w:val="000000" w:themeColor="text1"/>
          <w:sz w:val="24"/>
          <w:szCs w:val="24"/>
          <w:highlight w:val="none"/>
          <w:lang w:bidi="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en-US"/>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bidi="en-US"/>
          <w14:textFill>
            <w14:solidFill>
              <w14:schemeClr w14:val="tx1"/>
            </w14:solidFill>
          </w14:textFill>
        </w:rPr>
        <w:t>放空燃烧</w:t>
      </w:r>
      <w:r>
        <w:rPr>
          <w:rFonts w:ascii="Times New Roman" w:hAnsi="Times New Roman" w:eastAsia="宋体" w:cs="Times New Roman"/>
          <w:color w:val="000000" w:themeColor="text1"/>
          <w:sz w:val="24"/>
          <w:szCs w:val="24"/>
          <w:highlight w:val="none"/>
          <w:lang w:bidi="en-US"/>
          <w14:textFill>
            <w14:solidFill>
              <w14:schemeClr w14:val="tx1"/>
            </w14:solidFill>
          </w14:textFill>
        </w:rPr>
        <w:t>废气</w:t>
      </w:r>
    </w:p>
    <w:p>
      <w:pPr>
        <w:tabs>
          <w:tab w:val="left" w:pos="600"/>
        </w:tabs>
        <w:adjustRightInd w:val="0"/>
        <w:snapToGrid w:val="0"/>
        <w:spacing w:line="360" w:lineRule="auto"/>
        <w:ind w:firstLine="480" w:firstLineChars="200"/>
        <w:rPr>
          <w:rFonts w:hint="eastAsia" w:cs="Times New Roman"/>
          <w:color w:val="000000" w:themeColor="text1"/>
          <w:szCs w:val="24"/>
          <w:highlight w:val="none"/>
          <w:lang w:val="en-US" w:eastAsia="zh-CN" w:bidi="en-US"/>
          <w14:textFill>
            <w14:solidFill>
              <w14:schemeClr w14:val="tx1"/>
            </w14:solidFill>
          </w14:textFill>
        </w:rPr>
      </w:pPr>
      <w:r>
        <w:rPr>
          <w:rFonts w:cs="Times New Roman"/>
          <w:color w:val="000000" w:themeColor="text1"/>
          <w:szCs w:val="24"/>
          <w:lang w:bidi="en-US"/>
          <w14:textFill>
            <w14:solidFill>
              <w14:schemeClr w14:val="tx1"/>
            </w14:solidFill>
          </w14:textFill>
        </w:rPr>
        <w:t>本项目非正常工况主要废气为站场检修/事故放空废气，本项目非正常工况</w:t>
      </w:r>
      <w:r>
        <w:rPr>
          <w:rFonts w:hint="eastAsia" w:cs="Times New Roman"/>
          <w:color w:val="000000" w:themeColor="text1"/>
          <w:szCs w:val="24"/>
          <w:lang w:bidi="en-US"/>
          <w14:textFill>
            <w14:solidFill>
              <w14:schemeClr w14:val="tx1"/>
            </w14:solidFill>
          </w14:textFill>
        </w:rPr>
        <w:t>放空废气量小，放空次数少，</w:t>
      </w:r>
      <w:r>
        <w:rPr>
          <w:rFonts w:cs="Times New Roman"/>
          <w:color w:val="000000" w:themeColor="text1"/>
          <w:szCs w:val="24"/>
          <w:lang w:bidi="en-US"/>
          <w14:textFill>
            <w14:solidFill>
              <w14:schemeClr w14:val="tx1"/>
            </w14:solidFill>
          </w14:textFill>
        </w:rPr>
        <w:t>项目区扩散条件好，对环境空气质量影响小</w:t>
      </w:r>
      <w:r>
        <w:rPr>
          <w:rFonts w:ascii="Times New Roman" w:hAnsi="Times New Roman" w:eastAsia="宋体" w:cs="Times New Roman"/>
          <w:color w:val="000000" w:themeColor="text1"/>
          <w:sz w:val="24"/>
          <w:szCs w:val="24"/>
          <w:highlight w:val="none"/>
          <w:lang w:bidi="en-US"/>
          <w14:textFill>
            <w14:solidFill>
              <w14:schemeClr w14:val="tx1"/>
            </w14:solidFill>
          </w14:textFill>
        </w:rPr>
        <w:t>。</w:t>
      </w:r>
    </w:p>
    <w:p>
      <w:pPr>
        <w:tabs>
          <w:tab w:val="left" w:pos="600"/>
        </w:tabs>
        <w:ind w:firstLine="480"/>
        <w:rPr>
          <w:rFonts w:cs="Times New Roman"/>
          <w:color w:val="000000" w:themeColor="text1"/>
          <w:szCs w:val="24"/>
          <w:highlight w:val="none"/>
          <w:lang w:bidi="en-US"/>
          <w14:textFill>
            <w14:solidFill>
              <w14:schemeClr w14:val="tx1"/>
            </w14:solidFill>
          </w14:textFill>
        </w:rPr>
      </w:pPr>
      <w:r>
        <w:rPr>
          <w:rFonts w:hint="eastAsia" w:cs="Times New Roman"/>
          <w:color w:val="000000" w:themeColor="text1"/>
          <w:szCs w:val="24"/>
          <w:highlight w:val="none"/>
          <w:lang w:val="en-US" w:eastAsia="zh-CN" w:bidi="en-US"/>
          <w14:textFill>
            <w14:solidFill>
              <w14:schemeClr w14:val="tx1"/>
            </w14:solidFill>
          </w14:textFill>
        </w:rPr>
        <w:t>总的来说，</w:t>
      </w:r>
      <w:r>
        <w:rPr>
          <w:rFonts w:cs="Times New Roman"/>
          <w:color w:val="000000" w:themeColor="text1"/>
          <w:szCs w:val="24"/>
          <w:highlight w:val="none"/>
          <w:lang w:bidi="en-US"/>
          <w14:textFill>
            <w14:solidFill>
              <w14:schemeClr w14:val="tx1"/>
            </w14:solidFill>
          </w14:textFill>
        </w:rPr>
        <w:t>项目区扩散条件好，</w:t>
      </w:r>
      <w:r>
        <w:rPr>
          <w:rFonts w:hint="eastAsia" w:cs="Times New Roman"/>
          <w:color w:val="000000" w:themeColor="text1"/>
          <w:szCs w:val="24"/>
          <w:highlight w:val="none"/>
          <w:lang w:val="en-US" w:eastAsia="zh-CN" w:bidi="en-US"/>
          <w14:textFill>
            <w14:solidFill>
              <w14:schemeClr w14:val="tx1"/>
            </w14:solidFill>
          </w14:textFill>
        </w:rPr>
        <w:t>废气排放量小，污染物浓度低，</w:t>
      </w:r>
      <w:r>
        <w:rPr>
          <w:rFonts w:cs="Times New Roman"/>
          <w:color w:val="000000" w:themeColor="text1"/>
          <w:szCs w:val="24"/>
          <w:highlight w:val="none"/>
          <w:lang w:bidi="en-US"/>
          <w14:textFill>
            <w14:solidFill>
              <w14:schemeClr w14:val="tx1"/>
            </w14:solidFill>
          </w14:textFill>
        </w:rPr>
        <w:t>对环境空气质量影响小。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bookmarkStart w:id="275" w:name="_Toc120173157"/>
      <w:r>
        <w:rPr>
          <w:color w:val="000000" w:themeColor="text1"/>
          <w:highlight w:val="none"/>
          <w14:textFill>
            <w14:solidFill>
              <w14:schemeClr w14:val="tx1"/>
            </w14:solidFill>
          </w14:textFill>
        </w:rPr>
        <w:t>地表水环境影响分析</w:t>
      </w:r>
      <w:bookmarkEnd w:id="275"/>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（1）</w:t>
      </w:r>
      <w:r>
        <w:rPr>
          <w:rFonts w:hint="eastAsia" w:cs="Times New Roman"/>
          <w:b/>
          <w:color w:val="000000" w:themeColor="text1"/>
          <w:szCs w:val="24"/>
          <w:highlight w:val="none"/>
          <w:lang w:eastAsia="zh-CN"/>
          <w14:textFill>
            <w14:solidFill>
              <w14:schemeClr w14:val="tx1"/>
            </w14:solidFill>
          </w14:textFill>
        </w:rPr>
        <w:t>气田水</w:t>
      </w:r>
      <w:r>
        <w:rPr>
          <w:rFonts w:cs="Times New Roman"/>
          <w:b/>
          <w:color w:val="000000" w:themeColor="text1"/>
          <w:szCs w:val="24"/>
          <w:highlight w:val="none"/>
          <w14:textFill>
            <w14:solidFill>
              <w14:schemeClr w14:val="tx1"/>
            </w14:solidFill>
          </w14:textFill>
        </w:rPr>
        <w:t>影响分析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类比区块普光气田</w:t>
      </w:r>
      <w:r>
        <w:rPr>
          <w:rFonts w:hint="eastAsia" w:cs="Times New Roman"/>
          <w:bCs/>
          <w:color w:val="000000" w:themeColor="text1"/>
          <w:highlight w:val="none"/>
          <w:lang w:val="en-US" w:eastAsia="zh-CN"/>
          <w14:textFill>
            <w14:solidFill>
              <w14:schemeClr w14:val="tx1"/>
            </w14:solidFill>
          </w14:textFill>
        </w:rPr>
        <w:t>内页岩气井</w:t>
      </w:r>
      <w:r>
        <w:rPr>
          <w:rFonts w:cs="Times New Roman"/>
          <w:bCs/>
          <w:color w:val="000000" w:themeColor="text1"/>
          <w:highlight w:val="none"/>
          <w14:textFill>
            <w14:solidFill>
              <w14:schemeClr w14:val="tx1"/>
            </w14:solidFill>
          </w14:textFill>
        </w:rPr>
        <w:t>日产气田水情况，预估</w:t>
      </w:r>
      <w:r>
        <w:rPr>
          <w:rFonts w:hint="eastAsia" w:cs="Times New Roman"/>
          <w:bCs/>
          <w:color w:val="000000" w:themeColor="text1"/>
          <w:highlight w:val="none"/>
          <w:lang w:eastAsia="zh-CN"/>
          <w14:textFill>
            <w14:solidFill>
              <w14:schemeClr w14:val="tx1"/>
            </w14:solidFill>
          </w14:textFill>
        </w:rPr>
        <w:t>雷页1试验井组</w:t>
      </w:r>
      <w:r>
        <w:rPr>
          <w:rFonts w:hint="eastAsia"/>
          <w:color w:val="000000" w:themeColor="text1"/>
          <w:highlight w:val="none"/>
          <w14:textFill>
            <w14:solidFill>
              <w14:schemeClr w14:val="tx1"/>
            </w14:solidFill>
          </w14:textFill>
        </w:rPr>
        <w:t>试采站</w:t>
      </w:r>
      <w:r>
        <w:rPr>
          <w:rFonts w:cs="Times New Roman"/>
          <w:bCs/>
          <w:color w:val="000000" w:themeColor="text1"/>
          <w:highlight w:val="none"/>
          <w14:textFill>
            <w14:solidFill>
              <w14:schemeClr w14:val="tx1"/>
            </w14:solidFill>
          </w14:textFill>
        </w:rPr>
        <w:t>气田水产生量约为</w:t>
      </w:r>
      <w:r>
        <w:rPr>
          <w:rFonts w:hint="eastAsia" w:cs="Times New Roman"/>
          <w:bCs/>
          <w:color w:val="000000" w:themeColor="text1"/>
          <w:highlight w:val="none"/>
          <w:lang w:val="en-US" w:eastAsia="zh-CN"/>
          <w14:textFill>
            <w14:solidFill>
              <w14:schemeClr w14:val="tx1"/>
            </w14:solidFill>
          </w14:textFill>
        </w:rPr>
        <w:t>50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初期储层改造期间未返排完全压裂返排液会和气田水一起返排，预计共计约200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。分离气田水进入</w:t>
      </w:r>
      <w:r>
        <w:rPr>
          <w:rFonts w:hint="eastAsia" w:cs="Times New Roman"/>
          <w:bCs/>
          <w:color w:val="000000" w:themeColor="text1"/>
          <w:highlight w:val="none"/>
          <w:lang w:val="en-US" w:eastAsia="zh-CN"/>
          <w14:textFill>
            <w14:solidFill>
              <w14:schemeClr w14:val="tx1"/>
            </w14:solidFill>
          </w14:textFill>
        </w:rPr>
        <w:t>试采井站新建设的50m</w:t>
      </w:r>
      <w:r>
        <w:rPr>
          <w:rFonts w:hint="eastAsia" w:cs="Times New Roman"/>
          <w:bCs/>
          <w:color w:val="000000" w:themeColor="text1"/>
          <w:highlight w:val="none"/>
          <w:vertAlign w:val="superscript"/>
          <w:lang w:val="en-US" w:eastAsia="zh-CN"/>
          <w14:textFill>
            <w14:solidFill>
              <w14:schemeClr w14:val="tx1"/>
            </w14:solidFill>
          </w14:textFill>
        </w:rPr>
        <w:t>3</w:t>
      </w:r>
      <w:r>
        <w:rPr>
          <w:rFonts w:hint="eastAsia" w:cs="Times New Roman"/>
          <w:bCs/>
          <w:color w:val="000000" w:themeColor="text1"/>
          <w:highlight w:val="none"/>
          <w:lang w:val="en-US" w:eastAsia="zh-CN"/>
          <w14:textFill>
            <w14:solidFill>
              <w14:schemeClr w14:val="tx1"/>
            </w14:solidFill>
          </w14:textFill>
        </w:rPr>
        <w:t>的采出水罐</w:t>
      </w:r>
      <w:r>
        <w:rPr>
          <w:rFonts w:cs="Times New Roman"/>
          <w:bCs/>
          <w:color w:val="000000" w:themeColor="text1"/>
          <w:highlight w:val="none"/>
          <w14:textFill>
            <w14:solidFill>
              <w14:schemeClr w14:val="tx1"/>
            </w14:solidFill>
          </w14:textFill>
        </w:rPr>
        <w:t>暂存，</w:t>
      </w:r>
      <w:r>
        <w:rPr>
          <w:rFonts w:hint="eastAsia" w:cs="Times New Roman"/>
          <w:bCs/>
          <w:color w:val="000000" w:themeColor="text1"/>
          <w:highlight w:val="none"/>
          <w:lang w:val="en-US" w:eastAsia="zh-CN"/>
          <w14:textFill>
            <w14:solidFill>
              <w14:schemeClr w14:val="tx1"/>
            </w14:solidFill>
          </w14:textFill>
        </w:rPr>
        <w:t>后</w:t>
      </w:r>
      <w:r>
        <w:rPr>
          <w:rFonts w:hint="eastAsia" w:cs="Times New Roman"/>
          <w:color w:val="000000" w:themeColor="text1"/>
          <w:szCs w:val="24"/>
          <w:highlight w:val="none"/>
          <w:lang w:val="en-US" w:eastAsia="zh-CN"/>
          <w14:textFill>
            <w14:solidFill>
              <w14:schemeClr w14:val="tx1"/>
            </w14:solidFill>
          </w14:textFill>
        </w:rPr>
        <w:t>经</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w:t>
      </w:r>
      <w:r>
        <w:rPr>
          <w:rFonts w:hint="eastAsia"/>
          <w:color w:val="000000" w:themeColor="text1"/>
          <w:sz w:val="24"/>
          <w:highlight w:val="none"/>
          <w:lang w:val="en-US" w:eastAsia="zh-CN"/>
          <w14:textFill>
            <w14:solidFill>
              <w14:schemeClr w14:val="tx1"/>
            </w14:solidFill>
          </w14:textFill>
        </w:rPr>
        <w:t>处理，均</w:t>
      </w:r>
      <w:r>
        <w:rPr>
          <w:rFonts w:cs="Times New Roman"/>
          <w:color w:val="000000" w:themeColor="text1"/>
          <w:szCs w:val="24"/>
          <w:highlight w:val="none"/>
          <w14:textFill>
            <w14:solidFill>
              <w14:schemeClr w14:val="tx1"/>
            </w14:solidFill>
          </w14:textFill>
        </w:rPr>
        <w:t>不外排</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szCs w:val="24"/>
          <w:highlight w:val="none"/>
          <w14:textFill>
            <w14:solidFill>
              <w14:schemeClr w14:val="tx1"/>
            </w14:solidFill>
          </w14:textFill>
        </w:rPr>
        <w:t>现场无废水外排，对地表水体影响较小。且随着采气试采，废水产生量将更小，水质简单，去向明确，</w:t>
      </w:r>
      <w:r>
        <w:rPr>
          <w:rFonts w:cs="Times New Roman"/>
          <w:bCs/>
          <w:color w:val="000000" w:themeColor="text1"/>
          <w:szCs w:val="24"/>
          <w:highlight w:val="none"/>
          <w:lang w:eastAsia="zh-CN"/>
          <w14:textFill>
            <w14:solidFill>
              <w14:schemeClr w14:val="tx1"/>
            </w14:solidFill>
          </w14:textFill>
        </w:rPr>
        <w:t>本项目新建的放空分液罐、采出水罐和依托配套的环保设施处理能力满足本项目需求，该收集处理工艺在川东北气田开发区块已运行多年，效果稳定可靠，未发生过处理不佳导致环境污染的事故发生。因此，本项目试采期气田水不会对地表水环境造成不良影响。</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（2）非正常工况井下作业废水</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正常试采期，当地层堵塞时，为提高地层渗透率，需进行压裂酸化等作业，属于试采期非正常工况。根据类比调查，作业频次为1次/a，单井排放量为50m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/a，则本项目</w:t>
      </w:r>
      <w:r>
        <w:rPr>
          <w:rFonts w:hint="eastAsia" w:cs="Times New Roman"/>
          <w:bCs/>
          <w:color w:val="000000" w:themeColor="text1"/>
          <w:highlight w:val="none"/>
          <w:lang w:val="en-US" w:eastAsia="zh-CN"/>
          <w14:textFill>
            <w14:solidFill>
              <w14:schemeClr w14:val="tx1"/>
            </w14:solidFill>
          </w14:textFill>
        </w:rPr>
        <w:t>2</w:t>
      </w:r>
      <w:r>
        <w:rPr>
          <w:rFonts w:cs="Times New Roman"/>
          <w:bCs/>
          <w:color w:val="000000" w:themeColor="text1"/>
          <w:highlight w:val="none"/>
          <w14:textFill>
            <w14:solidFill>
              <w14:schemeClr w14:val="tx1"/>
            </w14:solidFill>
          </w14:textFill>
        </w:rPr>
        <w:t>口井排放量为</w:t>
      </w:r>
      <w:r>
        <w:rPr>
          <w:rFonts w:hint="eastAsia" w:cs="Times New Roman"/>
          <w:bCs/>
          <w:color w:val="000000" w:themeColor="text1"/>
          <w:highlight w:val="none"/>
          <w:lang w:val="en-US" w:eastAsia="zh-CN"/>
          <w14:textFill>
            <w14:solidFill>
              <w14:schemeClr w14:val="tx1"/>
            </w14:solidFill>
          </w14:textFill>
        </w:rPr>
        <w:t>10</w:t>
      </w:r>
      <w:r>
        <w:rPr>
          <w:rFonts w:cs="Times New Roman"/>
          <w:bCs/>
          <w:color w:val="000000" w:themeColor="text1"/>
          <w:highlight w:val="none"/>
          <w14:textFill>
            <w14:solidFill>
              <w14:schemeClr w14:val="tx1"/>
            </w14:solidFill>
          </w14:textFill>
        </w:rPr>
        <w:t>0m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/a，将废水用密闭罐车拉运至</w:t>
      </w:r>
      <w:r>
        <w:rPr>
          <w:rFonts w:hint="eastAsia" w:cs="Times New Roman"/>
          <w:bCs/>
          <w:color w:val="000000" w:themeColor="text1"/>
          <w:highlight w:val="none"/>
          <w:lang w:eastAsia="zh-CN"/>
          <w14:textFill>
            <w14:solidFill>
              <w14:schemeClr w14:val="tx1"/>
            </w14:solidFill>
          </w14:textFill>
        </w:rPr>
        <w:t>赵家坝污水处理站</w:t>
      </w:r>
      <w:r>
        <w:rPr>
          <w:rFonts w:cs="Times New Roman"/>
          <w:bCs/>
          <w:color w:val="000000" w:themeColor="text1"/>
          <w:highlight w:val="none"/>
          <w14:textFill>
            <w14:solidFill>
              <w14:schemeClr w14:val="tx1"/>
            </w14:solidFill>
          </w14:textFill>
        </w:rPr>
        <w:t>处理达</w:t>
      </w:r>
      <w:r>
        <w:rPr>
          <w:rFonts w:hint="eastAsia" w:cs="Times New Roman"/>
          <w:bCs/>
          <w:color w:val="000000" w:themeColor="text1"/>
          <w:highlight w:val="none"/>
          <w14:textFill>
            <w14:solidFill>
              <w14:schemeClr w14:val="tx1"/>
            </w14:solidFill>
          </w14:textFill>
        </w:rPr>
        <w:t>《气田水回注方法》（SY/T 6596-2016）中注入水基本要求</w:t>
      </w:r>
      <w:r>
        <w:rPr>
          <w:rFonts w:cs="Times New Roman"/>
          <w:bCs/>
          <w:color w:val="000000" w:themeColor="text1"/>
          <w:highlight w:val="none"/>
          <w14:textFill>
            <w14:solidFill>
              <w14:schemeClr w14:val="tx1"/>
            </w14:solidFill>
          </w14:textFill>
        </w:rPr>
        <w:t>后经</w:t>
      </w:r>
      <w:r>
        <w:rPr>
          <w:rFonts w:hint="eastAsia" w:cs="Times New Roman"/>
          <w:bCs/>
          <w:color w:val="000000" w:themeColor="text1"/>
          <w:highlight w:val="none"/>
          <w:lang w:eastAsia="zh-CN"/>
          <w14:textFill>
            <w14:solidFill>
              <w14:schemeClr w14:val="tx1"/>
            </w14:solidFill>
          </w14:textFill>
        </w:rPr>
        <w:t>普光3井回注站</w:t>
      </w:r>
      <w:r>
        <w:rPr>
          <w:rFonts w:cs="Times New Roman"/>
          <w:bCs/>
          <w:color w:val="000000" w:themeColor="text1"/>
          <w:highlight w:val="none"/>
          <w14:textFill>
            <w14:solidFill>
              <w14:schemeClr w14:val="tx1"/>
            </w14:solidFill>
          </w14:textFill>
        </w:rPr>
        <w:t>回注</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不外排，</w:t>
      </w:r>
      <w:r>
        <w:rPr>
          <w:rFonts w:cs="Times New Roman"/>
          <w:bCs/>
          <w:color w:val="000000" w:themeColor="text1"/>
          <w:szCs w:val="24"/>
          <w:highlight w:val="none"/>
          <w14:textFill>
            <w14:solidFill>
              <w14:schemeClr w14:val="tx1"/>
            </w14:solidFill>
          </w14:textFill>
        </w:rPr>
        <w:t>对地表水体影响较小</w:t>
      </w:r>
      <w:r>
        <w:rPr>
          <w:rFonts w:cs="Times New Roman"/>
          <w:bCs/>
          <w:color w:val="000000" w:themeColor="text1"/>
          <w:highlight w:val="none"/>
          <w14:textFill>
            <w14:solidFill>
              <w14:schemeClr w14:val="tx1"/>
            </w14:solidFill>
          </w14:textFill>
        </w:rPr>
        <w:t>。</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（3）生活污水影响分析</w:t>
      </w:r>
    </w:p>
    <w:p>
      <w:pPr>
        <w:ind w:firstLine="480"/>
        <w:rPr>
          <w:rFonts w:cs="Times New Roman"/>
          <w:bCs/>
          <w:color w:val="000000" w:themeColor="text1"/>
          <w:szCs w:val="24"/>
          <w:highlight w:val="none"/>
          <w14:textFill>
            <w14:solidFill>
              <w14:schemeClr w14:val="tx1"/>
            </w14:solidFill>
          </w14:textFill>
        </w:rPr>
      </w:pPr>
      <w:r>
        <w:rPr>
          <w:rFonts w:ascii="Times New Roman" w:hAnsi="Times New Roman"/>
          <w:bCs/>
          <w:color w:val="000000" w:themeColor="text1"/>
          <w:sz w:val="24"/>
          <w:szCs w:val="24"/>
          <w:highlight w:val="none"/>
          <w:lang w:eastAsia="zh-CN"/>
          <w14:textFill>
            <w14:solidFill>
              <w14:schemeClr w14:val="tx1"/>
            </w14:solidFill>
          </w14:textFill>
        </w:rPr>
        <w:t>本项目为无人值守站场，无生活污水产生</w:t>
      </w:r>
      <w:r>
        <w:rPr>
          <w:rFonts w:cs="Times New Roman"/>
          <w:bCs/>
          <w:color w:val="000000" w:themeColor="text1"/>
          <w:szCs w:val="24"/>
          <w:highlight w:val="none"/>
          <w14:textFill>
            <w14:solidFill>
              <w14:schemeClr w14:val="tx1"/>
            </w14:solidFill>
          </w14:textFill>
        </w:rPr>
        <w:t>。</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综上所述，在严格落实各项污染防治措施的前提下，本项目试采期对周围地表水环境影响较小。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bookmarkStart w:id="276" w:name="_Toc120173158"/>
      <w:r>
        <w:rPr>
          <w:color w:val="000000" w:themeColor="text1"/>
          <w:highlight w:val="none"/>
          <w14:textFill>
            <w14:solidFill>
              <w14:schemeClr w14:val="tx1"/>
            </w14:solidFill>
          </w14:textFill>
        </w:rPr>
        <w:t>声环境影响分析</w:t>
      </w:r>
      <w:bookmarkEnd w:id="276"/>
    </w:p>
    <w:p>
      <w:pPr>
        <w:adjustRightInd w:val="0"/>
        <w:snapToGrid w:val="0"/>
        <w:spacing w:line="360" w:lineRule="auto"/>
        <w:ind w:firstLine="482" w:firstLineChars="200"/>
        <w:rPr>
          <w:rFonts w:ascii="Times New Roman" w:hAnsi="Times New Roman"/>
          <w:b/>
          <w:color w:val="000000" w:themeColor="text1"/>
          <w:sz w:val="24"/>
          <w:szCs w:val="24"/>
          <w:highlight w:val="none"/>
          <w:lang w:eastAsia="zh-CN"/>
          <w14:textFill>
            <w14:solidFill>
              <w14:schemeClr w14:val="tx1"/>
            </w14:solidFill>
          </w14:textFill>
        </w:rPr>
      </w:pPr>
      <w:bookmarkStart w:id="277" w:name="_Toc120173159"/>
      <w:r>
        <w:rPr>
          <w:rFonts w:ascii="Times New Roman" w:hAnsi="Times New Roman"/>
          <w:b/>
          <w:color w:val="000000" w:themeColor="text1"/>
          <w:sz w:val="24"/>
          <w:szCs w:val="24"/>
          <w:highlight w:val="none"/>
          <w:lang w:eastAsia="zh-CN"/>
          <w14:textFill>
            <w14:solidFill>
              <w14:schemeClr w14:val="tx1"/>
            </w14:solidFill>
          </w14:textFill>
        </w:rPr>
        <w:t>（1）采气设备噪声影响分析</w:t>
      </w:r>
    </w:p>
    <w:p>
      <w:pPr>
        <w:ind w:firstLine="480"/>
        <w:rPr>
          <w:color w:val="000000" w:themeColor="text1"/>
          <w14:textFill>
            <w14:solidFill>
              <w14:schemeClr w14:val="tx1"/>
            </w14:solidFill>
          </w14:textFill>
        </w:rPr>
      </w:pPr>
      <w:bookmarkStart w:id="278" w:name="_Hlk87898866"/>
      <w:r>
        <w:rPr>
          <w:rFonts w:ascii="Times New Roman" w:hAnsi="Times New Roman"/>
          <w:bCs/>
          <w:color w:val="000000" w:themeColor="text1"/>
          <w:sz w:val="24"/>
          <w:highlight w:val="none"/>
          <w:lang w:eastAsia="zh-CN"/>
          <w14:textFill>
            <w14:solidFill>
              <w14:schemeClr w14:val="tx1"/>
            </w14:solidFill>
          </w14:textFill>
        </w:rPr>
        <w:t>井站噪声主要来自水套加热炉、分离器等设备的气流摩擦噪声，通过大量钻井项目的试采期气流噪声源类比调查结果，</w:t>
      </w:r>
      <w:r>
        <w:rPr>
          <w:color w:val="000000" w:themeColor="text1"/>
          <w14:textFill>
            <w14:solidFill>
              <w14:schemeClr w14:val="tx1"/>
            </w14:solidFill>
          </w14:textFill>
        </w:rPr>
        <w:t>其声级值见下表。</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rFonts w:hint="eastAsia"/>
          <w:color w:val="000000" w:themeColor="text1"/>
          <w:highlight w:val="none"/>
          <w:lang w:val="en-US" w:eastAsia="zh-CN"/>
          <w14:textFill>
            <w14:solidFill>
              <w14:schemeClr w14:val="tx1"/>
            </w14:solidFill>
          </w14:textFill>
        </w:rPr>
        <w:t>7</w:t>
      </w:r>
      <w:r>
        <w:rPr>
          <w:color w:val="000000" w:themeColor="text1"/>
          <w:highlight w:val="none"/>
          <w:lang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试采站</w:t>
      </w:r>
      <w:r>
        <w:rPr>
          <w:rFonts w:ascii="Times New Roman" w:hAnsi="Times New Roman" w:eastAsia="黑体" w:cs="Times New Roman"/>
          <w:color w:val="000000" w:themeColor="text1"/>
          <w:kern w:val="2"/>
          <w:sz w:val="21"/>
          <w:szCs w:val="21"/>
          <w:highlight w:val="none"/>
          <w:lang w:val="en-US" w:eastAsia="zh-CN" w:bidi="ar-SA"/>
          <w14:textFill>
            <w14:solidFill>
              <w14:schemeClr w14:val="tx1"/>
            </w14:solidFill>
          </w14:textFill>
        </w:rPr>
        <w:t>噪声源及声值</w:t>
      </w:r>
      <w:r>
        <w:rPr>
          <w:color w:val="000000" w:themeColor="text1"/>
          <w:highlight w:val="none"/>
          <w:lang w:eastAsia="zh-CN"/>
          <w14:textFill>
            <w14:solidFill>
              <w14:schemeClr w14:val="tx1"/>
            </w14:solidFill>
          </w14:textFill>
        </w:rPr>
        <w:t>表</w:t>
      </w:r>
    </w:p>
    <w:tbl>
      <w:tblPr>
        <w:tblStyle w:val="601"/>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826"/>
        <w:gridCol w:w="1552"/>
        <w:gridCol w:w="206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36" w:type="dxa"/>
            <w:tcBorders>
              <w:top w:val="single" w:color="auto" w:sz="4" w:space="0"/>
              <w:lef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b/>
                <w:bCs/>
                <w:color w:val="000000" w:themeColor="text1"/>
                <w:kern w:val="2"/>
                <w14:textFill>
                  <w14:solidFill>
                    <w14:schemeClr w14:val="tx1"/>
                  </w14:solidFill>
                </w14:textFill>
              </w:rPr>
            </w:pPr>
            <w:r>
              <w:rPr>
                <w:rFonts w:hint="default" w:ascii="Times New Roman" w:hAnsi="Times New Roman" w:eastAsia="宋体" w:cs="Times New Roman"/>
                <w:b/>
                <w:bCs/>
                <w:color w:val="000000" w:themeColor="text1"/>
                <w:kern w:val="2"/>
                <w14:textFill>
                  <w14:solidFill>
                    <w14:schemeClr w14:val="tx1"/>
                  </w14:solidFill>
                </w14:textFill>
              </w:rPr>
              <w:t>噪声源</w:t>
            </w:r>
          </w:p>
        </w:tc>
        <w:tc>
          <w:tcPr>
            <w:tcW w:w="2826" w:type="dxa"/>
            <w:tcBorders>
              <w:top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b/>
                <w:bCs/>
                <w:color w:val="000000" w:themeColor="text1"/>
                <w:kern w:val="2"/>
                <w14:textFill>
                  <w14:solidFill>
                    <w14:schemeClr w14:val="tx1"/>
                  </w14:solidFill>
                </w14:textFill>
              </w:rPr>
            </w:pPr>
            <w:r>
              <w:rPr>
                <w:rFonts w:hint="default" w:ascii="Times New Roman" w:hAnsi="Times New Roman" w:eastAsia="宋体" w:cs="Times New Roman"/>
                <w:b/>
                <w:bCs/>
                <w:color w:val="000000" w:themeColor="text1"/>
                <w:kern w:val="2"/>
                <w14:textFill>
                  <w14:solidFill>
                    <w14:schemeClr w14:val="tx1"/>
                  </w14:solidFill>
                </w14:textFill>
              </w:rPr>
              <w:t>单台设备声级（</w:t>
            </w:r>
            <w:r>
              <w:rPr>
                <w:rFonts w:hint="default" w:ascii="Times New Roman" w:hAnsi="Times New Roman" w:eastAsia="Times New Roman" w:cs="Times New Roman"/>
                <w:b/>
                <w:bCs/>
                <w:color w:val="000000" w:themeColor="text1"/>
                <w:kern w:val="2"/>
                <w14:textFill>
                  <w14:solidFill>
                    <w14:schemeClr w14:val="tx1"/>
                  </w14:solidFill>
                </w14:textFill>
              </w:rPr>
              <w:t>dB</w:t>
            </w:r>
            <w:r>
              <w:rPr>
                <w:rFonts w:hint="default" w:ascii="Times New Roman" w:hAnsi="Times New Roman" w:eastAsia="宋体" w:cs="Times New Roman"/>
                <w:b/>
                <w:bCs/>
                <w:color w:val="000000" w:themeColor="text1"/>
                <w:kern w:val="2"/>
                <w14:textFill>
                  <w14:solidFill>
                    <w14:schemeClr w14:val="tx1"/>
                  </w14:solidFill>
                </w14:textFill>
              </w:rPr>
              <w:t>（</w:t>
            </w:r>
            <w:r>
              <w:rPr>
                <w:rFonts w:hint="default" w:ascii="Times New Roman" w:hAnsi="Times New Roman" w:eastAsia="Times New Roman" w:cs="Times New Roman"/>
                <w:b/>
                <w:bCs/>
                <w:color w:val="000000" w:themeColor="text1"/>
                <w:kern w:val="2"/>
                <w14:textFill>
                  <w14:solidFill>
                    <w14:schemeClr w14:val="tx1"/>
                  </w14:solidFill>
                </w14:textFill>
              </w:rPr>
              <w:t>A</w:t>
            </w:r>
            <w:r>
              <w:rPr>
                <w:rFonts w:hint="default" w:ascii="Times New Roman" w:hAnsi="Times New Roman" w:eastAsia="宋体" w:cs="Times New Roman"/>
                <w:b/>
                <w:bCs/>
                <w:color w:val="000000" w:themeColor="text1"/>
                <w:kern w:val="2"/>
                <w14:textFill>
                  <w14:solidFill>
                    <w14:schemeClr w14:val="tx1"/>
                  </w14:solidFill>
                </w14:textFill>
              </w:rPr>
              <w:t>））</w:t>
            </w:r>
          </w:p>
        </w:tc>
        <w:tc>
          <w:tcPr>
            <w:tcW w:w="1552" w:type="dxa"/>
            <w:tcBorders>
              <w:top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b/>
                <w:bCs/>
                <w:color w:val="000000" w:themeColor="text1"/>
                <w:kern w:val="2"/>
                <w14:textFill>
                  <w14:solidFill>
                    <w14:schemeClr w14:val="tx1"/>
                  </w14:solidFill>
                </w14:textFill>
              </w:rPr>
            </w:pPr>
            <w:r>
              <w:rPr>
                <w:rFonts w:hint="default" w:ascii="Times New Roman" w:hAnsi="Times New Roman" w:eastAsia="宋体" w:cs="Times New Roman"/>
                <w:b/>
                <w:bCs/>
                <w:color w:val="000000" w:themeColor="text1"/>
                <w:kern w:val="2"/>
                <w14:textFill>
                  <w14:solidFill>
                    <w14:schemeClr w14:val="tx1"/>
                  </w14:solidFill>
                </w14:textFill>
              </w:rPr>
              <w:t>排放规律</w:t>
            </w:r>
          </w:p>
        </w:tc>
        <w:tc>
          <w:tcPr>
            <w:tcW w:w="2062" w:type="dxa"/>
            <w:tcBorders>
              <w:top w:val="single" w:color="auto" w:sz="4" w:space="0"/>
              <w:righ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b/>
                <w:bCs/>
                <w:color w:val="000000" w:themeColor="text1"/>
                <w:kern w:val="2"/>
                <w14:textFill>
                  <w14:solidFill>
                    <w14:schemeClr w14:val="tx1"/>
                  </w14:solidFill>
                </w14:textFill>
              </w:rPr>
            </w:pPr>
            <w:r>
              <w:rPr>
                <w:rFonts w:hint="default" w:ascii="Times New Roman" w:hAnsi="Times New Roman" w:eastAsia="宋体" w:cs="Times New Roman"/>
                <w:b/>
                <w:bCs/>
                <w:color w:val="000000" w:themeColor="text1"/>
                <w:kern w:val="2"/>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36" w:type="dxa"/>
            <w:tcBorders>
              <w:lef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水套加热炉</w:t>
            </w:r>
          </w:p>
        </w:tc>
        <w:tc>
          <w:tcPr>
            <w:tcW w:w="2826"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Times New Roman" w:cs="Times New Roman"/>
                <w:color w:val="000000" w:themeColor="text1"/>
                <w:kern w:val="2"/>
                <w14:textFill>
                  <w14:solidFill>
                    <w14:schemeClr w14:val="tx1"/>
                  </w14:solidFill>
                </w14:textFill>
              </w:rPr>
              <w:t>60</w:t>
            </w:r>
          </w:p>
        </w:tc>
        <w:tc>
          <w:tcPr>
            <w:tcW w:w="1552"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连续</w:t>
            </w:r>
          </w:p>
        </w:tc>
        <w:tc>
          <w:tcPr>
            <w:tcW w:w="2062" w:type="dxa"/>
            <w:tcBorders>
              <w:righ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单台声级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36" w:type="dxa"/>
            <w:tcBorders>
              <w:lef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分离器</w:t>
            </w:r>
          </w:p>
        </w:tc>
        <w:tc>
          <w:tcPr>
            <w:tcW w:w="2826"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Times New Roman" w:cs="Times New Roman"/>
                <w:color w:val="000000" w:themeColor="text1"/>
                <w:kern w:val="2"/>
                <w14:textFill>
                  <w14:solidFill>
                    <w14:schemeClr w14:val="tx1"/>
                  </w14:solidFill>
                </w14:textFill>
              </w:rPr>
              <w:t>60</w:t>
            </w:r>
          </w:p>
        </w:tc>
        <w:tc>
          <w:tcPr>
            <w:tcW w:w="1552"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连续</w:t>
            </w:r>
          </w:p>
        </w:tc>
        <w:tc>
          <w:tcPr>
            <w:tcW w:w="2062" w:type="dxa"/>
            <w:tcBorders>
              <w:righ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单台声级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36" w:type="dxa"/>
            <w:tcBorders>
              <w:lef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节流阀</w:t>
            </w:r>
          </w:p>
        </w:tc>
        <w:tc>
          <w:tcPr>
            <w:tcW w:w="2826"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Times New Roman" w:cs="Times New Roman"/>
                <w:color w:val="000000" w:themeColor="text1"/>
                <w:kern w:val="2"/>
                <w14:textFill>
                  <w14:solidFill>
                    <w14:schemeClr w14:val="tx1"/>
                  </w14:solidFill>
                </w14:textFill>
              </w:rPr>
              <w:t>60</w:t>
            </w:r>
          </w:p>
        </w:tc>
        <w:tc>
          <w:tcPr>
            <w:tcW w:w="1552" w:type="dxa"/>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连续</w:t>
            </w:r>
          </w:p>
        </w:tc>
        <w:tc>
          <w:tcPr>
            <w:tcW w:w="2062" w:type="dxa"/>
            <w:tcBorders>
              <w:righ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单台声级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836" w:type="dxa"/>
            <w:tcBorders>
              <w:left w:val="single" w:color="auto" w:sz="4" w:space="0"/>
              <w:bottom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放空系统</w:t>
            </w:r>
          </w:p>
        </w:tc>
        <w:tc>
          <w:tcPr>
            <w:tcW w:w="2826" w:type="dxa"/>
            <w:tcBorders>
              <w:bottom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Times New Roman" w:cs="Times New Roman"/>
                <w:color w:val="000000" w:themeColor="text1"/>
                <w:kern w:val="2"/>
                <w14:textFill>
                  <w14:solidFill>
                    <w14:schemeClr w14:val="tx1"/>
                  </w14:solidFill>
                </w14:textFill>
              </w:rPr>
              <w:t>100~110</w:t>
            </w:r>
          </w:p>
        </w:tc>
        <w:tc>
          <w:tcPr>
            <w:tcW w:w="1552" w:type="dxa"/>
            <w:tcBorders>
              <w:bottom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间断</w:t>
            </w:r>
          </w:p>
        </w:tc>
        <w:tc>
          <w:tcPr>
            <w:tcW w:w="2062" w:type="dxa"/>
            <w:tcBorders>
              <w:bottom w:val="single" w:color="auto" w:sz="4" w:space="0"/>
              <w:right w:val="single" w:color="auto" w:sz="4" w:space="0"/>
            </w:tcBorders>
            <w:vAlign w:val="center"/>
          </w:tcPr>
          <w:p>
            <w:pPr>
              <w:pStyle w:val="594"/>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kern w:val="2"/>
                <w14:textFill>
                  <w14:solidFill>
                    <w14:schemeClr w14:val="tx1"/>
                  </w14:solidFill>
                </w14:textFill>
              </w:rPr>
            </w:pPr>
            <w:r>
              <w:rPr>
                <w:rFonts w:hint="default" w:ascii="Times New Roman" w:hAnsi="Times New Roman" w:eastAsia="Times New Roman" w:cs="Times New Roman"/>
                <w:color w:val="000000" w:themeColor="text1"/>
                <w:kern w:val="2"/>
                <w14:textFill>
                  <w14:solidFill>
                    <w14:schemeClr w14:val="tx1"/>
                  </w14:solidFill>
                </w14:textFill>
              </w:rPr>
              <w:t>/</w:t>
            </w:r>
          </w:p>
        </w:tc>
      </w:tr>
    </w:tbl>
    <w:p>
      <w:pPr>
        <w:adjustRightInd w:val="0"/>
        <w:snapToGrid w:val="0"/>
        <w:spacing w:line="360" w:lineRule="auto"/>
        <w:ind w:firstLine="480" w:firstLineChars="200"/>
        <w:rPr>
          <w:rFonts w:ascii="Times New Roman" w:hAnsi="Times New Roman"/>
          <w:bCs/>
          <w:color w:val="000000" w:themeColor="text1"/>
          <w:sz w:val="24"/>
          <w:highlight w:val="none"/>
          <w:lang w:eastAsia="zh-CN"/>
          <w14:textFill>
            <w14:solidFill>
              <w14:schemeClr w14:val="tx1"/>
            </w14:solidFill>
          </w14:textFill>
        </w:rPr>
      </w:pPr>
    </w:p>
    <w:p>
      <w:pPr>
        <w:adjustRightInd w:val="0"/>
        <w:snapToGrid w:val="0"/>
        <w:spacing w:line="360" w:lineRule="auto"/>
        <w:ind w:firstLine="480" w:firstLineChars="200"/>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为有效控制噪声，首先在平面布置时进行合理布局，控制气流速度，减少站场工艺管线的弯头、三通等管件，降低试采站内噪声；其次，选用高效低噪声的水套加热炉、分离器和调压设备。通过采取这些噪声控制措施后，</w:t>
      </w:r>
      <w:r>
        <w:rPr>
          <w:rFonts w:ascii="Times New Roman" w:hAnsi="Times New Roman"/>
          <w:color w:val="000000" w:themeColor="text1"/>
          <w:sz w:val="24"/>
          <w:highlight w:val="none"/>
          <w:lang w:eastAsia="zh-CN"/>
          <w14:textFill>
            <w14:solidFill>
              <w14:schemeClr w14:val="tx1"/>
            </w14:solidFill>
          </w14:textFill>
        </w:rPr>
        <w:t>噪声源的声级值约55dB（A）以下。</w:t>
      </w:r>
      <w:bookmarkEnd w:id="278"/>
    </w:p>
    <w:p>
      <w:pPr>
        <w:adjustRightInd w:val="0"/>
        <w:snapToGrid w:val="0"/>
        <w:spacing w:line="360" w:lineRule="auto"/>
        <w:ind w:firstLine="480" w:firstLineChars="200"/>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工艺流程区位于井场中后部偏后场靠近井口布置</w:t>
      </w:r>
      <w:r>
        <w:rPr>
          <w:rFonts w:hint="eastAsia" w:ascii="Times New Roman" w:hAnsi="Times New Roman"/>
          <w:bCs/>
          <w:color w:val="000000" w:themeColor="text1"/>
          <w:sz w:val="24"/>
          <w:highlight w:val="none"/>
          <w:lang w:eastAsia="zh-CN"/>
          <w14:textFill>
            <w14:solidFill>
              <w14:schemeClr w14:val="tx1"/>
            </w14:solidFill>
          </w14:textFill>
        </w:rPr>
        <w:t>，</w:t>
      </w:r>
      <w:r>
        <w:rPr>
          <w:rFonts w:ascii="Times New Roman" w:hAnsi="Times New Roman"/>
          <w:bCs/>
          <w:color w:val="000000" w:themeColor="text1"/>
          <w:sz w:val="24"/>
          <w:highlight w:val="none"/>
          <w:lang w:eastAsia="zh-CN"/>
          <w14:textFill>
            <w14:solidFill>
              <w14:schemeClr w14:val="tx1"/>
            </w14:solidFill>
          </w14:textFill>
        </w:rPr>
        <w:t>试采期主要噪声源源强调查清单见下表：</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7</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w:t>
      </w:r>
      <w:bookmarkStart w:id="279" w:name="_Hlk127351199"/>
      <w:r>
        <w:rPr>
          <w:color w:val="000000" w:themeColor="text1"/>
          <w:highlight w:val="none"/>
          <w:lang w:eastAsia="zh-CN"/>
          <w14:textFill>
            <w14:solidFill>
              <w14:schemeClr w14:val="tx1"/>
            </w14:solidFill>
          </w14:textFill>
        </w:rPr>
        <w:t>试采期主要噪声源源强调查清单</w:t>
      </w:r>
      <w:bookmarkEnd w:id="279"/>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65"/>
        <w:gridCol w:w="1013"/>
        <w:gridCol w:w="1328"/>
        <w:gridCol w:w="625"/>
        <w:gridCol w:w="621"/>
        <w:gridCol w:w="625"/>
        <w:gridCol w:w="1045"/>
        <w:gridCol w:w="1732"/>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013"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声源名称</w:t>
            </w:r>
          </w:p>
        </w:tc>
        <w:tc>
          <w:tcPr>
            <w:tcW w:w="132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型号</w:t>
            </w:r>
          </w:p>
        </w:tc>
        <w:tc>
          <w:tcPr>
            <w:tcW w:w="187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空间相对位置/m</w:t>
            </w:r>
          </w:p>
        </w:tc>
        <w:tc>
          <w:tcPr>
            <w:tcW w:w="104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声源源强（dB（A）/1m）</w:t>
            </w:r>
          </w:p>
        </w:tc>
        <w:tc>
          <w:tcPr>
            <w:tcW w:w="173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声源控制措施</w:t>
            </w:r>
          </w:p>
        </w:tc>
        <w:tc>
          <w:tcPr>
            <w:tcW w:w="86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13"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2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X</w:t>
            </w:r>
          </w:p>
        </w:tc>
        <w:tc>
          <w:tcPr>
            <w:tcW w:w="6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Y</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Z</w:t>
            </w:r>
          </w:p>
        </w:tc>
        <w:tc>
          <w:tcPr>
            <w:tcW w:w="104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3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6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分离器撬</w:t>
            </w:r>
          </w:p>
        </w:tc>
        <w:tc>
          <w:tcPr>
            <w:tcW w:w="132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D1200mmx6000mm</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108.5</w:t>
            </w:r>
          </w:p>
        </w:tc>
        <w:tc>
          <w:tcPr>
            <w:tcW w:w="6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42.7</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4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73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控制气流速度，减少站场工艺管线的弯头、三通等管件，降低集气站内噪声，选用高效低噪声的水套炉、分离器和调压设备</w:t>
            </w:r>
          </w:p>
        </w:tc>
        <w:tc>
          <w:tcPr>
            <w:tcW w:w="8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水套加热炉</w:t>
            </w:r>
            <w:r>
              <w:rPr>
                <w:rFonts w:hint="eastAsia" w:cs="Times New Roman"/>
                <w:color w:val="000000" w:themeColor="text1"/>
                <w:sz w:val="21"/>
                <w:szCs w:val="21"/>
                <w:highlight w:val="none"/>
                <w:lang w:val="en-US" w:eastAsia="zh-CN"/>
                <w14:textFill>
                  <w14:solidFill>
                    <w14:schemeClr w14:val="tx1"/>
                  </w14:solidFill>
                </w14:textFill>
              </w:rPr>
              <w:t>1</w:t>
            </w:r>
          </w:p>
        </w:tc>
        <w:tc>
          <w:tcPr>
            <w:tcW w:w="132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400kW</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-83.4</w:t>
            </w:r>
          </w:p>
        </w:tc>
        <w:tc>
          <w:tcPr>
            <w:tcW w:w="6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42.9</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4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3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水套加热炉</w:t>
            </w:r>
            <w:r>
              <w:rPr>
                <w:rFonts w:hint="eastAsia" w:cs="Times New Roman"/>
                <w:color w:val="000000" w:themeColor="text1"/>
                <w:sz w:val="21"/>
                <w:szCs w:val="21"/>
                <w:highlight w:val="none"/>
                <w:lang w:val="en-US" w:eastAsia="zh-CN"/>
                <w14:textFill>
                  <w14:solidFill>
                    <w14:schemeClr w14:val="tx1"/>
                  </w14:solidFill>
                </w14:textFill>
              </w:rPr>
              <w:t>2</w:t>
            </w:r>
          </w:p>
        </w:tc>
        <w:tc>
          <w:tcPr>
            <w:tcW w:w="132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400kW</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-81.8</w:t>
            </w:r>
          </w:p>
        </w:tc>
        <w:tc>
          <w:tcPr>
            <w:tcW w:w="6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43.1</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4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3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6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4</w:t>
            </w:r>
          </w:p>
        </w:tc>
        <w:tc>
          <w:tcPr>
            <w:tcW w:w="101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放空分液撬</w:t>
            </w:r>
          </w:p>
        </w:tc>
        <w:tc>
          <w:tcPr>
            <w:tcW w:w="132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D1200mm×4800mm</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-89.9</w:t>
            </w:r>
          </w:p>
        </w:tc>
        <w:tc>
          <w:tcPr>
            <w:tcW w:w="62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42.7</w:t>
            </w:r>
          </w:p>
        </w:tc>
        <w:tc>
          <w:tcPr>
            <w:tcW w:w="62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4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3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昼夜连续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220"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注：以试采站厂界西南侧边角处为坐标原点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上述各类源强均属于室外源。</w:t>
            </w:r>
          </w:p>
        </w:tc>
      </w:tr>
    </w:tbl>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噪声影响预测结果</w:t>
      </w:r>
      <w:r>
        <w:rPr>
          <w:rFonts w:hint="eastAsia" w:ascii="Times New Roman" w:hAnsi="Times New Roman"/>
          <w:bCs/>
          <w:color w:val="000000" w:themeColor="text1"/>
          <w:sz w:val="24"/>
          <w:highlight w:val="none"/>
          <w:lang w:val="en-US" w:eastAsia="zh-CN"/>
          <w14:textFill>
            <w14:solidFill>
              <w14:schemeClr w14:val="tx1"/>
            </w14:solidFill>
          </w14:textFill>
        </w:rPr>
        <w:t>如下。</w:t>
      </w:r>
    </w:p>
    <w:p>
      <w:pPr>
        <w:adjustRightInd w:val="0"/>
        <w:snapToGrid w:val="0"/>
        <w:spacing w:line="360" w:lineRule="auto"/>
        <w:ind w:left="0" w:leftChars="0" w:firstLine="0" w:firstLineChars="0"/>
        <w:jc w:val="center"/>
        <w:rPr>
          <w:rFonts w:ascii="Times New Roman" w:hAnsi="Times New Roman"/>
          <w:bCs/>
          <w:color w:val="000000" w:themeColor="text1"/>
          <w:sz w:val="24"/>
          <w:highlight w:val="none"/>
          <w:lang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p>
      <w:pPr>
        <w:pStyle w:val="201"/>
        <w:spacing w:before="120"/>
        <w:rPr>
          <w:color w:val="000000" w:themeColor="text1"/>
          <w:highlight w:val="none"/>
          <w:lang w:eastAsia="zh-CN"/>
          <w14:textFill>
            <w14:solidFill>
              <w14:schemeClr w14:val="tx1"/>
            </w14:solidFill>
          </w14:textFill>
        </w:rPr>
      </w:pPr>
      <w:r>
        <w:rPr>
          <w:rFonts w:ascii="Times New Roman" w:hAnsi="Times New Roman" w:eastAsia="黑体"/>
          <w:color w:val="000000" w:themeColor="text1"/>
          <w:sz w:val="21"/>
          <w:szCs w:val="21"/>
          <w:highlight w:val="none"/>
          <w:lang w:eastAsia="zh-CN"/>
          <w14:textFill>
            <w14:solidFill>
              <w14:schemeClr w14:val="tx1"/>
            </w14:solidFill>
          </w14:textFill>
        </w:rPr>
        <w:t xml:space="preserve">图 </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begin"/>
      </w:r>
      <w:r>
        <w:rPr>
          <w:rFonts w:ascii="Times New Roman" w:hAnsi="Times New Roman" w:eastAsia="黑体"/>
          <w:color w:val="000000" w:themeColor="text1"/>
          <w:sz w:val="21"/>
          <w:szCs w:val="21"/>
          <w:highlight w:val="none"/>
          <w:lang w:eastAsia="zh-CN"/>
          <w14:textFill>
            <w14:solidFill>
              <w14:schemeClr w14:val="tx1"/>
            </w14:solidFill>
          </w14:textFill>
        </w:rPr>
        <w:instrText xml:space="preserve"> STYLEREF 2 \s </w:instrText>
      </w:r>
      <w:r>
        <w:rPr>
          <w:rFonts w:ascii="Times New Roman" w:hAnsi="Times New Roman" w:eastAsia="黑体"/>
          <w:color w:val="000000" w:themeColor="text1"/>
          <w:sz w:val="21"/>
          <w:szCs w:val="21"/>
          <w:highlight w:val="none"/>
          <w:lang w:eastAsia="zh-CN"/>
          <w14:textFill>
            <w14:solidFill>
              <w14:schemeClr w14:val="tx1"/>
            </w14:solidFill>
          </w14:textFill>
        </w:rPr>
        <w:fldChar w:fldCharType="separate"/>
      </w:r>
      <w:r>
        <w:rPr>
          <w:rFonts w:ascii="Times New Roman" w:hAnsi="Times New Roman" w:eastAsia="黑体"/>
          <w:color w:val="000000" w:themeColor="text1"/>
          <w:sz w:val="21"/>
          <w:szCs w:val="21"/>
          <w:highlight w:val="none"/>
          <w:lang w:eastAsia="zh-CN"/>
          <w14:textFill>
            <w14:solidFill>
              <w14:schemeClr w14:val="tx1"/>
            </w14:solidFill>
          </w14:textFill>
        </w:rPr>
        <w:t>5.2</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end"/>
      </w:r>
      <w:r>
        <w:rPr>
          <w:rFonts w:hint="eastAsia" w:ascii="Times New Roman" w:hAnsi="Times New Roman" w:eastAsia="黑体"/>
          <w:color w:val="000000" w:themeColor="text1"/>
          <w:sz w:val="21"/>
          <w:szCs w:val="21"/>
          <w:highlight w:val="none"/>
          <w:lang w:eastAsia="zh-CN"/>
          <w14:textFill>
            <w14:solidFill>
              <w14:schemeClr w14:val="tx1"/>
            </w14:solidFill>
          </w14:textFill>
        </w:rPr>
        <w:t>-</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begin"/>
      </w:r>
      <w:r>
        <w:rPr>
          <w:rFonts w:ascii="Times New Roman" w:hAnsi="Times New Roman" w:eastAsia="黑体"/>
          <w:color w:val="000000" w:themeColor="text1"/>
          <w:sz w:val="21"/>
          <w:szCs w:val="21"/>
          <w:highlight w:val="none"/>
          <w:lang w:eastAsia="zh-CN"/>
          <w14:textFill>
            <w14:solidFill>
              <w14:schemeClr w14:val="tx1"/>
            </w14:solidFill>
          </w14:textFill>
        </w:rPr>
        <w:instrText xml:space="preserve"> SEQ 图 \* ARABIC \s 2 </w:instrText>
      </w:r>
      <w:r>
        <w:rPr>
          <w:rFonts w:ascii="Times New Roman" w:hAnsi="Times New Roman" w:eastAsia="黑体"/>
          <w:color w:val="000000" w:themeColor="text1"/>
          <w:sz w:val="21"/>
          <w:szCs w:val="21"/>
          <w:highlight w:val="none"/>
          <w:lang w:eastAsia="zh-CN"/>
          <w14:textFill>
            <w14:solidFill>
              <w14:schemeClr w14:val="tx1"/>
            </w14:solidFill>
          </w14:textFill>
        </w:rPr>
        <w:fldChar w:fldCharType="separate"/>
      </w:r>
      <w:r>
        <w:rPr>
          <w:rFonts w:ascii="Times New Roman" w:hAnsi="Times New Roman" w:eastAsia="黑体"/>
          <w:color w:val="000000" w:themeColor="text1"/>
          <w:sz w:val="21"/>
          <w:szCs w:val="21"/>
          <w:highlight w:val="none"/>
          <w:lang w:eastAsia="zh-CN"/>
          <w14:textFill>
            <w14:solidFill>
              <w14:schemeClr w14:val="tx1"/>
            </w14:solidFill>
          </w14:textFill>
        </w:rPr>
        <w:t>3</w:t>
      </w:r>
      <w:r>
        <w:rPr>
          <w:rFonts w:ascii="Times New Roman" w:hAnsi="Times New Roman" w:eastAsia="黑体"/>
          <w:color w:val="000000" w:themeColor="text1"/>
          <w:sz w:val="21"/>
          <w:szCs w:val="21"/>
          <w:highlight w:val="none"/>
          <w:lang w:eastAsia="zh-CN"/>
          <w14:textFill>
            <w14:solidFill>
              <w14:schemeClr w14:val="tx1"/>
            </w14:solidFill>
          </w14:textFill>
        </w:rPr>
        <w:fldChar w:fldCharType="end"/>
      </w:r>
      <w:r>
        <w:rPr>
          <w:rFonts w:hint="eastAsia" w:ascii="Times New Roman" w:hAnsi="Times New Roman" w:eastAsia="黑体"/>
          <w:color w:val="000000" w:themeColor="text1"/>
          <w:sz w:val="21"/>
          <w:szCs w:val="21"/>
          <w:highlight w:val="none"/>
          <w:lang w:eastAsia="zh-CN"/>
          <w14:textFill>
            <w14:solidFill>
              <w14:schemeClr w14:val="tx1"/>
            </w14:solidFill>
          </w14:textFill>
        </w:rPr>
        <w:t xml:space="preserve"> </w:t>
      </w:r>
      <w:r>
        <w:rPr>
          <w:rFonts w:ascii="Times New Roman" w:hAnsi="Times New Roman" w:eastAsia="黑体"/>
          <w:color w:val="000000" w:themeColor="text1"/>
          <w:sz w:val="21"/>
          <w:szCs w:val="21"/>
          <w:highlight w:val="none"/>
          <w:lang w:eastAsia="zh-CN"/>
          <w14:textFill>
            <w14:solidFill>
              <w14:schemeClr w14:val="tx1"/>
            </w14:solidFill>
          </w14:textFill>
        </w:rPr>
        <w:t xml:space="preserve"> </w:t>
      </w:r>
      <w:r>
        <w:rPr>
          <w:color w:val="000000" w:themeColor="text1"/>
          <w:highlight w:val="none"/>
          <w:lang w:eastAsia="zh-CN"/>
          <w14:textFill>
            <w14:solidFill>
              <w14:schemeClr w14:val="tx1"/>
            </w14:solidFill>
          </w14:textFill>
        </w:rPr>
        <w:t>试采期噪声等声级线图</w:t>
      </w:r>
    </w:p>
    <w:p>
      <w:pPr>
        <w:pStyle w:val="201"/>
        <w:spacing w:before="120"/>
        <w:rPr>
          <w:rFonts w:hint="default"/>
          <w:color w:val="000000" w:themeColor="text1"/>
          <w:highlight w:val="none"/>
          <w:lang w:val="en-US"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8</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试采期噪声影响预测</w:t>
      </w:r>
      <w:r>
        <w:rPr>
          <w:rFonts w:hint="eastAsia"/>
          <w:color w:val="000000" w:themeColor="text1"/>
          <w:highlight w:val="none"/>
          <w:lang w:val="en-US" w:eastAsia="zh-CN"/>
          <w14:textFill>
            <w14:solidFill>
              <w14:schemeClr w14:val="tx1"/>
            </w14:solidFill>
          </w14:textFill>
        </w:rPr>
        <w:t>结果表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10"/>
        <w:gridCol w:w="1767"/>
        <w:gridCol w:w="645"/>
        <w:gridCol w:w="662"/>
        <w:gridCol w:w="662"/>
        <w:gridCol w:w="662"/>
        <w:gridCol w:w="662"/>
        <w:gridCol w:w="662"/>
        <w:gridCol w:w="662"/>
        <w:gridCol w:w="662"/>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监测点</w:t>
            </w:r>
          </w:p>
        </w:tc>
        <w:tc>
          <w:tcPr>
            <w:tcW w:w="1767"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预测点位置</w:t>
            </w:r>
          </w:p>
        </w:tc>
        <w:tc>
          <w:tcPr>
            <w:tcW w:w="645" w:type="dxa"/>
            <w:vMerge w:val="restart"/>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距离</w:t>
            </w:r>
            <w:r>
              <w:rPr>
                <w:rFonts w:hint="eastAsia"/>
                <w:color w:val="000000" w:themeColor="text1"/>
                <w:sz w:val="21"/>
                <w:szCs w:val="21"/>
                <w:highlight w:val="none"/>
                <w:lang w:val="en-US" w:eastAsia="zh-CN"/>
                <w14:textFill>
                  <w14:solidFill>
                    <w14:schemeClr w14:val="tx1"/>
                  </w14:solidFill>
                </w14:textFill>
              </w:rPr>
              <w:t>站场中心</w:t>
            </w:r>
            <w:r>
              <w:rPr>
                <w:rFonts w:hint="eastAsia" w:ascii="Times New Roman" w:hAnsi="Times New Roman"/>
                <w:color w:val="000000" w:themeColor="text1"/>
                <w:sz w:val="21"/>
                <w:szCs w:val="21"/>
                <w:highlight w:val="none"/>
                <w:lang w:val="en-US" w:eastAsia="zh-CN"/>
                <w14:textFill>
                  <w14:solidFill>
                    <w14:schemeClr w14:val="tx1"/>
                  </w14:solidFill>
                </w14:textFill>
              </w:rPr>
              <w:t>最近</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(m)</w:t>
            </w:r>
          </w:p>
        </w:tc>
        <w:tc>
          <w:tcPr>
            <w:tcW w:w="13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现状值〔dB（A）〕</w:t>
            </w:r>
          </w:p>
        </w:tc>
        <w:tc>
          <w:tcPr>
            <w:tcW w:w="13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贡献值〔dB（A）〕</w:t>
            </w:r>
          </w:p>
        </w:tc>
        <w:tc>
          <w:tcPr>
            <w:tcW w:w="132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预测值〔dB（A）〕</w:t>
            </w:r>
          </w:p>
        </w:tc>
        <w:tc>
          <w:tcPr>
            <w:tcW w:w="13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p>
        </w:tc>
        <w:tc>
          <w:tcPr>
            <w:tcW w:w="1767"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p>
        </w:tc>
        <w:tc>
          <w:tcPr>
            <w:tcW w:w="645" w:type="dxa"/>
            <w:vMerge w:val="continue"/>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p>
        </w:tc>
        <w:tc>
          <w:tcPr>
            <w:tcW w:w="662"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662"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c>
          <w:tcPr>
            <w:tcW w:w="662"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662"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c>
          <w:tcPr>
            <w:tcW w:w="662"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昼间</w:t>
            </w:r>
          </w:p>
        </w:tc>
        <w:tc>
          <w:tcPr>
            <w:tcW w:w="664"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1#</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北厂</w:t>
            </w:r>
            <w:r>
              <w:rPr>
                <w:rFonts w:hint="default" w:ascii="Times New Roman" w:hAnsi="Times New Roman"/>
                <w:color w:val="000000" w:themeColor="text1"/>
                <w:sz w:val="21"/>
                <w:szCs w:val="21"/>
                <w:highlight w:val="none"/>
                <w14:textFill>
                  <w14:solidFill>
                    <w14:schemeClr w14:val="tx1"/>
                  </w14:solidFill>
                </w14:textFill>
              </w:rPr>
              <w:t>界</w:t>
            </w: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-95.6，70.3，</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2#</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东厂</w:t>
            </w:r>
            <w:r>
              <w:rPr>
                <w:rFonts w:hint="default" w:ascii="Times New Roman" w:hAnsi="Times New Roman"/>
                <w:color w:val="000000" w:themeColor="text1"/>
                <w:sz w:val="21"/>
                <w:szCs w:val="21"/>
                <w:highlight w:val="none"/>
                <w14:textFill>
                  <w14:solidFill>
                    <w14:schemeClr w14:val="tx1"/>
                  </w14:solidFill>
                </w14:textFill>
              </w:rPr>
              <w:t>界</w:t>
            </w: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-66.0，</w:t>
            </w:r>
            <w:r>
              <w:rPr>
                <w:rFonts w:hint="eastAsia"/>
                <w:color w:val="000000" w:themeColor="text1"/>
                <w:sz w:val="21"/>
                <w:szCs w:val="21"/>
                <w:highlight w:val="none"/>
                <w:lang w:val="en-US" w:eastAsia="zh-CN"/>
                <w14:textFill>
                  <w14:solidFill>
                    <w14:schemeClr w14:val="tx1"/>
                  </w14:solidFill>
                </w14:textFill>
              </w:rPr>
              <w:t>51.5</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3#</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南厂</w:t>
            </w:r>
            <w:r>
              <w:rPr>
                <w:rFonts w:hint="default" w:ascii="Times New Roman" w:hAnsi="Times New Roman"/>
                <w:color w:val="000000" w:themeColor="text1"/>
                <w:sz w:val="21"/>
                <w:szCs w:val="21"/>
                <w:highlight w:val="none"/>
                <w14:textFill>
                  <w14:solidFill>
                    <w14:schemeClr w14:val="tx1"/>
                  </w14:solidFill>
                </w14:textFill>
              </w:rPr>
              <w:t>界</w:t>
            </w: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-94.2</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35</w:t>
            </w:r>
            <w:r>
              <w:rPr>
                <w:rFonts w:hint="eastAsia" w:ascii="Times New Roman" w:hAnsi="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4#</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西厂</w:t>
            </w:r>
            <w:r>
              <w:rPr>
                <w:rFonts w:hint="default" w:ascii="Times New Roman" w:hAnsi="Times New Roman"/>
                <w:color w:val="000000" w:themeColor="text1"/>
                <w:sz w:val="21"/>
                <w:szCs w:val="21"/>
                <w:highlight w:val="none"/>
                <w14:textFill>
                  <w14:solidFill>
                    <w14:schemeClr w14:val="tx1"/>
                  </w14:solidFill>
                </w14:textFill>
              </w:rPr>
              <w:t>界</w:t>
            </w:r>
            <w:r>
              <w:rPr>
                <w:rFonts w:hint="default"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121.0</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53</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5#</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1#居民点（</w:t>
            </w:r>
            <w:r>
              <w:rPr>
                <w:rFonts w:hint="eastAsia" w:ascii="Times New Roman" w:hAnsi="Times New Roman"/>
                <w:color w:val="000000" w:themeColor="text1"/>
                <w:sz w:val="21"/>
                <w:szCs w:val="21"/>
                <w:highlight w:val="none"/>
                <w:lang w:val="en-US" w:eastAsia="zh-CN"/>
                <w14:textFill>
                  <w14:solidFill>
                    <w14:schemeClr w14:val="tx1"/>
                  </w14:solidFill>
                </w14:textFill>
              </w:rPr>
              <w:t>30.64，182. 38，</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85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5</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6#</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color w:val="000000" w:themeColor="text1"/>
                <w:sz w:val="21"/>
                <w:szCs w:val="21"/>
                <w:highlight w:val="none"/>
                <w:lang w:eastAsia="zh-CN"/>
                <w14:textFill>
                  <w14:solidFill>
                    <w14:schemeClr w14:val="tx1"/>
                  </w14:solidFill>
                </w14:textFill>
              </w:rPr>
              <w:t>#居民点（</w:t>
            </w:r>
            <w:r>
              <w:rPr>
                <w:rFonts w:hint="eastAsia" w:ascii="Times New Roman" w:hAnsi="Times New Roman"/>
                <w:color w:val="000000" w:themeColor="text1"/>
                <w:sz w:val="21"/>
                <w:szCs w:val="21"/>
                <w:highlight w:val="none"/>
                <w:lang w:val="en-US" w:eastAsia="zh-CN"/>
                <w14:textFill>
                  <w14:solidFill>
                    <w14:schemeClr w14:val="tx1"/>
                  </w14:solidFill>
                </w14:textFill>
              </w:rPr>
              <w:t>-147.5，43.8，</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27.0</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27.0</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510"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767"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default" w:ascii="Times New Roman" w:hAnsi="Times New Roman"/>
                <w:color w:val="000000" w:themeColor="text1"/>
                <w:sz w:val="21"/>
                <w:szCs w:val="21"/>
                <w:highlight w:val="none"/>
                <w:lang w:eastAsia="zh-CN"/>
                <w14:textFill>
                  <w14:solidFill>
                    <w14:schemeClr w14:val="tx1"/>
                  </w14:solidFill>
                </w14:textFill>
              </w:rPr>
              <w:t>#居民点（</w:t>
            </w:r>
            <w:r>
              <w:rPr>
                <w:rFonts w:hint="eastAsia" w:ascii="Times New Roman" w:hAnsi="Times New Roman"/>
                <w:color w:val="000000" w:themeColor="text1"/>
                <w:sz w:val="21"/>
                <w:szCs w:val="21"/>
                <w:highlight w:val="none"/>
                <w:lang w:val="en-US" w:eastAsia="zh-CN"/>
                <w14:textFill>
                  <w14:solidFill>
                    <w14:schemeClr w14:val="tx1"/>
                  </w14:solidFill>
                </w14:textFill>
              </w:rPr>
              <w:t>-158.7，96.7，</w:t>
            </w:r>
            <w:r>
              <w:rPr>
                <w:rFonts w:hint="default" w:ascii="Times New Roman" w:hAnsi="Times New Roman"/>
                <w:color w:val="000000" w:themeColor="text1"/>
                <w:sz w:val="21"/>
                <w:szCs w:val="21"/>
                <w:highlight w:val="none"/>
                <w:lang w:eastAsia="zh-CN"/>
                <w14:textFill>
                  <w14:solidFill>
                    <w14:schemeClr w14:val="tx1"/>
                  </w14:solidFill>
                </w14:textFill>
              </w:rPr>
              <w:t>1.2）</w:t>
            </w:r>
          </w:p>
        </w:tc>
        <w:tc>
          <w:tcPr>
            <w:tcW w:w="645" w:type="dxa"/>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161</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662" w:type="dxa"/>
            <w:vAlign w:val="center"/>
          </w:tcPr>
          <w:p>
            <w:pPr>
              <w:pStyle w:val="2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w:t>
            </w:r>
          </w:p>
        </w:tc>
        <w:tc>
          <w:tcPr>
            <w:tcW w:w="6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c>
          <w:tcPr>
            <w:tcW w:w="66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0" w:hRule="atLeast"/>
          <w:jc w:val="center"/>
        </w:trPr>
        <w:tc>
          <w:tcPr>
            <w:tcW w:w="8220" w:type="dxa"/>
            <w:gridSpan w:val="11"/>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000000" w:themeColor="text1"/>
                <w:sz w:val="21"/>
                <w:szCs w:val="21"/>
                <w:highlight w:val="none"/>
                <w:lang w:eastAsia="zh-CN"/>
                <w14:textFill>
                  <w14:solidFill>
                    <w14:schemeClr w14:val="tx1"/>
                  </w14:solidFill>
                </w14:textFill>
              </w:rPr>
            </w:pPr>
            <w:r>
              <w:rPr>
                <w:rFonts w:hint="default" w:ascii="Times New Roman" w:hAnsi="Times New Roman"/>
                <w:color w:val="000000" w:themeColor="text1"/>
                <w:sz w:val="21"/>
                <w:szCs w:val="21"/>
                <w:highlight w:val="none"/>
                <w:lang w:eastAsia="zh-CN"/>
                <w14:textFill>
                  <w14:solidFill>
                    <w14:schemeClr w14:val="tx1"/>
                  </w14:solidFill>
                </w14:textFill>
              </w:rPr>
              <w:t>标准值：昼间60dB（A），夜间50dB（A）</w:t>
            </w:r>
          </w:p>
        </w:tc>
      </w:tr>
    </w:tbl>
    <w:p>
      <w:pPr>
        <w:adjustRightInd w:val="0"/>
        <w:snapToGrid w:val="0"/>
        <w:spacing w:before="120" w:beforeLines="50" w:line="360" w:lineRule="auto"/>
        <w:ind w:firstLine="480" w:firstLineChars="200"/>
        <w:jc w:val="both"/>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由上表可见，项目试采期通过采取低噪声设备、优化试采站工艺、合理布局等综合防噪措施后，厂界噪声能满足《工业企业厂界环境噪声排放标准》(GB12348-2008</w:t>
      </w:r>
      <w:r>
        <w:rPr>
          <w:rFonts w:hint="eastAsia"/>
          <w:bCs/>
          <w:color w:val="000000" w:themeColor="text1"/>
          <w:sz w:val="24"/>
          <w:highlight w:val="none"/>
          <w:lang w:eastAsia="zh-CN"/>
          <w14:textFill>
            <w14:solidFill>
              <w14:schemeClr w14:val="tx1"/>
            </w14:solidFill>
          </w14:textFill>
        </w:rPr>
        <w:t>）</w:t>
      </w:r>
      <w:r>
        <w:rPr>
          <w:rFonts w:ascii="Times New Roman" w:hAnsi="Times New Roman"/>
          <w:bCs/>
          <w:color w:val="000000" w:themeColor="text1"/>
          <w:sz w:val="24"/>
          <w:highlight w:val="none"/>
          <w:lang w:eastAsia="zh-CN"/>
          <w14:textFill>
            <w14:solidFill>
              <w14:schemeClr w14:val="tx1"/>
            </w14:solidFill>
          </w14:textFill>
        </w:rPr>
        <w:t>中2类标准。试采站周边200m范围内居民点声环境均能满足《声环境质量标准》（GB3096-2008）2类标准要求。由此可见，项目试采期不会对区域声环境造成噪声污染影响。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Times New Roman" w:hAnsi="Times New Roman"/>
          <w:b/>
          <w:color w:val="000000" w:themeColor="text1"/>
          <w:kern w:val="2"/>
          <w:sz w:val="24"/>
          <w:szCs w:val="24"/>
          <w:highlight w:val="none"/>
          <w:lang w:eastAsia="zh-CN"/>
          <w14:textFill>
            <w14:solidFill>
              <w14:schemeClr w14:val="tx1"/>
            </w14:solidFill>
          </w14:textFill>
        </w:rPr>
      </w:pPr>
      <w:r>
        <w:rPr>
          <w:rFonts w:ascii="Times New Roman" w:hAnsi="Times New Roman"/>
          <w:b/>
          <w:color w:val="000000" w:themeColor="text1"/>
          <w:kern w:val="2"/>
          <w:sz w:val="24"/>
          <w:szCs w:val="24"/>
          <w:highlight w:val="none"/>
          <w:lang w:eastAsia="zh-CN"/>
          <w14:textFill>
            <w14:solidFill>
              <w14:schemeClr w14:val="tx1"/>
            </w14:solidFill>
          </w14:textFill>
        </w:rPr>
        <w:t>（2）事故和检修放空噪声</w:t>
      </w:r>
      <w:r>
        <w:rPr>
          <w:rFonts w:ascii="Times New Roman" w:hAnsi="Times New Roman"/>
          <w:b/>
          <w:color w:val="000000" w:themeColor="text1"/>
          <w:sz w:val="24"/>
          <w:szCs w:val="24"/>
          <w:highlight w:val="none"/>
          <w:lang w:eastAsia="zh-CN"/>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bCs/>
          <w:color w:val="000000" w:themeColor="text1"/>
          <w:kern w:val="2"/>
          <w:sz w:val="24"/>
          <w:szCs w:val="24"/>
          <w:highlight w:val="none"/>
          <w:lang w:eastAsia="zh-CN"/>
          <w14:textFill>
            <w14:solidFill>
              <w14:schemeClr w14:val="tx1"/>
            </w14:solidFill>
          </w14:textFill>
        </w:rPr>
      </w:pPr>
      <w:r>
        <w:rPr>
          <w:rFonts w:ascii="Times New Roman" w:hAnsi="Times New Roman"/>
          <w:bCs/>
          <w:color w:val="000000" w:themeColor="text1"/>
          <w:kern w:val="2"/>
          <w:sz w:val="24"/>
          <w:szCs w:val="24"/>
          <w:highlight w:val="none"/>
          <w:lang w:eastAsia="zh-CN"/>
          <w14:textFill>
            <w14:solidFill>
              <w14:schemeClr w14:val="tx1"/>
            </w14:solidFill>
          </w14:textFill>
        </w:rPr>
        <w:t>在事故和检修放空时，产生的放空噪声等级约为80dB（A），评价预测放空噪声在距声源不同距离的影响值见</w:t>
      </w:r>
      <w:r>
        <w:rPr>
          <w:rFonts w:hint="eastAsia" w:ascii="Times New Roman" w:hAnsi="Times New Roman"/>
          <w:bCs/>
          <w:color w:val="000000" w:themeColor="text1"/>
          <w:kern w:val="2"/>
          <w:sz w:val="24"/>
          <w:szCs w:val="24"/>
          <w:highlight w:val="none"/>
          <w:lang w:val="en-US" w:eastAsia="zh-CN"/>
          <w14:textFill>
            <w14:solidFill>
              <w14:schemeClr w14:val="tx1"/>
            </w14:solidFill>
          </w14:textFill>
        </w:rPr>
        <w:t>下表</w:t>
      </w:r>
      <w:r>
        <w:rPr>
          <w:rFonts w:ascii="Times New Roman" w:hAnsi="Times New Roman"/>
          <w:bCs/>
          <w:color w:val="000000" w:themeColor="text1"/>
          <w:kern w:val="2"/>
          <w:sz w:val="24"/>
          <w:szCs w:val="24"/>
          <w:highlight w:val="none"/>
          <w:lang w:eastAsia="zh-CN"/>
          <w14:textFill>
            <w14:solidFill>
              <w14:schemeClr w14:val="tx1"/>
            </w14:solidFill>
          </w14:textFill>
        </w:rPr>
        <w:t>。</w:t>
      </w:r>
    </w:p>
    <w:p>
      <w:pPr>
        <w:pStyle w:val="201"/>
        <w:spacing w:before="120"/>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表</w:t>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STYLEREF 2 \s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5.2</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noBreakHyphen/>
      </w:r>
      <w:r>
        <w:rPr>
          <w:color w:val="000000" w:themeColor="text1"/>
          <w:highlight w:val="none"/>
          <w:lang w:eastAsia="zh-CN"/>
          <w14:textFill>
            <w14:solidFill>
              <w14:schemeClr w14:val="tx1"/>
            </w14:solidFill>
          </w14:textFill>
        </w:rPr>
        <w:fldChar w:fldCharType="begin"/>
      </w:r>
      <w:r>
        <w:rPr>
          <w:color w:val="000000" w:themeColor="text1"/>
          <w:highlight w:val="none"/>
          <w:lang w:eastAsia="zh-CN"/>
          <w14:textFill>
            <w14:solidFill>
              <w14:schemeClr w14:val="tx1"/>
            </w14:solidFill>
          </w14:textFill>
        </w:rPr>
        <w:instrText xml:space="preserve"> SEQ 表 \* ARABIC \s 2 </w:instrText>
      </w:r>
      <w:r>
        <w:rPr>
          <w:color w:val="000000" w:themeColor="text1"/>
          <w:highlight w:val="none"/>
          <w:lang w:eastAsia="zh-CN"/>
          <w14:textFill>
            <w14:solidFill>
              <w14:schemeClr w14:val="tx1"/>
            </w14:solidFill>
          </w14:textFill>
        </w:rPr>
        <w:fldChar w:fldCharType="separate"/>
      </w:r>
      <w:r>
        <w:rPr>
          <w:color w:val="000000" w:themeColor="text1"/>
          <w:highlight w:val="none"/>
          <w:lang w:eastAsia="zh-CN"/>
          <w14:textFill>
            <w14:solidFill>
              <w14:schemeClr w14:val="tx1"/>
            </w14:solidFill>
          </w14:textFill>
        </w:rPr>
        <w:t>9</w:t>
      </w:r>
      <w:r>
        <w:rPr>
          <w:color w:val="000000" w:themeColor="text1"/>
          <w:highlight w:val="none"/>
          <w:lang w:eastAsia="zh-CN"/>
          <w14:textFill>
            <w14:solidFill>
              <w14:schemeClr w14:val="tx1"/>
            </w14:solidFill>
          </w14:textFill>
        </w:rPr>
        <w:fldChar w:fldCharType="end"/>
      </w:r>
      <w:r>
        <w:rPr>
          <w:color w:val="000000" w:themeColor="text1"/>
          <w:highlight w:val="none"/>
          <w:lang w:eastAsia="zh-CN"/>
          <w14:textFill>
            <w14:solidFill>
              <w14:schemeClr w14:val="tx1"/>
            </w14:solidFill>
          </w14:textFill>
        </w:rPr>
        <w:t xml:space="preserve">  放空噪声预测结果  单位：dB（A）</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5"/>
        <w:gridCol w:w="706"/>
        <w:gridCol w:w="969"/>
        <w:gridCol w:w="707"/>
        <w:gridCol w:w="969"/>
        <w:gridCol w:w="70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与声源距离（m）</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0" w:type="auto"/>
            <w:tcBorders>
              <w:top w:val="single" w:color="auto" w:sz="4" w:space="0"/>
              <w:left w:val="single" w:color="auto" w:sz="4" w:space="0"/>
              <w:bottom w:val="single" w:color="auto" w:sz="4" w:space="0"/>
              <w:right w:val="single" w:color="auto" w:sz="4" w:space="0"/>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预测值（dB（A））</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56.5</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54</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50.5</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48</w:t>
            </w:r>
          </w:p>
        </w:tc>
        <w:tc>
          <w:tcPr>
            <w:tcW w:w="0" w:type="auto"/>
            <w:tcBorders>
              <w:top w:val="single" w:color="auto" w:sz="4" w:space="0"/>
              <w:left w:val="single" w:color="auto" w:sz="4" w:space="0"/>
              <w:bottom w:val="single" w:color="auto" w:sz="4" w:space="0"/>
              <w:right w:val="single" w:color="auto" w:sz="4" w:space="0"/>
            </w:tcBorders>
            <w:vAlign w:val="center"/>
          </w:tcPr>
          <w:p>
            <w:pPr>
              <w:pStyle w:val="2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46</w:t>
            </w:r>
          </w:p>
        </w:tc>
      </w:tr>
    </w:tbl>
    <w:p>
      <w:pPr>
        <w:adjustRightInd w:val="0"/>
        <w:snapToGrid w:val="0"/>
        <w:spacing w:before="120" w:beforeLines="50" w:line="360" w:lineRule="auto"/>
        <w:ind w:firstLine="480" w:firstLineChars="200"/>
        <w:jc w:val="both"/>
        <w:rPr>
          <w:rFonts w:ascii="Times New Roman" w:hAnsi="Times New Roman"/>
          <w:bCs/>
          <w:color w:val="000000" w:themeColor="text1"/>
          <w:sz w:val="24"/>
          <w:highlight w:val="none"/>
          <w:lang w:eastAsia="zh-CN"/>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由</w:t>
      </w:r>
      <w:r>
        <w:rPr>
          <w:rFonts w:hint="eastAsia" w:ascii="Times New Roman" w:hAnsi="Times New Roman"/>
          <w:bCs/>
          <w:color w:val="000000" w:themeColor="text1"/>
          <w:sz w:val="24"/>
          <w:highlight w:val="none"/>
          <w:lang w:val="en-US" w:eastAsia="zh-CN"/>
          <w14:textFill>
            <w14:solidFill>
              <w14:schemeClr w14:val="tx1"/>
            </w14:solidFill>
          </w14:textFill>
        </w:rPr>
        <w:t>上表</w:t>
      </w:r>
      <w:r>
        <w:rPr>
          <w:rFonts w:ascii="Times New Roman" w:hAnsi="Times New Roman"/>
          <w:bCs/>
          <w:color w:val="000000" w:themeColor="text1"/>
          <w:sz w:val="24"/>
          <w:highlight w:val="none"/>
          <w:lang w:eastAsia="zh-CN"/>
          <w14:textFill>
            <w14:solidFill>
              <w14:schemeClr w14:val="tx1"/>
            </w14:solidFill>
          </w14:textFill>
        </w:rPr>
        <w:t>可知，距离放空管10m外的昼间噪声便可达标，约在32m处夜间噪声便可达标。事故和检修放空属偶发工况，对外环境及周边居民影响小。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r>
        <w:rPr>
          <w:rFonts w:hint="eastAsia"/>
          <w:color w:val="000000" w:themeColor="text1"/>
          <w:highlight w:val="none"/>
          <w:lang w:eastAsia="zh-CN"/>
          <w14:textFill>
            <w14:solidFill>
              <w14:schemeClr w14:val="tx1"/>
            </w14:solidFill>
          </w14:textFill>
        </w:rPr>
        <w:t>环境</w:t>
      </w:r>
      <w:r>
        <w:rPr>
          <w:color w:val="000000" w:themeColor="text1"/>
          <w:highlight w:val="none"/>
          <w14:textFill>
            <w14:solidFill>
              <w14:schemeClr w14:val="tx1"/>
            </w14:solidFill>
          </w14:textFill>
        </w:rPr>
        <w:t>影响分析</w:t>
      </w:r>
      <w:bookmarkEnd w:id="277"/>
    </w:p>
    <w:p>
      <w:pPr>
        <w:ind w:firstLine="480"/>
        <w:rPr>
          <w:rFonts w:cs="Times New Roman"/>
          <w:bCs/>
          <w:color w:val="000000" w:themeColor="text1"/>
          <w:highlight w:val="none"/>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本项目为无人值守站场，无生活垃圾产生。</w:t>
      </w:r>
      <w:r>
        <w:rPr>
          <w:rFonts w:hint="eastAsia"/>
          <w:bCs/>
          <w:color w:val="000000" w:themeColor="text1"/>
          <w:sz w:val="24"/>
          <w:highlight w:val="none"/>
          <w:lang w:val="en-US" w:eastAsia="zh-CN"/>
          <w14:textFill>
            <w14:solidFill>
              <w14:schemeClr w14:val="tx1"/>
            </w14:solidFill>
          </w14:textFill>
        </w:rPr>
        <w:t>除砂器撬产生的砂土杂质</w:t>
      </w:r>
      <w:r>
        <w:rPr>
          <w:rFonts w:hint="default"/>
          <w:color w:val="000000" w:themeColor="text1"/>
          <w:szCs w:val="20"/>
          <w:highlight w:val="none"/>
          <w:lang w:val="en-US" w:eastAsia="zh-CN"/>
          <w14:textFill>
            <w14:solidFill>
              <w14:schemeClr w14:val="tx1"/>
            </w14:solidFill>
          </w14:textFill>
        </w:rPr>
        <w:t>定期</w:t>
      </w:r>
      <w:r>
        <w:rPr>
          <w:rFonts w:hint="default"/>
          <w:color w:val="000000" w:themeColor="text1"/>
          <w:szCs w:val="20"/>
          <w:highlight w:val="none"/>
          <w:lang w:eastAsia="zh-CN"/>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000000" w:themeColor="text1"/>
          <w14:textFill>
            <w14:solidFill>
              <w14:schemeClr w14:val="tx1"/>
            </w14:solidFill>
          </w14:textFill>
        </w:rPr>
        <w:t>废活性炭暂存于危险废物暂存间，定期交由资质单位处置</w:t>
      </w:r>
      <w:r>
        <w:rPr>
          <w:rFonts w:hint="eastAsia" w:ascii="Times New Roman" w:hAnsi="Times New Roman"/>
          <w:bCs/>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不会产生二次污染，对环境影响小</w:t>
      </w:r>
      <w:r>
        <w:rPr>
          <w:rFonts w:cs="Times New Roman"/>
          <w:bCs/>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14:textFill>
            <w14:solidFill>
              <w14:schemeClr w14:val="tx1"/>
            </w14:solidFill>
          </w14:textFill>
        </w:rPr>
      </w:pPr>
      <w:bookmarkStart w:id="280" w:name="_Toc120173160"/>
      <w:r>
        <w:rPr>
          <w:color w:val="000000" w:themeColor="text1"/>
          <w:highlight w:val="none"/>
          <w14:textFill>
            <w14:solidFill>
              <w14:schemeClr w14:val="tx1"/>
            </w14:solidFill>
          </w14:textFill>
        </w:rPr>
        <w:t>土壤环境影响分析</w:t>
      </w:r>
      <w:bookmarkEnd w:id="280"/>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本项目试采期污染物主要通过地面漫流、垂直入渗途径污染土壤。对于</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，在事故情况下会造成污染物的</w:t>
      </w:r>
      <w:r>
        <w:rPr>
          <w:rFonts w:hint="eastAsia" w:cs="Times New Roman"/>
          <w:bCs/>
          <w:color w:val="000000" w:themeColor="text1"/>
          <w:highlight w:val="none"/>
          <w:lang w:eastAsia="zh-CN"/>
          <w14:textFill>
            <w14:solidFill>
              <w14:schemeClr w14:val="tx1"/>
            </w14:solidFill>
          </w14:textFill>
        </w:rPr>
        <w:t>泄漏</w:t>
      </w:r>
      <w:r>
        <w:rPr>
          <w:rFonts w:cs="Times New Roman"/>
          <w:bCs/>
          <w:color w:val="000000" w:themeColor="text1"/>
          <w:highlight w:val="none"/>
          <w14:textFill>
            <w14:solidFill>
              <w14:schemeClr w14:val="tx1"/>
            </w14:solidFill>
          </w14:textFill>
        </w:rPr>
        <w:t>，通过地面漫流、垂直入渗途径污染土壤。</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本项目试采期对井身固井合格后运行，地层水不会从井筒泄漏进入土壤环境；</w:t>
      </w:r>
      <w:r>
        <w:rPr>
          <w:rFonts w:hint="eastAsia" w:cs="Times New Roman"/>
          <w:color w:val="000000" w:themeColor="text1"/>
          <w:szCs w:val="24"/>
          <w:highlight w:val="none"/>
          <w:lang w:eastAsia="zh-CN"/>
          <w14:textFill>
            <w14:solidFill>
              <w14:schemeClr w14:val="tx1"/>
            </w14:solidFill>
          </w14:textFill>
        </w:rPr>
        <w:t>气田水</w:t>
      </w:r>
      <w:r>
        <w:rPr>
          <w:rFonts w:ascii="Times New Roman" w:hAnsi="Times New Roman"/>
          <w:color w:val="000000" w:themeColor="text1"/>
          <w:sz w:val="24"/>
          <w:szCs w:val="24"/>
          <w:highlight w:val="none"/>
          <w:lang w:eastAsia="zh-CN"/>
          <w14:textFill>
            <w14:solidFill>
              <w14:schemeClr w14:val="tx1"/>
            </w14:solidFill>
          </w14:textFill>
        </w:rPr>
        <w:t>暂存于</w:t>
      </w:r>
      <w:r>
        <w:rPr>
          <w:rFonts w:ascii="Times New Roman" w:hAnsi="Times New Roman"/>
          <w:bCs/>
          <w:color w:val="000000" w:themeColor="text1"/>
          <w:sz w:val="24"/>
          <w:highlight w:val="none"/>
          <w:lang w:eastAsia="zh-CN"/>
          <w14:textFill>
            <w14:solidFill>
              <w14:schemeClr w14:val="tx1"/>
            </w14:solidFill>
          </w14:textFill>
        </w:rPr>
        <w:t>放空分液罐、采出水罐</w:t>
      </w:r>
      <w:r>
        <w:rPr>
          <w:rFonts w:ascii="Times New Roman" w:hAnsi="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管输至雷页1试采站暂存，再</w:t>
      </w:r>
      <w:r>
        <w:rPr>
          <w:rFonts w:cs="Times New Roman"/>
          <w:color w:val="000000" w:themeColor="text1"/>
          <w:szCs w:val="24"/>
          <w:highlight w:val="none"/>
          <w14:textFill>
            <w14:solidFill>
              <w14:schemeClr w14:val="tx1"/>
            </w14:solidFill>
          </w14:textFill>
        </w:rPr>
        <w:t>罐车外运行处理；非正常工况井下作业废水</w:t>
      </w:r>
      <w:r>
        <w:rPr>
          <w:rFonts w:hint="eastAsia" w:cs="Times New Roman"/>
          <w:color w:val="000000" w:themeColor="text1"/>
          <w:szCs w:val="24"/>
          <w:highlight w:val="none"/>
          <w:lang w:val="en-US" w:eastAsia="zh-CN"/>
          <w14:textFill>
            <w14:solidFill>
              <w14:schemeClr w14:val="tx1"/>
            </w14:solidFill>
          </w14:textFill>
        </w:rPr>
        <w:t>管输至雷页1试采站暂存，再</w:t>
      </w:r>
      <w:r>
        <w:rPr>
          <w:rFonts w:cs="Times New Roman"/>
          <w:color w:val="000000" w:themeColor="text1"/>
          <w:szCs w:val="24"/>
          <w:highlight w:val="none"/>
          <w14:textFill>
            <w14:solidFill>
              <w14:schemeClr w14:val="tx1"/>
            </w14:solidFill>
          </w14:textFill>
        </w:rPr>
        <w:t>用密闭罐车拉运至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处理达标后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经</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回注；除此之外，无其他废水产生，井站也无生产固废产生和堆放。同时</w:t>
      </w:r>
      <w:r>
        <w:rPr>
          <w:rFonts w:cs="Times New Roman"/>
          <w:bCs/>
          <w:color w:val="000000" w:themeColor="text1"/>
          <w:highlight w:val="none"/>
          <w14:textFill>
            <w14:solidFill>
              <w14:schemeClr w14:val="tx1"/>
            </w14:solidFill>
          </w14:textFill>
        </w:rPr>
        <w:t>井站设置了清污分流，</w:t>
      </w:r>
      <w:r>
        <w:rPr>
          <w:rFonts w:cs="Times New Roman"/>
          <w:bCs/>
          <w:color w:val="000000" w:themeColor="text1"/>
          <w:highlight w:val="none"/>
          <w:lang w:eastAsia="zh-CN"/>
          <w14:textFill>
            <w14:solidFill>
              <w14:schemeClr w14:val="tx1"/>
            </w14:solidFill>
          </w14:textFill>
        </w:rPr>
        <w:t>放空分液罐、</w:t>
      </w:r>
      <w:r>
        <w:rPr>
          <w:rFonts w:hint="eastAsia" w:cs="Times New Roman"/>
          <w:bCs/>
          <w:color w:val="000000" w:themeColor="text1"/>
          <w:highlight w:val="none"/>
          <w:lang w:eastAsia="zh-CN"/>
          <w14:textFill>
            <w14:solidFill>
              <w14:schemeClr w14:val="tx1"/>
            </w14:solidFill>
          </w14:textFill>
        </w:rPr>
        <w:t>采出水罐、</w:t>
      </w:r>
      <w:r>
        <w:rPr>
          <w:rFonts w:cs="Times New Roman"/>
          <w:bCs/>
          <w:color w:val="000000" w:themeColor="text1"/>
          <w:highlight w:val="none"/>
          <w:lang w:eastAsia="zh-CN"/>
          <w14:textFill>
            <w14:solidFill>
              <w14:schemeClr w14:val="tx1"/>
            </w14:solidFill>
          </w14:textFill>
        </w:rPr>
        <w:t>和方井设置了围堰拦截放空分液罐、采出水罐事故状态下泄露的污水，同时放空分液罐、采出水罐周围设置导流沟，将可能泄露的废水导流至集污坑；井场四周设置有排水沟与自然沟渠连接，便于疏导场地雨水。此外，本项目试采期对放空分液罐、</w:t>
      </w:r>
      <w:r>
        <w:rPr>
          <w:rFonts w:hint="eastAsia" w:cs="Times New Roman"/>
          <w:bCs/>
          <w:color w:val="000000" w:themeColor="text1"/>
          <w:highlight w:val="none"/>
          <w:lang w:eastAsia="zh-CN"/>
          <w14:textFill>
            <w14:solidFill>
              <w14:schemeClr w14:val="tx1"/>
            </w14:solidFill>
          </w14:textFill>
        </w:rPr>
        <w:t>采出水罐、</w:t>
      </w:r>
      <w:r>
        <w:rPr>
          <w:rFonts w:cs="Times New Roman"/>
          <w:bCs/>
          <w:color w:val="000000" w:themeColor="text1"/>
          <w:highlight w:val="none"/>
          <w:lang w:eastAsia="zh-CN"/>
          <w14:textFill>
            <w14:solidFill>
              <w14:schemeClr w14:val="tx1"/>
            </w14:solidFill>
          </w14:textFill>
        </w:rPr>
        <w:t>方井周边采取重点防渗，工艺区进行一般防渗，放空分液罐、采出水罐暂存地层水及时转运，污水发生</w:t>
      </w:r>
      <w:r>
        <w:rPr>
          <w:rFonts w:hint="eastAsia" w:cs="Times New Roman"/>
          <w:bCs/>
          <w:color w:val="000000" w:themeColor="text1"/>
          <w:highlight w:val="none"/>
          <w:lang w:eastAsia="zh-CN"/>
          <w14:textFill>
            <w14:solidFill>
              <w14:schemeClr w14:val="tx1"/>
            </w14:solidFill>
          </w14:textFill>
        </w:rPr>
        <w:t>泄漏</w:t>
      </w:r>
      <w:r>
        <w:rPr>
          <w:rFonts w:cs="Times New Roman"/>
          <w:bCs/>
          <w:color w:val="000000" w:themeColor="text1"/>
          <w:highlight w:val="none"/>
          <w:lang w:eastAsia="zh-CN"/>
          <w14:textFill>
            <w14:solidFill>
              <w14:schemeClr w14:val="tx1"/>
            </w14:solidFill>
          </w14:textFill>
        </w:rPr>
        <w:t>进入土壤环境可能性较小，在加强土壤环境的跟踪监测在后，试采期不会对土壤环境造成不利影响。</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同时调查了川东北地区诸多天然气勘探、钻采工程，试采期均未对土壤环境造成不利影响，因此本项目试采期对土壤环境影响很小，项目在试采期对土壤环境的影响是可以接受的。</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281" w:name="_bookmark30"/>
      <w:bookmarkEnd w:id="281"/>
      <w:bookmarkStart w:id="282" w:name="5.3环境风险分析"/>
      <w:bookmarkEnd w:id="282"/>
      <w:bookmarkStart w:id="283" w:name="5.2.4营运期声环境影响分析"/>
      <w:bookmarkEnd w:id="283"/>
      <w:bookmarkStart w:id="284" w:name="5.2.5营运期固体废弃物对环境的影响"/>
      <w:bookmarkEnd w:id="284"/>
      <w:bookmarkStart w:id="285" w:name="_Toc25556"/>
      <w:r>
        <w:rPr>
          <w:color w:val="000000" w:themeColor="text1"/>
          <w:highlight w:val="none"/>
          <w:lang w:eastAsia="zh-CN"/>
          <w14:textFill>
            <w14:solidFill>
              <w14:schemeClr w14:val="tx1"/>
            </w14:solidFill>
          </w14:textFill>
        </w:rPr>
        <w:t>地下水环境影响分析</w:t>
      </w:r>
      <w:bookmarkEnd w:id="285"/>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86" w:name="_Toc120173162"/>
      <w:r>
        <w:rPr>
          <w:color w:val="000000" w:themeColor="text1"/>
          <w:highlight w:val="none"/>
          <w:lang w:eastAsia="zh-CN"/>
          <w14:textFill>
            <w14:solidFill>
              <w14:schemeClr w14:val="tx1"/>
            </w14:solidFill>
          </w14:textFill>
        </w:rPr>
        <w:t>项目区水文地质条件</w:t>
      </w:r>
      <w:bookmarkEnd w:id="286"/>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地下水类型</w:t>
      </w:r>
    </w:p>
    <w:p>
      <w:pPr>
        <w:widowControl/>
        <w:ind w:firstLine="480"/>
        <w:rPr>
          <w:rFonts w:cs="Times New Roman"/>
          <w:color w:val="000000" w:themeColor="text1"/>
          <w:kern w:val="0"/>
          <w:szCs w:val="24"/>
          <w14:textFill>
            <w14:solidFill>
              <w14:schemeClr w14:val="tx1"/>
            </w14:solidFill>
          </w14:textFill>
        </w:rPr>
      </w:pPr>
      <w:bookmarkStart w:id="287" w:name="_Toc14702819"/>
      <w:r>
        <w:rPr>
          <w:rFonts w:hint="eastAsia" w:cs="Times New Roman"/>
          <w:color w:val="000000" w:themeColor="text1"/>
          <w:kern w:val="0"/>
          <w:szCs w:val="24"/>
          <w14:textFill>
            <w14:solidFill>
              <w14:schemeClr w14:val="tx1"/>
            </w14:solidFill>
          </w14:textFill>
        </w:rPr>
        <w:t>普光气田开发区内地下水类型包括松散堆积层孔隙水、碎屑岩裂隙孔隙水和基岩裂隙水，其中本项目所在区域以基岩裂隙水与碎屑岩类裂隙水为主。沟谷地段为地下水的排泄区。岩性变化地段和结构松散的卸荷岩体具有较强的透水性能，岩体的透水性具有随着深度的增加、卸荷的减弱而递减的一般规律。</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1、松散堆积层孔隙水</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松散堆积层孔隙潜水主要赋存于河流阶地的细砂层中，基岩为相对隔水层，零星分布在赵家坝、清溪镇等地，即中河、后河、清溪河宽谷地带，含水层为第四系全新统，以冲积、冲洪积砂质粘土夹砾石为主，次为残坡积和崩坡积之砂质粘土，粘质砂土夹杂碎石块。泉流量一般小于0.1L/s，钻孔涌水量小于50m3/d。分布零星，面积窄小，厚度薄（0～20m），地下水较为贫乏，不具有供水意义。一般属HCO</w:t>
      </w:r>
      <w:r>
        <w:rPr>
          <w:rFonts w:hint="eastAsia" w:cs="Times New Roman"/>
          <w:color w:val="000000" w:themeColor="text1"/>
          <w:kern w:val="0"/>
          <w:szCs w:val="24"/>
          <w:vertAlign w:val="sub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--Ca（Na+K）水，矿化度0.356～0.392g/L，总硬度13～15德度，pH值5～6。</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2、碎屑岩裂隙孔隙水</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分布于黄金口背斜中段一带，主要由沙溪庙组地层组成，但在其中段核部有两处出露了千佛崖组地层，形成</w:t>
      </w: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窗。其中南面的一处位于普光镇西北，长15km左右，宽1～2km；北面一处位于黄金口边，长10km，宽1～4km。由于该背斜穿插于北西向</w:t>
      </w: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之中，并受到强烈的挤压，因而两翼岩层产状较陡，倾角达20°～50°。但向外围很快变缓，节理裂隙发育。在地貌上形成背斜山，千佛崖组地层裸露于轴部附近山岭一带，补给区位置较高，对于翼部地下水的补给、运移和富集有利，因而黄金口背斜翼部地下水比较丰富，特别是在千佛崖组和沙溪庙组接触带附近，有较丰富的层间承压水，泉水流量大于11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/d，单井涌水量可达100～500m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/d，含水层顶板埋深50～100m。</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由于含水层主要出露于山岭地带，补给区所处位置较高，地下水以接受大气降水的渗入补给为主，补给后地下水主要通过</w:t>
      </w: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裂隙和层间裂隙沿岩层倾斜方向作垂向（倾向）运动。一部分地下水在地表侵蚀基准面之上以下降泉的形式排泄，一部分向深部运移、贮集，并作水平（走向）运动。在含水层被沟谷切割的地段，可以接受地表水的补给，地下水运动的总趋势是由北东向南西方向径流。地下水化学类型为重碳酸钙镁型和重碳酸硫酸钙镁型，矿化度0.2g/L左右，总硬度0.8～6.5德度，pH值6～7。</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3、基岩裂隙水</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此类型在气田区广泛分布，本项目区也属于此类型，按裂隙性质，地下水的富存条件可分为</w:t>
      </w: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裂隙水和风化带网状裂隙水两大亚类。</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A、</w:t>
      </w: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裂隙水</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lang w:eastAsia="zh-CN"/>
          <w14:textFill>
            <w14:solidFill>
              <w14:schemeClr w14:val="tx1"/>
            </w14:solidFill>
          </w14:textFill>
        </w:rPr>
        <w:t>***</w:t>
      </w:r>
      <w:r>
        <w:rPr>
          <w:rFonts w:hint="eastAsia" w:cs="Times New Roman"/>
          <w:color w:val="000000" w:themeColor="text1"/>
          <w:kern w:val="0"/>
          <w:szCs w:val="24"/>
          <w14:textFill>
            <w14:solidFill>
              <w14:schemeClr w14:val="tx1"/>
            </w14:solidFill>
          </w14:textFill>
        </w:rPr>
        <w:t>裂隙水主要分布在侏罗系蓬莱镇组（J</w:t>
      </w:r>
      <w:r>
        <w:rPr>
          <w:rFonts w:hint="eastAsia" w:cs="Times New Roman"/>
          <w:color w:val="000000" w:themeColor="text1"/>
          <w:kern w:val="0"/>
          <w:szCs w:val="24"/>
          <w:vertAlign w:val="sub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p2）、下白垩统苍溪组（K</w:t>
      </w:r>
      <w:r>
        <w:rPr>
          <w:rFonts w:hint="eastAsia" w:cs="Times New Roman"/>
          <w:color w:val="000000" w:themeColor="text1"/>
          <w:kern w:val="0"/>
          <w:szCs w:val="24"/>
          <w:vertAlign w:val="subscript"/>
          <w14:textFill>
            <w14:solidFill>
              <w14:schemeClr w14:val="tx1"/>
            </w14:solidFill>
          </w14:textFill>
        </w:rPr>
        <w:t>1c</w:t>
      </w:r>
      <w:r>
        <w:rPr>
          <w:rFonts w:hint="eastAsia" w:cs="Times New Roman"/>
          <w:color w:val="000000" w:themeColor="text1"/>
          <w:kern w:val="0"/>
          <w:szCs w:val="24"/>
          <w14:textFill>
            <w14:solidFill>
              <w14:schemeClr w14:val="tx1"/>
            </w14:solidFill>
          </w14:textFill>
        </w:rPr>
        <w:t>）、白龙组（K</w:t>
      </w:r>
      <w:r>
        <w:rPr>
          <w:rFonts w:hint="eastAsia" w:cs="Times New Roman"/>
          <w:color w:val="000000" w:themeColor="text1"/>
          <w:kern w:val="0"/>
          <w:szCs w:val="24"/>
          <w:vertAlign w:val="subscript"/>
          <w14:textFill>
            <w14:solidFill>
              <w14:schemeClr w14:val="tx1"/>
            </w14:solidFill>
          </w14:textFill>
        </w:rPr>
        <w:t>1b</w:t>
      </w:r>
      <w:r>
        <w:rPr>
          <w:rFonts w:hint="eastAsia" w:cs="Times New Roman"/>
          <w:color w:val="000000" w:themeColor="text1"/>
          <w:kern w:val="0"/>
          <w:szCs w:val="24"/>
          <w14:textFill>
            <w14:solidFill>
              <w14:schemeClr w14:val="tx1"/>
            </w14:solidFill>
          </w14:textFill>
        </w:rPr>
        <w:t>），岩性主要是紫红色泥岩、粉砂质泥岩与厚至块状细粒长石、石英砂岩互层，上侏罗统蓬莱镇组上段和的砂岩和泥岩之不等厚互层组成，一般以砂岩为主要含水层，且为双层结构（即上部以浅层潜水为主，下部以承压水为主）的含水特征，以碎屑岩裂隙孔隙水－层间承压水为主。地下水位埋深一般小于20m，含水层顶板埋深一般小于50m。地下径流模数0.5～1L/（s·km</w:t>
      </w:r>
      <w:r>
        <w:rPr>
          <w:rFonts w:hint="eastAsia"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），钻孔涌水量一般可达100～500m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/d，属于中等富水地带。</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 xml:space="preserve">水质以重碳酸钠型和重碳酸钙型为主，矿化度0.1～0.5g/L，总硬度为0.5～10德度，pH值为7.5～9。泉流量一般在0.1～1L/s之间。 </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B、风化带网状裂隙水</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风化带网状裂隙水主要分布于普光气田区西部、西南部，地下水为潜水，主要赋存于沙溪庙组和遂宁组地层中浅部风化网状裂隙发育地带。普光气田区西部、西南相对高差较小，故侵蚀作用较弱，对风化带发育比较有利，风化带发育深度一般为0～10m。由于风化带厚度较薄并因发育不均匀呈断续分布，一般不能形成连续分布的统一含水层，其地下水的补给条件和赋存条件比较差，表现为富水性弱和水量一般较为贫乏。泉流量一般在0.01～0.1L/s，地下径流模数0.1～0.5L/（s·km</w:t>
      </w:r>
      <w:r>
        <w:rPr>
          <w:rFonts w:hint="eastAsia"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），钻孔涌水量多小于50m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/d。因此，虽然通常可供分散的独家小户居民用水之需，但遇干旱季节，则常有枯竭之忧。</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水质一般为重碳酸钙型或重碳酸钙镁型水，矿化度0.1～0.3g/L，总硬度在8 ～13德度，pH值6.5～7.5。</w:t>
      </w:r>
    </w:p>
    <w:p>
      <w:pPr>
        <w:widowControl/>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普光气田区的基岩裂隙水由于地质、地貌条件不利于大气降水渗入补给，故该地区地下水属于就地补给就近排泄的浅层潜水。泉水多出露在砂岩底部与泥岩接触面附近，说明各含水层之间，一般不发生水力联系。</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地下水赋存特征及补径排关系</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基岩裂隙水与碎屑岩类裂隙水广泛分布全区，地表出露较常见，井、泉可见，为当地居民之饮用水源。含水层的埋藏特点以及补给、径流、排泄条件，决定区内地下水的水质、水量。地下水主要赋存特征如下：</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A、风化带网状裂隙水分布十分广泛</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根据地下水储水性质及埋藏条件，本区基岩裂隙水皆埋藏于浅部砂、泥岩之风化带中，以砂岩裂隙和泥岩网状微细裂隙储集为主，孔隙储集次之，局部地区兼有溶蚀孔隙裂隙储水。多属潜水类型，部分微具承压。其分布相当广泛，无论是田边地角、丘陵谷旁，凡有汇水条件的地方均可见及，但主要还是位于河谷与丘间汇水面积较大之洼地，并形成相对富集带。</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B、各地段富水性一般较差，水量极不均匀</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据1：20万区域水文地质普查报告统计，在广大红层丘陵区，60%以上的泉水流量在0.05L/s以下，超过0.1L/s的大泉仅占16%，其中最大的只达0.15L/s左右。80%以上的地区单孔涌水量在100t/d以下，其中单孔涌水量小于30t/d的地区30%左右。这种不均匀性在区域上的表现通常是贫中有富，即在广大贫水地区存在着一些相对富水地段。而这些富水地段的泉水流量一般为0.105～0.15L/s，钻孔涌水量100～1000t/d，其面积一般只占基岩裂隙水地区的10%～15%。另外，这种不均匀性还表现在同一局部地区或同一含水层富水性的悬殊上，这大概正是基岩风化裂隙水的特点。由此可见，富水地段并非井井富水，贫水地段并非井井贫水，水量多少实际上与具体井位的选择有很大关系；即使在同一含水层中，由于岩性、裂隙发育程度的变化，其含水性在不同的井、孔中也可能相差十分悬殊。</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C</w:t>
      </w: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地下水位高，埋深浅，淡水带厚度通常较薄</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本区基岩裂隙水一般为潜水，其埋深80%以上的在0～5m之间，尤以0～3m为多。但在上沙溪庙组分布的丘陵区，也有水位较深者。另外，在裂隙潜水广泛分布的背景下，亦有时可见局部承压水出现。究其原因主要是与覆盖层性质有关，即在以遂宁组泥岩为含水层的宽谷丘陵区，不仅覆盖层以第四系粘性土为主，而且基岩顶部强风化层在地下水作用下也多强烈泥化，而具有隔水性。这种由二者所共同组成沟谷中的隔水层，势必会使浅层地下水具有一定的承压性质。另一种原因则可能与局部</w:t>
      </w:r>
      <w:r>
        <w:rPr>
          <w:rFonts w:hint="eastAsia" w:cs="Times New Roman"/>
          <w:color w:val="000000" w:themeColor="text1"/>
          <w:szCs w:val="24"/>
          <w:lang w:eastAsia="zh-CN"/>
          <w14:textFill>
            <w14:solidFill>
              <w14:schemeClr w14:val="tx1"/>
            </w14:solidFill>
          </w14:textFill>
        </w:rPr>
        <w:t>***</w:t>
      </w:r>
      <w:r>
        <w:rPr>
          <w:rFonts w:cs="Times New Roman"/>
          <w:color w:val="000000" w:themeColor="text1"/>
          <w:szCs w:val="24"/>
          <w14:textFill>
            <w14:solidFill>
              <w14:schemeClr w14:val="tx1"/>
            </w14:solidFill>
          </w14:textFill>
        </w:rPr>
        <w:t>因素有关，即它们或许正处于背斜倾角由陡变缓的倾末端或转折端。</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D、地下水补给、径流、排泄条件良好，动态不稳定</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浅层地下水是可供饮用和灌溉的优良淡矿化水，其淡水带深度一般不大，风化裂隙带发育深度一般在20～30m，地下水位埋深在沟谷地带一般为3～5m，丘坡下部一般6～9m，井深20m左右一般可揭露主要潜水含水层。因向下部多迅速转为微咸水、咸水，以至盐卤水所接替。淡水带深度，即咸、淡水界面埋藏深度，因受地下水径流条件控制，表现出周边深，盆内浅的规律。盆地腹心，以沙溪庙组（J</w:t>
      </w:r>
      <w:r>
        <w:rPr>
          <w:rFonts w:cs="Times New Roman"/>
          <w:color w:val="000000" w:themeColor="text1"/>
          <w:szCs w:val="24"/>
          <w:vertAlign w:val="subscript"/>
          <w14:textFill>
            <w14:solidFill>
              <w14:schemeClr w14:val="tx1"/>
            </w14:solidFill>
          </w14:textFill>
        </w:rPr>
        <w:t>2</w:t>
      </w:r>
      <w:r>
        <w:rPr>
          <w:rFonts w:cs="Times New Roman"/>
          <w:color w:val="000000" w:themeColor="text1"/>
          <w:szCs w:val="24"/>
          <w14:textFill>
            <w14:solidFill>
              <w14:schemeClr w14:val="tx1"/>
            </w14:solidFill>
          </w14:textFill>
        </w:rPr>
        <w:t>s）、遂宁组（J</w:t>
      </w:r>
      <w:r>
        <w:rPr>
          <w:rFonts w:cs="Times New Roman"/>
          <w:color w:val="000000" w:themeColor="text1"/>
          <w:szCs w:val="24"/>
          <w:vertAlign w:val="subscript"/>
          <w14:textFill>
            <w14:solidFill>
              <w14:schemeClr w14:val="tx1"/>
            </w14:solidFill>
          </w14:textFill>
        </w:rPr>
        <w:t>2</w:t>
      </w:r>
      <w:r>
        <w:rPr>
          <w:rFonts w:cs="Times New Roman"/>
          <w:color w:val="000000" w:themeColor="text1"/>
          <w:szCs w:val="24"/>
          <w14:textFill>
            <w14:solidFill>
              <w14:schemeClr w14:val="tx1"/>
            </w14:solidFill>
          </w14:textFill>
        </w:rPr>
        <w:t>sn）为主，组成的浅丘区，地下水交替条件差，咸淡水界面埋深一般50m左右，甚或小于50m。向外围低山丘陵区，随着径流条件变化，渐增至50～100m，100～200m。接近盆缘地区，深度大于200m。本项目区可利用地下水淡水深度在100～200m。</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14:textFill>
            <w14:solidFill>
              <w14:schemeClr w14:val="tx1"/>
            </w14:solidFill>
          </w14:textFill>
        </w:rPr>
        <w:t>区内含水层主要接受大气降雨补给，该类地下水主要依靠大气降水补给。因评价区内地形坡降较大，地表径流条件好，大气降水多以面流方式排泄，少量沿地表岩土层裂隙下渗并径流补给地下水。项目区含水层接受补给后，主要由项目区</w:t>
      </w:r>
      <w:r>
        <w:rPr>
          <w:rFonts w:hint="eastAsia" w:cs="Times New Roman"/>
          <w:color w:val="000000" w:themeColor="text1"/>
          <w:szCs w:val="24"/>
          <w14:textFill>
            <w14:solidFill>
              <w14:schemeClr w14:val="tx1"/>
            </w14:solidFill>
          </w14:textFill>
        </w:rPr>
        <w:t>西北</w:t>
      </w:r>
      <w:r>
        <w:rPr>
          <w:rFonts w:cs="Times New Roman"/>
          <w:color w:val="000000" w:themeColor="text1"/>
          <w:szCs w:val="24"/>
          <w14:textFill>
            <w14:solidFill>
              <w14:schemeClr w14:val="tx1"/>
            </w14:solidFill>
          </w14:textFill>
        </w:rPr>
        <w:t>向</w:t>
      </w:r>
      <w:r>
        <w:rPr>
          <w:rFonts w:hint="eastAsia" w:cs="Times New Roman"/>
          <w:color w:val="000000" w:themeColor="text1"/>
          <w:szCs w:val="24"/>
          <w14:textFill>
            <w14:solidFill>
              <w14:schemeClr w14:val="tx1"/>
            </w14:solidFill>
          </w14:textFill>
        </w:rPr>
        <w:t>东</w:t>
      </w:r>
      <w:r>
        <w:rPr>
          <w:rFonts w:cs="Times New Roman"/>
          <w:color w:val="000000" w:themeColor="text1"/>
          <w:szCs w:val="24"/>
          <w14:textFill>
            <w14:solidFill>
              <w14:schemeClr w14:val="tx1"/>
            </w14:solidFill>
          </w14:textFill>
        </w:rPr>
        <w:t>南径流，于地势较低及</w:t>
      </w:r>
      <w:r>
        <w:rPr>
          <w:rFonts w:hint="eastAsia" w:cs="Times New Roman"/>
          <w:color w:val="000000" w:themeColor="text1"/>
          <w:szCs w:val="24"/>
          <w:lang w:eastAsia="zh-CN"/>
          <w14:textFill>
            <w14:solidFill>
              <w14:schemeClr w14:val="tx1"/>
            </w14:solidFill>
          </w14:textFill>
        </w:rPr>
        <w:t>***</w:t>
      </w:r>
      <w:r>
        <w:rPr>
          <w:rFonts w:cs="Times New Roman"/>
          <w:color w:val="000000" w:themeColor="text1"/>
          <w:szCs w:val="24"/>
          <w14:textFill>
            <w14:solidFill>
              <w14:schemeClr w14:val="tx1"/>
            </w14:solidFill>
          </w14:textFill>
        </w:rPr>
        <w:t>有利位置以泉的形式出露，或呈泄流的方式排泄至评价区最低排泄基准面</w:t>
      </w:r>
      <w:r>
        <w:rPr>
          <w:rFonts w:hint="eastAsia" w:cs="Times New Roman"/>
          <w:color w:val="000000" w:themeColor="text1"/>
          <w:szCs w:val="24"/>
          <w14:textFill>
            <w14:solidFill>
              <w14:schemeClr w14:val="tx1"/>
            </w14:solidFill>
          </w14:textFill>
        </w:rPr>
        <w:t>中河</w:t>
      </w:r>
      <w:r>
        <w:rPr>
          <w:rFonts w:cs="Times New Roman"/>
          <w:color w:val="000000" w:themeColor="text1"/>
          <w:szCs w:val="24"/>
          <w14:textFill>
            <w14:solidFill>
              <w14:schemeClr w14:val="tx1"/>
            </w14:solidFill>
          </w14:textFill>
        </w:rPr>
        <w:t>。经调查，当地地下水水质良好，无原生水文地质环境问题</w:t>
      </w:r>
      <w:r>
        <w:rPr>
          <w:rFonts w:cs="Times New Roman"/>
          <w:color w:val="000000" w:themeColor="text1"/>
          <w:szCs w:val="24"/>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地下水开发利用现状</w:t>
      </w:r>
      <w:bookmarkEnd w:id="287"/>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项目区地下水主要受大气降水补给，动态特征表现为受降雨和季节控制，变化较大。动态成因属雨水型。区内5～9月为丰水期，11月至次年4月为枯水期，丰水期的地下水位随不同微地貌地段而不同。经调查，评价区内无集中地下水水源地，评价区内分布有多口水井，居民多为3~15户1井。</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bookmarkStart w:id="288" w:name="_Toc14702820"/>
      <w:bookmarkStart w:id="289" w:name="_Toc498501600"/>
      <w:r>
        <w:rPr>
          <w:color w:val="000000" w:themeColor="text1"/>
          <w:highlight w:val="none"/>
          <w14:textFill>
            <w14:solidFill>
              <w14:schemeClr w14:val="tx1"/>
            </w14:solidFill>
          </w14:textFill>
        </w:rPr>
        <w:t>环境水文地质调查</w:t>
      </w:r>
      <w:bookmarkEnd w:id="288"/>
      <w:bookmarkEnd w:id="289"/>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按照地下水环境影响评价导则，针对本项目特征，本次调查包括：</w:t>
      </w:r>
      <w:r>
        <w:rPr>
          <w:rFonts w:hint="eastAsia"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原生水文地质问题调查；</w:t>
      </w:r>
      <w:r>
        <w:rPr>
          <w:rFonts w:hint="eastAsia"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地下水污染源分布及类型调查。</w:t>
      </w:r>
    </w:p>
    <w:p>
      <w:pPr>
        <w:ind w:firstLine="482"/>
        <w:rPr>
          <w:b/>
          <w:color w:val="000000" w:themeColor="text1"/>
          <w:highlight w:val="none"/>
          <w14:textFill>
            <w14:solidFill>
              <w14:schemeClr w14:val="tx1"/>
            </w14:solidFill>
          </w14:textFill>
        </w:rPr>
      </w:pPr>
      <w:bookmarkStart w:id="290" w:name="_Toc14702821"/>
      <w:r>
        <w:rPr>
          <w:b/>
          <w:color w:val="000000" w:themeColor="text1"/>
          <w:highlight w:val="none"/>
          <w14:textFill>
            <w14:solidFill>
              <w14:schemeClr w14:val="tx1"/>
            </w14:solidFill>
          </w14:textFill>
        </w:rPr>
        <w:t>（1）原生水文地质问题调查</w:t>
      </w:r>
      <w:bookmarkEnd w:id="290"/>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根据评价区下水水质监测结果，本项目区地下水属于低矿化度淡水，水质情况尚可；根据相关资料及调查访问，评价区未出现地方病等与地下水相关的环境问题。</w:t>
      </w:r>
    </w:p>
    <w:p>
      <w:pPr>
        <w:ind w:firstLine="482"/>
        <w:rPr>
          <w:b/>
          <w:color w:val="000000" w:themeColor="text1"/>
          <w:highlight w:val="none"/>
          <w14:textFill>
            <w14:solidFill>
              <w14:schemeClr w14:val="tx1"/>
            </w14:solidFill>
          </w14:textFill>
        </w:rPr>
      </w:pPr>
      <w:bookmarkStart w:id="291" w:name="_Toc14702822"/>
      <w:r>
        <w:rPr>
          <w:b/>
          <w:color w:val="000000" w:themeColor="text1"/>
          <w:highlight w:val="none"/>
          <w14:textFill>
            <w14:solidFill>
              <w14:schemeClr w14:val="tx1"/>
            </w14:solidFill>
          </w14:textFill>
        </w:rPr>
        <w:t>（2）地下水污染源调查</w:t>
      </w:r>
      <w:bookmarkEnd w:id="291"/>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根据现场调查，评价范围内主要地下水污染源为：分散居民农业生产及生活污水对地下水水质的扰动。</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92" w:name="_Toc120173163"/>
      <w:r>
        <w:rPr>
          <w:color w:val="000000" w:themeColor="text1"/>
          <w:highlight w:val="none"/>
          <w:lang w:eastAsia="zh-CN"/>
          <w14:textFill>
            <w14:solidFill>
              <w14:schemeClr w14:val="tx1"/>
            </w14:solidFill>
          </w14:textFill>
        </w:rPr>
        <w:t>地下水环境功能与环境保护目标</w:t>
      </w:r>
      <w:bookmarkEnd w:id="292"/>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地下水功能划分</w:t>
      </w:r>
    </w:p>
    <w:p>
      <w:pPr>
        <w:ind w:firstLine="480"/>
        <w:rPr>
          <w:color w:val="000000" w:themeColor="text1"/>
          <w:highlight w:val="none"/>
          <w14:textFill>
            <w14:solidFill>
              <w14:schemeClr w14:val="tx1"/>
            </w14:solidFill>
          </w14:textFill>
        </w:rPr>
      </w:pPr>
      <w:r>
        <w:rPr>
          <w:rFonts w:cs="Times New Roman"/>
          <w:bCs/>
          <w:color w:val="000000" w:themeColor="text1"/>
          <w:szCs w:val="24"/>
          <w14:textFill>
            <w14:solidFill>
              <w14:schemeClr w14:val="tx1"/>
            </w14:solidFill>
          </w14:textFill>
        </w:rPr>
        <w:t>确定评价区地下水环境的主要功能是分析地下水环境影响、布置工作重点的重要工作之一。地下水系统是一个具有综合服务功能的开放系统，是维持社会经济发展的重要供水水源，也是维持生态环境系统稳定的重要因素。本研究确定工程区地下水环境功能从两个方面进行：依据《全国地下水功能区划分技术大纲》的要求和规定、根据实地调查的本项目工程区的地下水环境状况</w:t>
      </w:r>
      <w:r>
        <w:rPr>
          <w:color w:val="000000" w:themeColor="text1"/>
          <w:highlight w:val="none"/>
          <w14:textFill>
            <w14:solidFill>
              <w14:schemeClr w14:val="tx1"/>
            </w14:solidFill>
          </w14:textFill>
        </w:rPr>
        <w:t>。</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（1）地下水功能及其划分</w:t>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地下水功能是指地下水的水质和水量及其在空间和时间上的变化对人类社会和环境所产生的作用或效应，它由地下水的资源功能、生态环境功能和地质环境功能组成。</w:t>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1）地下水的资源功能是指具备一定的补给、储存和更新条件的地下水资源供给保障作用或效应。为了保持地下水的资源供给功能，首先在水量上，地下水要得到可持续的稳定补给，这样才能保障可持续开发。</w:t>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2）地下水的生态功能是指地下水系统对陆表植被或湖泊、湿地或土地质量良性维持的作用或效应，如果地下水系统发生变化，则生态环境出现相应的改变。地表水生态系统（河道基流、湿地、泉水等）和陆地非地带性植被都需要地下水的补给和调节。地下水位下降和水质的恶化对地表生态系统会带来严重影响。</w:t>
      </w:r>
    </w:p>
    <w:p>
      <w:pPr>
        <w:widowControl/>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3）地下水的地质环境功能是指地下水的地质安全保障功能，是指地下水系统对其所赋存的地质环境稳定性所具有支撑和保护的作用或效应，如果地下水系统发生变化，则地质环境出现相应的改变。</w:t>
      </w:r>
    </w:p>
    <w:p>
      <w:pPr>
        <w:widowControl/>
        <w:ind w:firstLine="482"/>
        <w:rPr>
          <w:rFonts w:cs="Times New Roman"/>
          <w:b/>
          <w:color w:val="000000" w:themeColor="text1"/>
          <w:szCs w:val="24"/>
          <w14:textFill>
            <w14:solidFill>
              <w14:schemeClr w14:val="tx1"/>
            </w14:solidFill>
          </w14:textFill>
        </w:rPr>
      </w:pPr>
      <w:r>
        <w:rPr>
          <w:rFonts w:cs="Times New Roman"/>
          <w:b/>
          <w:color w:val="000000" w:themeColor="text1"/>
          <w:szCs w:val="24"/>
          <w14:textFill>
            <w14:solidFill>
              <w14:schemeClr w14:val="tx1"/>
            </w14:solidFill>
          </w14:textFill>
        </w:rPr>
        <w:t>（2）地下水环境调查</w:t>
      </w:r>
    </w:p>
    <w:p>
      <w:pPr>
        <w:ind w:firstLine="480"/>
        <w:rPr>
          <w:color w:val="000000" w:themeColor="text1"/>
          <w:highlight w:val="none"/>
          <w14:textFill>
            <w14:solidFill>
              <w14:schemeClr w14:val="tx1"/>
            </w14:solidFill>
          </w14:textFill>
        </w:rPr>
      </w:pPr>
      <w:r>
        <w:rPr>
          <w:rFonts w:cs="Times New Roman"/>
          <w:bCs/>
          <w:color w:val="000000" w:themeColor="text1"/>
          <w:szCs w:val="24"/>
          <w14:textFill>
            <w14:solidFill>
              <w14:schemeClr w14:val="tx1"/>
            </w14:solidFill>
          </w14:textFill>
        </w:rPr>
        <w:t>通过对项目区地下水、地表水、居民用水及环境状况调查，本项目位于四川省达州市宣汉县</w:t>
      </w:r>
      <w:r>
        <w:rPr>
          <w:rFonts w:hint="eastAsia" w:cs="Times New Roman"/>
          <w:bCs/>
          <w:color w:val="000000" w:themeColor="text1"/>
          <w:szCs w:val="24"/>
          <w:lang w:eastAsia="zh-CN"/>
          <w14:textFill>
            <w14:solidFill>
              <w14:schemeClr w14:val="tx1"/>
            </w14:solidFill>
          </w14:textFill>
        </w:rPr>
        <w:t>***</w:t>
      </w:r>
      <w:r>
        <w:rPr>
          <w:rFonts w:cs="Times New Roman"/>
          <w:bCs/>
          <w:color w:val="000000" w:themeColor="text1"/>
          <w:szCs w:val="24"/>
          <w14:textFill>
            <w14:solidFill>
              <w14:schemeClr w14:val="tx1"/>
            </w14:solidFill>
          </w14:textFill>
        </w:rPr>
        <w:t>石虎村8组（原雷页1井场</w:t>
      </w:r>
      <w:r>
        <w:rPr>
          <w:rFonts w:hint="eastAsia" w:cs="Times New Roman"/>
          <w:bCs/>
          <w:color w:val="000000" w:themeColor="text1"/>
          <w:szCs w:val="24"/>
          <w14:textFill>
            <w14:solidFill>
              <w14:schemeClr w14:val="tx1"/>
            </w14:solidFill>
          </w14:textFill>
        </w:rPr>
        <w:t>西侧</w:t>
      </w:r>
      <w:r>
        <w:rPr>
          <w:rFonts w:cs="Times New Roman"/>
          <w:bCs/>
          <w:color w:val="000000" w:themeColor="text1"/>
          <w:szCs w:val="24"/>
          <w14:textFill>
            <w14:solidFill>
              <w14:schemeClr w14:val="tx1"/>
            </w14:solidFill>
          </w14:textFill>
        </w:rPr>
        <w:t>），评价区内有居民分布，均为饮用山泉水，</w:t>
      </w:r>
      <w:r>
        <w:rPr>
          <w:rFonts w:cs="Times New Roman"/>
          <w:color w:val="000000" w:themeColor="text1"/>
          <w:kern w:val="0"/>
          <w:szCs w:val="24"/>
          <w14:textFill>
            <w14:solidFill>
              <w14:schemeClr w14:val="tx1"/>
            </w14:solidFill>
          </w14:textFill>
        </w:rPr>
        <w:t>居民3~15户1泉</w:t>
      </w:r>
      <w:r>
        <w:rPr>
          <w:color w:val="000000" w:themeColor="text1"/>
          <w:highlight w:val="none"/>
          <w14:textFill>
            <w14:solidFill>
              <w14:schemeClr w14:val="tx1"/>
            </w14:solidFill>
          </w14:textFill>
        </w:rPr>
        <w:t>。</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综上，根据《全国地下水功能区划分技术大纲》的要求和实地调查评价区地下水环境状况，本项目评价区地下水功能为供水水资源功能。</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地下水环境保护目标</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cs="Times New Roman"/>
          <w:bCs/>
          <w:color w:val="000000" w:themeColor="text1"/>
          <w:szCs w:val="24"/>
          <w14:textFill>
            <w14:solidFill>
              <w14:schemeClr w14:val="tx1"/>
            </w14:solidFill>
          </w14:textFill>
        </w:rPr>
        <w:t>根据外环境调查，结合项目场地所处水文地质条件，区域地下水总体流向为</w:t>
      </w:r>
      <w:r>
        <w:rPr>
          <w:rFonts w:hint="eastAsia" w:cs="Times New Roman"/>
          <w:bCs/>
          <w:color w:val="000000" w:themeColor="text1"/>
          <w:szCs w:val="24"/>
          <w14:textFill>
            <w14:solidFill>
              <w14:schemeClr w14:val="tx1"/>
            </w14:solidFill>
          </w14:textFill>
        </w:rPr>
        <w:t>西北</w:t>
      </w:r>
      <w:r>
        <w:rPr>
          <w:rFonts w:cs="Times New Roman"/>
          <w:bCs/>
          <w:color w:val="000000" w:themeColor="text1"/>
          <w:szCs w:val="24"/>
          <w14:textFill>
            <w14:solidFill>
              <w14:schemeClr w14:val="tx1"/>
            </w14:solidFill>
          </w14:textFill>
        </w:rPr>
        <w:t>至</w:t>
      </w:r>
      <w:r>
        <w:rPr>
          <w:rFonts w:hint="eastAsia" w:cs="Times New Roman"/>
          <w:bCs/>
          <w:color w:val="000000" w:themeColor="text1"/>
          <w:szCs w:val="24"/>
          <w14:textFill>
            <w14:solidFill>
              <w14:schemeClr w14:val="tx1"/>
            </w14:solidFill>
          </w14:textFill>
        </w:rPr>
        <w:t>东</w:t>
      </w:r>
      <w:r>
        <w:rPr>
          <w:rFonts w:cs="Times New Roman"/>
          <w:bCs/>
          <w:color w:val="000000" w:themeColor="text1"/>
          <w:szCs w:val="24"/>
          <w14:textFill>
            <w14:solidFill>
              <w14:schemeClr w14:val="tx1"/>
            </w14:solidFill>
          </w14:textFill>
        </w:rPr>
        <w:t>南，排泄至州河。项目施工可能受影响的含水层为</w:t>
      </w:r>
      <w:r>
        <w:rPr>
          <w:rFonts w:cs="Times New Roman"/>
          <w:color w:val="000000" w:themeColor="text1"/>
          <w:kern w:val="0"/>
          <w:szCs w:val="24"/>
          <w14:textFill>
            <w14:solidFill>
              <w14:schemeClr w14:val="tx1"/>
            </w14:solidFill>
          </w14:textFill>
        </w:rPr>
        <w:t>基岩裂隙水与碎屑岩类裂隙水</w:t>
      </w:r>
      <w:r>
        <w:rPr>
          <w:rFonts w:cs="Times New Roman"/>
          <w:bCs/>
          <w:color w:val="000000" w:themeColor="text1"/>
          <w:szCs w:val="24"/>
          <w14:textFill>
            <w14:solidFill>
              <w14:schemeClr w14:val="tx1"/>
            </w14:solidFill>
          </w14:textFill>
        </w:rPr>
        <w:t>。本项目地下水环境保护目标见前文“2.9.1外环境关系”</w:t>
      </w:r>
      <w:r>
        <w:rPr>
          <w:rFonts w:ascii="Times New Roman" w:hAnsi="Times New Roman"/>
          <w:bCs/>
          <w:color w:val="000000" w:themeColor="text1"/>
          <w:kern w:val="2"/>
          <w:highlight w:val="none"/>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93" w:name="_Toc120173164"/>
      <w:r>
        <w:rPr>
          <w:color w:val="000000" w:themeColor="text1"/>
          <w:highlight w:val="none"/>
          <w:lang w:eastAsia="zh-CN"/>
          <w14:textFill>
            <w14:solidFill>
              <w14:schemeClr w14:val="tx1"/>
            </w14:solidFill>
          </w14:textFill>
        </w:rPr>
        <w:t>地下水评价因子及识别</w:t>
      </w:r>
      <w:bookmarkEnd w:id="293"/>
    </w:p>
    <w:p>
      <w:pPr>
        <w:pStyle w:val="21"/>
        <w:spacing w:before="0"/>
        <w:ind w:left="0" w:firstLine="480"/>
        <w:jc w:val="both"/>
        <w:rPr>
          <w:rFonts w:ascii="Times New Roman" w:hAnsi="Times New Roman" w:eastAsia="黑体"/>
          <w:bCs/>
          <w:color w:val="000000" w:themeColor="text1"/>
          <w:kern w:val="2"/>
          <w:highlight w:val="none"/>
          <w:lang w:eastAsia="zh-CN"/>
          <w14:textFill>
            <w14:solidFill>
              <w14:schemeClr w14:val="tx1"/>
            </w14:solidFill>
          </w14:textFill>
        </w:rPr>
      </w:pPr>
      <w:bookmarkStart w:id="294" w:name="_Toc9106"/>
      <w:bookmarkStart w:id="295" w:name="_Toc14702795"/>
      <w:r>
        <w:rPr>
          <w:rFonts w:ascii="Times New Roman" w:hAnsi="Times New Roman" w:eastAsia="黑体"/>
          <w:bCs/>
          <w:color w:val="000000" w:themeColor="text1"/>
          <w:kern w:val="2"/>
          <w:highlight w:val="none"/>
          <w:lang w:eastAsia="zh-CN"/>
          <w14:textFill>
            <w14:solidFill>
              <w14:schemeClr w14:val="tx1"/>
            </w14:solidFill>
          </w14:textFill>
        </w:rPr>
        <w:t>1、地下水环境现状评价因子</w:t>
      </w:r>
      <w:bookmarkEnd w:id="294"/>
      <w:bookmarkEnd w:id="295"/>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地下水环境：K</w:t>
      </w:r>
      <w:r>
        <w:rPr>
          <w:rFonts w:ascii="Times New Roman" w:hAnsi="Times New Roman"/>
          <w:bCs/>
          <w:color w:val="000000" w:themeColor="text1"/>
          <w:kern w:val="2"/>
          <w:highlight w:val="none"/>
          <w:vertAlign w:val="superscript"/>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、Na</w:t>
      </w:r>
      <w:r>
        <w:rPr>
          <w:rFonts w:ascii="Times New Roman" w:hAnsi="Times New Roman"/>
          <w:bCs/>
          <w:color w:val="000000" w:themeColor="text1"/>
          <w:kern w:val="2"/>
          <w:highlight w:val="none"/>
          <w:vertAlign w:val="superscript"/>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、Ca</w:t>
      </w:r>
      <w:r>
        <w:rPr>
          <w:rFonts w:ascii="Times New Roman" w:hAnsi="Times New Roman"/>
          <w:bCs/>
          <w:color w:val="000000" w:themeColor="text1"/>
          <w:kern w:val="2"/>
          <w:highlight w:val="none"/>
          <w:vertAlign w:val="super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、Mg</w:t>
      </w:r>
      <w:r>
        <w:rPr>
          <w:rFonts w:ascii="Times New Roman" w:hAnsi="Times New Roman"/>
          <w:bCs/>
          <w:color w:val="000000" w:themeColor="text1"/>
          <w:kern w:val="2"/>
          <w:highlight w:val="none"/>
          <w:vertAlign w:val="super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、CO</w:t>
      </w:r>
      <w:r>
        <w:rPr>
          <w:rFonts w:ascii="Times New Roman" w:hAnsi="Times New Roman"/>
          <w:bCs/>
          <w:color w:val="000000" w:themeColor="text1"/>
          <w:kern w:val="2"/>
          <w:highlight w:val="none"/>
          <w:vertAlign w:val="subscript"/>
          <w:lang w:eastAsia="zh-CN"/>
          <w14:textFill>
            <w14:solidFill>
              <w14:schemeClr w14:val="tx1"/>
            </w14:solidFill>
          </w14:textFill>
        </w:rPr>
        <w:t>3</w:t>
      </w:r>
      <w:r>
        <w:rPr>
          <w:rFonts w:ascii="Times New Roman" w:hAnsi="Times New Roman"/>
          <w:bCs/>
          <w:color w:val="000000" w:themeColor="text1"/>
          <w:kern w:val="2"/>
          <w:highlight w:val="none"/>
          <w:vertAlign w:val="super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、HCO</w:t>
      </w:r>
      <w:r>
        <w:rPr>
          <w:rFonts w:ascii="Times New Roman" w:hAnsi="Times New Roman"/>
          <w:bCs/>
          <w:color w:val="000000" w:themeColor="text1"/>
          <w:kern w:val="2"/>
          <w:highlight w:val="none"/>
          <w:vertAlign w:val="superscript"/>
          <w:lang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、Cl</w:t>
      </w:r>
      <w:r>
        <w:rPr>
          <w:rFonts w:ascii="Times New Roman" w:hAnsi="Times New Roman"/>
          <w:bCs/>
          <w:color w:val="000000" w:themeColor="text1"/>
          <w:kern w:val="2"/>
          <w:highlight w:val="none"/>
          <w:vertAlign w:val="superscript"/>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、SO</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vertAlign w:val="super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、pH、氨氮、硝酸盐、亚硝酸盐、挥发性酚类、氰化物、砷、汞、铬（六价）、总硬度、铅、氟、镉、铁、锰、溶解性总固体、</w:t>
      </w:r>
      <w:r>
        <w:rPr>
          <w:rFonts w:hint="eastAsia" w:ascii="Times New Roman" w:hAnsi="Times New Roman"/>
          <w:bCs/>
          <w:color w:val="000000" w:themeColor="text1"/>
          <w:kern w:val="2"/>
          <w:highlight w:val="none"/>
          <w:lang w:eastAsia="zh-CN"/>
          <w14:textFill>
            <w14:solidFill>
              <w14:schemeClr w14:val="tx1"/>
            </w14:solidFill>
          </w14:textFill>
        </w:rPr>
        <w:t>耗氧量</w:t>
      </w:r>
      <w:r>
        <w:rPr>
          <w:rFonts w:ascii="Times New Roman" w:hAnsi="Times New Roman"/>
          <w:bCs/>
          <w:color w:val="000000" w:themeColor="text1"/>
          <w:kern w:val="2"/>
          <w:highlight w:val="none"/>
          <w:lang w:eastAsia="zh-CN"/>
          <w14:textFill>
            <w14:solidFill>
              <w14:schemeClr w14:val="tx1"/>
            </w14:solidFill>
          </w14:textFill>
        </w:rPr>
        <w:t>、硫酸盐、总大肠菌群、细菌总数。</w:t>
      </w:r>
    </w:p>
    <w:p>
      <w:pPr>
        <w:pStyle w:val="21"/>
        <w:spacing w:before="0"/>
        <w:ind w:left="0" w:firstLine="480"/>
        <w:jc w:val="both"/>
        <w:rPr>
          <w:rFonts w:ascii="Times New Roman" w:hAnsi="Times New Roman" w:eastAsia="黑体"/>
          <w:bCs/>
          <w:color w:val="000000" w:themeColor="text1"/>
          <w:kern w:val="2"/>
          <w:highlight w:val="none"/>
          <w:lang w:eastAsia="zh-CN"/>
          <w14:textFill>
            <w14:solidFill>
              <w14:schemeClr w14:val="tx1"/>
            </w14:solidFill>
          </w14:textFill>
        </w:rPr>
      </w:pPr>
      <w:bookmarkStart w:id="296" w:name="_Toc14702796"/>
      <w:bookmarkStart w:id="297" w:name="_Toc21960"/>
      <w:r>
        <w:rPr>
          <w:rFonts w:ascii="Times New Roman" w:hAnsi="Times New Roman" w:eastAsia="黑体"/>
          <w:bCs/>
          <w:color w:val="000000" w:themeColor="text1"/>
          <w:kern w:val="2"/>
          <w:highlight w:val="none"/>
          <w:lang w:eastAsia="zh-CN"/>
          <w14:textFill>
            <w14:solidFill>
              <w14:schemeClr w14:val="tx1"/>
            </w14:solidFill>
          </w14:textFill>
        </w:rPr>
        <w:t>2、地下水环境影响评价因子</w:t>
      </w:r>
      <w:bookmarkEnd w:id="296"/>
      <w:bookmarkEnd w:id="297"/>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鉴于本项目废水具有氯化物、悬浮物含量高，含石油类、有机物，且变化范围大，水质复杂的特点，类比同类项目，本项目产生废水水质主要含有有机物、石油类、氯离子、无机盐等。</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环境影响评价技术导则-地下水环境》（HJ610-2016），预测因子识别应对项目污染物进行分类后（重金属、持久性污染物和其他类别进行分类），对每一类中各项因子采用标准指数法进行排序，分别取标准指数最大的因子作为预测因子；如该项目属于改扩建项目，将选择技改后继续产生的特征因子，改扩建后新增加的特征因子作为预测因子；污染场地已经查明的主要污染物作为预测因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监测资料，本项目拟建地附近潜水含水层地下水水质良好，所有指标均未超过《地下水质量标准》（GB/T14848-2017）中的Ⅲ类标准限值要求。基于本项目废水的水质特征，选择无机离子中等标污染负荷最大的氯离子，持久性污染物中等标污染负荷最大的COD</w:t>
      </w:r>
      <w:r>
        <w:rPr>
          <w:rFonts w:ascii="Times New Roman" w:hAnsi="Times New Roman"/>
          <w:bCs/>
          <w:color w:val="000000" w:themeColor="text1"/>
          <w:kern w:val="2"/>
          <w:highlight w:val="none"/>
          <w:vertAlign w:val="subscript"/>
          <w:lang w:eastAsia="zh-CN"/>
          <w14:textFill>
            <w14:solidFill>
              <w14:schemeClr w14:val="tx1"/>
            </w14:solidFill>
          </w14:textFill>
        </w:rPr>
        <w:t>Cr</w:t>
      </w:r>
      <w:r>
        <w:rPr>
          <w:rFonts w:ascii="Times New Roman" w:hAnsi="Times New Roman"/>
          <w:bCs/>
          <w:color w:val="000000" w:themeColor="text1"/>
          <w:kern w:val="2"/>
          <w:highlight w:val="none"/>
          <w:lang w:eastAsia="zh-CN"/>
          <w14:textFill>
            <w14:solidFill>
              <w14:schemeClr w14:val="tx1"/>
            </w14:solidFill>
          </w14:textFill>
        </w:rPr>
        <w:t>，特征污染因子石油类作为本次评价的预测因子。</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298" w:name="_Toc120173165"/>
      <w:bookmarkStart w:id="299" w:name="_Toc14702804"/>
      <w:r>
        <w:rPr>
          <w:color w:val="000000" w:themeColor="text1"/>
          <w:highlight w:val="none"/>
          <w:lang w:eastAsia="zh-CN"/>
          <w14:textFill>
            <w14:solidFill>
              <w14:schemeClr w14:val="tx1"/>
            </w14:solidFill>
          </w14:textFill>
        </w:rPr>
        <w:t>水文地质参数识别</w:t>
      </w:r>
      <w:bookmarkEnd w:id="298"/>
      <w:bookmarkEnd w:id="299"/>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kern w:val="0"/>
          <w:szCs w:val="24"/>
          <w14:textFill>
            <w14:solidFill>
              <w14:schemeClr w14:val="tx1"/>
            </w14:solidFill>
          </w14:textFill>
        </w:rPr>
        <w:t>本次评价充分参考《雷页1井钻探工程环境影响评价专题》的地下水环境影响评价成果来选取水文地质参数。项目区域浅层风化带裂隙水储水介质为侏罗系中统上沙溪庙组</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J</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s</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vertAlign w:val="superscript"/>
          <w14:textFill>
            <w14:solidFill>
              <w14:schemeClr w14:val="tx1"/>
            </w14:solidFill>
          </w14:textFill>
        </w:rPr>
        <w:t>）</w:t>
      </w:r>
      <w:r>
        <w:rPr>
          <w:rFonts w:cs="Times New Roman"/>
          <w:color w:val="000000" w:themeColor="text1"/>
          <w:kern w:val="0"/>
          <w:szCs w:val="24"/>
          <w14:textFill>
            <w14:solidFill>
              <w14:schemeClr w14:val="tx1"/>
            </w14:solidFill>
          </w14:textFill>
        </w:rPr>
        <w:t>地层，地层岩性为紫红色泥岩、粉砂质泥岩与灰～绿灰色细砂岩、粉砂岩、泥质粉砂岩呈不等厚互层；砂岩类在上部以薄～中层状为主，中、下部以厚层状为主。与下伏下沙溪庙组整合接触</w:t>
      </w:r>
      <w:r>
        <w:rPr>
          <w:rFonts w:cs="Times New Roman"/>
          <w:color w:val="000000" w:themeColor="text1"/>
          <w:szCs w:val="24"/>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00" w:name="_Toc120173166"/>
      <w:r>
        <w:rPr>
          <w:color w:val="000000" w:themeColor="text1"/>
          <w:highlight w:val="none"/>
          <w:lang w:eastAsia="zh-CN"/>
          <w14:textFill>
            <w14:solidFill>
              <w14:schemeClr w14:val="tx1"/>
            </w14:solidFill>
          </w14:textFill>
        </w:rPr>
        <w:t>地下水污染源源强分析</w:t>
      </w:r>
      <w:bookmarkEnd w:id="300"/>
    </w:p>
    <w:p>
      <w:pPr>
        <w:pStyle w:val="21"/>
        <w:spacing w:before="0"/>
        <w:ind w:left="0" w:firstLine="480"/>
        <w:jc w:val="both"/>
        <w:rPr>
          <w:rFonts w:hint="default" w:ascii="Times New Roman" w:hAnsi="Times New Roman" w:eastAsia="黑体" w:cs="Times New Roman"/>
          <w:bCs/>
          <w:color w:val="000000" w:themeColor="text1"/>
          <w:kern w:val="2"/>
          <w:highlight w:val="none"/>
          <w:lang w:eastAsia="zh-CN"/>
          <w14:textFill>
            <w14:solidFill>
              <w14:schemeClr w14:val="tx1"/>
            </w14:solidFill>
          </w14:textFill>
        </w:rPr>
      </w:pPr>
      <w:r>
        <w:rPr>
          <w:rFonts w:hint="default" w:ascii="Times New Roman" w:hAnsi="Times New Roman" w:eastAsia="黑体" w:cs="Times New Roman"/>
          <w:bCs/>
          <w:color w:val="000000" w:themeColor="text1"/>
          <w:kern w:val="2"/>
          <w:highlight w:val="none"/>
          <w:lang w:eastAsia="zh-CN"/>
          <w14:textFill>
            <w14:solidFill>
              <w14:schemeClr w14:val="tx1"/>
            </w14:solidFill>
          </w14:textFill>
        </w:rPr>
        <w:t>1、产污环节分析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钻前工程施工时间短，废水产生量小且为一般施工废水，无特殊污染物，回用于洒水降尘不会对地下水环境造成影响；</w:t>
      </w:r>
      <w:r>
        <w:rPr>
          <w:rFonts w:hint="eastAsia" w:ascii="Times New Roman" w:hAnsi="Times New Roman"/>
          <w:bCs/>
          <w:color w:val="000000" w:themeColor="text1"/>
          <w:sz w:val="24"/>
          <w:szCs w:val="24"/>
          <w:highlight w:val="none"/>
          <w:lang w:val="en-US" w:eastAsia="zh-CN"/>
          <w14:textFill>
            <w14:solidFill>
              <w14:schemeClr w14:val="tx1"/>
            </w14:solidFill>
          </w14:textFill>
        </w:rPr>
        <w:t>试采</w:t>
      </w:r>
      <w:r>
        <w:rPr>
          <w:rFonts w:ascii="Times New Roman" w:hAnsi="Times New Roman"/>
          <w:bCs/>
          <w:color w:val="000000" w:themeColor="text1"/>
          <w:sz w:val="24"/>
          <w:szCs w:val="24"/>
          <w:highlight w:val="none"/>
          <w:lang w:eastAsia="zh-CN"/>
          <w14:textFill>
            <w14:solidFill>
              <w14:schemeClr w14:val="tx1"/>
            </w14:solidFill>
          </w14:textFill>
        </w:rPr>
        <w:t>期</w:t>
      </w:r>
      <w:r>
        <w:rPr>
          <w:rFonts w:hint="eastAsia" w:ascii="Times New Roman" w:hAnsi="Times New Roman"/>
          <w:bCs/>
          <w:color w:val="000000" w:themeColor="text1"/>
          <w:sz w:val="24"/>
          <w:szCs w:val="24"/>
          <w:highlight w:val="none"/>
          <w:lang w:val="en-US" w:eastAsia="zh-CN"/>
          <w14:textFill>
            <w14:solidFill>
              <w14:schemeClr w14:val="tx1"/>
            </w14:solidFill>
          </w14:textFill>
        </w:rPr>
        <w:t>无生活污水产生，</w:t>
      </w:r>
      <w:r>
        <w:rPr>
          <w:rFonts w:ascii="Times New Roman" w:hAnsi="Times New Roman"/>
          <w:bCs/>
          <w:color w:val="000000" w:themeColor="text1"/>
          <w:sz w:val="24"/>
          <w:szCs w:val="24"/>
          <w:highlight w:val="none"/>
          <w:lang w:eastAsia="zh-CN"/>
          <w14:textFill>
            <w14:solidFill>
              <w14:schemeClr w14:val="tx1"/>
            </w14:solidFill>
          </w14:textFill>
        </w:rPr>
        <w:t>产生</w:t>
      </w:r>
      <w:r>
        <w:rPr>
          <w:rFonts w:hint="eastAsia" w:ascii="Times New Roman" w:hAnsi="Times New Roman"/>
          <w:bCs/>
          <w:color w:val="000000" w:themeColor="text1"/>
          <w:sz w:val="24"/>
          <w:szCs w:val="24"/>
          <w:highlight w:val="none"/>
          <w:lang w:eastAsia="zh-CN"/>
          <w14:textFill>
            <w14:solidFill>
              <w14:schemeClr w14:val="tx1"/>
            </w14:solidFill>
          </w14:textFill>
        </w:rPr>
        <w:t>的</w:t>
      </w:r>
      <w:r>
        <w:rPr>
          <w:rFonts w:ascii="Times New Roman" w:hAnsi="Times New Roman"/>
          <w:bCs/>
          <w:color w:val="000000" w:themeColor="text1"/>
          <w:sz w:val="24"/>
          <w:szCs w:val="24"/>
          <w:highlight w:val="none"/>
          <w:lang w:eastAsia="zh-CN"/>
          <w14:textFill>
            <w14:solidFill>
              <w14:schemeClr w14:val="tx1"/>
            </w14:solidFill>
          </w14:textFill>
        </w:rPr>
        <w:t>气田水由放空分液罐、采出水罐收集后</w:t>
      </w:r>
      <w:r>
        <w:rPr>
          <w:rFonts w:hint="eastAsia"/>
          <w:bCs/>
          <w:color w:val="000000" w:themeColor="text1"/>
          <w:sz w:val="24"/>
          <w:szCs w:val="24"/>
          <w:highlight w:val="none"/>
          <w:lang w:val="en-US" w:eastAsia="zh-CN"/>
          <w14:textFill>
            <w14:solidFill>
              <w14:schemeClr w14:val="tx1"/>
            </w14:solidFill>
          </w14:textFill>
        </w:rPr>
        <w:t>外输至雷页1试采站再</w:t>
      </w:r>
      <w:r>
        <w:rPr>
          <w:rFonts w:ascii="Times New Roman" w:hAnsi="Times New Roman"/>
          <w:bCs/>
          <w:color w:val="000000" w:themeColor="text1"/>
          <w:sz w:val="24"/>
          <w:szCs w:val="24"/>
          <w:highlight w:val="none"/>
          <w:lang w:eastAsia="zh-CN"/>
          <w14:textFill>
            <w14:solidFill>
              <w14:schemeClr w14:val="tx1"/>
            </w14:solidFill>
          </w14:textFill>
        </w:rPr>
        <w:t>外运处理，放空分液罐、采出水罐设置于防渗区，事故情况下也难以入渗地下水系统，钻井工程生活污水</w:t>
      </w:r>
      <w:r>
        <w:rPr>
          <w:rFonts w:ascii="Times New Roman" w:hAnsi="Times New Roman"/>
          <w:color w:val="000000" w:themeColor="text1"/>
          <w:sz w:val="24"/>
          <w:szCs w:val="24"/>
          <w:highlight w:val="none"/>
          <w:lang w:eastAsia="zh-CN"/>
          <w14:textFill>
            <w14:solidFill>
              <w14:schemeClr w14:val="tx1"/>
            </w14:solidFill>
          </w14:textFill>
        </w:rPr>
        <w:t>经生态厕所收集后定期由密闭罐车拉运至周边生活污水处理厂处理</w:t>
      </w:r>
      <w:r>
        <w:rPr>
          <w:rFonts w:ascii="Times New Roman" w:hAnsi="Times New Roman"/>
          <w:bCs/>
          <w:color w:val="000000" w:themeColor="text1"/>
          <w:sz w:val="24"/>
          <w:szCs w:val="24"/>
          <w:highlight w:val="none"/>
          <w:lang w:eastAsia="zh-CN"/>
          <w14:textFill>
            <w14:solidFill>
              <w14:schemeClr w14:val="tx1"/>
            </w14:solidFill>
          </w14:textFill>
        </w:rPr>
        <w:t>，都不会对地下水造成污染。本工程建设施工过程中，钻井、固井等井下作业无防渗条件，其污染物下渗可能污染浅层地下水，钻井、固井施工时井场内罐、池泄漏也可能通过井场内未做防渗区域入渗进入地下水，故将钻井、固井作业中污染物可能进入地下水系统作为评价重点，但由于其水循环动力相对较小，其影响范围也相对较小</w:t>
      </w:r>
      <w:r>
        <w:rPr>
          <w:rFonts w:cs="Times New Roman"/>
          <w:bCs/>
          <w:color w:val="000000" w:themeColor="text1"/>
          <w:szCs w:val="24"/>
          <w:highlight w:val="none"/>
          <w14:textFill>
            <w14:solidFill>
              <w14:schemeClr w14:val="tx1"/>
            </w14:solidFill>
          </w14:textFill>
        </w:rPr>
        <w:t>。</w:t>
      </w:r>
    </w:p>
    <w:p>
      <w:pPr>
        <w:pStyle w:val="21"/>
        <w:spacing w:before="0"/>
        <w:ind w:left="0" w:firstLine="480"/>
        <w:jc w:val="both"/>
        <w:rPr>
          <w:rFonts w:hint="default" w:ascii="Times New Roman" w:hAnsi="Times New Roman" w:eastAsia="黑体" w:cs="Times New Roman"/>
          <w:bCs/>
          <w:color w:val="000000" w:themeColor="text1"/>
          <w:kern w:val="2"/>
          <w:highlight w:val="none"/>
          <w:lang w:eastAsia="zh-CN"/>
          <w14:textFill>
            <w14:solidFill>
              <w14:schemeClr w14:val="tx1"/>
            </w14:solidFill>
          </w14:textFill>
        </w:rPr>
      </w:pPr>
      <w:bookmarkStart w:id="301" w:name="_Toc14702812"/>
      <w:r>
        <w:rPr>
          <w:rFonts w:hint="default" w:ascii="Times New Roman" w:hAnsi="Times New Roman" w:eastAsia="黑体" w:cs="Times New Roman"/>
          <w:bCs/>
          <w:color w:val="000000" w:themeColor="text1"/>
          <w:kern w:val="2"/>
          <w:highlight w:val="none"/>
          <w:lang w:eastAsia="zh-CN"/>
          <w14:textFill>
            <w14:solidFill>
              <w14:schemeClr w14:val="tx1"/>
            </w14:solidFill>
          </w14:textFill>
        </w:rPr>
        <w:t>2、地下水污染源分析</w:t>
      </w:r>
      <w:bookmarkEnd w:id="301"/>
    </w:p>
    <w:p>
      <w:pPr>
        <w:ind w:firstLine="482"/>
        <w:rPr>
          <w:rFonts w:cs="Times New Roman"/>
          <w:b/>
          <w:bCs/>
          <w:color w:val="000000" w:themeColor="text1"/>
          <w:szCs w:val="24"/>
          <w:highlight w:val="none"/>
          <w14:textFill>
            <w14:solidFill>
              <w14:schemeClr w14:val="tx1"/>
            </w14:solidFill>
          </w14:textFill>
        </w:rPr>
      </w:pPr>
      <w:bookmarkStart w:id="302" w:name="_Toc29002"/>
      <w:r>
        <w:rPr>
          <w:rFonts w:cs="Times New Roman"/>
          <w:b/>
          <w:bCs/>
          <w:color w:val="000000" w:themeColor="text1"/>
          <w:szCs w:val="24"/>
          <w:highlight w:val="none"/>
          <w14:textFill>
            <w14:solidFill>
              <w14:schemeClr w14:val="tx1"/>
            </w14:solidFill>
          </w14:textFill>
        </w:rPr>
        <w:t>（1）正常状况</w:t>
      </w:r>
    </w:p>
    <w:p>
      <w:pPr>
        <w:ind w:firstLine="480"/>
        <w:rPr>
          <w:rFonts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本项目的地下水污染源主要来自钻井废水、</w:t>
      </w:r>
      <w:r>
        <w:rPr>
          <w:rFonts w:hint="default" w:ascii="Times New Roman" w:hAnsi="Times New Roman" w:cs="Times New Roman"/>
          <w:color w:val="000000" w:themeColor="text1"/>
          <w:szCs w:val="24"/>
          <w:highlight w:val="none"/>
          <w:lang w:val="en-US" w:eastAsia="zh-CN"/>
          <w14:textFill>
            <w14:solidFill>
              <w14:schemeClr w14:val="tx1"/>
            </w14:solidFill>
          </w14:textFill>
        </w:rPr>
        <w:t>洗井废水、压裂返排液</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场地初期雨水</w:t>
      </w:r>
      <w:r>
        <w:rPr>
          <w:rFonts w:hint="default" w:ascii="Times New Roman" w:hAnsi="Times New Roman" w:cs="Times New Roman"/>
          <w:color w:val="000000" w:themeColor="text1"/>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Cs w:val="24"/>
          <w:highlight w:val="none"/>
          <w14:textFill>
            <w14:solidFill>
              <w14:schemeClr w14:val="tx1"/>
            </w14:solidFill>
          </w14:textFill>
        </w:rPr>
        <w:t>钻井泥浆</w:t>
      </w:r>
      <w:r>
        <w:rPr>
          <w:rFonts w:hint="default" w:ascii="Times New Roman" w:hAnsi="Times New Roman" w:cs="Times New Roman"/>
          <w:color w:val="000000" w:themeColor="text1"/>
          <w:szCs w:val="24"/>
          <w:highlight w:val="none"/>
          <w:lang w:val="en-US"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柴油机房、储备罐中的油类物质等，</w:t>
      </w:r>
      <w:r>
        <w:rPr>
          <w:rFonts w:cs="Times New Roman"/>
          <w:color w:val="000000" w:themeColor="text1"/>
          <w:szCs w:val="24"/>
          <w:highlight w:val="none"/>
          <w14:textFill>
            <w14:solidFill>
              <w14:schemeClr w14:val="tx1"/>
            </w14:solidFill>
          </w14:textFill>
        </w:rPr>
        <w:t>这些物质都放置在相应的储备罐或储存池中，一般情况下，只要对各种地下水污染源及时采取回用、转运、防渗等方式处理，就不会对地下水水质产生大的影响。与此同时，井场选址于地质稳定地带，也不受当地河水洪灾危险，正常状况下废水外溢及下渗造成地下水污染的可能性极小。</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本工程按《环境影响评价技术导则—地下水环境》（HJ 610-2016）和《石油化工工程防渗技术规范》（GB/T50934-2013）设计地下水防渗措施，根据《环境影响评价技术导则—地下水环境》（HJ 610-2016）中9.4.2，本工程不进行正常状况情景下的预测。</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（2）非正常状况</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1）污染源分析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非正常状况下本项目对地下水可能产生的不利影响途径主要有以下几个方面：</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钻井初期钻井液渗入浅层地下水；</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罐体循环使用，发生腐蚀使防渗不到位出现废水渗漏，从围堰溢出或者基础防渗不到位入渗地下水，或是在雨季发生泥浆外溢情况，井场设备机油泄漏，生活污水、固废以及钻井所需材料堆放不当，井场污染物收集、存储措施不到位，在雨季产生地面溢流外溢废水进入井场未硬化地面入渗等都有可能造成不同程度的地下水污染；</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物料跑冒滴漏，钻井过程中物料管理不严格、化学品堆放不当、柴油泄漏等物料的跑冒滴漏不同程度的污染地下水；</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④</w:t>
      </w:r>
      <w:r>
        <w:rPr>
          <w:rFonts w:cs="Times New Roman"/>
          <w:color w:val="000000" w:themeColor="text1"/>
          <w:szCs w:val="24"/>
          <w:highlight w:val="none"/>
          <w14:textFill>
            <w14:solidFill>
              <w14:schemeClr w14:val="tx1"/>
            </w14:solidFill>
          </w14:textFill>
        </w:rPr>
        <w:t>放喷池主要收集压裂作业废水，因防渗不到位出现返排液渗漏，有可能造成不同程度的地下水污染；</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⑤</w:t>
      </w:r>
      <w:r>
        <w:rPr>
          <w:rFonts w:cs="Times New Roman"/>
          <w:color w:val="000000" w:themeColor="text1"/>
          <w:szCs w:val="24"/>
          <w:highlight w:val="none"/>
          <w14:textFill>
            <w14:solidFill>
              <w14:schemeClr w14:val="tx1"/>
            </w14:solidFill>
          </w14:textFill>
        </w:rPr>
        <w:t>井口作业区、泥浆循环系统区、泥浆不落地装置区散落的泥浆、废水进入井场未硬化地面入渗；</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⑥</w:t>
      </w:r>
      <w:r>
        <w:rPr>
          <w:rFonts w:cs="Times New Roman"/>
          <w:color w:val="000000" w:themeColor="text1"/>
          <w:szCs w:val="24"/>
          <w:highlight w:val="none"/>
          <w14:textFill>
            <w14:solidFill>
              <w14:schemeClr w14:val="tx1"/>
            </w14:solidFill>
          </w14:textFill>
        </w:rPr>
        <w:t>压裂过程</w:t>
      </w:r>
      <w:r>
        <w:rPr>
          <w:rFonts w:hint="eastAsia" w:cs="Times New Roman"/>
          <w:color w:val="000000" w:themeColor="text1"/>
          <w:szCs w:val="24"/>
          <w:highlight w:val="none"/>
          <w:lang w:val="en-US" w:eastAsia="zh-CN"/>
          <w14:textFill>
            <w14:solidFill>
              <w14:schemeClr w14:val="tx1"/>
            </w14:solidFill>
          </w14:textFill>
        </w:rPr>
        <w:t>高压压裂作业导致</w:t>
      </w:r>
      <w:r>
        <w:rPr>
          <w:rFonts w:cs="Times New Roman"/>
          <w:color w:val="000000" w:themeColor="text1"/>
          <w:szCs w:val="24"/>
          <w:highlight w:val="none"/>
          <w14:textFill>
            <w14:solidFill>
              <w14:schemeClr w14:val="tx1"/>
            </w14:solidFill>
          </w14:textFill>
        </w:rPr>
        <w:t>井筒</w:t>
      </w:r>
      <w:r>
        <w:rPr>
          <w:rFonts w:hint="eastAsia" w:cs="Times New Roman"/>
          <w:color w:val="000000" w:themeColor="text1"/>
          <w:szCs w:val="24"/>
          <w:highlight w:val="none"/>
          <w:lang w:val="en-US" w:eastAsia="zh-CN"/>
          <w14:textFill>
            <w14:solidFill>
              <w14:schemeClr w14:val="tx1"/>
            </w14:solidFill>
          </w14:textFill>
        </w:rPr>
        <w:t>套管</w:t>
      </w:r>
      <w:r>
        <w:rPr>
          <w:rFonts w:cs="Times New Roman"/>
          <w:color w:val="000000" w:themeColor="text1"/>
          <w:szCs w:val="24"/>
          <w:highlight w:val="none"/>
          <w14:textFill>
            <w14:solidFill>
              <w14:schemeClr w14:val="tx1"/>
            </w14:solidFill>
          </w14:textFill>
        </w:rPr>
        <w:t>破裂，压裂液进入含水层。</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钻井施工过程中若出现上述几种非正常状况，则可能对区域地下水环境产生影响。本项目</w:t>
      </w:r>
      <w:r>
        <w:rPr>
          <w:rFonts w:hint="eastAsia" w:cs="Times New Roman"/>
          <w:color w:val="000000" w:themeColor="text1"/>
          <w:szCs w:val="24"/>
          <w:highlight w:val="none"/>
          <w:lang w:val="en-US" w:eastAsia="zh-CN"/>
          <w14:textFill>
            <w14:solidFill>
              <w14:schemeClr w14:val="tx1"/>
            </w14:solidFill>
          </w14:textFill>
        </w:rPr>
        <w:t>浅层钻井前采用预埋导管封隔浅层含水层，同时钻井采取清水钻井液快速钻井，发生钻井液漏失进入浅层地下水含水层的可能性极小，同时即使极端情况下发生钻井液漏失，也是清水和泥土为主的钻井液，无有毒有害物质，不会对地下水造成污染；</w:t>
      </w:r>
      <w:r>
        <w:rPr>
          <w:rFonts w:hint="default" w:ascii="Times New Roman" w:hAnsi="Times New Roman" w:cs="Times New Roman"/>
          <w:color w:val="000000" w:themeColor="text1"/>
          <w:szCs w:val="24"/>
          <w:highlight w:val="none"/>
          <w14:textFill>
            <w14:solidFill>
              <w14:schemeClr w14:val="tx1"/>
            </w14:solidFill>
          </w14:textFill>
        </w:rPr>
        <w:t>本项目采取分区分级防渗：场地内方井、泥浆循环系统区域、泥浆不落地系统区域（含油桶堆放区）、泥浆储备罐区、循环罐区、柴油罐区、放喷池、油基岩屑暂存区、埋地管道等采取重点防渗措施</w:t>
      </w:r>
      <w:r>
        <w:rPr>
          <w:rFonts w:cs="Times New Roman"/>
          <w:color w:val="000000" w:themeColor="text1"/>
          <w:szCs w:val="24"/>
          <w:highlight w:val="none"/>
          <w14:textFill>
            <w14:solidFill>
              <w14:schemeClr w14:val="tx1"/>
            </w14:solidFill>
          </w14:textFill>
        </w:rPr>
        <w:t>；井架基础、发电机房、钻井固废暂存区、气源房、材料棚、雨、污分流区域以及厕所等区域采取一般防渗措施；其他区域等采取简单防渗措施。本项目除放喷池直接采用池体外，其他存放污水和泥浆装置均为罐体且安装于防渗地面上，能及时发现泄漏和收集处理，放喷池使用时间短且重点防渗，同时对跑冒滴漏等散落在井场的污染物及时收集，可有效避免地表污染物入渗。因此非正常情况下，对地下水可能造成的</w:t>
      </w:r>
      <w:r>
        <w:rPr>
          <w:rFonts w:hint="eastAsia" w:cs="Times New Roman"/>
          <w:color w:val="000000" w:themeColor="text1"/>
          <w:szCs w:val="24"/>
          <w:highlight w:val="none"/>
          <w:lang w:eastAsia="zh-CN"/>
          <w14:textFill>
            <w14:solidFill>
              <w14:schemeClr w14:val="tx1"/>
            </w14:solidFill>
          </w14:textFill>
        </w:rPr>
        <w:t>影响</w:t>
      </w:r>
      <w:r>
        <w:rPr>
          <w:rFonts w:cs="Times New Roman"/>
          <w:color w:val="000000" w:themeColor="text1"/>
          <w:szCs w:val="24"/>
          <w:highlight w:val="none"/>
          <w14:textFill>
            <w14:solidFill>
              <w14:schemeClr w14:val="tx1"/>
            </w14:solidFill>
          </w14:textFill>
        </w:rPr>
        <w:t>主要是放喷池泄漏和压裂过程井筒破裂。</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2）源强分析</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废水泄漏</w:t>
      </w:r>
    </w:p>
    <w:p>
      <w:pPr>
        <w:ind w:firstLine="480"/>
        <w:rPr>
          <w:rFonts w:cs="Times New Roman"/>
          <w:snapToGrid w:val="0"/>
          <w:color w:val="000000" w:themeColor="text1"/>
          <w:szCs w:val="24"/>
          <w:highlight w:val="none"/>
          <w14:textFill>
            <w14:solidFill>
              <w14:schemeClr w14:val="tx1"/>
            </w14:solidFill>
          </w14:textFill>
        </w:rPr>
      </w:pPr>
      <w:r>
        <w:rPr>
          <w:rFonts w:cs="Times New Roman"/>
          <w:snapToGrid w:val="0"/>
          <w:color w:val="000000" w:themeColor="text1"/>
          <w:szCs w:val="24"/>
          <w:highlight w:val="none"/>
          <w14:textFill>
            <w14:solidFill>
              <w14:schemeClr w14:val="tx1"/>
            </w14:solidFill>
          </w14:textFill>
        </w:rPr>
        <w:t>本项目在井场界外设置有放喷池</w:t>
      </w:r>
      <w:r>
        <w:rPr>
          <w:rFonts w:hint="eastAsia" w:cs="Times New Roman"/>
          <w:snapToGrid w:val="0"/>
          <w:color w:val="000000" w:themeColor="text1"/>
          <w:szCs w:val="24"/>
          <w:highlight w:val="none"/>
          <w:lang w:val="en-US" w:eastAsia="zh-CN"/>
          <w14:textFill>
            <w14:solidFill>
              <w14:schemeClr w14:val="tx1"/>
            </w14:solidFill>
          </w14:textFill>
        </w:rPr>
        <w:t>1</w:t>
      </w:r>
      <w:r>
        <w:rPr>
          <w:rFonts w:cs="Times New Roman"/>
          <w:snapToGrid w:val="0"/>
          <w:color w:val="000000" w:themeColor="text1"/>
          <w:szCs w:val="24"/>
          <w:highlight w:val="none"/>
          <w14:textFill>
            <w14:solidFill>
              <w14:schemeClr w14:val="tx1"/>
            </w14:solidFill>
          </w14:textFill>
        </w:rPr>
        <w:t>座，单座设计容积300m</w:t>
      </w:r>
      <w:r>
        <w:rPr>
          <w:rFonts w:cs="Times New Roman"/>
          <w:snapToGrid w:val="0"/>
          <w:color w:val="000000" w:themeColor="text1"/>
          <w:szCs w:val="24"/>
          <w:highlight w:val="none"/>
          <w:vertAlign w:val="superscript"/>
          <w14:textFill>
            <w14:solidFill>
              <w14:schemeClr w14:val="tx1"/>
            </w14:solidFill>
          </w14:textFill>
        </w:rPr>
        <w:t>3</w:t>
      </w:r>
      <w:r>
        <w:rPr>
          <w:rFonts w:cs="Times New Roman"/>
          <w:snapToGrid w:val="0"/>
          <w:color w:val="000000" w:themeColor="text1"/>
          <w:szCs w:val="24"/>
          <w:highlight w:val="none"/>
          <w14:textFill>
            <w14:solidFill>
              <w14:schemeClr w14:val="tx1"/>
            </w14:solidFill>
          </w14:textFill>
        </w:rPr>
        <w:t>，单个尺寸为</w:t>
      </w:r>
      <w:r>
        <w:rPr>
          <w:rFonts w:cs="Times New Roman"/>
          <w:color w:val="000000" w:themeColor="text1"/>
          <w:szCs w:val="24"/>
          <w:highlight w:val="none"/>
          <w14:textFill>
            <w14:solidFill>
              <w14:schemeClr w14:val="tx1"/>
            </w14:solidFill>
          </w14:textFill>
        </w:rPr>
        <w:t>20m×10m×1.5m</w:t>
      </w:r>
      <w:r>
        <w:rPr>
          <w:rFonts w:cs="Times New Roman"/>
          <w:snapToGrid w:val="0"/>
          <w:color w:val="000000" w:themeColor="text1"/>
          <w:szCs w:val="24"/>
          <w:highlight w:val="none"/>
          <w14:textFill>
            <w14:solidFill>
              <w14:schemeClr w14:val="tx1"/>
            </w14:solidFill>
          </w14:textFill>
        </w:rPr>
        <w:t>，主要在压裂期间用于暂存压裂返排液，储存时间短，在返排液进入放喷池后应及时转运返排液，储存周期不超过10天</w:t>
      </w:r>
      <w:bookmarkStart w:id="303" w:name="_Hlk89072732"/>
      <w:r>
        <w:rPr>
          <w:rFonts w:cs="Times New Roman"/>
          <w:snapToGrid w:val="0"/>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本项目单井加砂压裂液的返排周期约3</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5d</w:t>
      </w:r>
      <w:r>
        <w:rPr>
          <w:rFonts w:cs="Times New Roman"/>
          <w:snapToGrid w:val="0"/>
          <w:color w:val="000000" w:themeColor="text1"/>
          <w:szCs w:val="24"/>
          <w:highlight w:val="none"/>
          <w14:textFill>
            <w14:solidFill>
              <w14:schemeClr w14:val="tx1"/>
            </w14:solidFill>
          </w14:textFill>
        </w:rPr>
        <w:t>）</w:t>
      </w:r>
      <w:bookmarkEnd w:id="303"/>
      <w:r>
        <w:rPr>
          <w:rFonts w:cs="Times New Roman"/>
          <w:snapToGrid w:val="0"/>
          <w:color w:val="000000" w:themeColor="text1"/>
          <w:szCs w:val="24"/>
          <w:highlight w:val="none"/>
          <w14:textFill>
            <w14:solidFill>
              <w14:schemeClr w14:val="tx1"/>
            </w14:solidFill>
          </w14:textFill>
        </w:rPr>
        <w:t>，因此假定放喷池池底产生裂缝，压裂返排液通过裂缝逐渐渗漏到地下含水层中，对地下水水质造成污染</w:t>
      </w:r>
      <w:r>
        <w:rPr>
          <w:rFonts w:hint="eastAsia" w:cs="Times New Roman"/>
          <w:snapToGrid w:val="0"/>
          <w:color w:val="000000" w:themeColor="text1"/>
          <w:szCs w:val="24"/>
          <w:highlight w:val="none"/>
          <w:lang w:eastAsia="zh-CN"/>
          <w14:textFill>
            <w14:solidFill>
              <w14:schemeClr w14:val="tx1"/>
            </w14:solidFill>
          </w14:textFill>
        </w:rPr>
        <w:t>，污</w:t>
      </w:r>
      <w:r>
        <w:rPr>
          <w:rFonts w:cs="Times New Roman"/>
          <w:snapToGrid w:val="0"/>
          <w:color w:val="000000" w:themeColor="text1"/>
          <w:szCs w:val="24"/>
          <w:highlight w:val="none"/>
          <w14:textFill>
            <w14:solidFill>
              <w14:schemeClr w14:val="tx1"/>
            </w14:solidFill>
          </w14:textFill>
        </w:rPr>
        <w:t>染源类型为短时源强。根据</w:t>
      </w:r>
      <w:r>
        <w:rPr>
          <w:rFonts w:hint="eastAsia" w:cs="Times New Roman"/>
          <w:snapToGrid w:val="0"/>
          <w:color w:val="000000" w:themeColor="text1"/>
          <w:szCs w:val="24"/>
          <w:highlight w:val="none"/>
          <w14:textFill>
            <w14:solidFill>
              <w14:schemeClr w14:val="tx1"/>
            </w14:solidFill>
          </w14:textFill>
        </w:rPr>
        <w:t>放喷</w:t>
      </w:r>
      <w:r>
        <w:rPr>
          <w:rFonts w:cs="Times New Roman"/>
          <w:snapToGrid w:val="0"/>
          <w:color w:val="000000" w:themeColor="text1"/>
          <w:szCs w:val="24"/>
          <w:highlight w:val="none"/>
          <w14:textFill>
            <w14:solidFill>
              <w14:schemeClr w14:val="tx1"/>
            </w14:solidFill>
          </w14:textFill>
        </w:rPr>
        <w:t>池对地下水的影响途径来设定主要污染源的分布位置，选定优先控制的污染物，预测事故工况下污染物在地下水中迁移过程，进一步分析污染物影响范围、超标范围和迁出场区后浓度变化。</w:t>
      </w:r>
    </w:p>
    <w:p>
      <w:pPr>
        <w:ind w:firstLine="480"/>
        <w:rPr>
          <w:rFonts w:cs="Times New Roman"/>
          <w:color w:val="000000" w:themeColor="text1"/>
          <w:szCs w:val="24"/>
          <w:highlight w:val="none"/>
          <w14:textFill>
            <w14:solidFill>
              <w14:schemeClr w14:val="tx1"/>
            </w14:solidFill>
          </w14:textFill>
        </w:rPr>
      </w:pPr>
      <w:r>
        <w:rPr>
          <w:rFonts w:cs="Times New Roman"/>
          <w:snapToGrid w:val="0"/>
          <w:color w:val="000000" w:themeColor="text1"/>
          <w:szCs w:val="24"/>
          <w:highlight w:val="none"/>
          <w14:textFill>
            <w14:solidFill>
              <w14:schemeClr w14:val="tx1"/>
            </w14:solidFill>
          </w14:textFill>
        </w:rPr>
        <w:t>根据类比防渗池体泄漏情况，一般泄漏面积因池子面积大小而不同，参考</w:t>
      </w:r>
      <w:r>
        <w:rPr>
          <w:rFonts w:hint="eastAsia" w:cs="Times New Roman"/>
          <w:snapToGrid w:val="0"/>
          <w:color w:val="000000" w:themeColor="text1"/>
          <w:szCs w:val="24"/>
          <w:highlight w:val="none"/>
          <w:lang w:val="en-US" w:eastAsia="zh-CN"/>
          <w14:textFill>
            <w14:solidFill>
              <w14:schemeClr w14:val="tx1"/>
            </w14:solidFill>
          </w14:textFill>
        </w:rPr>
        <w:t>同类项目</w:t>
      </w:r>
      <w:r>
        <w:rPr>
          <w:rFonts w:cs="Times New Roman"/>
          <w:snapToGrid w:val="0"/>
          <w:color w:val="000000" w:themeColor="text1"/>
          <w:szCs w:val="24"/>
          <w:highlight w:val="none"/>
          <w14:textFill>
            <w14:solidFill>
              <w14:schemeClr w14:val="tx1"/>
            </w14:solidFill>
          </w14:textFill>
        </w:rPr>
        <w:t>放喷池检修过程中池子破损的面积统计数据，300m</w:t>
      </w:r>
      <w:r>
        <w:rPr>
          <w:rFonts w:cs="Times New Roman"/>
          <w:snapToGrid w:val="0"/>
          <w:color w:val="000000" w:themeColor="text1"/>
          <w:szCs w:val="24"/>
          <w:highlight w:val="none"/>
          <w:vertAlign w:val="superscript"/>
          <w14:textFill>
            <w14:solidFill>
              <w14:schemeClr w14:val="tx1"/>
            </w14:solidFill>
          </w14:textFill>
        </w:rPr>
        <w:t>3</w:t>
      </w:r>
      <w:r>
        <w:rPr>
          <w:rFonts w:cs="Times New Roman"/>
          <w:snapToGrid w:val="0"/>
          <w:color w:val="000000" w:themeColor="text1"/>
          <w:szCs w:val="24"/>
          <w:highlight w:val="none"/>
          <w14:textFill>
            <w14:solidFill>
              <w14:schemeClr w14:val="tx1"/>
            </w14:solidFill>
          </w14:textFill>
        </w:rPr>
        <w:t>放喷池破损面积在0~10%之间，大于10%的池体破损还未发现过。假定放喷池渗漏面积为池底总面积的10%（20m</w:t>
      </w:r>
      <w:r>
        <w:rPr>
          <w:rFonts w:cs="Times New Roman"/>
          <w:snapToGrid w:val="0"/>
          <w:color w:val="000000" w:themeColor="text1"/>
          <w:szCs w:val="24"/>
          <w:highlight w:val="none"/>
          <w:vertAlign w:val="superscript"/>
          <w14:textFill>
            <w14:solidFill>
              <w14:schemeClr w14:val="tx1"/>
            </w14:solidFill>
          </w14:textFill>
        </w:rPr>
        <w:t>2</w:t>
      </w:r>
      <w:r>
        <w:rPr>
          <w:rFonts w:cs="Times New Roman"/>
          <w:snapToGrid w:val="0"/>
          <w:color w:val="000000" w:themeColor="text1"/>
          <w:szCs w:val="24"/>
          <w:highlight w:val="none"/>
          <w14:textFill>
            <w14:solidFill>
              <w14:schemeClr w14:val="tx1"/>
            </w14:solidFill>
          </w14:textFill>
        </w:rPr>
        <w:t>），放喷池中存储有废水，废水进入地下属于有压渗透，假定包气带充满水，按达西公式计算源强，公式如下：</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drawing>
          <wp:inline distT="0" distB="0" distL="0" distR="0">
            <wp:extent cx="974090" cy="3797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4090" cy="379730"/>
                    </a:xfrm>
                    <a:prstGeom prst="rect">
                      <a:avLst/>
                    </a:prstGeom>
                    <a:noFill/>
                    <a:ln>
                      <a:noFill/>
                    </a:ln>
                  </pic:spPr>
                </pic:pic>
              </a:graphicData>
            </a:graphic>
          </wp:inline>
        </w:drawing>
      </w:r>
    </w:p>
    <w:p>
      <w:pPr>
        <w:ind w:firstLine="424" w:firstLineChars="177"/>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式中：</w:t>
      </w:r>
    </w:p>
    <w:p>
      <w:pPr>
        <w:ind w:firstLine="991" w:firstLineChars="413"/>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Q—渗入到地下水的污水量；</w:t>
      </w:r>
    </w:p>
    <w:p>
      <w:pPr>
        <w:ind w:firstLine="991" w:firstLineChars="413"/>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K—地面垂向渗透系数，</w:t>
      </w:r>
      <w:r>
        <w:rPr>
          <w:rFonts w:ascii="Times New Roman" w:hAnsi="Times New Roman"/>
          <w:bCs/>
          <w:color w:val="000000" w:themeColor="text1"/>
          <w:sz w:val="24"/>
          <w:szCs w:val="24"/>
          <w:highlight w:val="none"/>
          <w:lang w:eastAsia="zh-CN"/>
          <w14:textFill>
            <w14:solidFill>
              <w14:schemeClr w14:val="tx1"/>
            </w14:solidFill>
          </w14:textFill>
        </w:rPr>
        <w:t>0.0864m/d（取1.0×10</w:t>
      </w:r>
      <w:r>
        <w:rPr>
          <w:rFonts w:ascii="Times New Roman" w:hAnsi="Times New Roman"/>
          <w:bCs/>
          <w:color w:val="000000" w:themeColor="text1"/>
          <w:sz w:val="24"/>
          <w:szCs w:val="24"/>
          <w:highlight w:val="none"/>
          <w:vertAlign w:val="superscript"/>
          <w:lang w:eastAsia="zh-CN"/>
          <w14:textFill>
            <w14:solidFill>
              <w14:schemeClr w14:val="tx1"/>
            </w14:solidFill>
          </w14:textFill>
        </w:rPr>
        <w:t>-4</w:t>
      </w:r>
      <w:r>
        <w:rPr>
          <w:rFonts w:ascii="Times New Roman" w:hAnsi="Times New Roman"/>
          <w:bCs/>
          <w:color w:val="000000" w:themeColor="text1"/>
          <w:sz w:val="24"/>
          <w:szCs w:val="24"/>
          <w:highlight w:val="none"/>
          <w:lang w:eastAsia="zh-CN"/>
          <w14:textFill>
            <w14:solidFill>
              <w14:schemeClr w14:val="tx1"/>
            </w14:solidFill>
          </w14:textFill>
        </w:rPr>
        <w:t>cm/s）</w:t>
      </w:r>
      <w:r>
        <w:rPr>
          <w:rFonts w:cs="Times New Roman"/>
          <w:bCs/>
          <w:color w:val="000000" w:themeColor="text1"/>
          <w:szCs w:val="24"/>
          <w:highlight w:val="none"/>
          <w14:textFill>
            <w14:solidFill>
              <w14:schemeClr w14:val="tx1"/>
            </w14:solidFill>
          </w14:textFill>
        </w:rPr>
        <w:t>；</w:t>
      </w:r>
    </w:p>
    <w:p>
      <w:pPr>
        <w:ind w:firstLine="991" w:firstLineChars="413"/>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H—池内水深，按可能最大水深取1.</w:t>
      </w:r>
      <w:r>
        <w:rPr>
          <w:rFonts w:hint="eastAsia" w:cs="Times New Roman"/>
          <w:bCs/>
          <w:color w:val="000000" w:themeColor="text1"/>
          <w:szCs w:val="24"/>
          <w:highlight w:val="none"/>
          <w:lang w:val="en-US" w:eastAsia="zh-CN"/>
          <w14:textFill>
            <w14:solidFill>
              <w14:schemeClr w14:val="tx1"/>
            </w14:solidFill>
          </w14:textFill>
        </w:rPr>
        <w:t>5</w:t>
      </w:r>
      <w:r>
        <w:rPr>
          <w:rFonts w:cs="Times New Roman"/>
          <w:bCs/>
          <w:color w:val="000000" w:themeColor="text1"/>
          <w:szCs w:val="24"/>
          <w:highlight w:val="none"/>
          <w14:textFill>
            <w14:solidFill>
              <w14:schemeClr w14:val="tx1"/>
            </w14:solidFill>
          </w14:textFill>
        </w:rPr>
        <w:t>m；</w:t>
      </w:r>
    </w:p>
    <w:p>
      <w:pPr>
        <w:ind w:firstLine="991" w:firstLineChars="413"/>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D—地下水埋深，</w:t>
      </w:r>
      <w:r>
        <w:rPr>
          <w:rFonts w:hint="eastAsia" w:cs="Times New Roman"/>
          <w:bCs/>
          <w:color w:val="000000" w:themeColor="text1"/>
          <w:szCs w:val="24"/>
          <w:highlight w:val="none"/>
          <w14:textFill>
            <w14:solidFill>
              <w14:schemeClr w14:val="tx1"/>
            </w14:solidFill>
          </w14:textFill>
        </w:rPr>
        <w:t>结合区域水位调查结果，</w:t>
      </w:r>
      <w:r>
        <w:rPr>
          <w:rFonts w:cs="Times New Roman"/>
          <w:bCs/>
          <w:color w:val="000000" w:themeColor="text1"/>
          <w:szCs w:val="24"/>
          <w:highlight w:val="none"/>
          <w14:textFill>
            <w14:solidFill>
              <w14:schemeClr w14:val="tx1"/>
            </w14:solidFill>
          </w14:textFill>
        </w:rPr>
        <w:t>按最不利</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场地取</w:t>
      </w:r>
      <w:r>
        <w:rPr>
          <w:rFonts w:hint="eastAsia" w:cs="Times New Roman"/>
          <w:bCs/>
          <w:color w:val="000000" w:themeColor="text1"/>
          <w:szCs w:val="24"/>
          <w:highlight w:val="none"/>
          <w:lang w:val="en-US" w:eastAsia="zh-CN"/>
          <w14:textFill>
            <w14:solidFill>
              <w14:schemeClr w14:val="tx1"/>
            </w14:solidFill>
          </w14:textFill>
        </w:rPr>
        <w:t>5</w:t>
      </w:r>
      <w:r>
        <w:rPr>
          <w:rFonts w:cs="Times New Roman"/>
          <w:bCs/>
          <w:color w:val="000000" w:themeColor="text1"/>
          <w:szCs w:val="24"/>
          <w:highlight w:val="none"/>
          <w14:textFill>
            <w14:solidFill>
              <w14:schemeClr w14:val="tx1"/>
            </w14:solidFill>
          </w14:textFill>
        </w:rPr>
        <w:t>m；</w:t>
      </w:r>
    </w:p>
    <w:p>
      <w:pPr>
        <w:ind w:firstLine="991" w:firstLineChars="413"/>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A—池底泄漏面积（m</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），取20m</w:t>
      </w:r>
      <w:r>
        <w:rPr>
          <w:rFonts w:cs="Times New Roman"/>
          <w:bCs/>
          <w:color w:val="000000" w:themeColor="text1"/>
          <w:szCs w:val="24"/>
          <w:highlight w:val="none"/>
          <w:vertAlign w:val="superscript"/>
          <w14:textFill>
            <w14:solidFill>
              <w14:schemeClr w14:val="tx1"/>
            </w14:solidFill>
          </w14:textFill>
        </w:rPr>
        <w:t>2</w:t>
      </w:r>
      <w:r>
        <w:rPr>
          <w:rFonts w:cs="Times New Roman"/>
          <w:bCs/>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根据计算，本项目泄漏量约为</w:t>
      </w:r>
      <w:r>
        <w:rPr>
          <w:rFonts w:hint="eastAsia" w:cs="Times New Roman"/>
          <w:bCs/>
          <w:color w:val="000000" w:themeColor="text1"/>
          <w:szCs w:val="24"/>
          <w:highlight w:val="none"/>
          <w:lang w:val="en-US" w:eastAsia="zh-CN"/>
          <w14:textFill>
            <w14:solidFill>
              <w14:schemeClr w14:val="tx1"/>
            </w14:solidFill>
          </w14:textFill>
        </w:rPr>
        <w:t>2.</w:t>
      </w:r>
      <w:r>
        <w:rPr>
          <w:rFonts w:hint="eastAsia" w:cs="Times New Roman"/>
          <w:bCs/>
          <w:color w:val="000000" w:themeColor="text1"/>
          <w:szCs w:val="24"/>
          <w:highlight w:val="none"/>
          <w14:textFill>
            <w14:solidFill>
              <w14:schemeClr w14:val="tx1"/>
            </w14:solidFill>
          </w14:textFill>
        </w:rPr>
        <w:t>2</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/d，放喷池储存周期最长为10天，即持续渗漏持续时间为10d，渗漏量为</w:t>
      </w:r>
      <w:r>
        <w:rPr>
          <w:rFonts w:hint="eastAsia" w:cs="Times New Roman"/>
          <w:bCs/>
          <w:color w:val="000000" w:themeColor="text1"/>
          <w:szCs w:val="24"/>
          <w:highlight w:val="none"/>
          <w:lang w:val="en-US" w:eastAsia="zh-CN"/>
          <w14:textFill>
            <w14:solidFill>
              <w14:schemeClr w14:val="tx1"/>
            </w14:solidFill>
          </w14:textFill>
        </w:rPr>
        <w:t>22</w:t>
      </w:r>
      <w:r>
        <w:rPr>
          <w:rFonts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cs="Times New Roman"/>
          <w:bCs/>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压裂过程井筒破裂</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事故工况下，</w:t>
      </w:r>
      <w:r>
        <w:rPr>
          <w:rFonts w:hint="eastAsia" w:cs="Times New Roman"/>
          <w:color w:val="000000" w:themeColor="text1"/>
          <w:szCs w:val="24"/>
          <w:highlight w:val="none"/>
          <w:lang w:val="en-US" w:eastAsia="zh-CN"/>
          <w14:textFill>
            <w14:solidFill>
              <w14:schemeClr w14:val="tx1"/>
            </w14:solidFill>
          </w14:textFill>
        </w:rPr>
        <w:t>压裂</w:t>
      </w:r>
      <w:r>
        <w:rPr>
          <w:rFonts w:cs="Times New Roman"/>
          <w:color w:val="000000" w:themeColor="text1"/>
          <w:szCs w:val="24"/>
          <w:highlight w:val="none"/>
          <w14:textFill>
            <w14:solidFill>
              <w14:schemeClr w14:val="tx1"/>
            </w14:solidFill>
          </w14:textFill>
        </w:rPr>
        <w:t>过程</w:t>
      </w:r>
      <w:r>
        <w:rPr>
          <w:rFonts w:hint="eastAsia" w:cs="Times New Roman"/>
          <w:color w:val="000000" w:themeColor="text1"/>
          <w:szCs w:val="24"/>
          <w:highlight w:val="none"/>
          <w:lang w:val="en-US" w:eastAsia="zh-CN"/>
          <w14:textFill>
            <w14:solidFill>
              <w14:schemeClr w14:val="tx1"/>
            </w14:solidFill>
          </w14:textFill>
        </w:rPr>
        <w:t>高压压裂作业导致</w:t>
      </w:r>
      <w:r>
        <w:rPr>
          <w:rFonts w:cs="Times New Roman"/>
          <w:color w:val="000000" w:themeColor="text1"/>
          <w:szCs w:val="24"/>
          <w:highlight w:val="none"/>
          <w14:textFill>
            <w14:solidFill>
              <w14:schemeClr w14:val="tx1"/>
            </w14:solidFill>
          </w14:textFill>
        </w:rPr>
        <w:t>井筒</w:t>
      </w:r>
      <w:r>
        <w:rPr>
          <w:rFonts w:hint="eastAsia" w:cs="Times New Roman"/>
          <w:color w:val="000000" w:themeColor="text1"/>
          <w:szCs w:val="24"/>
          <w:highlight w:val="none"/>
          <w:lang w:val="en-US" w:eastAsia="zh-CN"/>
          <w14:textFill>
            <w14:solidFill>
              <w14:schemeClr w14:val="tx1"/>
            </w14:solidFill>
          </w14:textFill>
        </w:rPr>
        <w:t>套管</w:t>
      </w:r>
      <w:r>
        <w:rPr>
          <w:rFonts w:cs="Times New Roman"/>
          <w:color w:val="000000" w:themeColor="text1"/>
          <w:szCs w:val="24"/>
          <w:highlight w:val="none"/>
          <w14:textFill>
            <w14:solidFill>
              <w14:schemeClr w14:val="tx1"/>
            </w14:solidFill>
          </w14:textFill>
        </w:rPr>
        <w:t>破裂，</w:t>
      </w:r>
      <w:r>
        <w:rPr>
          <w:rFonts w:hint="eastAsia" w:cs="Times New Roman"/>
          <w:color w:val="000000" w:themeColor="text1"/>
          <w:szCs w:val="24"/>
          <w:highlight w:val="none"/>
          <w:lang w:val="en-US" w:eastAsia="zh-CN"/>
          <w14:textFill>
            <w14:solidFill>
              <w14:schemeClr w14:val="tx1"/>
            </w14:solidFill>
          </w14:textFill>
        </w:rPr>
        <w:t>压裂液进入含水层，</w:t>
      </w:r>
      <w:r>
        <w:rPr>
          <w:rFonts w:cs="Times New Roman"/>
          <w:color w:val="000000" w:themeColor="text1"/>
          <w:szCs w:val="24"/>
          <w:highlight w:val="none"/>
          <w14:textFill>
            <w14:solidFill>
              <w14:schemeClr w14:val="tx1"/>
            </w14:solidFill>
          </w14:textFill>
        </w:rPr>
        <w:t>排放形式可概化为点源，排放规律可简化为非连续恒定排放，瞬时泄漏量按单段压裂液（</w:t>
      </w:r>
      <w:r>
        <w:rPr>
          <w:rFonts w:ascii="Times New Roman" w:hAnsi="Times New Roman"/>
          <w:color w:val="000000" w:themeColor="text1"/>
          <w:sz w:val="24"/>
          <w:szCs w:val="24"/>
          <w:highlight w:val="none"/>
          <w:lang w:eastAsia="zh-CN"/>
          <w14:textFill>
            <w14:solidFill>
              <w14:schemeClr w14:val="tx1"/>
            </w14:solidFill>
          </w14:textFill>
        </w:rPr>
        <w:t>约1800m</w:t>
      </w:r>
      <w:r>
        <w:rPr>
          <w:rFonts w:ascii="Times New Roman" w:hAnsi="Times New Roman"/>
          <w:color w:val="000000" w:themeColor="text1"/>
          <w:sz w:val="24"/>
          <w:szCs w:val="24"/>
          <w:highlight w:val="none"/>
          <w:vertAlign w:val="superscript"/>
          <w:lang w:eastAsia="zh-CN"/>
          <w14:textFill>
            <w14:solidFill>
              <w14:schemeClr w14:val="tx1"/>
            </w14:solidFill>
          </w14:textFill>
        </w:rPr>
        <w:t>3</w:t>
      </w:r>
      <w:r>
        <w:rPr>
          <w:rFonts w:cs="Times New Roman"/>
          <w:color w:val="000000" w:themeColor="text1"/>
          <w:szCs w:val="24"/>
          <w:highlight w:val="none"/>
          <w14:textFill>
            <w14:solidFill>
              <w14:schemeClr w14:val="tx1"/>
            </w14:solidFill>
          </w14:textFill>
        </w:rPr>
        <w:t>）用量的10%，</w:t>
      </w:r>
      <w:r>
        <w:rPr>
          <w:rFonts w:hint="eastAsia" w:cs="Times New Roman"/>
          <w:color w:val="000000" w:themeColor="text1"/>
          <w:szCs w:val="24"/>
          <w:highlight w:val="none"/>
          <w:lang w:eastAsia="zh-CN"/>
          <w14:textFill>
            <w14:solidFill>
              <w14:schemeClr w14:val="tx1"/>
            </w14:solidFill>
          </w14:textFill>
        </w:rPr>
        <w:t>泄漏</w:t>
      </w:r>
      <w:r>
        <w:rPr>
          <w:rFonts w:cs="Times New Roman"/>
          <w:color w:val="000000" w:themeColor="text1"/>
          <w:szCs w:val="24"/>
          <w:highlight w:val="none"/>
          <w14:textFill>
            <w14:solidFill>
              <w14:schemeClr w14:val="tx1"/>
            </w14:solidFill>
          </w14:textFill>
        </w:rPr>
        <w:t>时间假定为10min，因此瞬时泄漏量为</w:t>
      </w:r>
      <w:r>
        <w:rPr>
          <w:rFonts w:hint="eastAsia" w:cs="Times New Roman"/>
          <w:color w:val="000000" w:themeColor="text1"/>
          <w:szCs w:val="24"/>
          <w:highlight w:val="none"/>
          <w:lang w:val="en-US" w:eastAsia="zh-CN"/>
          <w14:textFill>
            <w14:solidFill>
              <w14:schemeClr w14:val="tx1"/>
            </w14:solidFill>
          </w14:textFill>
        </w:rPr>
        <w:t>180</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，非正常情况下污染源强统计表见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_Ref142858772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04" w:name="_Ref14285877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30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非正常情况下污染源源强统计表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00"/>
        <w:gridCol w:w="1369"/>
        <w:gridCol w:w="154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12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泄漏位置</w:t>
            </w:r>
          </w:p>
        </w:tc>
        <w:tc>
          <w:tcPr>
            <w:tcW w:w="136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特征污染物</w:t>
            </w:r>
          </w:p>
        </w:tc>
        <w:tc>
          <w:tcPr>
            <w:tcW w:w="154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浓度（mg/L）</w:t>
            </w:r>
          </w:p>
        </w:tc>
        <w:tc>
          <w:tcPr>
            <w:tcW w:w="137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泄漏量（kg）</w:t>
            </w:r>
          </w:p>
        </w:tc>
        <w:tc>
          <w:tcPr>
            <w:tcW w:w="137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泄漏时间</w:t>
            </w:r>
          </w:p>
        </w:tc>
        <w:tc>
          <w:tcPr>
            <w:tcW w:w="137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放喷池破裂</w:t>
            </w: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COD</w:t>
            </w:r>
            <w:r>
              <w:rPr>
                <w:rFonts w:hint="default"/>
                <w:color w:val="000000" w:themeColor="text1"/>
                <w:szCs w:val="20"/>
                <w:highlight w:val="none"/>
                <w:vertAlign w:val="subscript"/>
                <w14:textFill>
                  <w14:solidFill>
                    <w14:schemeClr w14:val="tx1"/>
                  </w14:solidFill>
                </w14:textFill>
              </w:rPr>
              <w:t>Cr</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5000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110</w:t>
            </w:r>
          </w:p>
        </w:tc>
        <w:tc>
          <w:tcPr>
            <w:tcW w:w="137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10d</w:t>
            </w: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石油类</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200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4.4</w:t>
            </w:r>
          </w:p>
        </w:tc>
        <w:tc>
          <w:tcPr>
            <w:tcW w:w="1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氯离子</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4000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88</w:t>
            </w:r>
          </w:p>
        </w:tc>
        <w:tc>
          <w:tcPr>
            <w:tcW w:w="1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压裂过程中井筒破裂</w:t>
            </w: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COD</w:t>
            </w:r>
            <w:r>
              <w:rPr>
                <w:rFonts w:hint="default"/>
                <w:snapToGrid w:val="0"/>
                <w:color w:val="000000" w:themeColor="text1"/>
                <w:szCs w:val="20"/>
                <w:highlight w:val="none"/>
                <w:vertAlign w:val="subscript"/>
                <w14:textFill>
                  <w14:solidFill>
                    <w14:schemeClr w14:val="tx1"/>
                  </w14:solidFill>
                </w14:textFill>
              </w:rPr>
              <w:t>Cr</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5000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lang w:eastAsia="zh-CN"/>
                <w14:textFill>
                  <w14:solidFill>
                    <w14:schemeClr w14:val="tx1"/>
                  </w14:solidFill>
                </w14:textFill>
              </w:rPr>
              <w:t>900</w:t>
            </w:r>
          </w:p>
        </w:tc>
        <w:tc>
          <w:tcPr>
            <w:tcW w:w="137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10min</w:t>
            </w: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石油类</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200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lang w:eastAsia="zh-CN"/>
                <w14:textFill>
                  <w14:solidFill>
                    <w14:schemeClr w14:val="tx1"/>
                  </w14:solidFill>
                </w14:textFill>
              </w:rPr>
              <w:t>36</w:t>
            </w:r>
          </w:p>
        </w:tc>
        <w:tc>
          <w:tcPr>
            <w:tcW w:w="1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12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69"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氯离子</w:t>
            </w:r>
          </w:p>
        </w:tc>
        <w:tc>
          <w:tcPr>
            <w:tcW w:w="1541"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14:textFill>
                  <w14:solidFill>
                    <w14:schemeClr w14:val="tx1"/>
                  </w14:solidFill>
                </w14:textFill>
              </w:rPr>
              <w:t>4000</w:t>
            </w:r>
          </w:p>
        </w:tc>
        <w:tc>
          <w:tcPr>
            <w:tcW w:w="1370"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default"/>
                <w:snapToGrid w:val="0"/>
                <w:color w:val="000000" w:themeColor="text1"/>
                <w:szCs w:val="20"/>
                <w:highlight w:val="none"/>
                <w:lang w:eastAsia="zh-CN"/>
                <w14:textFill>
                  <w14:solidFill>
                    <w14:schemeClr w14:val="tx1"/>
                  </w14:solidFill>
                </w14:textFill>
              </w:rPr>
              <w:t>720</w:t>
            </w:r>
          </w:p>
        </w:tc>
        <w:tc>
          <w:tcPr>
            <w:tcW w:w="137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37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潜水</w:t>
            </w:r>
          </w:p>
        </w:tc>
      </w:tr>
      <w:bookmarkEnd w:id="302"/>
    </w:tbl>
    <w:p>
      <w:pPr>
        <w:pStyle w:val="4"/>
        <w:spacing w:before="120"/>
        <w:rPr>
          <w:b/>
          <w:color w:val="000000" w:themeColor="text1"/>
          <w:highlight w:val="none"/>
          <w:lang w:eastAsia="zh-CN"/>
          <w14:textFill>
            <w14:solidFill>
              <w14:schemeClr w14:val="tx1"/>
            </w14:solidFill>
          </w14:textFill>
        </w:rPr>
      </w:pPr>
      <w:bookmarkStart w:id="305" w:name="_Toc120173167"/>
      <w:r>
        <w:rPr>
          <w:color w:val="000000" w:themeColor="text1"/>
          <w:highlight w:val="none"/>
          <w:lang w:eastAsia="zh-CN"/>
          <w14:textFill>
            <w14:solidFill>
              <w14:schemeClr w14:val="tx1"/>
            </w14:solidFill>
          </w14:textFill>
        </w:rPr>
        <w:t>地下水环境影响预测及评价</w:t>
      </w:r>
      <w:bookmarkEnd w:id="305"/>
    </w:p>
    <w:p>
      <w:pPr>
        <w:pStyle w:val="21"/>
        <w:spacing w:before="0"/>
        <w:ind w:left="0" w:firstLine="480"/>
        <w:jc w:val="both"/>
        <w:rPr>
          <w:rFonts w:hint="default" w:ascii="Times New Roman" w:hAnsi="Times New Roman" w:eastAsia="黑体" w:cs="Times New Roman"/>
          <w:bCs/>
          <w:color w:val="000000" w:themeColor="text1"/>
          <w:kern w:val="2"/>
          <w:highlight w:val="none"/>
          <w:lang w:eastAsia="zh-CN"/>
          <w14:textFill>
            <w14:solidFill>
              <w14:schemeClr w14:val="tx1"/>
            </w14:solidFill>
          </w14:textFill>
        </w:rPr>
      </w:pPr>
      <w:r>
        <w:rPr>
          <w:rFonts w:hint="default" w:ascii="Times New Roman" w:hAnsi="Times New Roman" w:eastAsia="黑体" w:cs="Times New Roman"/>
          <w:bCs/>
          <w:color w:val="000000" w:themeColor="text1"/>
          <w:kern w:val="2"/>
          <w:highlight w:val="none"/>
          <w:lang w:eastAsia="zh-CN"/>
          <w14:textFill>
            <w14:solidFill>
              <w14:schemeClr w14:val="tx1"/>
            </w14:solidFill>
          </w14:textFill>
        </w:rPr>
        <w:t>1、地下水环境影响预测原则</w:t>
      </w:r>
    </w:p>
    <w:p>
      <w:pPr>
        <w:ind w:firstLine="480"/>
        <w:rPr>
          <w:rFonts w:cs="Times New Roman"/>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预测遵循保护地下水资源与环境的原则、遵循环境安全性原则，预测范围、时段、内容和方法根据评价工作等级、工程特征与环境特征，结合当地环境功能和环保要求确定，以拟建项目对地下水资源量、水质的影响及由此而产生的主要环境水文地质问题为重点，预测为评价项目的环境安全和环境保护措施的合理性提供依据。</w:t>
      </w:r>
    </w:p>
    <w:p>
      <w:pPr>
        <w:pStyle w:val="21"/>
        <w:spacing w:before="0"/>
        <w:ind w:left="0" w:firstLine="480"/>
        <w:jc w:val="both"/>
        <w:rPr>
          <w:rFonts w:hint="default" w:ascii="Times New Roman" w:hAnsi="Times New Roman" w:eastAsia="黑体" w:cs="Times New Roman"/>
          <w:bCs/>
          <w:color w:val="000000" w:themeColor="text1"/>
          <w:kern w:val="2"/>
          <w:highlight w:val="none"/>
          <w:lang w:eastAsia="zh-CN"/>
          <w14:textFill>
            <w14:solidFill>
              <w14:schemeClr w14:val="tx1"/>
            </w14:solidFill>
          </w14:textFill>
        </w:rPr>
      </w:pPr>
      <w:r>
        <w:rPr>
          <w:rFonts w:hint="default" w:ascii="Times New Roman" w:hAnsi="Times New Roman" w:eastAsia="黑体" w:cs="Times New Roman"/>
          <w:bCs/>
          <w:color w:val="000000" w:themeColor="text1"/>
          <w:kern w:val="2"/>
          <w:highlight w:val="none"/>
          <w:lang w:eastAsia="zh-CN"/>
          <w14:textFill>
            <w14:solidFill>
              <w14:schemeClr w14:val="tx1"/>
            </w14:solidFill>
          </w14:textFill>
        </w:rPr>
        <w:t>2、模型概化及参数选取</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（1）模型概化</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含有污染物的废水将以入渗的方式进入含水层，从保守角度，本次计算忽略污染物在包气带的运移过程。建设场地地下水流向呈一维流动，地下水位动态稳定，因此污染物在浅层含水层中的迁移，可概化为瞬时注入示踪剂（平面瞬时点源）的一维稳定流动二维水动力弥散问题。本次评价采用《环境影响评价技术导则—地下水》（HJ610-2016）中的地下水一维稳定流二维水动力弥散瞬时注入模式，采用解析法进行估算。</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drawing>
          <wp:inline distT="0" distB="0" distL="0" distR="0">
            <wp:extent cx="2826385" cy="7245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826385" cy="724535"/>
                    </a:xfrm>
                    <a:prstGeom prst="rect">
                      <a:avLst/>
                    </a:prstGeom>
                    <a:noFill/>
                    <a:ln>
                      <a:noFill/>
                    </a:ln>
                  </pic:spPr>
                </pic:pic>
              </a:graphicData>
            </a:graphic>
          </wp:inline>
        </w:drawing>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式中：</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x，y—计算点处的位置坐标；</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t—时间，d；</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C（x，y，t）—t时刻点x，y处的示踪剂浓度，g/L；</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M—含水层的厚度，m；</w:t>
      </w:r>
    </w:p>
    <w:p>
      <w:pPr>
        <w:ind w:firstLine="480"/>
        <w:rPr>
          <w:rFonts w:cs="Times New Roman"/>
          <w:color w:val="000000" w:themeColor="text1"/>
          <w:szCs w:val="24"/>
          <w:highlight w:val="none"/>
          <w14:textFill>
            <w14:solidFill>
              <w14:schemeClr w14:val="tx1"/>
            </w14:solidFill>
          </w14:textFill>
        </w:rPr>
      </w:pPr>
      <m:oMath>
        <m:sSub>
          <m:sSubPr>
            <m:ctrlPr>
              <w:rPr>
                <w:rFonts w:ascii="Cambria Math" w:hAnsi="Cambria Math" w:cs="Times New Roman"/>
                <w:i/>
                <w:snapToGrid w:val="0"/>
                <w:color w:val="000000" w:themeColor="text1"/>
                <w:szCs w:val="24"/>
                <w:highlight w:val="none"/>
                <w14:textFill>
                  <w14:solidFill>
                    <w14:schemeClr w14:val="tx1"/>
                  </w14:solidFill>
                </w14:textFill>
              </w:rPr>
            </m:ctrlPr>
          </m:sSubPr>
          <m:e>
            <m:r>
              <m:rPr/>
              <w:rPr>
                <w:rFonts w:ascii="Cambria Math" w:hAnsi="Cambria Math" w:cs="Times New Roman"/>
                <w:snapToGrid w:val="0"/>
                <w:color w:val="000000" w:themeColor="text1"/>
                <w:szCs w:val="24"/>
                <w:highlight w:val="none"/>
                <w14:textFill>
                  <w14:solidFill>
                    <w14:schemeClr w14:val="tx1"/>
                  </w14:solidFill>
                </w14:textFill>
              </w:rPr>
              <m:t>m</m:t>
            </m:r>
            <m:ctrlPr>
              <w:rPr>
                <w:rFonts w:ascii="Cambria Math" w:hAnsi="Cambria Math" w:cs="Times New Roman"/>
                <w:i/>
                <w:snapToGrid w:val="0"/>
                <w:color w:val="000000" w:themeColor="text1"/>
                <w:szCs w:val="24"/>
                <w:highlight w:val="none"/>
                <w14:textFill>
                  <w14:solidFill>
                    <w14:schemeClr w14:val="tx1"/>
                  </w14:solidFill>
                </w14:textFill>
              </w:rPr>
            </m:ctrlPr>
          </m:e>
          <m:sub>
            <m:r>
              <m:rPr/>
              <w:rPr>
                <w:rFonts w:ascii="Cambria Math" w:hAnsi="Cambria Math" w:cs="Times New Roman"/>
                <w:snapToGrid w:val="0"/>
                <w:color w:val="000000" w:themeColor="text1"/>
                <w:szCs w:val="24"/>
                <w:highlight w:val="none"/>
                <w14:textFill>
                  <w14:solidFill>
                    <w14:schemeClr w14:val="tx1"/>
                  </w14:solidFill>
                </w14:textFill>
              </w:rPr>
              <m:t>M</m:t>
            </m:r>
            <m:ctrlPr>
              <w:rPr>
                <w:rFonts w:ascii="Cambria Math" w:hAnsi="Cambria Math" w:cs="Times New Roman"/>
                <w:i/>
                <w:snapToGrid w:val="0"/>
                <w:color w:val="000000" w:themeColor="text1"/>
                <w:szCs w:val="24"/>
                <w:highlight w:val="none"/>
                <w14:textFill>
                  <w14:solidFill>
                    <w14:schemeClr w14:val="tx1"/>
                  </w14:solidFill>
                </w14:textFill>
              </w:rPr>
            </m:ctrlPr>
          </m:sub>
        </m:sSub>
      </m:oMath>
      <w:r>
        <w:rPr>
          <w:rFonts w:cs="Times New Roman"/>
          <w:color w:val="000000" w:themeColor="text1"/>
          <w:szCs w:val="24"/>
          <w:highlight w:val="none"/>
          <w14:textFill>
            <w14:solidFill>
              <w14:schemeClr w14:val="tx1"/>
            </w14:solidFill>
          </w14:textFill>
        </w:rPr>
        <w:t>—瞬时注入示踪剂的质量，kg；</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u—水流速度，m/d；</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n—有效孔隙度，无量纲；</w:t>
      </w:r>
    </w:p>
    <w:p>
      <w:pPr>
        <w:ind w:firstLine="480"/>
        <w:rPr>
          <w:rFonts w:cs="Times New Roman"/>
          <w:color w:val="000000" w:themeColor="text1"/>
          <w:szCs w:val="24"/>
          <w:highlight w:val="none"/>
          <w14:textFill>
            <w14:solidFill>
              <w14:schemeClr w14:val="tx1"/>
            </w14:solidFill>
          </w14:textFill>
        </w:rPr>
      </w:pPr>
      <m:oMath>
        <m:sSub>
          <m:sSubPr>
            <m:ctrlPr>
              <w:rPr>
                <w:rFonts w:ascii="Cambria Math" w:hAnsi="Cambria Math" w:cs="Times New Roman"/>
                <w:i/>
                <w:snapToGrid w:val="0"/>
                <w:color w:val="000000" w:themeColor="text1"/>
                <w:szCs w:val="24"/>
                <w:highlight w:val="none"/>
                <w14:textFill>
                  <w14:solidFill>
                    <w14:schemeClr w14:val="tx1"/>
                  </w14:solidFill>
                </w14:textFill>
              </w:rPr>
            </m:ctrlPr>
          </m:sSubPr>
          <m:e>
            <m:r>
              <m:rPr/>
              <w:rPr>
                <w:rFonts w:ascii="Cambria Math" w:hAnsi="Cambria Math" w:cs="Times New Roman"/>
                <w:snapToGrid w:val="0"/>
                <w:color w:val="000000" w:themeColor="text1"/>
                <w:szCs w:val="24"/>
                <w:highlight w:val="none"/>
                <w14:textFill>
                  <w14:solidFill>
                    <w14:schemeClr w14:val="tx1"/>
                  </w14:solidFill>
                </w14:textFill>
              </w:rPr>
              <m:t>D</m:t>
            </m:r>
            <m:ctrlPr>
              <w:rPr>
                <w:rFonts w:ascii="Cambria Math" w:hAnsi="Cambria Math" w:cs="Times New Roman"/>
                <w:i/>
                <w:snapToGrid w:val="0"/>
                <w:color w:val="000000" w:themeColor="text1"/>
                <w:szCs w:val="24"/>
                <w:highlight w:val="none"/>
                <w14:textFill>
                  <w14:solidFill>
                    <w14:schemeClr w14:val="tx1"/>
                  </w14:solidFill>
                </w14:textFill>
              </w:rPr>
            </m:ctrlPr>
          </m:e>
          <m:sub>
            <m:r>
              <m:rPr/>
              <w:rPr>
                <w:rFonts w:ascii="Cambria Math" w:hAnsi="Cambria Math" w:cs="Times New Roman"/>
                <w:snapToGrid w:val="0"/>
                <w:color w:val="000000" w:themeColor="text1"/>
                <w:szCs w:val="24"/>
                <w:highlight w:val="none"/>
                <w14:textFill>
                  <w14:solidFill>
                    <w14:schemeClr w14:val="tx1"/>
                  </w14:solidFill>
                </w14:textFill>
              </w:rPr>
              <m:t>L</m:t>
            </m:r>
            <m:ctrlPr>
              <w:rPr>
                <w:rFonts w:ascii="Cambria Math" w:hAnsi="Cambria Math" w:cs="Times New Roman"/>
                <w:i/>
                <w:snapToGrid w:val="0"/>
                <w:color w:val="000000" w:themeColor="text1"/>
                <w:szCs w:val="24"/>
                <w:highlight w:val="none"/>
                <w14:textFill>
                  <w14:solidFill>
                    <w14:schemeClr w14:val="tx1"/>
                  </w14:solidFill>
                </w14:textFill>
              </w:rPr>
            </m:ctrlPr>
          </m:sub>
        </m:sSub>
      </m:oMath>
      <w:r>
        <w:rPr>
          <w:rFonts w:cs="Times New Roman"/>
          <w:color w:val="000000" w:themeColor="text1"/>
          <w:szCs w:val="24"/>
          <w:highlight w:val="none"/>
          <w14:textFill>
            <w14:solidFill>
              <w14:schemeClr w14:val="tx1"/>
            </w14:solidFill>
          </w14:textFill>
        </w:rPr>
        <w:t>—纵向弥散系数，m</w:t>
      </w:r>
      <w:r>
        <w:rPr>
          <w:rFonts w:cs="Times New Roman"/>
          <w:color w:val="000000" w:themeColor="text1"/>
          <w:szCs w:val="24"/>
          <w:highlight w:val="none"/>
          <w:vertAlign w:val="superscript"/>
          <w14:textFill>
            <w14:solidFill>
              <w14:schemeClr w14:val="tx1"/>
            </w14:solidFill>
          </w14:textFill>
        </w:rPr>
        <w:t>2</w:t>
      </w:r>
      <w:r>
        <w:rPr>
          <w:rFonts w:cs="Times New Roman"/>
          <w:color w:val="000000" w:themeColor="text1"/>
          <w:szCs w:val="24"/>
          <w:highlight w:val="none"/>
          <w14:textFill>
            <w14:solidFill>
              <w14:schemeClr w14:val="tx1"/>
            </w14:solidFill>
          </w14:textFill>
        </w:rPr>
        <w:t>/d；</w:t>
      </w:r>
    </w:p>
    <w:p>
      <w:pPr>
        <w:ind w:firstLine="480"/>
        <w:rPr>
          <w:rFonts w:cs="Times New Roman"/>
          <w:color w:val="000000" w:themeColor="text1"/>
          <w:szCs w:val="24"/>
          <w:highlight w:val="none"/>
          <w14:textFill>
            <w14:solidFill>
              <w14:schemeClr w14:val="tx1"/>
            </w14:solidFill>
          </w14:textFill>
        </w:rPr>
      </w:pPr>
      <m:oMath>
        <m:sSub>
          <m:sSubPr>
            <m:ctrlPr>
              <w:rPr>
                <w:rFonts w:ascii="Cambria Math" w:hAnsi="Cambria Math" w:cs="Times New Roman"/>
                <w:i/>
                <w:snapToGrid w:val="0"/>
                <w:color w:val="000000" w:themeColor="text1"/>
                <w:szCs w:val="24"/>
                <w:highlight w:val="none"/>
                <w14:textFill>
                  <w14:solidFill>
                    <w14:schemeClr w14:val="tx1"/>
                  </w14:solidFill>
                </w14:textFill>
              </w:rPr>
            </m:ctrlPr>
          </m:sSubPr>
          <m:e>
            <m:r>
              <m:rPr/>
              <w:rPr>
                <w:rFonts w:ascii="Cambria Math" w:hAnsi="Cambria Math" w:cs="Times New Roman"/>
                <w:snapToGrid w:val="0"/>
                <w:color w:val="000000" w:themeColor="text1"/>
                <w:szCs w:val="24"/>
                <w:highlight w:val="none"/>
                <w14:textFill>
                  <w14:solidFill>
                    <w14:schemeClr w14:val="tx1"/>
                  </w14:solidFill>
                </w14:textFill>
              </w:rPr>
              <m:t>D</m:t>
            </m:r>
            <m:ctrlPr>
              <w:rPr>
                <w:rFonts w:ascii="Cambria Math" w:hAnsi="Cambria Math" w:cs="Times New Roman"/>
                <w:i/>
                <w:snapToGrid w:val="0"/>
                <w:color w:val="000000" w:themeColor="text1"/>
                <w:szCs w:val="24"/>
                <w:highlight w:val="none"/>
                <w14:textFill>
                  <w14:solidFill>
                    <w14:schemeClr w14:val="tx1"/>
                  </w14:solidFill>
                </w14:textFill>
              </w:rPr>
            </m:ctrlPr>
          </m:e>
          <m:sub>
            <m:r>
              <m:rPr/>
              <w:rPr>
                <w:rFonts w:ascii="Cambria Math" w:hAnsi="Cambria Math" w:cs="Times New Roman"/>
                <w:snapToGrid w:val="0"/>
                <w:color w:val="000000" w:themeColor="text1"/>
                <w:szCs w:val="24"/>
                <w:highlight w:val="none"/>
                <w14:textFill>
                  <w14:solidFill>
                    <w14:schemeClr w14:val="tx1"/>
                  </w14:solidFill>
                </w14:textFill>
              </w:rPr>
              <m:t>T</m:t>
            </m:r>
            <m:ctrlPr>
              <w:rPr>
                <w:rFonts w:ascii="Cambria Math" w:hAnsi="Cambria Math" w:cs="Times New Roman"/>
                <w:i/>
                <w:snapToGrid w:val="0"/>
                <w:color w:val="000000" w:themeColor="text1"/>
                <w:szCs w:val="24"/>
                <w:highlight w:val="none"/>
                <w14:textFill>
                  <w14:solidFill>
                    <w14:schemeClr w14:val="tx1"/>
                  </w14:solidFill>
                </w14:textFill>
              </w:rPr>
            </m:ctrlPr>
          </m:sub>
        </m:sSub>
      </m:oMath>
      <w:r>
        <w:rPr>
          <w:rFonts w:cs="Times New Roman"/>
          <w:color w:val="000000" w:themeColor="text1"/>
          <w:szCs w:val="24"/>
          <w:highlight w:val="none"/>
          <w14:textFill>
            <w14:solidFill>
              <w14:schemeClr w14:val="tx1"/>
            </w14:solidFill>
          </w14:textFill>
        </w:rPr>
        <w:t>—横向y方向的弥散系数，m</w:t>
      </w:r>
      <w:r>
        <w:rPr>
          <w:rFonts w:cs="Times New Roman"/>
          <w:color w:val="000000" w:themeColor="text1"/>
          <w:szCs w:val="24"/>
          <w:highlight w:val="none"/>
          <w:vertAlign w:val="superscript"/>
          <w14:textFill>
            <w14:solidFill>
              <w14:schemeClr w14:val="tx1"/>
            </w14:solidFill>
          </w14:textFill>
        </w:rPr>
        <w:t>2</w:t>
      </w:r>
      <w:r>
        <w:rPr>
          <w:rFonts w:cs="Times New Roman"/>
          <w:color w:val="000000" w:themeColor="text1"/>
          <w:szCs w:val="24"/>
          <w:highlight w:val="none"/>
          <w14:textFill>
            <w14:solidFill>
              <w14:schemeClr w14:val="tx1"/>
            </w14:solidFill>
          </w14:textFill>
        </w:rPr>
        <w:t>/d；</w:t>
      </w:r>
    </w:p>
    <w:p>
      <w:pPr>
        <w:ind w:firstLine="480"/>
        <w:rPr>
          <w:rFonts w:cs="Times New Roman"/>
          <w:color w:val="000000" w:themeColor="text1"/>
          <w:szCs w:val="24"/>
          <w:highlight w:val="none"/>
          <w14:textFill>
            <w14:solidFill>
              <w14:schemeClr w14:val="tx1"/>
            </w14:solidFill>
          </w14:textFill>
        </w:rPr>
      </w:pPr>
      <m:oMath>
        <m:r>
          <m:rPr/>
          <w:rPr>
            <w:rFonts w:ascii="Cambria Math" w:hAnsi="Cambria Math" w:cs="Times New Roman"/>
            <w:snapToGrid w:val="0"/>
            <w:color w:val="000000" w:themeColor="text1"/>
            <w:szCs w:val="24"/>
            <w:highlight w:val="none"/>
            <w14:textFill>
              <w14:solidFill>
                <w14:schemeClr w14:val="tx1"/>
              </w14:solidFill>
            </w14:textFill>
          </w:rPr>
          <m:t>π</m:t>
        </m:r>
      </m:oMath>
      <w:r>
        <w:rPr>
          <w:rFonts w:cs="Times New Roman"/>
          <w:color w:val="000000" w:themeColor="text1"/>
          <w:szCs w:val="24"/>
          <w:highlight w:val="none"/>
          <w14:textFill>
            <w14:solidFill>
              <w14:schemeClr w14:val="tx1"/>
            </w14:solidFill>
          </w14:textFill>
        </w:rPr>
        <w:t>—圆周率。</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将本次预测所用模型转换形式后可得：</w:t>
      </w:r>
    </w:p>
    <w:p>
      <w:pPr>
        <w:ind w:firstLine="480"/>
        <w:rPr>
          <w:rFonts w:cs="Times New Roman"/>
          <w:color w:val="000000" w:themeColor="text1"/>
          <w:szCs w:val="24"/>
          <w:highlight w:val="none"/>
          <w14:textFill>
            <w14:solidFill>
              <w14:schemeClr w14:val="tx1"/>
            </w14:solidFill>
          </w14:textFill>
        </w:rPr>
      </w:pPr>
      <m:oMathPara>
        <m:oMath>
          <m:f>
            <m:fPr>
              <m:ctrlPr>
                <w:rPr>
                  <w:rFonts w:ascii="Cambria Math" w:hAnsi="Cambria Math" w:cs="Times New Roman"/>
                  <w:i/>
                  <w:color w:val="000000" w:themeColor="text1"/>
                  <w:szCs w:val="24"/>
                  <w:highlight w:val="none"/>
                  <w14:textFill>
                    <w14:solidFill>
                      <w14:schemeClr w14:val="tx1"/>
                    </w14:solidFill>
                  </w14:textFill>
                </w:rPr>
              </m:ctrlPr>
            </m:fPr>
            <m:num>
              <m:sSup>
                <m:sSupPr>
                  <m:ctrlPr>
                    <w:rPr>
                      <w:rFonts w:ascii="Cambria Math" w:hAnsi="Cambria Math" w:cs="Times New Roman"/>
                      <w:i/>
                      <w:color w:val="000000" w:themeColor="text1"/>
                      <w:szCs w:val="24"/>
                      <w:highlight w:val="none"/>
                      <w14:textFill>
                        <w14:solidFill>
                          <w14:schemeClr w14:val="tx1"/>
                        </w14:solidFill>
                      </w14:textFill>
                    </w:rPr>
                  </m:ctrlPr>
                </m:sSupPr>
                <m:e>
                  <m:r>
                    <m:rPr/>
                    <w:rPr>
                      <w:rFonts w:ascii="Cambria Math" w:hAnsi="Cambria Math" w:cs="Times New Roman"/>
                      <w:color w:val="000000" w:themeColor="text1"/>
                      <w:szCs w:val="24"/>
                      <w:highlight w:val="none"/>
                      <w14:textFill>
                        <w14:solidFill>
                          <w14:schemeClr w14:val="tx1"/>
                        </w14:solidFill>
                      </w14:textFill>
                    </w:rPr>
                    <m:t>（x−ut）</m:t>
                  </m:r>
                  <m:ctrlPr>
                    <w:rPr>
                      <w:rFonts w:ascii="Cambria Math" w:hAnsi="Cambria Math" w:cs="Times New Roman"/>
                      <w:i/>
                      <w:color w:val="000000" w:themeColor="text1"/>
                      <w:szCs w:val="24"/>
                      <w:highlight w:val="none"/>
                      <w14:textFill>
                        <w14:solidFill>
                          <w14:schemeClr w14:val="tx1"/>
                        </w14:solidFill>
                      </w14:textFill>
                    </w:rPr>
                  </m:ctrlPr>
                </m:e>
                <m:sup>
                  <m:r>
                    <m:rPr/>
                    <w:rPr>
                      <w:rFonts w:ascii="Cambria Math" w:hAnsi="Cambria Math" w:cs="Times New Roman"/>
                      <w:color w:val="000000" w:themeColor="text1"/>
                      <w:szCs w:val="24"/>
                      <w:highlight w:val="none"/>
                      <w14:textFill>
                        <w14:solidFill>
                          <w14:schemeClr w14:val="tx1"/>
                        </w14:solidFill>
                      </w14:textFill>
                    </w:rPr>
                    <m:t>2</m:t>
                  </m:r>
                  <m:ctrlPr>
                    <w:rPr>
                      <w:rFonts w:ascii="Cambria Math" w:hAnsi="Cambria Math" w:cs="Times New Roman"/>
                      <w:i/>
                      <w:color w:val="000000" w:themeColor="text1"/>
                      <w:szCs w:val="24"/>
                      <w:highlight w:val="none"/>
                      <w14:textFill>
                        <w14:solidFill>
                          <w14:schemeClr w14:val="tx1"/>
                        </w14:solidFill>
                      </w14:textFill>
                    </w:rPr>
                  </m:ctrlPr>
                </m:sup>
              </m:sSup>
              <m:ctrlPr>
                <w:rPr>
                  <w:rFonts w:ascii="Cambria Math" w:hAnsi="Cambria Math" w:cs="Times New Roman"/>
                  <w:i/>
                  <w:color w:val="000000" w:themeColor="text1"/>
                  <w:szCs w:val="24"/>
                  <w:highlight w:val="none"/>
                  <w14:textFill>
                    <w14:solidFill>
                      <w14:schemeClr w14:val="tx1"/>
                    </w14:solidFill>
                  </w14:textFill>
                </w:rPr>
              </m:ctrlPr>
            </m:num>
            <m:den>
              <m:r>
                <m:rPr/>
                <w:rPr>
                  <w:rFonts w:ascii="Cambria Math" w:hAnsi="Cambria Math" w:cs="Times New Roman"/>
                  <w:color w:val="000000" w:themeColor="text1"/>
                  <w:szCs w:val="24"/>
                  <w:highlight w:val="none"/>
                  <w14:textFill>
                    <w14:solidFill>
                      <w14:schemeClr w14:val="tx1"/>
                    </w14:solidFill>
                  </w14:textFill>
                </w:rPr>
                <m:t>4</m:t>
              </m:r>
              <m:sSub>
                <m:sSubPr>
                  <m:ctrlPr>
                    <w:rPr>
                      <w:rFonts w:ascii="Cambria Math" w:hAnsi="Cambria Math" w:cs="Times New Roman"/>
                      <w:i/>
                      <w:color w:val="000000" w:themeColor="text1"/>
                      <w:szCs w:val="24"/>
                      <w:highlight w:val="none"/>
                      <w14:textFill>
                        <w14:solidFill>
                          <w14:schemeClr w14:val="tx1"/>
                        </w14:solidFill>
                      </w14:textFill>
                    </w:rPr>
                  </m:ctrlPr>
                </m:sSubPr>
                <m:e>
                  <m:r>
                    <m:rPr/>
                    <w:rPr>
                      <w:rFonts w:ascii="Cambria Math" w:hAnsi="Cambria Math" w:cs="Times New Roman"/>
                      <w:color w:val="000000" w:themeColor="text1"/>
                      <w:szCs w:val="24"/>
                      <w:highlight w:val="none"/>
                      <w14:textFill>
                        <w14:solidFill>
                          <w14:schemeClr w14:val="tx1"/>
                        </w14:solidFill>
                      </w14:textFill>
                    </w:rPr>
                    <m:t>D</m:t>
                  </m:r>
                  <m:ctrlPr>
                    <w:rPr>
                      <w:rFonts w:ascii="Cambria Math" w:hAnsi="Cambria Math" w:cs="Times New Roman"/>
                      <w:i/>
                      <w:color w:val="000000" w:themeColor="text1"/>
                      <w:szCs w:val="24"/>
                      <w:highlight w:val="none"/>
                      <w14:textFill>
                        <w14:solidFill>
                          <w14:schemeClr w14:val="tx1"/>
                        </w14:solidFill>
                      </w14:textFill>
                    </w:rPr>
                  </m:ctrlPr>
                </m:e>
                <m:sub>
                  <m:r>
                    <m:rPr/>
                    <w:rPr>
                      <w:rFonts w:ascii="Cambria Math" w:hAnsi="Cambria Math" w:cs="Times New Roman"/>
                      <w:color w:val="000000" w:themeColor="text1"/>
                      <w:szCs w:val="24"/>
                      <w:highlight w:val="none"/>
                      <w14:textFill>
                        <w14:solidFill>
                          <w14:schemeClr w14:val="tx1"/>
                        </w14:solidFill>
                      </w14:textFill>
                    </w:rPr>
                    <m:t>L</m:t>
                  </m:r>
                  <m:ctrlPr>
                    <w:rPr>
                      <w:rFonts w:ascii="Cambria Math" w:hAnsi="Cambria Math" w:cs="Times New Roman"/>
                      <w:i/>
                      <w:color w:val="000000" w:themeColor="text1"/>
                      <w:szCs w:val="24"/>
                      <w:highlight w:val="none"/>
                      <w14:textFill>
                        <w14:solidFill>
                          <w14:schemeClr w14:val="tx1"/>
                        </w14:solidFill>
                      </w14:textFill>
                    </w:rPr>
                  </m:ctrlPr>
                </m:sub>
              </m:sSub>
              <m:r>
                <m:rPr/>
                <w:rPr>
                  <w:rFonts w:ascii="Cambria Math" w:hAnsi="Cambria Math" w:cs="Times New Roman"/>
                  <w:color w:val="000000" w:themeColor="text1"/>
                  <w:szCs w:val="24"/>
                  <w:highlight w:val="none"/>
                  <w14:textFill>
                    <w14:solidFill>
                      <w14:schemeClr w14:val="tx1"/>
                    </w14:solidFill>
                  </w14:textFill>
                </w:rPr>
                <m:t>t</m:t>
              </m:r>
              <m:ctrlPr>
                <w:rPr>
                  <w:rFonts w:ascii="Cambria Math" w:hAnsi="Cambria Math" w:cs="Times New Roman"/>
                  <w:i/>
                  <w:color w:val="000000" w:themeColor="text1"/>
                  <w:szCs w:val="24"/>
                  <w:highlight w:val="none"/>
                  <w14:textFill>
                    <w14:solidFill>
                      <w14:schemeClr w14:val="tx1"/>
                    </w14:solidFill>
                  </w14:textFill>
                </w:rPr>
              </m:ctrlPr>
            </m:den>
          </m:f>
          <m:r>
            <m:rPr/>
            <w:rPr>
              <w:rFonts w:ascii="Cambria Math" w:hAnsi="Cambria Math" w:cs="Times New Roman"/>
              <w:color w:val="000000" w:themeColor="text1"/>
              <w:szCs w:val="24"/>
              <w:highlight w:val="none"/>
              <w14:textFill>
                <w14:solidFill>
                  <w14:schemeClr w14:val="tx1"/>
                </w14:solidFill>
              </w14:textFill>
            </w:rPr>
            <m:t>+</m:t>
          </m:r>
          <m:f>
            <m:fPr>
              <m:ctrlPr>
                <w:rPr>
                  <w:rFonts w:ascii="Cambria Math" w:hAnsi="Cambria Math" w:cs="Times New Roman"/>
                  <w:i/>
                  <w:color w:val="000000" w:themeColor="text1"/>
                  <w:szCs w:val="24"/>
                  <w:highlight w:val="none"/>
                  <w14:textFill>
                    <w14:solidFill>
                      <w14:schemeClr w14:val="tx1"/>
                    </w14:solidFill>
                  </w14:textFill>
                </w:rPr>
              </m:ctrlPr>
            </m:fPr>
            <m:num>
              <m:sSup>
                <m:sSupPr>
                  <m:ctrlPr>
                    <w:rPr>
                      <w:rFonts w:ascii="Cambria Math" w:hAnsi="Cambria Math" w:cs="Times New Roman"/>
                      <w:i/>
                      <w:color w:val="000000" w:themeColor="text1"/>
                      <w:szCs w:val="24"/>
                      <w:highlight w:val="none"/>
                      <w14:textFill>
                        <w14:solidFill>
                          <w14:schemeClr w14:val="tx1"/>
                        </w14:solidFill>
                      </w14:textFill>
                    </w:rPr>
                  </m:ctrlPr>
                </m:sSupPr>
                <m:e>
                  <m:r>
                    <m:rPr/>
                    <w:rPr>
                      <w:rFonts w:ascii="Cambria Math" w:hAnsi="Cambria Math" w:cs="Times New Roman"/>
                      <w:color w:val="000000" w:themeColor="text1"/>
                      <w:szCs w:val="24"/>
                      <w:highlight w:val="none"/>
                      <w14:textFill>
                        <w14:solidFill>
                          <w14:schemeClr w14:val="tx1"/>
                        </w14:solidFill>
                      </w14:textFill>
                    </w:rPr>
                    <m:t>y</m:t>
                  </m:r>
                  <m:ctrlPr>
                    <w:rPr>
                      <w:rFonts w:ascii="Cambria Math" w:hAnsi="Cambria Math" w:cs="Times New Roman"/>
                      <w:i/>
                      <w:color w:val="000000" w:themeColor="text1"/>
                      <w:szCs w:val="24"/>
                      <w:highlight w:val="none"/>
                      <w14:textFill>
                        <w14:solidFill>
                          <w14:schemeClr w14:val="tx1"/>
                        </w14:solidFill>
                      </w14:textFill>
                    </w:rPr>
                  </m:ctrlPr>
                </m:e>
                <m:sup>
                  <m:r>
                    <m:rPr/>
                    <w:rPr>
                      <w:rFonts w:ascii="Cambria Math" w:hAnsi="Cambria Math" w:cs="Times New Roman"/>
                      <w:color w:val="000000" w:themeColor="text1"/>
                      <w:szCs w:val="24"/>
                      <w:highlight w:val="none"/>
                      <w14:textFill>
                        <w14:solidFill>
                          <w14:schemeClr w14:val="tx1"/>
                        </w14:solidFill>
                      </w14:textFill>
                    </w:rPr>
                    <m:t>2</m:t>
                  </m:r>
                  <m:ctrlPr>
                    <w:rPr>
                      <w:rFonts w:ascii="Cambria Math" w:hAnsi="Cambria Math" w:cs="Times New Roman"/>
                      <w:i/>
                      <w:color w:val="000000" w:themeColor="text1"/>
                      <w:szCs w:val="24"/>
                      <w:highlight w:val="none"/>
                      <w14:textFill>
                        <w14:solidFill>
                          <w14:schemeClr w14:val="tx1"/>
                        </w14:solidFill>
                      </w14:textFill>
                    </w:rPr>
                  </m:ctrlPr>
                </m:sup>
              </m:sSup>
              <m:ctrlPr>
                <w:rPr>
                  <w:rFonts w:ascii="Cambria Math" w:hAnsi="Cambria Math" w:cs="Times New Roman"/>
                  <w:i/>
                  <w:color w:val="000000" w:themeColor="text1"/>
                  <w:szCs w:val="24"/>
                  <w:highlight w:val="none"/>
                  <w14:textFill>
                    <w14:solidFill>
                      <w14:schemeClr w14:val="tx1"/>
                    </w14:solidFill>
                  </w14:textFill>
                </w:rPr>
              </m:ctrlPr>
            </m:num>
            <m:den>
              <m:r>
                <m:rPr/>
                <w:rPr>
                  <w:rFonts w:ascii="Cambria Math" w:hAnsi="Cambria Math" w:cs="Times New Roman"/>
                  <w:color w:val="000000" w:themeColor="text1"/>
                  <w:szCs w:val="24"/>
                  <w:highlight w:val="none"/>
                  <w14:textFill>
                    <w14:solidFill>
                      <w14:schemeClr w14:val="tx1"/>
                    </w14:solidFill>
                  </w14:textFill>
                </w:rPr>
                <m:t>4</m:t>
              </m:r>
              <m:sSub>
                <m:sSubPr>
                  <m:ctrlPr>
                    <w:rPr>
                      <w:rFonts w:ascii="Cambria Math" w:hAnsi="Cambria Math" w:cs="Times New Roman"/>
                      <w:i/>
                      <w:color w:val="000000" w:themeColor="text1"/>
                      <w:szCs w:val="24"/>
                      <w:highlight w:val="none"/>
                      <w14:textFill>
                        <w14:solidFill>
                          <w14:schemeClr w14:val="tx1"/>
                        </w14:solidFill>
                      </w14:textFill>
                    </w:rPr>
                  </m:ctrlPr>
                </m:sSubPr>
                <m:e>
                  <m:r>
                    <m:rPr/>
                    <w:rPr>
                      <w:rFonts w:ascii="Cambria Math" w:hAnsi="Cambria Math" w:cs="Times New Roman"/>
                      <w:color w:val="000000" w:themeColor="text1"/>
                      <w:szCs w:val="24"/>
                      <w:highlight w:val="none"/>
                      <w14:textFill>
                        <w14:solidFill>
                          <w14:schemeClr w14:val="tx1"/>
                        </w14:solidFill>
                      </w14:textFill>
                    </w:rPr>
                    <m:t>D</m:t>
                  </m:r>
                  <m:ctrlPr>
                    <w:rPr>
                      <w:rFonts w:ascii="Cambria Math" w:hAnsi="Cambria Math" w:cs="Times New Roman"/>
                      <w:i/>
                      <w:color w:val="000000" w:themeColor="text1"/>
                      <w:szCs w:val="24"/>
                      <w:highlight w:val="none"/>
                      <w14:textFill>
                        <w14:solidFill>
                          <w14:schemeClr w14:val="tx1"/>
                        </w14:solidFill>
                      </w14:textFill>
                    </w:rPr>
                  </m:ctrlPr>
                </m:e>
                <m:sub>
                  <m:r>
                    <m:rPr/>
                    <w:rPr>
                      <w:rFonts w:ascii="Cambria Math" w:hAnsi="Cambria Math" w:cs="Times New Roman"/>
                      <w:color w:val="000000" w:themeColor="text1"/>
                      <w:szCs w:val="24"/>
                      <w:highlight w:val="none"/>
                      <w14:textFill>
                        <w14:solidFill>
                          <w14:schemeClr w14:val="tx1"/>
                        </w14:solidFill>
                      </w14:textFill>
                    </w:rPr>
                    <m:t>T</m:t>
                  </m:r>
                  <m:ctrlPr>
                    <w:rPr>
                      <w:rFonts w:ascii="Cambria Math" w:hAnsi="Cambria Math" w:cs="Times New Roman"/>
                      <w:i/>
                      <w:color w:val="000000" w:themeColor="text1"/>
                      <w:szCs w:val="24"/>
                      <w:highlight w:val="none"/>
                      <w14:textFill>
                        <w14:solidFill>
                          <w14:schemeClr w14:val="tx1"/>
                        </w14:solidFill>
                      </w14:textFill>
                    </w:rPr>
                  </m:ctrlPr>
                </m:sub>
              </m:sSub>
              <m:r>
                <m:rPr/>
                <w:rPr>
                  <w:rFonts w:ascii="Cambria Math" w:hAnsi="Cambria Math" w:cs="Times New Roman"/>
                  <w:color w:val="000000" w:themeColor="text1"/>
                  <w:szCs w:val="24"/>
                  <w:highlight w:val="none"/>
                  <w14:textFill>
                    <w14:solidFill>
                      <w14:schemeClr w14:val="tx1"/>
                    </w14:solidFill>
                  </w14:textFill>
                </w:rPr>
                <m:t>t</m:t>
              </m:r>
              <m:ctrlPr>
                <w:rPr>
                  <w:rFonts w:ascii="Cambria Math" w:hAnsi="Cambria Math" w:cs="Times New Roman"/>
                  <w:i/>
                  <w:color w:val="000000" w:themeColor="text1"/>
                  <w:szCs w:val="24"/>
                  <w:highlight w:val="none"/>
                  <w14:textFill>
                    <w14:solidFill>
                      <w14:schemeClr w14:val="tx1"/>
                    </w14:solidFill>
                  </w14:textFill>
                </w:rPr>
              </m:ctrlPr>
            </m:den>
          </m:f>
          <m:r>
            <m:rPr/>
            <w:rPr>
              <w:rFonts w:ascii="Cambria Math" w:hAnsi="Cambria Math" w:cs="Times New Roman"/>
              <w:color w:val="000000" w:themeColor="text1"/>
              <w:szCs w:val="24"/>
              <w:highlight w:val="none"/>
              <w14:textFill>
                <w14:solidFill>
                  <w14:schemeClr w14:val="tx1"/>
                </w14:solidFill>
              </w14:textFill>
            </w:rPr>
            <m:t>=</m:t>
          </m:r>
          <m:func>
            <m:funcPr>
              <m:ctrlPr>
                <w:rPr>
                  <w:rFonts w:ascii="Cambria Math" w:hAnsi="Cambria Math" w:cs="Times New Roman"/>
                  <w:i/>
                  <w:color w:val="000000" w:themeColor="text1"/>
                  <w:szCs w:val="24"/>
                  <w:highlight w:val="none"/>
                  <w14:textFill>
                    <w14:solidFill>
                      <w14:schemeClr w14:val="tx1"/>
                    </w14:solidFill>
                  </w14:textFill>
                </w:rPr>
              </m:ctrlPr>
            </m:funcPr>
            <m:fName>
              <m:r>
                <m:rPr>
                  <m:sty m:val="p"/>
                </m:rPr>
                <w:rPr>
                  <w:rFonts w:ascii="Cambria Math" w:hAnsi="Cambria Math" w:cs="Times New Roman"/>
                  <w:color w:val="000000" w:themeColor="text1"/>
                  <w:szCs w:val="24"/>
                  <w:highlight w:val="none"/>
                  <w14:textFill>
                    <w14:solidFill>
                      <w14:schemeClr w14:val="tx1"/>
                    </w14:solidFill>
                  </w14:textFill>
                </w:rPr>
                <m:t>ln</m:t>
              </m:r>
              <m:ctrlPr>
                <w:rPr>
                  <w:rFonts w:ascii="Cambria Math" w:hAnsi="Cambria Math" w:cs="Times New Roman"/>
                  <w:i/>
                  <w:color w:val="000000" w:themeColor="text1"/>
                  <w:szCs w:val="24"/>
                  <w:highlight w:val="none"/>
                  <w14:textFill>
                    <w14:solidFill>
                      <w14:schemeClr w14:val="tx1"/>
                    </w14:solidFill>
                  </w14:textFill>
                </w:rPr>
              </m:ctrlPr>
            </m:fName>
            <m:e>
              <m:d>
                <m:dPr>
                  <m:begChr m:val="["/>
                  <m:endChr m:val="]"/>
                  <m:ctrlPr>
                    <w:rPr>
                      <w:rFonts w:ascii="Cambria Math" w:hAnsi="Cambria Math" w:cs="Times New Roman"/>
                      <w:i/>
                      <w:color w:val="000000" w:themeColor="text1"/>
                      <w:szCs w:val="24"/>
                      <w:highlight w:val="none"/>
                      <w14:textFill>
                        <w14:solidFill>
                          <w14:schemeClr w14:val="tx1"/>
                        </w14:solidFill>
                      </w14:textFill>
                    </w:rPr>
                  </m:ctrlPr>
                </m:dPr>
                <m:e>
                  <m:f>
                    <m:fPr>
                      <m:ctrlPr>
                        <w:rPr>
                          <w:rFonts w:ascii="Cambria Math" w:hAnsi="Cambria Math" w:cs="Times New Roman"/>
                          <w:i/>
                          <w:color w:val="000000" w:themeColor="text1"/>
                          <w:szCs w:val="24"/>
                          <w:highlight w:val="none"/>
                          <w14:textFill>
                            <w14:solidFill>
                              <w14:schemeClr w14:val="tx1"/>
                            </w14:solidFill>
                          </w14:textFill>
                        </w:rPr>
                      </m:ctrlPr>
                    </m:fPr>
                    <m:num>
                      <m:sSub>
                        <m:sSubPr>
                          <m:ctrlPr>
                            <w:rPr>
                              <w:rFonts w:ascii="Cambria Math" w:hAnsi="Cambria Math" w:cs="Times New Roman"/>
                              <w:color w:val="000000" w:themeColor="text1"/>
                              <w:szCs w:val="24"/>
                              <w:highlight w:val="none"/>
                              <w14:textFill>
                                <w14:solidFill>
                                  <w14:schemeClr w14:val="tx1"/>
                                </w14:solidFill>
                              </w14:textFill>
                            </w:rPr>
                          </m:ctrlPr>
                        </m:sSubPr>
                        <m:e>
                          <m:r>
                            <m:rPr>
                              <m:sty m:val="p"/>
                            </m:rPr>
                            <w:rPr>
                              <w:rFonts w:ascii="Cambria Math" w:hAnsi="Cambria Math" w:cs="Times New Roman"/>
                              <w:color w:val="000000" w:themeColor="text1"/>
                              <w:szCs w:val="24"/>
                              <w:highlight w:val="none"/>
                              <w14:textFill>
                                <w14:solidFill>
                                  <w14:schemeClr w14:val="tx1"/>
                                </w14:solidFill>
                              </w14:textFill>
                            </w:rPr>
                            <m:t>m</m:t>
                          </m:r>
                          <m:ctrlPr>
                            <w:rPr>
                              <w:rFonts w:ascii="Cambria Math" w:hAnsi="Cambria Math" w:cs="Times New Roman"/>
                              <w:color w:val="000000" w:themeColor="text1"/>
                              <w:szCs w:val="24"/>
                              <w:highlight w:val="none"/>
                              <w14:textFill>
                                <w14:solidFill>
                                  <w14:schemeClr w14:val="tx1"/>
                                </w14:solidFill>
                              </w14:textFill>
                            </w:rPr>
                          </m:ctrlPr>
                        </m:e>
                        <m:sub>
                          <m:r>
                            <m:rPr/>
                            <w:rPr>
                              <w:rFonts w:ascii="Cambria Math" w:hAnsi="Cambria Math" w:cs="Times New Roman"/>
                              <w:color w:val="000000" w:themeColor="text1"/>
                              <w:szCs w:val="24"/>
                              <w:highlight w:val="none"/>
                              <w14:textFill>
                                <w14:solidFill>
                                  <w14:schemeClr w14:val="tx1"/>
                                </w14:solidFill>
                              </w14:textFill>
                            </w:rPr>
                            <m:t>M</m:t>
                          </m:r>
                          <m:ctrlPr>
                            <w:rPr>
                              <w:rFonts w:ascii="Cambria Math" w:hAnsi="Cambria Math" w:cs="Times New Roman"/>
                              <w:color w:val="000000" w:themeColor="text1"/>
                              <w:szCs w:val="24"/>
                              <w:highlight w:val="none"/>
                              <w14:textFill>
                                <w14:solidFill>
                                  <w14:schemeClr w14:val="tx1"/>
                                </w14:solidFill>
                              </w14:textFill>
                            </w:rPr>
                          </m:ctrlPr>
                        </m:sub>
                      </m:sSub>
                      <m:ctrlPr>
                        <w:rPr>
                          <w:rFonts w:ascii="Cambria Math" w:hAnsi="Cambria Math" w:cs="Times New Roman"/>
                          <w:i/>
                          <w:color w:val="000000" w:themeColor="text1"/>
                          <w:szCs w:val="24"/>
                          <w:highlight w:val="none"/>
                          <w14:textFill>
                            <w14:solidFill>
                              <w14:schemeClr w14:val="tx1"/>
                            </w14:solidFill>
                          </w14:textFill>
                        </w:rPr>
                      </m:ctrlPr>
                    </m:num>
                    <m:den>
                      <m:r>
                        <m:rPr/>
                        <w:rPr>
                          <w:rFonts w:ascii="Cambria Math" w:hAnsi="Cambria Math" w:cs="Times New Roman"/>
                          <w:color w:val="000000" w:themeColor="text1"/>
                          <w:szCs w:val="24"/>
                          <w:highlight w:val="none"/>
                          <w14:textFill>
                            <w14:solidFill>
                              <w14:schemeClr w14:val="tx1"/>
                            </w14:solidFill>
                          </w14:textFill>
                        </w:rPr>
                        <m:t>4πnM</m:t>
                      </m:r>
                      <m:r>
                        <m:rPr>
                          <m:sty m:val="p"/>
                        </m:rPr>
                        <w:rPr>
                          <w:rFonts w:ascii="Cambria Math" w:hAnsi="Cambria Math" w:cs="Times New Roman"/>
                          <w:color w:val="000000" w:themeColor="text1"/>
                          <w:szCs w:val="24"/>
                          <w:highlight w:val="none"/>
                          <w14:textFill>
                            <w14:solidFill>
                              <w14:schemeClr w14:val="tx1"/>
                            </w14:solidFill>
                          </w14:textFill>
                        </w:rPr>
                        <m:t>C</m:t>
                      </m:r>
                      <m:d>
                        <m:dPr>
                          <m:begChr m:val="（"/>
                          <m:endChr m:val="）"/>
                          <m:ctrlPr>
                            <w:rPr>
                              <w:rFonts w:ascii="Cambria Math" w:hAnsi="Cambria Math" w:cs="Times New Roman"/>
                              <w:color w:val="000000" w:themeColor="text1"/>
                              <w:szCs w:val="24"/>
                              <w:highlight w:val="none"/>
                              <w14:textFill>
                                <w14:solidFill>
                                  <w14:schemeClr w14:val="tx1"/>
                                </w14:solidFill>
                              </w14:textFill>
                            </w:rPr>
                          </m:ctrlPr>
                        </m:dPr>
                        <m:e>
                          <m:r>
                            <m:rPr/>
                            <w:rPr>
                              <w:rFonts w:ascii="Cambria Math" w:hAnsi="Cambria Math" w:cs="Times New Roman"/>
                              <w:color w:val="000000" w:themeColor="text1"/>
                              <w:szCs w:val="24"/>
                              <w:highlight w:val="none"/>
                              <w14:textFill>
                                <w14:solidFill>
                                  <w14:schemeClr w14:val="tx1"/>
                                </w14:solidFill>
                              </w14:textFill>
                            </w:rPr>
                            <m:t>x，y，t</m:t>
                          </m:r>
                          <m:ctrlPr>
                            <w:rPr>
                              <w:rFonts w:ascii="Cambria Math" w:hAnsi="Cambria Math" w:cs="Times New Roman"/>
                              <w:color w:val="000000" w:themeColor="text1"/>
                              <w:szCs w:val="24"/>
                              <w:highlight w:val="none"/>
                              <w14:textFill>
                                <w14:solidFill>
                                  <w14:schemeClr w14:val="tx1"/>
                                </w14:solidFill>
                              </w14:textFill>
                            </w:rPr>
                          </m:ctrlPr>
                        </m:e>
                      </m:d>
                      <m:rad>
                        <m:radPr>
                          <m:degHide m:val="1"/>
                          <m:ctrlPr>
                            <w:rPr>
                              <w:rFonts w:ascii="Cambria Math" w:hAnsi="Cambria Math" w:cs="Times New Roman"/>
                              <w:i/>
                              <w:color w:val="000000" w:themeColor="text1"/>
                              <w:szCs w:val="24"/>
                              <w:highlight w:val="none"/>
                              <w14:textFill>
                                <w14:solidFill>
                                  <w14:schemeClr w14:val="tx1"/>
                                </w14:solidFill>
                              </w14:textFill>
                            </w:rPr>
                          </m:ctrlPr>
                        </m:radPr>
                        <m:deg>
                          <m:ctrlPr>
                            <w:rPr>
                              <w:rFonts w:ascii="Cambria Math" w:hAnsi="Cambria Math" w:cs="Times New Roman"/>
                              <w:i/>
                              <w:color w:val="000000" w:themeColor="text1"/>
                              <w:szCs w:val="24"/>
                              <w:highlight w:val="none"/>
                              <w14:textFill>
                                <w14:solidFill>
                                  <w14:schemeClr w14:val="tx1"/>
                                </w14:solidFill>
                              </w14:textFill>
                            </w:rPr>
                          </m:ctrlPr>
                        </m:deg>
                        <m:e>
                          <m:sSub>
                            <m:sSubPr>
                              <m:ctrlPr>
                                <w:rPr>
                                  <w:rFonts w:ascii="Cambria Math" w:hAnsi="Cambria Math" w:cs="Times New Roman"/>
                                  <w:i/>
                                  <w:color w:val="000000" w:themeColor="text1"/>
                                  <w:szCs w:val="24"/>
                                  <w:highlight w:val="none"/>
                                  <w14:textFill>
                                    <w14:solidFill>
                                      <w14:schemeClr w14:val="tx1"/>
                                    </w14:solidFill>
                                  </w14:textFill>
                                </w:rPr>
                              </m:ctrlPr>
                            </m:sSubPr>
                            <m:e>
                              <m:r>
                                <m:rPr/>
                                <w:rPr>
                                  <w:rFonts w:ascii="Cambria Math" w:hAnsi="Cambria Math" w:cs="Times New Roman"/>
                                  <w:color w:val="000000" w:themeColor="text1"/>
                                  <w:szCs w:val="24"/>
                                  <w:highlight w:val="none"/>
                                  <w14:textFill>
                                    <w14:solidFill>
                                      <w14:schemeClr w14:val="tx1"/>
                                    </w14:solidFill>
                                  </w14:textFill>
                                </w:rPr>
                                <m:t>D</m:t>
                              </m:r>
                              <m:ctrlPr>
                                <w:rPr>
                                  <w:rFonts w:ascii="Cambria Math" w:hAnsi="Cambria Math" w:cs="Times New Roman"/>
                                  <w:i/>
                                  <w:color w:val="000000" w:themeColor="text1"/>
                                  <w:szCs w:val="24"/>
                                  <w:highlight w:val="none"/>
                                  <w14:textFill>
                                    <w14:solidFill>
                                      <w14:schemeClr w14:val="tx1"/>
                                    </w14:solidFill>
                                  </w14:textFill>
                                </w:rPr>
                              </m:ctrlPr>
                            </m:e>
                            <m:sub>
                              <m:r>
                                <m:rPr/>
                                <w:rPr>
                                  <w:rFonts w:ascii="Cambria Math" w:hAnsi="Cambria Math" w:cs="Times New Roman"/>
                                  <w:color w:val="000000" w:themeColor="text1"/>
                                  <w:szCs w:val="24"/>
                                  <w:highlight w:val="none"/>
                                  <w14:textFill>
                                    <w14:solidFill>
                                      <w14:schemeClr w14:val="tx1"/>
                                    </w14:solidFill>
                                  </w14:textFill>
                                </w:rPr>
                                <m:t>L</m:t>
                              </m:r>
                              <m:ctrlPr>
                                <w:rPr>
                                  <w:rFonts w:ascii="Cambria Math" w:hAnsi="Cambria Math" w:cs="Times New Roman"/>
                                  <w:i/>
                                  <w:color w:val="000000" w:themeColor="text1"/>
                                  <w:szCs w:val="24"/>
                                  <w:highlight w:val="none"/>
                                  <w14:textFill>
                                    <w14:solidFill>
                                      <w14:schemeClr w14:val="tx1"/>
                                    </w14:solidFill>
                                  </w14:textFill>
                                </w:rPr>
                              </m:ctrlPr>
                            </m:sub>
                          </m:sSub>
                          <m:sSub>
                            <m:sSubPr>
                              <m:ctrlPr>
                                <w:rPr>
                                  <w:rFonts w:ascii="Cambria Math" w:hAnsi="Cambria Math" w:cs="Times New Roman"/>
                                  <w:i/>
                                  <w:color w:val="000000" w:themeColor="text1"/>
                                  <w:szCs w:val="24"/>
                                  <w:highlight w:val="none"/>
                                  <w14:textFill>
                                    <w14:solidFill>
                                      <w14:schemeClr w14:val="tx1"/>
                                    </w14:solidFill>
                                  </w14:textFill>
                                </w:rPr>
                              </m:ctrlPr>
                            </m:sSubPr>
                            <m:e>
                              <m:r>
                                <m:rPr/>
                                <w:rPr>
                                  <w:rFonts w:ascii="Cambria Math" w:hAnsi="Cambria Math" w:cs="Times New Roman"/>
                                  <w:color w:val="000000" w:themeColor="text1"/>
                                  <w:szCs w:val="24"/>
                                  <w:highlight w:val="none"/>
                                  <w14:textFill>
                                    <w14:solidFill>
                                      <w14:schemeClr w14:val="tx1"/>
                                    </w14:solidFill>
                                  </w14:textFill>
                                </w:rPr>
                                <m:t>D</m:t>
                              </m:r>
                              <m:ctrlPr>
                                <w:rPr>
                                  <w:rFonts w:ascii="Cambria Math" w:hAnsi="Cambria Math" w:cs="Times New Roman"/>
                                  <w:i/>
                                  <w:color w:val="000000" w:themeColor="text1"/>
                                  <w:szCs w:val="24"/>
                                  <w:highlight w:val="none"/>
                                  <w14:textFill>
                                    <w14:solidFill>
                                      <w14:schemeClr w14:val="tx1"/>
                                    </w14:solidFill>
                                  </w14:textFill>
                                </w:rPr>
                              </m:ctrlPr>
                            </m:e>
                            <m:sub>
                              <m:r>
                                <m:rPr/>
                                <w:rPr>
                                  <w:rFonts w:ascii="Cambria Math" w:hAnsi="Cambria Math" w:cs="Times New Roman"/>
                                  <w:color w:val="000000" w:themeColor="text1"/>
                                  <w:szCs w:val="24"/>
                                  <w:highlight w:val="none"/>
                                  <w14:textFill>
                                    <w14:solidFill>
                                      <w14:schemeClr w14:val="tx1"/>
                                    </w14:solidFill>
                                  </w14:textFill>
                                </w:rPr>
                                <m:t>T</m:t>
                              </m:r>
                              <m:ctrlPr>
                                <w:rPr>
                                  <w:rFonts w:ascii="Cambria Math" w:hAnsi="Cambria Math" w:cs="Times New Roman"/>
                                  <w:i/>
                                  <w:color w:val="000000" w:themeColor="text1"/>
                                  <w:szCs w:val="24"/>
                                  <w:highlight w:val="none"/>
                                  <w14:textFill>
                                    <w14:solidFill>
                                      <w14:schemeClr w14:val="tx1"/>
                                    </w14:solidFill>
                                  </w14:textFill>
                                </w:rPr>
                              </m:ctrlPr>
                            </m:sub>
                          </m:sSub>
                          <m:ctrlPr>
                            <w:rPr>
                              <w:rFonts w:ascii="Cambria Math" w:hAnsi="Cambria Math" w:cs="Times New Roman"/>
                              <w:i/>
                              <w:color w:val="000000" w:themeColor="text1"/>
                              <w:szCs w:val="24"/>
                              <w:highlight w:val="none"/>
                              <w14:textFill>
                                <w14:solidFill>
                                  <w14:schemeClr w14:val="tx1"/>
                                </w14:solidFill>
                              </w14:textFill>
                            </w:rPr>
                          </m:ctrlPr>
                        </m:e>
                      </m:rad>
                      <m:r>
                        <m:rPr/>
                        <w:rPr>
                          <w:rFonts w:ascii="Cambria Math" w:hAnsi="Cambria Math" w:cs="Times New Roman"/>
                          <w:color w:val="000000" w:themeColor="text1"/>
                          <w:szCs w:val="24"/>
                          <w:highlight w:val="none"/>
                          <w14:textFill>
                            <w14:solidFill>
                              <w14:schemeClr w14:val="tx1"/>
                            </w14:solidFill>
                          </w14:textFill>
                        </w:rPr>
                        <m:t>t</m:t>
                      </m:r>
                      <m:ctrlPr>
                        <w:rPr>
                          <w:rFonts w:ascii="Cambria Math" w:hAnsi="Cambria Math" w:cs="Times New Roman"/>
                          <w:i/>
                          <w:color w:val="000000" w:themeColor="text1"/>
                          <w:szCs w:val="24"/>
                          <w:highlight w:val="none"/>
                          <w14:textFill>
                            <w14:solidFill>
                              <w14:schemeClr w14:val="tx1"/>
                            </w14:solidFill>
                          </w14:textFill>
                        </w:rPr>
                      </m:ctrlPr>
                    </m:den>
                  </m:f>
                  <m:ctrlPr>
                    <w:rPr>
                      <w:rFonts w:ascii="Cambria Math" w:hAnsi="Cambria Math" w:cs="Times New Roman"/>
                      <w:i/>
                      <w:color w:val="000000" w:themeColor="text1"/>
                      <w:szCs w:val="24"/>
                      <w:highlight w:val="none"/>
                      <w14:textFill>
                        <w14:solidFill>
                          <w14:schemeClr w14:val="tx1"/>
                        </w14:solidFill>
                      </w14:textFill>
                    </w:rPr>
                  </m:ctrlPr>
                </m:e>
              </m:d>
              <m:ctrlPr>
                <w:rPr>
                  <w:rFonts w:ascii="Cambria Math" w:hAnsi="Cambria Math" w:cs="Times New Roman"/>
                  <w:i/>
                  <w:color w:val="000000" w:themeColor="text1"/>
                  <w:szCs w:val="24"/>
                  <w:highlight w:val="none"/>
                  <w14:textFill>
                    <w14:solidFill>
                      <w14:schemeClr w14:val="tx1"/>
                    </w14:solidFill>
                  </w14:textFill>
                </w:rPr>
              </m:ctrlPr>
            </m:e>
          </m:func>
        </m:oMath>
      </m:oMathPara>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从上式可以看出，当污染物排放量一定，排放时间一定时，同一浓度等值线为一椭圆。同时从该式可知，仅当右式大于0时，该式才有意义。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本次预测所用模型需要的参数有：含水层厚度M；外泄污染物质量m</w:t>
      </w:r>
      <w:r>
        <w:rPr>
          <w:rFonts w:cs="Times New Roman"/>
          <w:color w:val="000000" w:themeColor="text1"/>
          <w:szCs w:val="24"/>
          <w:highlight w:val="none"/>
          <w:vertAlign w:val="subscript"/>
          <w14:textFill>
            <w14:solidFill>
              <w14:schemeClr w14:val="tx1"/>
            </w14:solidFill>
          </w14:textFill>
        </w:rPr>
        <w:t>M</w:t>
      </w:r>
      <w:r>
        <w:rPr>
          <w:rFonts w:cs="Times New Roman"/>
          <w:color w:val="000000" w:themeColor="text1"/>
          <w:szCs w:val="24"/>
          <w:highlight w:val="none"/>
          <w14:textFill>
            <w14:solidFill>
              <w14:schemeClr w14:val="tx1"/>
            </w14:solidFill>
          </w14:textFill>
        </w:rPr>
        <w:t>；岩层的有效孔隙度n；水流速度u；污染物纵向弥散系数D</w:t>
      </w:r>
      <w:r>
        <w:rPr>
          <w:rFonts w:cs="Times New Roman"/>
          <w:color w:val="000000" w:themeColor="text1"/>
          <w:szCs w:val="24"/>
          <w:highlight w:val="none"/>
          <w:vertAlign w:val="subscript"/>
          <w14:textFill>
            <w14:solidFill>
              <w14:schemeClr w14:val="tx1"/>
            </w14:solidFill>
          </w14:textFill>
        </w:rPr>
        <w:t>L</w:t>
      </w:r>
      <w:r>
        <w:rPr>
          <w:rFonts w:cs="Times New Roman"/>
          <w:color w:val="000000" w:themeColor="text1"/>
          <w:szCs w:val="24"/>
          <w:highlight w:val="none"/>
          <w14:textFill>
            <w14:solidFill>
              <w14:schemeClr w14:val="tx1"/>
            </w14:solidFill>
          </w14:textFill>
        </w:rPr>
        <w:t>；污染物横向弥散系数D</w:t>
      </w:r>
      <w:r>
        <w:rPr>
          <w:rFonts w:cs="Times New Roman"/>
          <w:color w:val="000000" w:themeColor="text1"/>
          <w:szCs w:val="24"/>
          <w:highlight w:val="none"/>
          <w:vertAlign w:val="subscript"/>
          <w14:textFill>
            <w14:solidFill>
              <w14:schemeClr w14:val="tx1"/>
            </w14:solidFill>
          </w14:textFill>
        </w:rPr>
        <w:t>T</w:t>
      </w:r>
      <w:r>
        <w:rPr>
          <w:rFonts w:cs="Times New Roman"/>
          <w:color w:val="000000" w:themeColor="text1"/>
          <w:szCs w:val="24"/>
          <w:highlight w:val="none"/>
          <w14:textFill>
            <w14:solidFill>
              <w14:schemeClr w14:val="tx1"/>
            </w14:solidFill>
          </w14:textFill>
        </w:rPr>
        <w:t>。这些参数主要由本次工作的调查资料以及类比区最新的勘察成果资料来确定。</w:t>
      </w:r>
    </w:p>
    <w:p>
      <w:pPr>
        <w:ind w:firstLine="482"/>
        <w:rPr>
          <w:rFonts w:cs="Times New Roman"/>
          <w:b/>
          <w:bCs/>
          <w:snapToGrid w:val="0"/>
          <w:color w:val="000000" w:themeColor="text1"/>
          <w:szCs w:val="24"/>
          <w:highlight w:val="none"/>
          <w14:textFill>
            <w14:solidFill>
              <w14:schemeClr w14:val="tx1"/>
            </w14:solidFill>
          </w14:textFill>
        </w:rPr>
      </w:pPr>
      <w:r>
        <w:rPr>
          <w:rFonts w:cs="Times New Roman"/>
          <w:b/>
          <w:bCs/>
          <w:snapToGrid w:val="0"/>
          <w:color w:val="000000" w:themeColor="text1"/>
          <w:szCs w:val="24"/>
          <w:highlight w:val="none"/>
          <w14:textFill>
            <w14:solidFill>
              <w14:schemeClr w14:val="tx1"/>
            </w14:solidFill>
          </w14:textFill>
        </w:rPr>
        <w:t>（2）模型参数选取</w:t>
      </w:r>
    </w:p>
    <w:p>
      <w:pPr>
        <w:widowControl/>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①</w:t>
      </w:r>
      <w:r>
        <w:rPr>
          <w:rFonts w:cs="Times New Roman"/>
          <w:color w:val="000000" w:themeColor="text1"/>
          <w:kern w:val="0"/>
          <w:szCs w:val="24"/>
          <w14:textFill>
            <w14:solidFill>
              <w14:schemeClr w14:val="tx1"/>
            </w14:solidFill>
          </w14:textFill>
        </w:rPr>
        <w:t>含水层厚度M：本区域含水层厚度为8～35m，本次取35m。</w:t>
      </w:r>
    </w:p>
    <w:p>
      <w:pPr>
        <w:widowControl/>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②</w:t>
      </w:r>
      <w:r>
        <w:rPr>
          <w:rFonts w:cs="Times New Roman"/>
          <w:color w:val="000000" w:themeColor="text1"/>
          <w:kern w:val="0"/>
          <w:szCs w:val="24"/>
          <w14:textFill>
            <w14:solidFill>
              <w14:schemeClr w14:val="tx1"/>
            </w14:solidFill>
          </w14:textFill>
        </w:rPr>
        <w:t>瞬时注入的示踪剂质量m</w:t>
      </w:r>
      <w:r>
        <w:rPr>
          <w:rFonts w:cs="Times New Roman"/>
          <w:color w:val="000000" w:themeColor="text1"/>
          <w:kern w:val="0"/>
          <w:szCs w:val="24"/>
          <w:vertAlign w:val="subscript"/>
          <w14:textFill>
            <w14:solidFill>
              <w14:schemeClr w14:val="tx1"/>
            </w14:solidFill>
          </w14:textFill>
        </w:rPr>
        <w:t>M</w:t>
      </w:r>
      <w:r>
        <w:rPr>
          <w:rFonts w:cs="Times New Roman"/>
          <w:color w:val="000000" w:themeColor="text1"/>
          <w:kern w:val="0"/>
          <w:szCs w:val="24"/>
          <w14:textFill>
            <w14:solidFill>
              <w14:schemeClr w14:val="tx1"/>
            </w14:solidFill>
          </w14:textFill>
        </w:rPr>
        <w:t>：项目在污水</w:t>
      </w:r>
      <w:r>
        <w:rPr>
          <w:rFonts w:hint="eastAsia" w:cs="Times New Roman"/>
          <w:color w:val="000000" w:themeColor="text1"/>
          <w:kern w:val="0"/>
          <w:szCs w:val="24"/>
          <w14:textFill>
            <w14:solidFill>
              <w14:schemeClr w14:val="tx1"/>
            </w14:solidFill>
          </w14:textFill>
        </w:rPr>
        <w:t>罐</w:t>
      </w:r>
      <w:r>
        <w:rPr>
          <w:rFonts w:cs="Times New Roman"/>
          <w:color w:val="000000" w:themeColor="text1"/>
          <w:kern w:val="0"/>
          <w:szCs w:val="24"/>
          <w14:textFill>
            <w14:solidFill>
              <w14:schemeClr w14:val="tx1"/>
            </w14:solidFill>
          </w14:textFill>
        </w:rPr>
        <w:t>泄漏，最大漏失量进行最不利计算，选取污染物特征因子石油类、COD</w:t>
      </w:r>
      <w:r>
        <w:rPr>
          <w:rFonts w:cs="Times New Roman"/>
          <w:color w:val="000000" w:themeColor="text1"/>
          <w:kern w:val="0"/>
          <w:szCs w:val="24"/>
          <w:vertAlign w:val="subscript"/>
          <w14:textFill>
            <w14:solidFill>
              <w14:schemeClr w14:val="tx1"/>
            </w14:solidFill>
          </w14:textFill>
        </w:rPr>
        <w:t>Mn</w:t>
      </w:r>
      <w:r>
        <w:rPr>
          <w:rFonts w:cs="Times New Roman"/>
          <w:color w:val="000000" w:themeColor="text1"/>
          <w:kern w:val="0"/>
          <w:szCs w:val="24"/>
          <w14:textFill>
            <w14:solidFill>
              <w14:schemeClr w14:val="tx1"/>
            </w14:solidFill>
          </w14:textFill>
        </w:rPr>
        <w:t>、氯化物。</w:t>
      </w:r>
    </w:p>
    <w:p>
      <w:pPr>
        <w:widowControl/>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③</w:t>
      </w:r>
      <w:r>
        <w:rPr>
          <w:rFonts w:cs="Times New Roman"/>
          <w:color w:val="000000" w:themeColor="text1"/>
          <w:kern w:val="0"/>
          <w:szCs w:val="24"/>
          <w14:textFill>
            <w14:solidFill>
              <w14:schemeClr w14:val="tx1"/>
            </w14:solidFill>
          </w14:textFill>
        </w:rPr>
        <w:t>含水层的平均有效孔隙度n：地下水含水层岩性以紫红色泥岩、粉砂质泥岩与厚至块状细粒长石石英砂岩互层为主，参考弗里泽孔隙度与岩石粒度近似关系范围并适当修正，有效孔隙度取0.1。</w:t>
      </w:r>
    </w:p>
    <w:p>
      <w:pPr>
        <w:widowControl/>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④</w:t>
      </w:r>
      <w:r>
        <w:rPr>
          <w:rFonts w:cs="Times New Roman"/>
          <w:color w:val="000000" w:themeColor="text1"/>
          <w:kern w:val="0"/>
          <w:szCs w:val="24"/>
          <w14:textFill>
            <w14:solidFill>
              <w14:schemeClr w14:val="tx1"/>
            </w14:solidFill>
          </w14:textFill>
        </w:rPr>
        <w:t>水流速度u：评价区地下水为浅层风化带裂隙含水层，本评价渗透系数取值0.068m/d，水力坡度约为0.12，因此地下水的渗流速度v=KI=0.0082m/d，水流速度取实际流速u=v/n=0.082m/d。</w:t>
      </w:r>
    </w:p>
    <w:p>
      <w:pPr>
        <w:widowControl/>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⑤</w:t>
      </w:r>
      <w:r>
        <w:rPr>
          <w:rFonts w:cs="Times New Roman"/>
          <w:color w:val="000000" w:themeColor="text1"/>
          <w:kern w:val="0"/>
          <w:szCs w:val="24"/>
          <w14:textFill>
            <w14:solidFill>
              <w14:schemeClr w14:val="tx1"/>
            </w14:solidFill>
          </w14:textFill>
        </w:rPr>
        <w:t>纵向x方向的弥散系数D</w:t>
      </w:r>
      <w:r>
        <w:rPr>
          <w:rFonts w:cs="Times New Roman"/>
          <w:color w:val="000000" w:themeColor="text1"/>
          <w:kern w:val="0"/>
          <w:szCs w:val="24"/>
          <w:vertAlign w:val="subscript"/>
          <w14:textFill>
            <w14:solidFill>
              <w14:schemeClr w14:val="tx1"/>
            </w14:solidFill>
          </w14:textFill>
        </w:rPr>
        <w:t>L</w:t>
      </w:r>
      <w:r>
        <w:rPr>
          <w:rFonts w:cs="Times New Roman"/>
          <w:color w:val="000000" w:themeColor="text1"/>
          <w:kern w:val="0"/>
          <w:szCs w:val="24"/>
          <w14:textFill>
            <w14:solidFill>
              <w14:schemeClr w14:val="tx1"/>
            </w14:solidFill>
          </w14:textFill>
        </w:rPr>
        <w:t>：参考Gelhar等人关于纵向弥散度与观测尺度关系的理论，根据本次污染场地的研究尺度，模型计算中纵向弥散度选用10.0m。由此计算评估区含水层中的纵向弥散系数：D</w:t>
      </w:r>
      <w:r>
        <w:rPr>
          <w:rFonts w:cs="Times New Roman"/>
          <w:color w:val="000000" w:themeColor="text1"/>
          <w:kern w:val="0"/>
          <w:szCs w:val="24"/>
          <w:vertAlign w:val="subscript"/>
          <w14:textFill>
            <w14:solidFill>
              <w14:schemeClr w14:val="tx1"/>
            </w14:solidFill>
          </w14:textFill>
        </w:rPr>
        <w:t>L</w:t>
      </w:r>
      <w:r>
        <w:rPr>
          <w:rFonts w:cs="Times New Roman"/>
          <w:color w:val="000000" w:themeColor="text1"/>
          <w:kern w:val="0"/>
          <w:szCs w:val="24"/>
          <w14:textFill>
            <w14:solidFill>
              <w14:schemeClr w14:val="tx1"/>
            </w14:solidFill>
          </w14:textFill>
        </w:rPr>
        <w:t>=</w:t>
      </w:r>
      <w:r>
        <w:rPr>
          <w:rFonts w:cs="Times New Roman"/>
          <w:color w:val="000000" w:themeColor="text1"/>
          <w:kern w:val="0"/>
          <w:szCs w:val="24"/>
          <w:lang w:eastAsia="en-US"/>
          <w14:textFill>
            <w14:solidFill>
              <w14:schemeClr w14:val="tx1"/>
            </w14:solidFill>
          </w14:textFill>
        </w:rPr>
        <w:t>α</w:t>
      </w:r>
      <w:r>
        <w:rPr>
          <w:rFonts w:cs="Times New Roman"/>
          <w:color w:val="000000" w:themeColor="text1"/>
          <w:kern w:val="0"/>
          <w:szCs w:val="24"/>
          <w:vertAlign w:val="subscript"/>
          <w14:textFill>
            <w14:solidFill>
              <w14:schemeClr w14:val="tx1"/>
            </w14:solidFill>
          </w14:textFill>
        </w:rPr>
        <w:t>L</w:t>
      </w:r>
      <w:r>
        <w:rPr>
          <w:rFonts w:cs="Times New Roman"/>
          <w:color w:val="000000" w:themeColor="text1"/>
          <w:kern w:val="0"/>
          <w:szCs w:val="24"/>
          <w14:textFill>
            <w14:solidFill>
              <w14:schemeClr w14:val="tx1"/>
            </w14:solidFill>
          </w14:textFill>
        </w:rPr>
        <w:t>×u=0.82m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/d。</w:t>
      </w:r>
    </w:p>
    <w:p>
      <w:pPr>
        <w:adjustRightInd w:val="0"/>
        <w:snapToGrid w:val="0"/>
        <w:spacing w:line="360" w:lineRule="auto"/>
        <w:ind w:firstLine="480" w:firstLineChars="200"/>
        <w:jc w:val="both"/>
        <w:rPr>
          <w:rFonts w:ascii="Times New Roman" w:hAnsi="Times New Roman"/>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⑥</w:t>
      </w:r>
      <w:r>
        <w:rPr>
          <w:rFonts w:cs="Times New Roman"/>
          <w:color w:val="000000" w:themeColor="text1"/>
          <w:kern w:val="0"/>
          <w:szCs w:val="24"/>
          <w14:textFill>
            <w14:solidFill>
              <w14:schemeClr w14:val="tx1"/>
            </w14:solidFill>
          </w14:textFill>
        </w:rPr>
        <w:t>横向y方向的弥散系数D</w:t>
      </w:r>
      <w:r>
        <w:rPr>
          <w:rFonts w:cs="Times New Roman"/>
          <w:color w:val="000000" w:themeColor="text1"/>
          <w:kern w:val="0"/>
          <w:szCs w:val="24"/>
          <w:vertAlign w:val="subscript"/>
          <w14:textFill>
            <w14:solidFill>
              <w14:schemeClr w14:val="tx1"/>
            </w14:solidFill>
          </w14:textFill>
        </w:rPr>
        <w:t>T</w:t>
      </w:r>
      <w:r>
        <w:rPr>
          <w:rFonts w:cs="Times New Roman"/>
          <w:color w:val="000000" w:themeColor="text1"/>
          <w:kern w:val="0"/>
          <w:szCs w:val="24"/>
          <w14:textFill>
            <w14:solidFill>
              <w14:schemeClr w14:val="tx1"/>
            </w14:solidFill>
          </w14:textFill>
        </w:rPr>
        <w:t>：根据经验一般D</w:t>
      </w:r>
      <w:r>
        <w:rPr>
          <w:rFonts w:cs="Times New Roman"/>
          <w:color w:val="000000" w:themeColor="text1"/>
          <w:kern w:val="0"/>
          <w:szCs w:val="24"/>
          <w:vertAlign w:val="subscript"/>
          <w14:textFill>
            <w14:solidFill>
              <w14:schemeClr w14:val="tx1"/>
            </w14:solidFill>
          </w14:textFill>
        </w:rPr>
        <w:t>T</w:t>
      </w:r>
      <w:r>
        <w:rPr>
          <w:rFonts w:cs="Times New Roman"/>
          <w:color w:val="000000" w:themeColor="text1"/>
          <w:kern w:val="0"/>
          <w:szCs w:val="24"/>
          <w14:textFill>
            <w14:solidFill>
              <w14:schemeClr w14:val="tx1"/>
            </w14:solidFill>
          </w14:textFill>
        </w:rPr>
        <w:t>:D</w:t>
      </w:r>
      <w:r>
        <w:rPr>
          <w:rFonts w:cs="Times New Roman"/>
          <w:color w:val="000000" w:themeColor="text1"/>
          <w:kern w:val="0"/>
          <w:szCs w:val="24"/>
          <w:vertAlign w:val="subscript"/>
          <w14:textFill>
            <w14:solidFill>
              <w14:schemeClr w14:val="tx1"/>
            </w14:solidFill>
          </w14:textFill>
        </w:rPr>
        <w:t>L</w:t>
      </w:r>
      <w:r>
        <w:rPr>
          <w:rFonts w:cs="Times New Roman"/>
          <w:color w:val="000000" w:themeColor="text1"/>
          <w:kern w:val="0"/>
          <w:szCs w:val="24"/>
          <w14:textFill>
            <w14:solidFill>
              <w14:schemeClr w14:val="tx1"/>
            </w14:solidFill>
          </w14:textFill>
        </w:rPr>
        <w:t>=0.1，因此D</w:t>
      </w:r>
      <w:r>
        <w:rPr>
          <w:rFonts w:cs="Times New Roman"/>
          <w:color w:val="000000" w:themeColor="text1"/>
          <w:kern w:val="0"/>
          <w:szCs w:val="24"/>
          <w:vertAlign w:val="subscript"/>
          <w14:textFill>
            <w14:solidFill>
              <w14:schemeClr w14:val="tx1"/>
            </w14:solidFill>
          </w14:textFill>
        </w:rPr>
        <w:t>T</w:t>
      </w:r>
      <w:r>
        <w:rPr>
          <w:rFonts w:cs="Times New Roman"/>
          <w:color w:val="000000" w:themeColor="text1"/>
          <w:kern w:val="0"/>
          <w:szCs w:val="24"/>
          <w14:textFill>
            <w14:solidFill>
              <w14:schemeClr w14:val="tx1"/>
            </w14:solidFill>
          </w14:textFill>
        </w:rPr>
        <w:t>取值0.082m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/d</w:t>
      </w:r>
      <w:r>
        <w:rPr>
          <w:rFonts w:ascii="Times New Roman" w:hAnsi="Times New Roman"/>
          <w:color w:val="000000" w:themeColor="text1"/>
          <w:sz w:val="24"/>
          <w:szCs w:val="24"/>
          <w:highlight w:val="none"/>
          <w:lang w:eastAsia="zh-CN"/>
          <w14:textFill>
            <w14:solidFill>
              <w14:schemeClr w14:val="tx1"/>
            </w14:solidFill>
          </w14:textFill>
        </w:rPr>
        <w:t>。</w:t>
      </w:r>
    </w:p>
    <w:p>
      <w:pPr>
        <w:pStyle w:val="21"/>
        <w:spacing w:before="0"/>
        <w:ind w:left="0" w:firstLine="480"/>
        <w:jc w:val="both"/>
        <w:rPr>
          <w:rFonts w:hint="default" w:ascii="Times New Roman" w:hAnsi="Times New Roman" w:eastAsia="黑体" w:cs="Times New Roman"/>
          <w:bCs/>
          <w:color w:val="000000" w:themeColor="text1"/>
          <w:kern w:val="2"/>
          <w:highlight w:val="none"/>
          <w:lang w:eastAsia="zh-CN"/>
          <w14:textFill>
            <w14:solidFill>
              <w14:schemeClr w14:val="tx1"/>
            </w14:solidFill>
          </w14:textFill>
        </w:rPr>
      </w:pPr>
      <w:r>
        <w:rPr>
          <w:rFonts w:hint="default" w:ascii="Times New Roman" w:hAnsi="Times New Roman" w:eastAsia="黑体" w:cs="Times New Roman"/>
          <w:bCs/>
          <w:color w:val="000000" w:themeColor="text1"/>
          <w:kern w:val="2"/>
          <w:highlight w:val="none"/>
          <w:lang w:eastAsia="zh-CN"/>
          <w14:textFill>
            <w14:solidFill>
              <w14:schemeClr w14:val="tx1"/>
            </w14:solidFill>
          </w14:textFill>
        </w:rPr>
        <w:t>3、影响预测</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（1）预测方法</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地下水水文地质条件相对简单，污染物排放对地下水流场无影响，且基本的水位地质参数在项目建设至服务期满的过程中变化不大，同时该项目的地下水环境影响评价较难采用类比和趋势外延等经验方法，因此本次评价采用解析法进行预测。</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地下水环境影响预测范围与调查评价范围一致，预测层位以潜水含水层为主。</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（2）预测时段</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地下水环境影响预测时段应选取可能产生地下水污染的关键时段，至少包括污染发生后100d、1000d，服务年限或能反应特征因子迁移规律的其他重要时间节点。本项目为油气开发井钻采项目，对地下水的影响主要在项目的施工期，生产运行和服务期满后两个阶段对地下水的影响极小。</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因此，根据《环境影响评价技术导则—地下水环境》（HJ610-2016）和项目施工期时长，将地下水环境影响预测时限定为100天、365天、1000天和3650天。</w:t>
      </w:r>
    </w:p>
    <w:p>
      <w:pPr>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（3）预测因子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根据《环境影响评价技术导则-地下水环境》（HJ610-2016），建设项目预测因子选取重点应包括：</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1）改、扩建项目已经排放的及将要产生的主要污染物；</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2）难降解、易生物蓄积、长期接触对人体和生物产生危害作用的污染物，应特别关注持久性有机污染物；</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3）国家或地方要求控制的污染物；</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4）反映地下水循环特征和水质成因类型的常规项目或超标项目。</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预测因子识别应对项目污染物进行分类后（重金属、持久性污染物和其他类别进行分类），对每一类中各项因子采用标准指数法进行排序，分别取标准指数最大的因子作为预测因子；如该项目属于改扩建项目，将选择技改后继续产生的特征因子，改扩建后新增加的特征因子作为预测因子；污染场地已经查明的主要污染物作为预测因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监测资料，本项目附近潜水含水层地下水水质良好，现状监测指标基本能满足《地下水质量标准》（GB14848-2017）中III类水质标准限值要求。基于本项目废水的水质特征，一方面考虑预测的可行性，同时考虑预测因子的代表性，并以各污染物最高浓度为源强进行预测，选择无机离子中等标污染负荷最大的氯离子，持久性污染物中等标污染负荷最大的COD</w:t>
      </w:r>
      <w:r>
        <w:rPr>
          <w:rFonts w:cs="Times New Roman"/>
          <w:bCs/>
          <w:color w:val="000000" w:themeColor="text1"/>
          <w:szCs w:val="24"/>
          <w:highlight w:val="none"/>
          <w:vertAlign w:val="subscript"/>
          <w14:textFill>
            <w14:solidFill>
              <w14:schemeClr w14:val="tx1"/>
            </w14:solidFill>
          </w14:textFill>
        </w:rPr>
        <w:t>Cr</w:t>
      </w:r>
      <w:r>
        <w:rPr>
          <w:rFonts w:cs="Times New Roman"/>
          <w:bCs/>
          <w:color w:val="000000" w:themeColor="text1"/>
          <w:szCs w:val="24"/>
          <w:highlight w:val="none"/>
          <w14:textFill>
            <w14:solidFill>
              <w14:schemeClr w14:val="tx1"/>
            </w14:solidFill>
          </w14:textFill>
        </w:rPr>
        <w:t>，特征污染因子石油类作为本次评价的预测因子。</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w:t>
      </w:r>
      <w:r>
        <w:rPr>
          <w:rFonts w:hint="eastAsia" w:cs="Times New Roman"/>
          <w:bCs/>
          <w:color w:val="000000" w:themeColor="text1"/>
          <w:szCs w:val="24"/>
          <w:highlight w:val="none"/>
          <w:lang w:eastAsia="zh-CN"/>
          <w14:textFill>
            <w14:solidFill>
              <w14:schemeClr w14:val="tx1"/>
            </w14:solidFill>
          </w14:textFill>
        </w:rPr>
        <w:t>现场勘查</w:t>
      </w:r>
      <w:r>
        <w:rPr>
          <w:rFonts w:cs="Times New Roman"/>
          <w:bCs/>
          <w:color w:val="000000" w:themeColor="text1"/>
          <w:szCs w:val="24"/>
          <w:highlight w:val="none"/>
          <w14:textFill>
            <w14:solidFill>
              <w14:schemeClr w14:val="tx1"/>
            </w14:solidFill>
          </w14:textFill>
        </w:rPr>
        <w:t>本项目区域地下水自北东向南西径流，地下水评价范围内地下水流向下游及侧游无在用居民饮用水井分布，因此本次评价不对地下水水井开展预测。</w:t>
      </w:r>
    </w:p>
    <w:p>
      <w:pPr>
        <w:ind w:firstLine="482"/>
        <w:rPr>
          <w:rFonts w:cs="Times New Roman"/>
          <w:b/>
          <w:color w:val="000000" w:themeColor="text1"/>
          <w:szCs w:val="24"/>
          <w:highlight w:val="none"/>
          <w14:textFill>
            <w14:solidFill>
              <w14:schemeClr w14:val="tx1"/>
            </w14:solidFill>
          </w14:textFill>
        </w:rPr>
      </w:pPr>
      <w:bookmarkStart w:id="306" w:name="_Toc14702837"/>
      <w:r>
        <w:rPr>
          <w:rFonts w:cs="Times New Roman"/>
          <w:b/>
          <w:color w:val="000000" w:themeColor="text1"/>
          <w:szCs w:val="24"/>
          <w:highlight w:val="none"/>
          <w14:textFill>
            <w14:solidFill>
              <w14:schemeClr w14:val="tx1"/>
            </w14:solidFill>
          </w14:textFill>
        </w:rPr>
        <w:t>（4）预测结果</w:t>
      </w:r>
      <w:bookmarkEnd w:id="306"/>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次预测，各特征因子浓度超过标准限值即为超标，影响浓度定义为各指标的检出下限，当预测结果小于影响浓度（检出限或标准值的十分之一+背景值）时则视同对地下水环境几乎没有影响。背景值根据本次监测结果取最大值，其中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按照耗氧量指标取最大值的2倍约2*</w:t>
      </w:r>
      <w:r>
        <w:rPr>
          <w:rFonts w:hint="eastAsia" w:cs="Times New Roman"/>
          <w:color w:val="000000" w:themeColor="text1"/>
          <w:szCs w:val="24"/>
          <w:highlight w:val="none"/>
          <w14:textFill>
            <w14:solidFill>
              <w14:schemeClr w14:val="tx1"/>
            </w14:solidFill>
          </w14:textFill>
        </w:rPr>
        <w:t>1.</w:t>
      </w:r>
      <w:r>
        <w:rPr>
          <w:rFonts w:hint="eastAsia" w:cs="Times New Roman"/>
          <w:color w:val="000000" w:themeColor="text1"/>
          <w:szCs w:val="24"/>
          <w:highlight w:val="none"/>
          <w:lang w:val="en-US" w:eastAsia="zh-CN"/>
          <w14:textFill>
            <w14:solidFill>
              <w14:schemeClr w14:val="tx1"/>
            </w14:solidFill>
          </w14:textFill>
        </w:rPr>
        <w:t>77</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54</w:t>
      </w:r>
      <w:r>
        <w:rPr>
          <w:rFonts w:cs="Times New Roman"/>
          <w:color w:val="000000" w:themeColor="text1"/>
          <w:szCs w:val="24"/>
          <w:highlight w:val="none"/>
          <w14:textFill>
            <w14:solidFill>
              <w14:schemeClr w14:val="tx1"/>
            </w14:solidFill>
          </w14:textFill>
        </w:rPr>
        <w:t>mg/L，石油类取值</w:t>
      </w:r>
      <w:r>
        <w:rPr>
          <w:rFonts w:hint="eastAsia" w:cs="Times New Roman"/>
          <w:color w:val="000000" w:themeColor="text1"/>
          <w:szCs w:val="24"/>
          <w:highlight w:val="none"/>
          <w14:textFill>
            <w14:solidFill>
              <w14:schemeClr w14:val="tx1"/>
            </w14:solidFill>
          </w14:textFill>
        </w:rPr>
        <w:t>为</w:t>
      </w:r>
      <w:r>
        <w:rPr>
          <w:rFonts w:cs="Times New Roman"/>
          <w:color w:val="000000" w:themeColor="text1"/>
          <w:szCs w:val="24"/>
          <w:highlight w:val="none"/>
          <w14:textFill>
            <w14:solidFill>
              <w14:schemeClr w14:val="tx1"/>
            </w14:solidFill>
          </w14:textFill>
        </w:rPr>
        <w:t>0</w:t>
      </w:r>
      <w:r>
        <w:rPr>
          <w:rFonts w:hint="eastAsia" w:cs="Times New Roman"/>
          <w:color w:val="000000" w:themeColor="text1"/>
          <w:szCs w:val="24"/>
          <w:highlight w:val="none"/>
          <w14:textFill>
            <w14:solidFill>
              <w14:schemeClr w14:val="tx1"/>
            </w14:solidFill>
          </w14:textFill>
        </w:rPr>
        <w:t>.0</w:t>
      </w:r>
      <w:r>
        <w:rPr>
          <w:rFonts w:hint="eastAsia" w:cs="Times New Roman"/>
          <w:color w:val="000000" w:themeColor="text1"/>
          <w:szCs w:val="24"/>
          <w:highlight w:val="none"/>
          <w:lang w:val="en-US" w:eastAsia="zh-CN"/>
          <w14:textFill>
            <w14:solidFill>
              <w14:schemeClr w14:val="tx1"/>
            </w14:solidFill>
          </w14:textFill>
        </w:rPr>
        <w:t>1</w:t>
      </w:r>
      <w:r>
        <w:rPr>
          <w:rFonts w:cs="Times New Roman"/>
          <w:color w:val="000000" w:themeColor="text1"/>
          <w:szCs w:val="24"/>
          <w:highlight w:val="none"/>
          <w14:textFill>
            <w14:solidFill>
              <w14:schemeClr w14:val="tx1"/>
            </w14:solidFill>
          </w14:textFill>
        </w:rPr>
        <w:t>mg/L，氯离子取值</w:t>
      </w:r>
      <w:r>
        <w:rPr>
          <w:rFonts w:hint="eastAsia" w:cs="Times New Roman"/>
          <w:color w:val="000000" w:themeColor="text1"/>
          <w:szCs w:val="24"/>
          <w:highlight w:val="none"/>
          <w:lang w:val="en-US" w:eastAsia="zh-CN"/>
          <w14:textFill>
            <w14:solidFill>
              <w14:schemeClr w14:val="tx1"/>
            </w14:solidFill>
          </w14:textFill>
        </w:rPr>
        <w:t>66.2</w:t>
      </w:r>
      <w:r>
        <w:rPr>
          <w:rFonts w:cs="Times New Roman"/>
          <w:color w:val="000000" w:themeColor="text1"/>
          <w:szCs w:val="24"/>
          <w:highlight w:val="none"/>
          <w14:textFill>
            <w14:solidFill>
              <w14:schemeClr w14:val="tx1"/>
            </w14:solidFill>
          </w14:textFill>
        </w:rPr>
        <w:t>mg/L。根据《地下水质量标准》（GB/T14848-2017）及项目执行的环保标准，该项目所在区域地下水属Ⅲ类水质，因此，Cl</w:t>
      </w:r>
      <w:r>
        <w:rPr>
          <w:rFonts w:cs="Times New Roman"/>
          <w:color w:val="000000" w:themeColor="text1"/>
          <w:szCs w:val="24"/>
          <w:highlight w:val="none"/>
          <w:vertAlign w:val="superscript"/>
          <w14:textFill>
            <w14:solidFill>
              <w14:schemeClr w14:val="tx1"/>
            </w14:solidFill>
          </w14:textFill>
        </w:rPr>
        <w:t>-</w:t>
      </w:r>
      <w:r>
        <w:rPr>
          <w:rFonts w:cs="Times New Roman"/>
          <w:color w:val="000000" w:themeColor="text1"/>
          <w:szCs w:val="24"/>
          <w:highlight w:val="none"/>
          <w14:textFill>
            <w14:solidFill>
              <w14:schemeClr w14:val="tx1"/>
            </w14:solidFill>
          </w14:textFill>
        </w:rPr>
        <w:t>标准限值参照《地下水质量标准》（GB/T14848-2017）Ⅲ类标准，为250mg/L；COD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和石油类标准限值参照《地表水环境质量标准GB3838-2002》Ⅲ类标准，分别为20mg/L、0.05mg/L；COD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影响浓度为</w:t>
      </w:r>
      <w:r>
        <w:rPr>
          <w:rFonts w:hint="eastAsia" w:cs="Times New Roman"/>
          <w:color w:val="000000" w:themeColor="text1"/>
          <w:szCs w:val="24"/>
          <w:highlight w:val="none"/>
          <w14:textFill>
            <w14:solidFill>
              <w14:schemeClr w14:val="tx1"/>
            </w14:solidFill>
          </w14:textFill>
        </w:rPr>
        <w:t>5.</w:t>
      </w:r>
      <w:r>
        <w:rPr>
          <w:rFonts w:hint="eastAsia" w:cs="Times New Roman"/>
          <w:color w:val="000000" w:themeColor="text1"/>
          <w:szCs w:val="24"/>
          <w:highlight w:val="none"/>
          <w:lang w:val="en-US" w:eastAsia="zh-CN"/>
          <w14:textFill>
            <w14:solidFill>
              <w14:schemeClr w14:val="tx1"/>
            </w14:solidFill>
          </w14:textFill>
        </w:rPr>
        <w:t>54</w:t>
      </w:r>
      <w:r>
        <w:rPr>
          <w:rFonts w:cs="Times New Roman"/>
          <w:color w:val="000000" w:themeColor="text1"/>
          <w:szCs w:val="24"/>
          <w:highlight w:val="none"/>
          <w14:textFill>
            <w14:solidFill>
              <w14:schemeClr w14:val="tx1"/>
            </w14:solidFill>
          </w14:textFill>
        </w:rPr>
        <w:t>mg/L（标准值的十分之一+背景值），石油类影响浓度为0.0</w:t>
      </w:r>
      <w:r>
        <w:rPr>
          <w:rFonts w:hint="eastAsia" w:cs="Times New Roman"/>
          <w:color w:val="000000" w:themeColor="text1"/>
          <w:szCs w:val="24"/>
          <w:highlight w:val="none"/>
          <w:lang w:val="en-US" w:eastAsia="zh-CN"/>
          <w14:textFill>
            <w14:solidFill>
              <w14:schemeClr w14:val="tx1"/>
            </w14:solidFill>
          </w14:textFill>
        </w:rPr>
        <w:t>1</w:t>
      </w:r>
      <w:r>
        <w:rPr>
          <w:rFonts w:hint="eastAsia" w:cs="Times New Roman"/>
          <w:color w:val="000000" w:themeColor="text1"/>
          <w:szCs w:val="24"/>
          <w:highlight w:val="none"/>
          <w14:textFill>
            <w14:solidFill>
              <w14:schemeClr w14:val="tx1"/>
            </w14:solidFill>
          </w14:textFill>
        </w:rPr>
        <w:t>5</w:t>
      </w:r>
      <w:r>
        <w:rPr>
          <w:rFonts w:cs="Times New Roman"/>
          <w:color w:val="000000" w:themeColor="text1"/>
          <w:szCs w:val="24"/>
          <w:highlight w:val="none"/>
          <w14:textFill>
            <w14:solidFill>
              <w14:schemeClr w14:val="tx1"/>
            </w14:solidFill>
          </w14:textFill>
        </w:rPr>
        <w:t>mg/L（标准值的十分之一+背景值），Cl</w:t>
      </w:r>
      <w:r>
        <w:rPr>
          <w:rFonts w:cs="Times New Roman"/>
          <w:color w:val="000000" w:themeColor="text1"/>
          <w:szCs w:val="24"/>
          <w:highlight w:val="none"/>
          <w:vertAlign w:val="superscript"/>
          <w14:textFill>
            <w14:solidFill>
              <w14:schemeClr w14:val="tx1"/>
            </w14:solidFill>
          </w14:textFill>
        </w:rPr>
        <w:t>-</w:t>
      </w:r>
      <w:r>
        <w:rPr>
          <w:rFonts w:cs="Times New Roman"/>
          <w:color w:val="000000" w:themeColor="text1"/>
          <w:szCs w:val="24"/>
          <w:highlight w:val="none"/>
          <w14:textFill>
            <w14:solidFill>
              <w14:schemeClr w14:val="tx1"/>
            </w14:solidFill>
          </w14:textFill>
        </w:rPr>
        <w:t>影响浓度为</w:t>
      </w:r>
      <w:r>
        <w:rPr>
          <w:rFonts w:hint="eastAsia" w:cs="Times New Roman"/>
          <w:color w:val="000000" w:themeColor="text1"/>
          <w:szCs w:val="24"/>
          <w:highlight w:val="none"/>
          <w:lang w:val="en-US" w:eastAsia="zh-CN"/>
          <w14:textFill>
            <w14:solidFill>
              <w14:schemeClr w14:val="tx1"/>
            </w14:solidFill>
          </w14:textFill>
        </w:rPr>
        <w:t>91.2</w:t>
      </w:r>
      <w:r>
        <w:rPr>
          <w:rFonts w:cs="Times New Roman"/>
          <w:color w:val="000000" w:themeColor="text1"/>
          <w:szCs w:val="24"/>
          <w:highlight w:val="none"/>
          <w14:textFill>
            <w14:solidFill>
              <w14:schemeClr w14:val="tx1"/>
            </w14:solidFill>
          </w14:textFill>
        </w:rPr>
        <w:t>mg/L（标准值的十分之一+背景值），见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_Ref142858787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07" w:name="_Ref14285878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30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预测指标标准限值及影响浓度一览表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w:t>
            </w:r>
          </w:p>
        </w:tc>
        <w:tc>
          <w:tcPr>
            <w:tcW w:w="205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COD</w:t>
            </w:r>
            <w:r>
              <w:rPr>
                <w:rFonts w:hint="default"/>
                <w:b/>
                <w:bCs/>
                <w:color w:val="000000" w:themeColor="text1"/>
                <w:szCs w:val="20"/>
                <w:highlight w:val="none"/>
                <w:vertAlign w:val="subscript"/>
                <w14:textFill>
                  <w14:solidFill>
                    <w14:schemeClr w14:val="tx1"/>
                  </w14:solidFill>
                </w14:textFill>
              </w:rPr>
              <w:t>Cr</w:t>
            </w:r>
          </w:p>
        </w:tc>
        <w:tc>
          <w:tcPr>
            <w:tcW w:w="205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氯</w:t>
            </w:r>
            <w:r>
              <w:rPr>
                <w:rFonts w:hint="eastAsia"/>
                <w:b/>
                <w:bCs/>
                <w:color w:val="000000" w:themeColor="text1"/>
                <w:szCs w:val="20"/>
                <w:highlight w:val="none"/>
                <w14:textFill>
                  <w14:solidFill>
                    <w14:schemeClr w14:val="tx1"/>
                  </w14:solidFill>
                </w14:textFill>
              </w:rPr>
              <w:t>离子</w:t>
            </w:r>
          </w:p>
        </w:tc>
        <w:tc>
          <w:tcPr>
            <w:tcW w:w="205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背景值</w:t>
            </w:r>
          </w:p>
        </w:tc>
        <w:tc>
          <w:tcPr>
            <w:tcW w:w="2056"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54</w:t>
            </w:r>
          </w:p>
        </w:tc>
        <w:tc>
          <w:tcPr>
            <w:tcW w:w="2055"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66.2</w:t>
            </w:r>
          </w:p>
        </w:tc>
        <w:tc>
          <w:tcPr>
            <w:tcW w:w="2055"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0.0</w:t>
            </w:r>
            <w:r>
              <w:rPr>
                <w:rFonts w:hint="eastAsia"/>
                <w:color w:val="000000" w:themeColor="text1"/>
                <w:szCs w:val="20"/>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标准限值（mg/L）</w:t>
            </w:r>
          </w:p>
        </w:tc>
        <w:tc>
          <w:tcPr>
            <w:tcW w:w="205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w:t>
            </w:r>
          </w:p>
        </w:tc>
        <w:tc>
          <w:tcPr>
            <w:tcW w:w="20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250</w:t>
            </w:r>
          </w:p>
        </w:tc>
        <w:tc>
          <w:tcPr>
            <w:tcW w:w="20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影响浓度（mg/L）</w:t>
            </w:r>
          </w:p>
        </w:tc>
        <w:tc>
          <w:tcPr>
            <w:tcW w:w="2056"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5.54</w:t>
            </w:r>
          </w:p>
        </w:tc>
        <w:tc>
          <w:tcPr>
            <w:tcW w:w="2055"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91.2</w:t>
            </w:r>
          </w:p>
        </w:tc>
        <w:tc>
          <w:tcPr>
            <w:tcW w:w="20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w:t>
            </w:r>
            <w:r>
              <w:rPr>
                <w:rFonts w:hint="eastAsia"/>
                <w:color w:val="000000" w:themeColor="text1"/>
                <w:szCs w:val="20"/>
                <w:highlight w:val="none"/>
                <w:lang w:val="en-US" w:eastAsia="zh-CN"/>
                <w14:textFill>
                  <w14:solidFill>
                    <w14:schemeClr w14:val="tx1"/>
                  </w14:solidFill>
                </w14:textFill>
              </w:rPr>
              <w:t>1</w:t>
            </w:r>
            <w:r>
              <w:rPr>
                <w:rFonts w:hint="eastAsia"/>
                <w:color w:val="000000" w:themeColor="text1"/>
                <w:szCs w:val="20"/>
                <w:highlight w:val="none"/>
                <w14:textFill>
                  <w14:solidFill>
                    <w14:schemeClr w14:val="tx1"/>
                  </w14:solidFill>
                </w14:textFill>
              </w:rPr>
              <w:t>5</w:t>
            </w:r>
          </w:p>
        </w:tc>
      </w:tr>
    </w:tbl>
    <w:p>
      <w:pPr>
        <w:spacing w:before="120" w:beforeLines="5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1）放喷池泄漏</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地下水中COD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的超标及影响距离计算结果见表5.3-3及</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REF _Ref142860075 \h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放喷池泄漏地下水中</w:t>
      </w: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超标及影响距离</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6"/>
        <w:gridCol w:w="1478"/>
        <w:gridCol w:w="1480"/>
        <w:gridCol w:w="1480"/>
        <w:gridCol w:w="1316"/>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899"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w:t>
            </w:r>
            <w:r>
              <w:rPr>
                <w:rFonts w:hint="eastAsia"/>
                <w:b/>
                <w:bCs/>
                <w:color w:val="000000" w:themeColor="text1"/>
                <w:szCs w:val="20"/>
                <w:highlight w:val="none"/>
                <w14:textFill>
                  <w14:solidFill>
                    <w14:schemeClr w14:val="tx1"/>
                  </w14:solidFill>
                </w14:textFill>
              </w:rPr>
              <w:t>背景值</w:t>
            </w:r>
            <w:r>
              <w:rPr>
                <w:rFonts w:hint="default"/>
                <w:b/>
                <w:bCs/>
                <w:color w:val="000000" w:themeColor="text1"/>
                <w:szCs w:val="20"/>
                <w:highlight w:val="none"/>
                <w14:textFill>
                  <w14:solidFill>
                    <w14:schemeClr w14:val="tx1"/>
                  </w14:solidFill>
                </w14:textFill>
              </w:rPr>
              <w:t>后浓度（mg/L）</w:t>
            </w:r>
          </w:p>
        </w:tc>
        <w:tc>
          <w:tcPr>
            <w:tcW w:w="8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2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1496" w:type="dxa"/>
            <w:vAlign w:val="center"/>
          </w:tcPr>
          <w:p>
            <w:pPr>
              <w:pStyle w:val="295"/>
              <w:keepNext w:val="0"/>
              <w:keepLines w:val="0"/>
              <w:widowControl/>
              <w:suppressLineNumbers w:val="0"/>
              <w:spacing w:before="0" w:beforeAutospacing="0" w:after="0" w:afterAutospacing="0"/>
              <w:ind w:left="0" w:leftChars="0" w:right="0" w:rightChars="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498"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96.44</w:t>
            </w:r>
          </w:p>
        </w:tc>
        <w:tc>
          <w:tcPr>
            <w:tcW w:w="1498"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99.98</w:t>
            </w:r>
          </w:p>
        </w:tc>
        <w:tc>
          <w:tcPr>
            <w:tcW w:w="8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32</w:t>
            </w:r>
          </w:p>
        </w:tc>
        <w:tc>
          <w:tcPr>
            <w:tcW w:w="827"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c>
          <w:tcPr>
            <w:tcW w:w="1496" w:type="dxa"/>
            <w:vAlign w:val="center"/>
          </w:tcPr>
          <w:p>
            <w:pPr>
              <w:pStyle w:val="295"/>
              <w:keepNext w:val="0"/>
              <w:keepLines w:val="0"/>
              <w:widowControl/>
              <w:suppressLineNumbers w:val="0"/>
              <w:spacing w:before="0" w:beforeAutospacing="0" w:after="0" w:afterAutospacing="0"/>
              <w:ind w:left="0" w:leftChars="0" w:right="0" w:rightChars="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498"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26.4</w:t>
            </w:r>
          </w:p>
        </w:tc>
        <w:tc>
          <w:tcPr>
            <w:tcW w:w="1498"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29.94</w:t>
            </w:r>
          </w:p>
        </w:tc>
        <w:tc>
          <w:tcPr>
            <w:tcW w:w="8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53</w:t>
            </w:r>
          </w:p>
        </w:tc>
        <w:tc>
          <w:tcPr>
            <w:tcW w:w="827"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1496"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498"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9.6</w:t>
            </w:r>
          </w:p>
        </w:tc>
        <w:tc>
          <w:tcPr>
            <w:tcW w:w="1498"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13.14</w:t>
            </w:r>
          </w:p>
        </w:tc>
        <w:tc>
          <w:tcPr>
            <w:tcW w:w="8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7"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c>
          <w:tcPr>
            <w:tcW w:w="1496"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498"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2.6</w:t>
            </w:r>
          </w:p>
        </w:tc>
        <w:tc>
          <w:tcPr>
            <w:tcW w:w="1498"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6.14</w:t>
            </w:r>
          </w:p>
        </w:tc>
        <w:tc>
          <w:tcPr>
            <w:tcW w:w="8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7"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r>
    </w:tbl>
    <w:tbl>
      <w:tblPr>
        <w:tblStyle w:val="53"/>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422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557780" cy="1601470"/>
                  <wp:effectExtent l="0" t="0" r="4445" b="8255"/>
                  <wp:docPr id="264" name="图片 264" descr="172286334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1722863344383"/>
                          <pic:cNvPicPr>
                            <a:picLocks noChangeAspect="1"/>
                          </pic:cNvPicPr>
                        </pic:nvPicPr>
                        <pic:blipFill>
                          <a:blip r:embed="rId51"/>
                          <a:stretch>
                            <a:fillRect/>
                          </a:stretch>
                        </pic:blipFill>
                        <pic:spPr>
                          <a:xfrm>
                            <a:off x="0" y="0"/>
                            <a:ext cx="2557780" cy="1601470"/>
                          </a:xfrm>
                          <a:prstGeom prst="rect">
                            <a:avLst/>
                          </a:prstGeom>
                        </pic:spPr>
                      </pic:pic>
                    </a:graphicData>
                  </a:graphic>
                </wp:inline>
              </w:drawing>
            </w:r>
          </w:p>
        </w:tc>
        <w:tc>
          <w:tcPr>
            <w:tcW w:w="422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2703830" cy="1649730"/>
                  <wp:effectExtent l="0" t="0" r="1270" b="7620"/>
                  <wp:docPr id="2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9"/>
                          <pic:cNvPicPr>
                            <a:picLocks noChangeAspect="1"/>
                          </pic:cNvPicPr>
                        </pic:nvPicPr>
                        <pic:blipFill>
                          <a:blip r:embed="rId52"/>
                          <a:stretch>
                            <a:fillRect/>
                          </a:stretch>
                        </pic:blipFill>
                        <pic:spPr>
                          <a:xfrm>
                            <a:off x="0" y="0"/>
                            <a:ext cx="2703830" cy="16497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2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22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jc w:val="center"/>
        </w:trPr>
        <w:tc>
          <w:tcPr>
            <w:tcW w:w="422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98090" cy="1510030"/>
                  <wp:effectExtent l="0" t="0" r="6985" b="4445"/>
                  <wp:docPr id="266" name="图片 266" descr="172286365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1722863650043"/>
                          <pic:cNvPicPr>
                            <a:picLocks noChangeAspect="1"/>
                          </pic:cNvPicPr>
                        </pic:nvPicPr>
                        <pic:blipFill>
                          <a:blip r:embed="rId53"/>
                          <a:stretch>
                            <a:fillRect/>
                          </a:stretch>
                        </pic:blipFill>
                        <pic:spPr>
                          <a:xfrm>
                            <a:off x="0" y="0"/>
                            <a:ext cx="2498090" cy="1510030"/>
                          </a:xfrm>
                          <a:prstGeom prst="rect">
                            <a:avLst/>
                          </a:prstGeom>
                        </pic:spPr>
                      </pic:pic>
                    </a:graphicData>
                  </a:graphic>
                </wp:inline>
              </w:drawing>
            </w:r>
          </w:p>
        </w:tc>
        <w:tc>
          <w:tcPr>
            <w:tcW w:w="422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635250" cy="1617345"/>
                  <wp:effectExtent l="0" t="0" r="3175" b="1905"/>
                  <wp:docPr id="267" name="图片 267" descr="172286376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1722863767247"/>
                          <pic:cNvPicPr>
                            <a:picLocks noChangeAspect="1"/>
                          </pic:cNvPicPr>
                        </pic:nvPicPr>
                        <pic:blipFill>
                          <a:blip r:embed="rId54"/>
                          <a:stretch>
                            <a:fillRect/>
                          </a:stretch>
                        </pic:blipFill>
                        <pic:spPr>
                          <a:xfrm>
                            <a:off x="0" y="0"/>
                            <a:ext cx="2635250" cy="1617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22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422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08" w:name="_Ref142860075"/>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30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放喷池泄漏不同预测时间</w:t>
      </w: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贡献值与距离浓度关系图</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地下水中石油类的超标及影响距离计算结果见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_Ref142858832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4</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及</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_Ref142860081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09" w:name="_Ref14285883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30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放喷池泄漏地下水中石油类超标及影响距离</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6"/>
        <w:gridCol w:w="1478"/>
        <w:gridCol w:w="1480"/>
        <w:gridCol w:w="1480"/>
        <w:gridCol w:w="1315"/>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899"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叠加后浓度（mg/L）</w:t>
            </w:r>
          </w:p>
        </w:tc>
        <w:tc>
          <w:tcPr>
            <w:tcW w:w="8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2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100d</w:t>
            </w:r>
          </w:p>
        </w:tc>
        <w:tc>
          <w:tcPr>
            <w:tcW w:w="1496"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49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3.858</w:t>
            </w:r>
          </w:p>
        </w:tc>
        <w:tc>
          <w:tcPr>
            <w:tcW w:w="1480"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3.868</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48</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365d</w:t>
            </w:r>
          </w:p>
        </w:tc>
        <w:tc>
          <w:tcPr>
            <w:tcW w:w="1496"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49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1.057</w:t>
            </w:r>
          </w:p>
        </w:tc>
        <w:tc>
          <w:tcPr>
            <w:tcW w:w="1480"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1.067</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93</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1000d</w:t>
            </w:r>
          </w:p>
        </w:tc>
        <w:tc>
          <w:tcPr>
            <w:tcW w:w="1496"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49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0.3858</w:t>
            </w:r>
          </w:p>
        </w:tc>
        <w:tc>
          <w:tcPr>
            <w:tcW w:w="1480"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0.3958</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168</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3650d</w:t>
            </w:r>
          </w:p>
        </w:tc>
        <w:tc>
          <w:tcPr>
            <w:tcW w:w="149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498" w:type="dxa"/>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0.1057</w:t>
            </w:r>
          </w:p>
        </w:tc>
        <w:tc>
          <w:tcPr>
            <w:tcW w:w="1480"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0.1157</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405</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490</w:t>
            </w:r>
          </w:p>
        </w:tc>
      </w:tr>
    </w:tbl>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0"/>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510155" cy="1553845"/>
                  <wp:effectExtent l="0" t="0" r="4445" b="8255"/>
                  <wp:docPr id="271" name="图片 271" descr="17228641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1722864127971"/>
                          <pic:cNvPicPr>
                            <a:picLocks noChangeAspect="1"/>
                          </pic:cNvPicPr>
                        </pic:nvPicPr>
                        <pic:blipFill>
                          <a:blip r:embed="rId55"/>
                          <a:stretch>
                            <a:fillRect/>
                          </a:stretch>
                        </pic:blipFill>
                        <pic:spPr>
                          <a:xfrm>
                            <a:off x="0" y="0"/>
                            <a:ext cx="2510155" cy="155384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2678430" cy="1644015"/>
                  <wp:effectExtent l="0" t="0" r="7620" b="3810"/>
                  <wp:docPr id="2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1"/>
                          <pic:cNvPicPr>
                            <a:picLocks noChangeAspect="1"/>
                          </pic:cNvPicPr>
                        </pic:nvPicPr>
                        <pic:blipFill>
                          <a:blip r:embed="rId56"/>
                          <a:stretch>
                            <a:fillRect/>
                          </a:stretch>
                        </pic:blipFill>
                        <pic:spPr>
                          <a:xfrm>
                            <a:off x="0" y="0"/>
                            <a:ext cx="2678430" cy="1644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44115" cy="1546225"/>
                  <wp:effectExtent l="0" t="0" r="3810" b="6350"/>
                  <wp:docPr id="269" name="图片 269" descr="172286396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722863969287"/>
                          <pic:cNvPicPr>
                            <a:picLocks noChangeAspect="1"/>
                          </pic:cNvPicPr>
                        </pic:nvPicPr>
                        <pic:blipFill>
                          <a:blip r:embed="rId57"/>
                          <a:stretch>
                            <a:fillRect/>
                          </a:stretch>
                        </pic:blipFill>
                        <pic:spPr>
                          <a:xfrm>
                            <a:off x="0" y="0"/>
                            <a:ext cx="2444115" cy="154622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14:textFill>
                  <w14:solidFill>
                    <w14:schemeClr w14:val="tx1"/>
                  </w14:solidFill>
                </w14:textFill>
              </w:rPr>
              <w:drawing>
                <wp:inline distT="0" distB="0" distL="114300" distR="114300">
                  <wp:extent cx="2451735" cy="1527810"/>
                  <wp:effectExtent l="0" t="0" r="5715" b="5715"/>
                  <wp:docPr id="2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0"/>
                          <pic:cNvPicPr>
                            <a:picLocks noChangeAspect="1"/>
                          </pic:cNvPicPr>
                        </pic:nvPicPr>
                        <pic:blipFill>
                          <a:blip r:embed="rId58"/>
                          <a:stretch>
                            <a:fillRect/>
                          </a:stretch>
                        </pic:blipFill>
                        <pic:spPr>
                          <a:xfrm>
                            <a:off x="0" y="0"/>
                            <a:ext cx="2451735" cy="1527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415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10" w:name="_Ref142860081"/>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310"/>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放喷池泄漏不同预测时间石油类贡献值与距离浓度关系图</w:t>
      </w:r>
    </w:p>
    <w:p>
      <w:pPr>
        <w:ind w:firstLine="480"/>
        <w:rPr>
          <w:rFonts w:cs="Times New Roman"/>
          <w:color w:val="000000" w:themeColor="text1"/>
          <w:szCs w:val="24"/>
          <w:highlight w:val="none"/>
          <w14:textFill>
            <w14:solidFill>
              <w14:schemeClr w14:val="tx1"/>
            </w14:solidFill>
          </w14:textFill>
        </w:rPr>
      </w:pPr>
      <w:bookmarkStart w:id="311" w:name="_Toc449942877"/>
      <w:bookmarkStart w:id="312" w:name="_Toc449394636"/>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地下水中氯离子的超标及影响距离计算结果见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_Ref142858867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及</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_Ref142860086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13" w:name="_Ref142858867"/>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31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放喷池泄漏地下水中氯离子超标及影响距离</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42"/>
        <w:gridCol w:w="1480"/>
        <w:gridCol w:w="1642"/>
        <w:gridCol w:w="1315"/>
        <w:gridCol w:w="1480"/>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573"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99"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8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叠加后浓度（mg/L）</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2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100d</w:t>
            </w:r>
          </w:p>
        </w:tc>
        <w:tc>
          <w:tcPr>
            <w:tcW w:w="1506"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672"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77.16</w:t>
            </w:r>
          </w:p>
        </w:tc>
        <w:tc>
          <w:tcPr>
            <w:tcW w:w="1315"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143.36</w:t>
            </w:r>
          </w:p>
        </w:tc>
        <w:tc>
          <w:tcPr>
            <w:tcW w:w="9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365d</w:t>
            </w:r>
          </w:p>
        </w:tc>
        <w:tc>
          <w:tcPr>
            <w:tcW w:w="1506"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672"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21.13</w:t>
            </w:r>
          </w:p>
        </w:tc>
        <w:tc>
          <w:tcPr>
            <w:tcW w:w="1315"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87.33</w:t>
            </w:r>
          </w:p>
        </w:tc>
        <w:tc>
          <w:tcPr>
            <w:tcW w:w="9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8"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1000d</w:t>
            </w:r>
          </w:p>
        </w:tc>
        <w:tc>
          <w:tcPr>
            <w:tcW w:w="1506"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672"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7.72</w:t>
            </w:r>
          </w:p>
        </w:tc>
        <w:tc>
          <w:tcPr>
            <w:tcW w:w="1315"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73.92</w:t>
            </w:r>
          </w:p>
        </w:tc>
        <w:tc>
          <w:tcPr>
            <w:tcW w:w="9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8"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73"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3650d</w:t>
            </w:r>
          </w:p>
        </w:tc>
        <w:tc>
          <w:tcPr>
            <w:tcW w:w="1506"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672"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2.11</w:t>
            </w:r>
          </w:p>
        </w:tc>
        <w:tc>
          <w:tcPr>
            <w:tcW w:w="1315"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68.31</w:t>
            </w:r>
          </w:p>
        </w:tc>
        <w:tc>
          <w:tcPr>
            <w:tcW w:w="900"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8"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r>
    </w:tbl>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4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70150" cy="1525270"/>
                  <wp:effectExtent l="0" t="0" r="6350" b="8255"/>
                  <wp:docPr id="272" name="图片 272" descr="172286428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1722864281037"/>
                          <pic:cNvPicPr>
                            <a:picLocks noChangeAspect="1"/>
                          </pic:cNvPicPr>
                        </pic:nvPicPr>
                        <pic:blipFill>
                          <a:blip r:embed="rId59"/>
                          <a:stretch>
                            <a:fillRect/>
                          </a:stretch>
                        </pic:blipFill>
                        <pic:spPr>
                          <a:xfrm>
                            <a:off x="0" y="0"/>
                            <a:ext cx="2470150" cy="1525270"/>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45385" cy="1469390"/>
                  <wp:effectExtent l="0" t="0" r="2540" b="6985"/>
                  <wp:docPr id="273" name="图片 273" descr="172286433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1722864337259"/>
                          <pic:cNvPicPr>
                            <a:picLocks noChangeAspect="1"/>
                          </pic:cNvPicPr>
                        </pic:nvPicPr>
                        <pic:blipFill>
                          <a:blip r:embed="rId60"/>
                          <a:stretch>
                            <a:fillRect/>
                          </a:stretch>
                        </pic:blipFill>
                        <pic:spPr>
                          <a:xfrm>
                            <a:off x="0" y="0"/>
                            <a:ext cx="2445385" cy="1469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81580" cy="1515745"/>
                  <wp:effectExtent l="0" t="0" r="4445" b="8255"/>
                  <wp:docPr id="274" name="图片 274" descr="172286437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722864379574"/>
                          <pic:cNvPicPr>
                            <a:picLocks noChangeAspect="1"/>
                          </pic:cNvPicPr>
                        </pic:nvPicPr>
                        <pic:blipFill>
                          <a:blip r:embed="rId61"/>
                          <a:stretch>
                            <a:fillRect/>
                          </a:stretch>
                        </pic:blipFill>
                        <pic:spPr>
                          <a:xfrm>
                            <a:off x="0" y="0"/>
                            <a:ext cx="2481580" cy="151574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54910" cy="1504950"/>
                  <wp:effectExtent l="0" t="0" r="2540" b="0"/>
                  <wp:docPr id="275" name="图片 275" descr="172286441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1722864418795"/>
                          <pic:cNvPicPr>
                            <a:picLocks noChangeAspect="1"/>
                          </pic:cNvPicPr>
                        </pic:nvPicPr>
                        <pic:blipFill>
                          <a:blip r:embed="rId62"/>
                          <a:stretch>
                            <a:fillRect/>
                          </a:stretch>
                        </pic:blipFill>
                        <pic:spPr>
                          <a:xfrm>
                            <a:off x="0" y="0"/>
                            <a:ext cx="2454910" cy="1504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14:textFill>
                  <w14:solidFill>
                    <w14:schemeClr w14:val="tx1"/>
                  </w14:solidFill>
                </w14:textFill>
              </w:rPr>
              <w:t>000d</w:t>
            </w:r>
          </w:p>
        </w:tc>
        <w:tc>
          <w:tcPr>
            <w:tcW w:w="415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14" w:name="_Ref142860086"/>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31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放喷池泄漏不同预测时间氯离子贡献值与距离浓度关系图</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2）压裂过程中井筒破裂</w:t>
      </w:r>
    </w:p>
    <w:p>
      <w:pPr>
        <w:ind w:firstLine="480"/>
        <w:rPr>
          <w:rFonts w:cs="Times New Roman"/>
          <w:color w:val="000000" w:themeColor="text1"/>
          <w:szCs w:val="24"/>
          <w:highlight w:val="none"/>
          <w14:textFill>
            <w14:solidFill>
              <w14:schemeClr w14:val="tx1"/>
            </w14:solidFill>
          </w14:textFill>
        </w:rPr>
      </w:pPr>
      <w:bookmarkStart w:id="315" w:name="_Toc7285"/>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地下水中COD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的超标及影响距离计算结果见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_Ref142858891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6</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及</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_Ref142860091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4</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16" w:name="_Ref14285889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31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压裂过程中井筒破裂地下水中</w:t>
      </w: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超标及影响距离</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05"/>
        <w:gridCol w:w="1479"/>
        <w:gridCol w:w="1481"/>
        <w:gridCol w:w="1481"/>
        <w:gridCol w:w="1314"/>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blHeader/>
          <w:jc w:val="center"/>
        </w:trPr>
        <w:tc>
          <w:tcPr>
            <w:tcW w:w="672"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899"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叠加后浓度（mg/L）</w:t>
            </w:r>
          </w:p>
        </w:tc>
        <w:tc>
          <w:tcPr>
            <w:tcW w:w="799"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27"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72"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100d</w:t>
            </w:r>
          </w:p>
        </w:tc>
        <w:tc>
          <w:tcPr>
            <w:tcW w:w="899" w:type="pct"/>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900"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789.13</w:t>
            </w:r>
          </w:p>
        </w:tc>
        <w:tc>
          <w:tcPr>
            <w:tcW w:w="1481"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792.67</w:t>
            </w:r>
          </w:p>
        </w:tc>
        <w:tc>
          <w:tcPr>
            <w:tcW w:w="799"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42</w:t>
            </w:r>
          </w:p>
        </w:tc>
        <w:tc>
          <w:tcPr>
            <w:tcW w:w="827"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72"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365d</w:t>
            </w:r>
          </w:p>
        </w:tc>
        <w:tc>
          <w:tcPr>
            <w:tcW w:w="899" w:type="pct"/>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900" w:type="pct"/>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216.2</w:t>
            </w:r>
          </w:p>
        </w:tc>
        <w:tc>
          <w:tcPr>
            <w:tcW w:w="1481"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219.74</w:t>
            </w:r>
          </w:p>
        </w:tc>
        <w:tc>
          <w:tcPr>
            <w:tcW w:w="799"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87</w:t>
            </w:r>
          </w:p>
        </w:tc>
        <w:tc>
          <w:tcPr>
            <w:tcW w:w="827"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72"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1000d</w:t>
            </w:r>
          </w:p>
        </w:tc>
        <w:tc>
          <w:tcPr>
            <w:tcW w:w="899" w:type="pct"/>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900" w:type="pct"/>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78.9</w:t>
            </w:r>
          </w:p>
        </w:tc>
        <w:tc>
          <w:tcPr>
            <w:tcW w:w="1481"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82.44</w:t>
            </w:r>
          </w:p>
        </w:tc>
        <w:tc>
          <w:tcPr>
            <w:tcW w:w="799"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155</w:t>
            </w:r>
          </w:p>
        </w:tc>
        <w:tc>
          <w:tcPr>
            <w:tcW w:w="827"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72"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3650d</w:t>
            </w:r>
          </w:p>
        </w:tc>
        <w:tc>
          <w:tcPr>
            <w:tcW w:w="899" w:type="pct"/>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900" w:type="pct"/>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21.6</w:t>
            </w:r>
          </w:p>
        </w:tc>
        <w:tc>
          <w:tcPr>
            <w:tcW w:w="1481" w:type="dxa"/>
            <w:vAlign w:val="bottom"/>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0"/>
                <w:highlight w:val="none"/>
                <w:lang w:val="en-US" w:eastAsia="zh-CN"/>
                <w14:textFill>
                  <w14:solidFill>
                    <w14:schemeClr w14:val="tx1"/>
                  </w14:solidFill>
                </w14:textFill>
              </w:rPr>
              <w:t>25.14</w:t>
            </w:r>
          </w:p>
        </w:tc>
        <w:tc>
          <w:tcPr>
            <w:tcW w:w="799" w:type="pct"/>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t>/</w:t>
            </w:r>
          </w:p>
        </w:tc>
        <w:tc>
          <w:tcPr>
            <w:tcW w:w="827"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467</w:t>
            </w:r>
          </w:p>
        </w:tc>
      </w:tr>
    </w:tbl>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4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72055" cy="1522730"/>
                  <wp:effectExtent l="0" t="0" r="4445" b="1270"/>
                  <wp:docPr id="276" name="图片 276" descr="17228645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1722864567187"/>
                          <pic:cNvPicPr>
                            <a:picLocks noChangeAspect="1"/>
                          </pic:cNvPicPr>
                        </pic:nvPicPr>
                        <pic:blipFill>
                          <a:blip r:embed="rId63"/>
                          <a:stretch>
                            <a:fillRect/>
                          </a:stretch>
                        </pic:blipFill>
                        <pic:spPr>
                          <a:xfrm>
                            <a:off x="0" y="0"/>
                            <a:ext cx="2472055" cy="1522730"/>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46655" cy="1485265"/>
                  <wp:effectExtent l="0" t="0" r="1270" b="635"/>
                  <wp:docPr id="277" name="图片 277" descr="172286463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1722864639220"/>
                          <pic:cNvPicPr>
                            <a:picLocks noChangeAspect="1"/>
                          </pic:cNvPicPr>
                        </pic:nvPicPr>
                        <pic:blipFill>
                          <a:blip r:embed="rId64"/>
                          <a:stretch>
                            <a:fillRect/>
                          </a:stretch>
                        </pic:blipFill>
                        <pic:spPr>
                          <a:xfrm>
                            <a:off x="0" y="0"/>
                            <a:ext cx="2446655" cy="1485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82215" cy="1573530"/>
                  <wp:effectExtent l="0" t="0" r="3810" b="7620"/>
                  <wp:docPr id="278" name="图片 278" descr="172286470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1722864704188"/>
                          <pic:cNvPicPr>
                            <a:picLocks noChangeAspect="1"/>
                          </pic:cNvPicPr>
                        </pic:nvPicPr>
                        <pic:blipFill>
                          <a:blip r:embed="rId65"/>
                          <a:stretch>
                            <a:fillRect/>
                          </a:stretch>
                        </pic:blipFill>
                        <pic:spPr>
                          <a:xfrm>
                            <a:off x="0" y="0"/>
                            <a:ext cx="2482215" cy="1573530"/>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56180" cy="1543050"/>
                  <wp:effectExtent l="0" t="0" r="1270" b="0"/>
                  <wp:docPr id="279" name="图片 279" descr="172286479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1722864791865"/>
                          <pic:cNvPicPr>
                            <a:picLocks noChangeAspect="1"/>
                          </pic:cNvPicPr>
                        </pic:nvPicPr>
                        <pic:blipFill>
                          <a:blip r:embed="rId66"/>
                          <a:stretch>
                            <a:fillRect/>
                          </a:stretch>
                        </pic:blipFill>
                        <pic:spPr>
                          <a:xfrm>
                            <a:off x="0" y="0"/>
                            <a:ext cx="2456180" cy="1543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415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17" w:name="_Ref142860091"/>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bookmarkEnd w:id="31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井筒破裂不同预测时间</w:t>
      </w: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r>
        <w:rPr>
          <w:color w:val="000000" w:themeColor="text1"/>
          <w:highlight w:val="none"/>
          <w14:textFill>
            <w14:solidFill>
              <w14:schemeClr w14:val="tx1"/>
            </w14:solidFill>
          </w14:textFill>
        </w:rPr>
        <w:t>贡献值与距离浓度关系图</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地下水中石油类的超标及影响距离计算结果见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_Ref142858921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7</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及</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_Ref142860096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18" w:name="_Ref14285892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31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压裂过程中井筒破裂地下水中石油类超标及影响距离</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9"/>
        <w:gridCol w:w="1491"/>
        <w:gridCol w:w="1506"/>
        <w:gridCol w:w="1506"/>
        <w:gridCol w:w="133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68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891"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9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叠加后浓度（mg/L）</w:t>
            </w:r>
          </w:p>
        </w:tc>
        <w:tc>
          <w:tcPr>
            <w:tcW w:w="800"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2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681"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100d</w:t>
            </w:r>
          </w:p>
        </w:tc>
        <w:tc>
          <w:tcPr>
            <w:tcW w:w="1491"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506"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31.56</w:t>
            </w:r>
          </w:p>
        </w:tc>
        <w:tc>
          <w:tcPr>
            <w:tcW w:w="1506"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bCs/>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0"/>
                <w:highlight w:val="none"/>
                <w:lang w:val="en-US" w:eastAsia="zh-CN"/>
                <w14:textFill>
                  <w14:solidFill>
                    <w14:schemeClr w14:val="tx1"/>
                  </w14:solidFill>
                </w14:textFill>
              </w:rPr>
              <w:t>31.57</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55</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81"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365d</w:t>
            </w:r>
          </w:p>
        </w:tc>
        <w:tc>
          <w:tcPr>
            <w:tcW w:w="1491"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506"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8.64</w:t>
            </w:r>
          </w:p>
        </w:tc>
        <w:tc>
          <w:tcPr>
            <w:tcW w:w="1506"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bCs/>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0"/>
                <w:highlight w:val="none"/>
                <w:lang w:val="en-US" w:eastAsia="zh-CN"/>
                <w14:textFill>
                  <w14:solidFill>
                    <w14:schemeClr w14:val="tx1"/>
                  </w14:solidFill>
                </w14:textFill>
              </w:rPr>
              <w:t>8.65</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110</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681"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1000d</w:t>
            </w:r>
          </w:p>
        </w:tc>
        <w:tc>
          <w:tcPr>
            <w:tcW w:w="1491"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506"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3.156</w:t>
            </w:r>
          </w:p>
        </w:tc>
        <w:tc>
          <w:tcPr>
            <w:tcW w:w="1506"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bCs/>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0"/>
                <w:highlight w:val="none"/>
                <w:lang w:val="en-US" w:eastAsia="zh-CN"/>
                <w14:textFill>
                  <w14:solidFill>
                    <w14:schemeClr w14:val="tx1"/>
                  </w14:solidFill>
                </w14:textFill>
              </w:rPr>
              <w:t>3.166</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203</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681"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3650d</w:t>
            </w:r>
          </w:p>
        </w:tc>
        <w:tc>
          <w:tcPr>
            <w:tcW w:w="1491"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506"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0.864</w:t>
            </w:r>
          </w:p>
        </w:tc>
        <w:tc>
          <w:tcPr>
            <w:tcW w:w="1506"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bCs/>
                <w:color w:val="000000" w:themeColor="text1"/>
                <w:szCs w:val="2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0"/>
                <w:highlight w:val="none"/>
                <w:lang w:val="en-US" w:eastAsia="zh-CN"/>
                <w14:textFill>
                  <w14:solidFill>
                    <w14:schemeClr w14:val="tx1"/>
                  </w14:solidFill>
                </w14:textFill>
              </w:rPr>
              <w:t>0.874</w:t>
            </w:r>
          </w:p>
        </w:tc>
        <w:tc>
          <w:tcPr>
            <w:tcW w:w="800"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490</w:t>
            </w:r>
          </w:p>
        </w:tc>
        <w:tc>
          <w:tcPr>
            <w:tcW w:w="82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567</w:t>
            </w:r>
          </w:p>
        </w:tc>
      </w:tr>
    </w:tbl>
    <w:p>
      <w:pPr>
        <w:pStyle w:val="93"/>
        <w:rPr>
          <w:rFonts w:eastAsia="黑体"/>
          <w:color w:val="000000" w:themeColor="text1"/>
          <w:sz w:val="10"/>
          <w:szCs w:val="10"/>
          <w:highlight w:val="none"/>
          <w14:textFill>
            <w14:solidFill>
              <w14:schemeClr w14:val="tx1"/>
            </w14:solidFill>
          </w14:textFill>
        </w:rPr>
      </w:pP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8"/>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54910" cy="1518285"/>
                  <wp:effectExtent l="0" t="0" r="2540" b="5715"/>
                  <wp:docPr id="283" name="图片 283" descr="17228651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1722865181743"/>
                          <pic:cNvPicPr>
                            <a:picLocks noChangeAspect="1"/>
                          </pic:cNvPicPr>
                        </pic:nvPicPr>
                        <pic:blipFill>
                          <a:blip r:embed="rId67"/>
                          <a:stretch>
                            <a:fillRect/>
                          </a:stretch>
                        </pic:blipFill>
                        <pic:spPr>
                          <a:xfrm>
                            <a:off x="0" y="0"/>
                            <a:ext cx="2454910" cy="151828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82850" cy="1529080"/>
                  <wp:effectExtent l="0" t="0" r="3175" b="4445"/>
                  <wp:docPr id="282" name="图片 282" descr="172286513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1722865132285"/>
                          <pic:cNvPicPr>
                            <a:picLocks noChangeAspect="1"/>
                          </pic:cNvPicPr>
                        </pic:nvPicPr>
                        <pic:blipFill>
                          <a:blip r:embed="rId68"/>
                          <a:stretch>
                            <a:fillRect/>
                          </a:stretch>
                        </pic:blipFill>
                        <pic:spPr>
                          <a:xfrm>
                            <a:off x="0" y="0"/>
                            <a:ext cx="2482850" cy="1529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46020" cy="1492250"/>
                  <wp:effectExtent l="0" t="0" r="1905" b="3175"/>
                  <wp:docPr id="281" name="图片 281" descr="172286505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1722865055130"/>
                          <pic:cNvPicPr>
                            <a:picLocks noChangeAspect="1"/>
                          </pic:cNvPicPr>
                        </pic:nvPicPr>
                        <pic:blipFill>
                          <a:blip r:embed="rId69"/>
                          <a:stretch>
                            <a:fillRect/>
                          </a:stretch>
                        </pic:blipFill>
                        <pic:spPr>
                          <a:xfrm>
                            <a:off x="0" y="0"/>
                            <a:ext cx="2446020" cy="1492250"/>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72055" cy="1516380"/>
                  <wp:effectExtent l="0" t="0" r="4445" b="7620"/>
                  <wp:docPr id="280" name="图片 280" descr="172286488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1722864886682"/>
                          <pic:cNvPicPr>
                            <a:picLocks noChangeAspect="1"/>
                          </pic:cNvPicPr>
                        </pic:nvPicPr>
                        <pic:blipFill>
                          <a:blip r:embed="rId70"/>
                          <a:stretch>
                            <a:fillRect/>
                          </a:stretch>
                        </pic:blipFill>
                        <pic:spPr>
                          <a:xfrm>
                            <a:off x="0" y="0"/>
                            <a:ext cx="2472055" cy="1516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415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19" w:name="_Ref142860096"/>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31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压裂过程中井筒破裂不同预测时间石油类贡献值与距离浓度关系图</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地下水中氯离子的超标及影响距离计算结果见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_Ref142858950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8</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及</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_Ref142860101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6</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20" w:name="_Ref14285895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bookmarkEnd w:id="320"/>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压裂过程中井筒破裂地下水中氯离子超标及影响距离</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0"/>
        <w:gridCol w:w="1509"/>
        <w:gridCol w:w="1509"/>
        <w:gridCol w:w="1509"/>
        <w:gridCol w:w="1342"/>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584"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污染时间</w:t>
            </w:r>
          </w:p>
        </w:tc>
        <w:tc>
          <w:tcPr>
            <w:tcW w:w="91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中心点迁移距离（m）</w:t>
            </w:r>
          </w:p>
        </w:tc>
        <w:tc>
          <w:tcPr>
            <w:tcW w:w="91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中心点处浓度（mg/L）</w:t>
            </w:r>
          </w:p>
        </w:tc>
        <w:tc>
          <w:tcPr>
            <w:tcW w:w="918"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叠加后浓度（mg/L）</w:t>
            </w:r>
          </w:p>
        </w:tc>
        <w:tc>
          <w:tcPr>
            <w:tcW w:w="81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最远超标距离（m）</w:t>
            </w:r>
          </w:p>
        </w:tc>
        <w:tc>
          <w:tcPr>
            <w:tcW w:w="846" w:type="pc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最远影响距离（m）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84"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100d</w:t>
            </w:r>
          </w:p>
        </w:tc>
        <w:tc>
          <w:tcPr>
            <w:tcW w:w="1509"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509"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631.31</w:t>
            </w:r>
          </w:p>
        </w:tc>
        <w:tc>
          <w:tcPr>
            <w:tcW w:w="91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p>
        </w:tc>
        <w:tc>
          <w:tcPr>
            <w:tcW w:w="816"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26</w:t>
            </w:r>
          </w:p>
        </w:tc>
        <w:tc>
          <w:tcPr>
            <w:tcW w:w="846"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584"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365d</w:t>
            </w:r>
          </w:p>
        </w:tc>
        <w:tc>
          <w:tcPr>
            <w:tcW w:w="1509"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509"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172.96</w:t>
            </w:r>
          </w:p>
        </w:tc>
        <w:tc>
          <w:tcPr>
            <w:tcW w:w="91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p>
        </w:tc>
        <w:tc>
          <w:tcPr>
            <w:tcW w:w="816"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c>
          <w:tcPr>
            <w:tcW w:w="846"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584"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1000d</w:t>
            </w:r>
          </w:p>
        </w:tc>
        <w:tc>
          <w:tcPr>
            <w:tcW w:w="1509"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82</w:t>
            </w:r>
          </w:p>
        </w:tc>
        <w:tc>
          <w:tcPr>
            <w:tcW w:w="1509"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63.13</w:t>
            </w:r>
          </w:p>
        </w:tc>
        <w:tc>
          <w:tcPr>
            <w:tcW w:w="91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p>
        </w:tc>
        <w:tc>
          <w:tcPr>
            <w:tcW w:w="816"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c>
          <w:tcPr>
            <w:tcW w:w="846"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 w:hRule="atLeast"/>
          <w:jc w:val="center"/>
        </w:trPr>
        <w:tc>
          <w:tcPr>
            <w:tcW w:w="584"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3650d</w:t>
            </w:r>
          </w:p>
        </w:tc>
        <w:tc>
          <w:tcPr>
            <w:tcW w:w="1509" w:type="dxa"/>
            <w:vAlign w:val="center"/>
          </w:tcPr>
          <w:p>
            <w:pPr>
              <w:pStyle w:val="295"/>
              <w:keepNext w:val="0"/>
              <w:keepLines w:val="0"/>
              <w:widowControl/>
              <w:suppressLineNumbers w:val="0"/>
              <w:spacing w:before="0" w:beforeAutospacing="0" w:after="0" w:afterAutospacing="0"/>
              <w:ind w:left="0" w:leftChars="0" w:right="0" w:rightChars="0"/>
              <w:rPr>
                <w:rFonts w:hint="default"/>
                <w:bCs/>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299</w:t>
            </w:r>
          </w:p>
        </w:tc>
        <w:tc>
          <w:tcPr>
            <w:tcW w:w="1509" w:type="dxa"/>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17.30</w:t>
            </w:r>
          </w:p>
        </w:tc>
        <w:tc>
          <w:tcPr>
            <w:tcW w:w="918" w:type="pct"/>
            <w:vAlign w:val="center"/>
          </w:tcPr>
          <w:p>
            <w:pPr>
              <w:pStyle w:val="295"/>
              <w:keepNext w:val="0"/>
              <w:keepLines w:val="0"/>
              <w:widowControl/>
              <w:suppressLineNumbers w:val="0"/>
              <w:spacing w:before="0" w:beforeAutospacing="0" w:after="0" w:afterAutospacing="0"/>
              <w:ind w:left="0" w:right="0"/>
              <w:rPr>
                <w:rFonts w:hint="default" w:eastAsia="宋体"/>
                <w:bCs/>
                <w:color w:val="000000" w:themeColor="text1"/>
                <w:szCs w:val="20"/>
                <w:highlight w:val="none"/>
                <w:lang w:val="en-US" w:eastAsia="zh-CN"/>
                <w14:textFill>
                  <w14:solidFill>
                    <w14:schemeClr w14:val="tx1"/>
                  </w14:solidFill>
                </w14:textFill>
              </w:rPr>
            </w:pPr>
          </w:p>
        </w:tc>
        <w:tc>
          <w:tcPr>
            <w:tcW w:w="816"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c>
          <w:tcPr>
            <w:tcW w:w="846" w:type="pct"/>
            <w:vAlign w:val="center"/>
          </w:tcPr>
          <w:p>
            <w:pPr>
              <w:pStyle w:val="295"/>
              <w:keepNext w:val="0"/>
              <w:keepLines w:val="0"/>
              <w:widowControl/>
              <w:suppressLineNumbers w:val="0"/>
              <w:spacing w:before="0" w:beforeAutospacing="0" w:after="0" w:afterAutospacing="0"/>
              <w:ind w:left="0" w:right="0"/>
              <w:rPr>
                <w:rFonts w:hint="default"/>
                <w:bCs/>
                <w:color w:val="000000" w:themeColor="text1"/>
                <w:szCs w:val="20"/>
                <w:highlight w:val="none"/>
                <w14:textFill>
                  <w14:solidFill>
                    <w14:schemeClr w14:val="tx1"/>
                  </w14:solidFill>
                </w14:textFill>
              </w:rPr>
            </w:pPr>
            <w:r>
              <w:rPr>
                <w:rFonts w:hint="default"/>
                <w:bCs/>
                <w:color w:val="000000" w:themeColor="text1"/>
                <w:szCs w:val="20"/>
                <w:highlight w:val="none"/>
                <w14:textFill>
                  <w14:solidFill>
                    <w14:schemeClr w14:val="tx1"/>
                  </w14:solidFill>
                </w14:textFill>
              </w:rPr>
              <w:t>/</w:t>
            </w:r>
          </w:p>
        </w:tc>
      </w:tr>
    </w:tbl>
    <w:p>
      <w:pPr>
        <w:pStyle w:val="93"/>
        <w:rPr>
          <w:color w:val="000000" w:themeColor="text1"/>
          <w:sz w:val="10"/>
          <w:szCs w:val="10"/>
          <w:highlight w:val="none"/>
          <w14:textFill>
            <w14:solidFill>
              <w14:schemeClr w14:val="tx1"/>
            </w14:solidFill>
          </w14:textFill>
        </w:rPr>
      </w:pPr>
    </w:p>
    <w:tbl>
      <w:tblPr>
        <w:tblStyle w:val="53"/>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2"/>
        <w:gridCol w:w="4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70150" cy="1511935"/>
                  <wp:effectExtent l="0" t="0" r="6350" b="2540"/>
                  <wp:docPr id="284" name="图片 284" descr="172286526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1722865268050"/>
                          <pic:cNvPicPr>
                            <a:picLocks noChangeAspect="1"/>
                          </pic:cNvPicPr>
                        </pic:nvPicPr>
                        <pic:blipFill>
                          <a:blip r:embed="rId71"/>
                          <a:stretch>
                            <a:fillRect/>
                          </a:stretch>
                        </pic:blipFill>
                        <pic:spPr>
                          <a:xfrm>
                            <a:off x="0" y="0"/>
                            <a:ext cx="2470150" cy="151193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46020" cy="1501140"/>
                  <wp:effectExtent l="0" t="0" r="1905" b="3810"/>
                  <wp:docPr id="285" name="图片 285" descr="172286535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1722865355587"/>
                          <pic:cNvPicPr>
                            <a:picLocks noChangeAspect="1"/>
                          </pic:cNvPicPr>
                        </pic:nvPicPr>
                        <pic:blipFill>
                          <a:blip r:embed="rId72"/>
                          <a:stretch>
                            <a:fillRect/>
                          </a:stretch>
                        </pic:blipFill>
                        <pic:spPr>
                          <a:xfrm>
                            <a:off x="0" y="0"/>
                            <a:ext cx="2446020" cy="1501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100d</w:t>
            </w:r>
          </w:p>
        </w:tc>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77770" cy="1534795"/>
                  <wp:effectExtent l="0" t="0" r="8255" b="8255"/>
                  <wp:docPr id="286" name="图片 286" descr="17228654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1722865435573"/>
                          <pic:cNvPicPr>
                            <a:picLocks noChangeAspect="1"/>
                          </pic:cNvPicPr>
                        </pic:nvPicPr>
                        <pic:blipFill>
                          <a:blip r:embed="rId73"/>
                          <a:stretch>
                            <a:fillRect/>
                          </a:stretch>
                        </pic:blipFill>
                        <pic:spPr>
                          <a:xfrm>
                            <a:off x="0" y="0"/>
                            <a:ext cx="2477770" cy="1534795"/>
                          </a:xfrm>
                          <a:prstGeom prst="rect">
                            <a:avLst/>
                          </a:prstGeom>
                        </pic:spPr>
                      </pic:pic>
                    </a:graphicData>
                  </a:graphic>
                </wp:inline>
              </w:drawing>
            </w:r>
          </w:p>
        </w:tc>
        <w:tc>
          <w:tcPr>
            <w:tcW w:w="4150" w:type="dxa"/>
            <w:vAlign w:val="top"/>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eastAsia="宋体"/>
                <w:color w:val="000000" w:themeColor="text1"/>
                <w:szCs w:val="20"/>
                <w:highlight w:val="none"/>
                <w:lang w:eastAsia="zh-CN"/>
                <w14:textFill>
                  <w14:solidFill>
                    <w14:schemeClr w14:val="tx1"/>
                  </w14:solidFill>
                </w14:textFill>
              </w:rPr>
              <w:drawing>
                <wp:inline distT="0" distB="0" distL="114300" distR="114300">
                  <wp:extent cx="2453640" cy="1512570"/>
                  <wp:effectExtent l="0" t="0" r="3810" b="1905"/>
                  <wp:docPr id="287" name="图片 287" descr="172286549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1722865497780"/>
                          <pic:cNvPicPr>
                            <a:picLocks noChangeAspect="1"/>
                          </pic:cNvPicPr>
                        </pic:nvPicPr>
                        <pic:blipFill>
                          <a:blip r:embed="rId74"/>
                          <a:stretch>
                            <a:fillRect/>
                          </a:stretch>
                        </pic:blipFill>
                        <pic:spPr>
                          <a:xfrm>
                            <a:off x="0" y="0"/>
                            <a:ext cx="2453640" cy="15125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vAlign w:val="top"/>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1000d</w:t>
            </w:r>
          </w:p>
        </w:tc>
        <w:tc>
          <w:tcPr>
            <w:tcW w:w="4150" w:type="dxa"/>
            <w:vAlign w:val="top"/>
          </w:tcPr>
          <w:p>
            <w:pPr>
              <w:pStyle w:val="295"/>
              <w:keepNext/>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3650d</w:t>
            </w:r>
          </w:p>
        </w:tc>
      </w:tr>
    </w:tbl>
    <w:p>
      <w:pPr>
        <w:pStyle w:val="163"/>
        <w:rPr>
          <w:color w:val="000000" w:themeColor="text1"/>
          <w:highlight w:val="none"/>
          <w14:textFill>
            <w14:solidFill>
              <w14:schemeClr w14:val="tx1"/>
            </w14:solidFill>
          </w14:textFill>
        </w:rPr>
      </w:pPr>
      <w:bookmarkStart w:id="321" w:name="_Ref142860101"/>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bookmarkEnd w:id="32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井筒破裂不同预测时间氯离子贡献值与距离大小关系图</w:t>
      </w:r>
    </w:p>
    <w:p>
      <w:pPr>
        <w:ind w:firstLine="482"/>
        <w:rPr>
          <w:rFonts w:cs="Times New Roman"/>
          <w:b/>
          <w:bCs/>
          <w:color w:val="000000" w:themeColor="text1"/>
          <w:szCs w:val="24"/>
          <w:highlight w:val="none"/>
          <w14:textFill>
            <w14:solidFill>
              <w14:schemeClr w14:val="tx1"/>
            </w14:solidFill>
          </w14:textFill>
        </w:rPr>
      </w:pPr>
      <w:bookmarkStart w:id="322" w:name="_Toc78877615"/>
      <w:r>
        <w:rPr>
          <w:rFonts w:cs="Times New Roman"/>
          <w:b/>
          <w:bCs/>
          <w:color w:val="000000" w:themeColor="text1"/>
          <w:szCs w:val="24"/>
          <w:highlight w:val="none"/>
          <w14:textFill>
            <w14:solidFill>
              <w14:schemeClr w14:val="tx1"/>
            </w14:solidFill>
          </w14:textFill>
        </w:rPr>
        <w:t>（5）地下水影响评价</w:t>
      </w:r>
      <w:bookmarkEnd w:id="322"/>
    </w:p>
    <w:bookmarkEnd w:id="311"/>
    <w:bookmarkEnd w:id="312"/>
    <w:bookmarkEnd w:id="315"/>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1）放喷池池体破裂</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在放喷池池体破裂</w:t>
      </w:r>
      <w:r>
        <w:rPr>
          <w:rFonts w:hint="eastAsia" w:cs="Times New Roman"/>
          <w:color w:val="000000" w:themeColor="text1"/>
          <w:szCs w:val="24"/>
          <w:highlight w:val="none"/>
          <w:lang w:val="en-US" w:eastAsia="zh-CN"/>
          <w14:textFill>
            <w14:solidFill>
              <w14:schemeClr w14:val="tx1"/>
            </w14:solidFill>
          </w14:textFill>
        </w:rPr>
        <w:t>365</w:t>
      </w:r>
      <w:r>
        <w:rPr>
          <w:rFonts w:cs="Times New Roman"/>
          <w:color w:val="000000" w:themeColor="text1"/>
          <w:szCs w:val="24"/>
          <w:highlight w:val="none"/>
          <w14:textFill>
            <w14:solidFill>
              <w14:schemeClr w14:val="tx1"/>
            </w14:solidFill>
          </w14:textFill>
        </w:rPr>
        <w:t>d时最远超标距离为下游</w:t>
      </w:r>
      <w:r>
        <w:rPr>
          <w:rFonts w:hint="eastAsia" w:cs="Times New Roman"/>
          <w:color w:val="000000" w:themeColor="text1"/>
          <w:szCs w:val="24"/>
          <w:highlight w:val="none"/>
          <w:lang w:val="en-US" w:eastAsia="zh-CN"/>
          <w14:textFill>
            <w14:solidFill>
              <w14:schemeClr w14:val="tx1"/>
            </w14:solidFill>
          </w14:textFill>
        </w:rPr>
        <w:t>53</w:t>
      </w:r>
      <w:r>
        <w:rPr>
          <w:rFonts w:cs="Times New Roman"/>
          <w:color w:val="000000" w:themeColor="text1"/>
          <w:szCs w:val="24"/>
          <w:highlight w:val="none"/>
          <w14:textFill>
            <w14:solidFill>
              <w14:schemeClr w14:val="tx1"/>
            </w14:solidFill>
          </w14:textFill>
        </w:rPr>
        <w:t>m，最高浓度为</w:t>
      </w:r>
      <w:r>
        <w:rPr>
          <w:rFonts w:hint="eastAsia" w:cs="Times New Roman"/>
          <w:bCs/>
          <w:color w:val="000000" w:themeColor="text1"/>
          <w:szCs w:val="24"/>
          <w:highlight w:val="none"/>
          <w:lang w:val="en-US" w:eastAsia="zh-CN"/>
          <w14:textFill>
            <w14:solidFill>
              <w14:schemeClr w14:val="tx1"/>
            </w14:solidFill>
          </w14:textFill>
        </w:rPr>
        <w:t>29.44</w:t>
      </w:r>
      <w:r>
        <w:rPr>
          <w:rFonts w:cs="Times New Roman"/>
          <w:color w:val="000000" w:themeColor="text1"/>
          <w:szCs w:val="24"/>
          <w:highlight w:val="none"/>
          <w14:textFill>
            <w14:solidFill>
              <w14:schemeClr w14:val="tx1"/>
            </w14:solidFill>
          </w14:textFill>
        </w:rPr>
        <w:t>mg/L，在</w:t>
      </w:r>
      <w:r>
        <w:rPr>
          <w:rFonts w:hint="eastAsia" w:cs="Times New Roman"/>
          <w:color w:val="000000" w:themeColor="text1"/>
          <w:szCs w:val="24"/>
          <w:highlight w:val="none"/>
          <w:lang w:val="en-US" w:eastAsia="zh-CN"/>
          <w14:textFill>
            <w14:solidFill>
              <w14:schemeClr w14:val="tx1"/>
            </w14:solidFill>
          </w14:textFill>
        </w:rPr>
        <w:t>1000</w:t>
      </w:r>
      <w:r>
        <w:rPr>
          <w:rFonts w:cs="Times New Roman"/>
          <w:color w:val="000000" w:themeColor="text1"/>
          <w:szCs w:val="24"/>
          <w:highlight w:val="none"/>
          <w14:textFill>
            <w14:solidFill>
              <w14:schemeClr w14:val="tx1"/>
            </w14:solidFill>
          </w14:textFill>
        </w:rPr>
        <w:t>d时，已无超标范围。</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石油类在放喷池池体破裂3650d时最远超标距离为下游</w:t>
      </w:r>
      <w:r>
        <w:rPr>
          <w:rFonts w:hint="eastAsia" w:cs="Times New Roman"/>
          <w:color w:val="000000" w:themeColor="text1"/>
          <w:szCs w:val="24"/>
          <w:highlight w:val="none"/>
          <w:lang w:val="en-US" w:eastAsia="zh-CN"/>
          <w14:textFill>
            <w14:solidFill>
              <w14:schemeClr w14:val="tx1"/>
            </w14:solidFill>
          </w14:textFill>
        </w:rPr>
        <w:t>405</w:t>
      </w:r>
      <w:r>
        <w:rPr>
          <w:rFonts w:cs="Times New Roman"/>
          <w:color w:val="000000" w:themeColor="text1"/>
          <w:szCs w:val="24"/>
          <w:highlight w:val="none"/>
          <w14:textFill>
            <w14:solidFill>
              <w14:schemeClr w14:val="tx1"/>
            </w14:solidFill>
          </w14:textFill>
        </w:rPr>
        <w:t>m，最高浓度为</w:t>
      </w:r>
      <w:r>
        <w:rPr>
          <w:rFonts w:cs="Times New Roman"/>
          <w:bCs/>
          <w:color w:val="000000" w:themeColor="text1"/>
          <w:szCs w:val="24"/>
          <w:highlight w:val="none"/>
          <w14:textFill>
            <w14:solidFill>
              <w14:schemeClr w14:val="tx1"/>
            </w14:solidFill>
          </w14:textFill>
        </w:rPr>
        <w:t>0.</w:t>
      </w:r>
      <w:r>
        <w:rPr>
          <w:rFonts w:hint="eastAsia" w:cs="Times New Roman"/>
          <w:bCs/>
          <w:color w:val="000000" w:themeColor="text1"/>
          <w:szCs w:val="24"/>
          <w:highlight w:val="none"/>
          <w:lang w:val="en-US" w:eastAsia="zh-CN"/>
          <w14:textFill>
            <w14:solidFill>
              <w14:schemeClr w14:val="tx1"/>
            </w14:solidFill>
          </w14:textFill>
        </w:rPr>
        <w:t>1157</w:t>
      </w:r>
      <w:r>
        <w:rPr>
          <w:rFonts w:cs="Times New Roman"/>
          <w:color w:val="000000" w:themeColor="text1"/>
          <w:szCs w:val="24"/>
          <w:highlight w:val="none"/>
          <w14:textFill>
            <w14:solidFill>
              <w14:schemeClr w14:val="tx1"/>
            </w14:solidFill>
          </w14:textFill>
        </w:rPr>
        <w:t>mg/L。</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氯</w:t>
      </w:r>
      <w:r>
        <w:rPr>
          <w:rFonts w:hint="eastAsia" w:cs="Times New Roman"/>
          <w:color w:val="000000" w:themeColor="text1"/>
          <w:szCs w:val="24"/>
          <w:highlight w:val="none"/>
          <w14:textFill>
            <w14:solidFill>
              <w14:schemeClr w14:val="tx1"/>
            </w14:solidFill>
          </w14:textFill>
        </w:rPr>
        <w:t>离子</w:t>
      </w:r>
      <w:r>
        <w:rPr>
          <w:rFonts w:cs="Times New Roman"/>
          <w:color w:val="000000" w:themeColor="text1"/>
          <w:szCs w:val="24"/>
          <w:highlight w:val="none"/>
          <w14:textFill>
            <w14:solidFill>
              <w14:schemeClr w14:val="tx1"/>
            </w14:solidFill>
          </w14:textFill>
        </w:rPr>
        <w:t>在放喷池破裂整个工况下中心点处均未出现超标现象。</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2）压裂过程井筒破裂</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COD</w:t>
      </w:r>
      <w:r>
        <w:rPr>
          <w:rFonts w:cs="Times New Roman"/>
          <w:color w:val="000000" w:themeColor="text1"/>
          <w:szCs w:val="24"/>
          <w:highlight w:val="none"/>
          <w:vertAlign w:val="subscript"/>
          <w14:textFill>
            <w14:solidFill>
              <w14:schemeClr w14:val="tx1"/>
            </w14:solidFill>
          </w14:textFill>
        </w:rPr>
        <w:t>Cr</w:t>
      </w:r>
      <w:r>
        <w:rPr>
          <w:rFonts w:cs="Times New Roman"/>
          <w:color w:val="000000" w:themeColor="text1"/>
          <w:szCs w:val="24"/>
          <w:highlight w:val="none"/>
          <w14:textFill>
            <w14:solidFill>
              <w14:schemeClr w14:val="tx1"/>
            </w14:solidFill>
          </w14:textFill>
        </w:rPr>
        <w:t>在井筒破裂100</w:t>
      </w:r>
      <w:r>
        <w:rPr>
          <w:rFonts w:hint="eastAsia" w:cs="Times New Roman"/>
          <w:color w:val="000000" w:themeColor="text1"/>
          <w:szCs w:val="24"/>
          <w:highlight w:val="none"/>
          <w:lang w:val="en-US" w:eastAsia="zh-CN"/>
          <w14:textFill>
            <w14:solidFill>
              <w14:schemeClr w14:val="tx1"/>
            </w14:solidFill>
          </w14:textFill>
        </w:rPr>
        <w:t>0</w:t>
      </w:r>
      <w:r>
        <w:rPr>
          <w:rFonts w:cs="Times New Roman"/>
          <w:color w:val="000000" w:themeColor="text1"/>
          <w:szCs w:val="24"/>
          <w:highlight w:val="none"/>
          <w14:textFill>
            <w14:solidFill>
              <w14:schemeClr w14:val="tx1"/>
            </w14:solidFill>
          </w14:textFill>
        </w:rPr>
        <w:t>d时最远超标距离为下游</w:t>
      </w:r>
      <w:r>
        <w:rPr>
          <w:rFonts w:hint="eastAsia" w:cs="Times New Roman"/>
          <w:color w:val="000000" w:themeColor="text1"/>
          <w:szCs w:val="24"/>
          <w:highlight w:val="none"/>
          <w:lang w:val="en-US" w:eastAsia="zh-CN"/>
          <w14:textFill>
            <w14:solidFill>
              <w14:schemeClr w14:val="tx1"/>
            </w14:solidFill>
          </w14:textFill>
        </w:rPr>
        <w:t>155</w:t>
      </w:r>
      <w:r>
        <w:rPr>
          <w:rFonts w:cs="Times New Roman"/>
          <w:color w:val="000000" w:themeColor="text1"/>
          <w:szCs w:val="24"/>
          <w:highlight w:val="none"/>
          <w14:textFill>
            <w14:solidFill>
              <w14:schemeClr w14:val="tx1"/>
            </w14:solidFill>
          </w14:textFill>
        </w:rPr>
        <w:t>m，最高浓度为</w:t>
      </w:r>
      <w:r>
        <w:rPr>
          <w:rFonts w:hint="eastAsia" w:cs="Times New Roman"/>
          <w:bCs/>
          <w:color w:val="000000" w:themeColor="text1"/>
          <w:szCs w:val="24"/>
          <w:highlight w:val="none"/>
          <w:lang w:val="en-US" w:eastAsia="zh-CN"/>
          <w14:textFill>
            <w14:solidFill>
              <w14:schemeClr w14:val="tx1"/>
            </w14:solidFill>
          </w14:textFill>
        </w:rPr>
        <w:t>82.44</w:t>
      </w:r>
      <w:r>
        <w:rPr>
          <w:rFonts w:cs="Times New Roman"/>
          <w:color w:val="000000" w:themeColor="text1"/>
          <w:szCs w:val="24"/>
          <w:highlight w:val="none"/>
          <w14:textFill>
            <w14:solidFill>
              <w14:schemeClr w14:val="tx1"/>
            </w14:solidFill>
          </w14:textFill>
        </w:rPr>
        <w:t>mg/L，在365</w:t>
      </w:r>
      <w:r>
        <w:rPr>
          <w:rFonts w:hint="eastAsia" w:cs="Times New Roman"/>
          <w:color w:val="000000" w:themeColor="text1"/>
          <w:szCs w:val="24"/>
          <w:highlight w:val="none"/>
          <w:lang w:val="en-US" w:eastAsia="zh-CN"/>
          <w14:textFill>
            <w14:solidFill>
              <w14:schemeClr w14:val="tx1"/>
            </w14:solidFill>
          </w14:textFill>
        </w:rPr>
        <w:t>0</w:t>
      </w:r>
      <w:r>
        <w:rPr>
          <w:rFonts w:cs="Times New Roman"/>
          <w:color w:val="000000" w:themeColor="text1"/>
          <w:szCs w:val="24"/>
          <w:highlight w:val="none"/>
          <w14:textFill>
            <w14:solidFill>
              <w14:schemeClr w14:val="tx1"/>
            </w14:solidFill>
          </w14:textFill>
        </w:rPr>
        <w:t>d时，已无超标范围。</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石油类在井筒破裂</w:t>
      </w:r>
      <w:r>
        <w:rPr>
          <w:rFonts w:hint="eastAsia" w:cs="Times New Roman"/>
          <w:color w:val="000000" w:themeColor="text1"/>
          <w:szCs w:val="24"/>
          <w:highlight w:val="none"/>
          <w:lang w:val="en-US" w:eastAsia="zh-CN"/>
          <w14:textFill>
            <w14:solidFill>
              <w14:schemeClr w14:val="tx1"/>
            </w14:solidFill>
          </w14:textFill>
        </w:rPr>
        <w:t>365</w:t>
      </w:r>
      <w:r>
        <w:rPr>
          <w:rFonts w:cs="Times New Roman"/>
          <w:color w:val="000000" w:themeColor="text1"/>
          <w:szCs w:val="24"/>
          <w:highlight w:val="none"/>
          <w14:textFill>
            <w14:solidFill>
              <w14:schemeClr w14:val="tx1"/>
            </w14:solidFill>
          </w14:textFill>
        </w:rPr>
        <w:t>0d时最远超标距离为下游</w:t>
      </w:r>
      <w:r>
        <w:rPr>
          <w:rFonts w:hint="eastAsia" w:cs="Times New Roman"/>
          <w:color w:val="000000" w:themeColor="text1"/>
          <w:szCs w:val="24"/>
          <w:highlight w:val="none"/>
          <w:lang w:val="en-US" w:eastAsia="zh-CN"/>
          <w14:textFill>
            <w14:solidFill>
              <w14:schemeClr w14:val="tx1"/>
            </w14:solidFill>
          </w14:textFill>
        </w:rPr>
        <w:t>490</w:t>
      </w:r>
      <w:r>
        <w:rPr>
          <w:rFonts w:cs="Times New Roman"/>
          <w:color w:val="000000" w:themeColor="text1"/>
          <w:szCs w:val="24"/>
          <w:highlight w:val="none"/>
          <w14:textFill>
            <w14:solidFill>
              <w14:schemeClr w14:val="tx1"/>
            </w14:solidFill>
          </w14:textFill>
        </w:rPr>
        <w:t>m，最高浓度为</w:t>
      </w:r>
      <w:r>
        <w:rPr>
          <w:rFonts w:cs="Times New Roman"/>
          <w:bCs/>
          <w:color w:val="000000" w:themeColor="text1"/>
          <w:szCs w:val="24"/>
          <w:highlight w:val="none"/>
          <w14:textFill>
            <w14:solidFill>
              <w14:schemeClr w14:val="tx1"/>
            </w14:solidFill>
          </w14:textFill>
        </w:rPr>
        <w:t>0.</w:t>
      </w:r>
      <w:r>
        <w:rPr>
          <w:rFonts w:hint="eastAsia" w:cs="Times New Roman"/>
          <w:bCs/>
          <w:color w:val="000000" w:themeColor="text1"/>
          <w:szCs w:val="24"/>
          <w:highlight w:val="none"/>
          <w:lang w:val="en-US" w:eastAsia="zh-CN"/>
          <w14:textFill>
            <w14:solidFill>
              <w14:schemeClr w14:val="tx1"/>
            </w14:solidFill>
          </w14:textFill>
        </w:rPr>
        <w:t>874</w:t>
      </w:r>
      <w:r>
        <w:rPr>
          <w:rFonts w:cs="Times New Roman"/>
          <w:color w:val="000000" w:themeColor="text1"/>
          <w:szCs w:val="24"/>
          <w:highlight w:val="none"/>
          <w14:textFill>
            <w14:solidFill>
              <w14:schemeClr w14:val="tx1"/>
            </w14:solidFill>
          </w14:textFill>
        </w:rPr>
        <w:t>mg/L。</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氯离子在井筒破裂100d时最远超标距离为下游</w:t>
      </w:r>
      <w:r>
        <w:rPr>
          <w:rFonts w:hint="eastAsia" w:cs="Times New Roman"/>
          <w:color w:val="000000" w:themeColor="text1"/>
          <w:szCs w:val="24"/>
          <w:highlight w:val="none"/>
          <w:lang w:val="en-US" w:eastAsia="zh-CN"/>
          <w14:textFill>
            <w14:solidFill>
              <w14:schemeClr w14:val="tx1"/>
            </w14:solidFill>
          </w14:textFill>
        </w:rPr>
        <w:t>26</w:t>
      </w:r>
      <w:r>
        <w:rPr>
          <w:rFonts w:cs="Times New Roman"/>
          <w:color w:val="000000" w:themeColor="text1"/>
          <w:szCs w:val="24"/>
          <w:highlight w:val="none"/>
          <w14:textFill>
            <w14:solidFill>
              <w14:schemeClr w14:val="tx1"/>
            </w14:solidFill>
          </w14:textFill>
        </w:rPr>
        <w:t>m，最高浓度为</w:t>
      </w:r>
      <w:r>
        <w:rPr>
          <w:rFonts w:hint="eastAsia" w:cs="Times New Roman"/>
          <w:bCs/>
          <w:color w:val="000000" w:themeColor="text1"/>
          <w:szCs w:val="24"/>
          <w:highlight w:val="none"/>
          <w:lang w:val="en-US" w:eastAsia="zh-CN"/>
          <w14:textFill>
            <w14:solidFill>
              <w14:schemeClr w14:val="tx1"/>
            </w14:solidFill>
          </w14:textFill>
        </w:rPr>
        <w:t>631.31</w:t>
      </w:r>
      <w:r>
        <w:rPr>
          <w:rFonts w:cs="Times New Roman"/>
          <w:color w:val="000000" w:themeColor="text1"/>
          <w:szCs w:val="24"/>
          <w:highlight w:val="none"/>
          <w14:textFill>
            <w14:solidFill>
              <w14:schemeClr w14:val="tx1"/>
            </w14:solidFill>
          </w14:textFill>
        </w:rPr>
        <w:t>mg/L，在365d时，已无超标范围。</w:t>
      </w:r>
    </w:p>
    <w:p>
      <w:pPr>
        <w:ind w:firstLine="480"/>
        <w:rPr>
          <w:rFonts w:cs="Times New Roman"/>
          <w:color w:val="000000" w:themeColor="text1"/>
          <w:szCs w:val="24"/>
          <w:highlight w:val="none"/>
          <w14:textFill>
            <w14:solidFill>
              <w14:schemeClr w14:val="tx1"/>
            </w14:solidFill>
          </w14:textFill>
        </w:rPr>
      </w:pPr>
      <w:r>
        <w:rPr>
          <w:rFonts w:cs="Times New Roman"/>
          <w:snapToGrid w:val="0"/>
          <w:color w:val="000000" w:themeColor="text1"/>
          <w:szCs w:val="24"/>
          <w:highlight w:val="none"/>
          <w14:textFill>
            <w14:solidFill>
              <w14:schemeClr w14:val="tx1"/>
            </w14:solidFill>
          </w14:textFill>
        </w:rPr>
        <w:t>综上所述，不同预测情景对地下水保护目标的预测结果见</w:t>
      </w:r>
      <w:r>
        <w:rPr>
          <w:rFonts w:cs="Times New Roman"/>
          <w:snapToGrid w:val="0"/>
          <w:color w:val="000000" w:themeColor="text1"/>
          <w:szCs w:val="24"/>
          <w:highlight w:val="none"/>
          <w14:textFill>
            <w14:solidFill>
              <w14:schemeClr w14:val="tx1"/>
            </w14:solidFill>
          </w14:textFill>
        </w:rPr>
        <w:fldChar w:fldCharType="begin"/>
      </w:r>
      <w:r>
        <w:rPr>
          <w:rFonts w:cs="Times New Roman"/>
          <w:snapToGrid w:val="0"/>
          <w:color w:val="000000" w:themeColor="text1"/>
          <w:szCs w:val="24"/>
          <w:highlight w:val="none"/>
          <w14:textFill>
            <w14:solidFill>
              <w14:schemeClr w14:val="tx1"/>
            </w14:solidFill>
          </w14:textFill>
        </w:rPr>
        <w:instrText xml:space="preserve"> REF _Ref142858982 \h  \* MERGEFORMAT </w:instrText>
      </w:r>
      <w:r>
        <w:rPr>
          <w:rFonts w:cs="Times New Roman"/>
          <w:snapToGrid w:val="0"/>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9</w:t>
      </w:r>
      <w:r>
        <w:rPr>
          <w:rFonts w:cs="Times New Roman"/>
          <w:snapToGrid w:val="0"/>
          <w:color w:val="000000" w:themeColor="text1"/>
          <w:szCs w:val="24"/>
          <w:highlight w:val="none"/>
          <w14:textFill>
            <w14:solidFill>
              <w14:schemeClr w14:val="tx1"/>
            </w14:solidFill>
          </w14:textFill>
        </w:rPr>
        <w:fldChar w:fldCharType="end"/>
      </w:r>
      <w:r>
        <w:rPr>
          <w:rFonts w:cs="Times New Roman"/>
          <w:snapToGrid w:val="0"/>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23" w:name="_Ref142858982"/>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bookmarkEnd w:id="323"/>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非正常状况对地下水保护目标的影响预测结果</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70"/>
        <w:gridCol w:w="1701"/>
        <w:gridCol w:w="1318"/>
        <w:gridCol w:w="323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2" w:hRule="atLeast"/>
          <w:jc w:val="center"/>
        </w:trPr>
        <w:tc>
          <w:tcPr>
            <w:tcW w:w="67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编号</w:t>
            </w:r>
          </w:p>
        </w:tc>
        <w:tc>
          <w:tcPr>
            <w:tcW w:w="170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非正常状况</w:t>
            </w:r>
          </w:p>
        </w:tc>
        <w:tc>
          <w:tcPr>
            <w:tcW w:w="131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方位</w:t>
            </w:r>
          </w:p>
        </w:tc>
        <w:tc>
          <w:tcPr>
            <w:tcW w:w="3234" w:type="dxa"/>
            <w:vAlign w:val="center"/>
          </w:tcPr>
          <w:p>
            <w:pPr>
              <w:pStyle w:val="295"/>
              <w:keepNext w:val="0"/>
              <w:keepLines w:val="0"/>
              <w:widowControl/>
              <w:suppressLineNumbers w:val="0"/>
              <w:spacing w:before="0" w:beforeAutospacing="0" w:after="0" w:afterAutospacing="0"/>
              <w:ind w:left="0" w:right="0"/>
              <w:rPr>
                <w:rFonts w:hint="eastAsia" w:eastAsia="宋体"/>
                <w:b/>
                <w:bCs/>
                <w:color w:val="000000" w:themeColor="text1"/>
                <w:szCs w:val="20"/>
                <w:highlight w:val="none"/>
                <w:lang w:eastAsia="zh-CN"/>
                <w14:textFill>
                  <w14:solidFill>
                    <w14:schemeClr w14:val="tx1"/>
                  </w14:solidFill>
                </w14:textFill>
              </w:rPr>
            </w:pPr>
            <w:r>
              <w:rPr>
                <w:rFonts w:hint="default"/>
                <w:b/>
                <w:bCs/>
                <w:color w:val="000000" w:themeColor="text1"/>
                <w:szCs w:val="20"/>
                <w:highlight w:val="none"/>
                <w14:textFill>
                  <w14:solidFill>
                    <w14:schemeClr w14:val="tx1"/>
                  </w14:solidFill>
                </w14:textFill>
              </w:rPr>
              <w:t>最大可能超标居民饮用水井</w:t>
            </w:r>
            <w:r>
              <w:rPr>
                <w:rFonts w:hint="eastAsia"/>
                <w:b/>
                <w:bCs/>
                <w:color w:val="000000" w:themeColor="text1"/>
                <w:szCs w:val="20"/>
                <w:highlight w:val="none"/>
                <w:lang w:eastAsia="zh-CN"/>
                <w14:textFill>
                  <w14:solidFill>
                    <w14:schemeClr w14:val="tx1"/>
                  </w14:solidFill>
                </w14:textFill>
              </w:rPr>
              <w:t>（</w:t>
            </w:r>
            <w:r>
              <w:rPr>
                <w:rFonts w:hint="eastAsia"/>
                <w:b/>
                <w:bCs/>
                <w:color w:val="000000" w:themeColor="text1"/>
                <w:szCs w:val="20"/>
                <w:highlight w:val="none"/>
                <w:lang w:val="en-US" w:eastAsia="zh-CN"/>
                <w14:textFill>
                  <w14:solidFill>
                    <w14:schemeClr w14:val="tx1"/>
                  </w14:solidFill>
                </w14:textFill>
              </w:rPr>
              <w:t>泉</w:t>
            </w:r>
            <w:r>
              <w:rPr>
                <w:rFonts w:hint="eastAsia"/>
                <w:b/>
                <w:bCs/>
                <w:color w:val="000000" w:themeColor="text1"/>
                <w:szCs w:val="20"/>
                <w:highlight w:val="none"/>
                <w:lang w:eastAsia="zh-CN"/>
                <w14:textFill>
                  <w14:solidFill>
                    <w14:schemeClr w14:val="tx1"/>
                  </w14:solidFill>
                </w14:textFill>
              </w:rPr>
              <w:t>）</w:t>
            </w:r>
          </w:p>
        </w:tc>
        <w:tc>
          <w:tcPr>
            <w:tcW w:w="1299"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97" w:hRule="atLeast"/>
          <w:jc w:val="center"/>
        </w:trPr>
        <w:tc>
          <w:tcPr>
            <w:tcW w:w="6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7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压裂井筒破裂</w:t>
            </w:r>
          </w:p>
        </w:tc>
        <w:tc>
          <w:tcPr>
            <w:tcW w:w="13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西南侧</w:t>
            </w:r>
          </w:p>
        </w:tc>
        <w:tc>
          <w:tcPr>
            <w:tcW w:w="3234"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r>
              <w:rPr>
                <w:rFonts w:hint="eastAsia"/>
                <w:color w:val="000000" w:themeColor="text1"/>
                <w:szCs w:val="20"/>
                <w:highlight w:val="none"/>
                <w14:textFill>
                  <w14:solidFill>
                    <w14:schemeClr w14:val="tx1"/>
                  </w14:solidFill>
                </w14:textFill>
              </w:rPr>
              <w:t>处</w:t>
            </w:r>
            <w:r>
              <w:rPr>
                <w:rFonts w:hint="eastAsia"/>
                <w:color w:val="000000" w:themeColor="text1"/>
                <w:szCs w:val="20"/>
                <w:highlight w:val="none"/>
                <w:lang w:val="en-US" w:eastAsia="zh-CN"/>
                <w14:textFill>
                  <w14:solidFill>
                    <w14:schemeClr w14:val="tx1"/>
                  </w14:solidFill>
                </w14:textFill>
              </w:rPr>
              <w:t>19</w:t>
            </w:r>
            <w:r>
              <w:rPr>
                <w:rFonts w:hint="eastAsia"/>
                <w:color w:val="000000" w:themeColor="text1"/>
                <w:szCs w:val="20"/>
                <w:highlight w:val="none"/>
                <w14:textFill>
                  <w14:solidFill>
                    <w14:schemeClr w14:val="tx1"/>
                  </w14:solidFill>
                </w14:textFill>
              </w:rPr>
              <w:t>户</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Q5、Q8</w:t>
            </w:r>
            <w:r>
              <w:rPr>
                <w:rFonts w:hint="eastAsia"/>
                <w:color w:val="000000" w:themeColor="text1"/>
                <w:szCs w:val="20"/>
                <w:highlight w:val="none"/>
                <w:lang w:eastAsia="zh-CN"/>
                <w14:textFill>
                  <w14:solidFill>
                    <w14:schemeClr w14:val="tx1"/>
                  </w14:solidFill>
                </w14:textFill>
              </w:rPr>
              <w:t>）</w:t>
            </w:r>
          </w:p>
        </w:tc>
        <w:tc>
          <w:tcPr>
            <w:tcW w:w="1299"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按最不利估算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83" w:hRule="atLeast"/>
          <w:jc w:val="center"/>
        </w:trPr>
        <w:tc>
          <w:tcPr>
            <w:tcW w:w="6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7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放喷池泄漏</w:t>
            </w:r>
          </w:p>
        </w:tc>
        <w:tc>
          <w:tcPr>
            <w:tcW w:w="13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西南侧</w:t>
            </w:r>
          </w:p>
        </w:tc>
        <w:tc>
          <w:tcPr>
            <w:tcW w:w="323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r>
              <w:rPr>
                <w:rFonts w:hint="eastAsia"/>
                <w:color w:val="000000" w:themeColor="text1"/>
                <w:szCs w:val="20"/>
                <w:highlight w:val="none"/>
                <w14:textFill>
                  <w14:solidFill>
                    <w14:schemeClr w14:val="tx1"/>
                  </w14:solidFill>
                </w14:textFill>
              </w:rPr>
              <w:t>处</w:t>
            </w:r>
            <w:r>
              <w:rPr>
                <w:rFonts w:hint="eastAsia"/>
                <w:color w:val="000000" w:themeColor="text1"/>
                <w:szCs w:val="20"/>
                <w:highlight w:val="none"/>
                <w:lang w:val="en-US" w:eastAsia="zh-CN"/>
                <w14:textFill>
                  <w14:solidFill>
                    <w14:schemeClr w14:val="tx1"/>
                  </w14:solidFill>
                </w14:textFill>
              </w:rPr>
              <w:t>19</w:t>
            </w:r>
            <w:r>
              <w:rPr>
                <w:rFonts w:hint="eastAsia"/>
                <w:color w:val="000000" w:themeColor="text1"/>
                <w:szCs w:val="20"/>
                <w:highlight w:val="none"/>
                <w14:textFill>
                  <w14:solidFill>
                    <w14:schemeClr w14:val="tx1"/>
                  </w14:solidFill>
                </w14:textFill>
              </w:rPr>
              <w:t>户</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Q5、Q8</w:t>
            </w:r>
            <w:r>
              <w:rPr>
                <w:rFonts w:hint="eastAsia"/>
                <w:color w:val="000000" w:themeColor="text1"/>
                <w:szCs w:val="20"/>
                <w:highlight w:val="none"/>
                <w:lang w:eastAsia="zh-CN"/>
                <w14:textFill>
                  <w14:solidFill>
                    <w14:schemeClr w14:val="tx1"/>
                  </w14:solidFill>
                </w14:textFill>
              </w:rPr>
              <w:t>）</w:t>
            </w:r>
          </w:p>
        </w:tc>
        <w:tc>
          <w:tcPr>
            <w:tcW w:w="1299"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spacing w:before="120" w:beforeLines="50"/>
        <w:ind w:firstLine="480"/>
        <w:rPr>
          <w:rFonts w:cs="Times New Roman"/>
          <w:color w:val="000000" w:themeColor="text1"/>
          <w:szCs w:val="24"/>
          <w:highlight w:val="none"/>
          <w14:textFill>
            <w14:solidFill>
              <w14:schemeClr w14:val="tx1"/>
            </w14:solidFill>
          </w14:textFill>
        </w:rPr>
      </w:pPr>
      <w:bookmarkStart w:id="324" w:name="_Hlk89072087"/>
      <w:bookmarkStart w:id="325" w:name="_Toc10566"/>
      <w:r>
        <w:rPr>
          <w:rFonts w:cs="Times New Roman"/>
          <w:color w:val="000000" w:themeColor="text1"/>
          <w:szCs w:val="24"/>
          <w:highlight w:val="none"/>
          <w14:textFill>
            <w14:solidFill>
              <w14:schemeClr w14:val="tx1"/>
            </w14:solidFill>
          </w14:textFill>
        </w:rPr>
        <w:t>本项目</w:t>
      </w:r>
      <w:bookmarkEnd w:id="324"/>
      <w:r>
        <w:rPr>
          <w:rFonts w:cs="Times New Roman"/>
          <w:color w:val="000000" w:themeColor="text1"/>
          <w:szCs w:val="24"/>
          <w:highlight w:val="none"/>
          <w14:textFill>
            <w14:solidFill>
              <w14:schemeClr w14:val="tx1"/>
            </w14:solidFill>
          </w14:textFill>
        </w:rPr>
        <w:t>发生事故后会对地下水流向下游的居民饮用泉水点造成污染影响，放喷池</w:t>
      </w:r>
      <w:r>
        <w:rPr>
          <w:rFonts w:hint="eastAsia" w:cs="Times New Roman"/>
          <w:color w:val="000000" w:themeColor="text1"/>
          <w:szCs w:val="24"/>
          <w:highlight w:val="none"/>
          <w14:textFill>
            <w14:solidFill>
              <w14:schemeClr w14:val="tx1"/>
            </w14:solidFill>
          </w14:textFill>
        </w:rPr>
        <w:t>泄漏时</w:t>
      </w:r>
      <w:r>
        <w:rPr>
          <w:rFonts w:cs="Times New Roman"/>
          <w:color w:val="000000" w:themeColor="text1"/>
          <w:szCs w:val="24"/>
          <w:highlight w:val="none"/>
          <w14:textFill>
            <w14:solidFill>
              <w14:schemeClr w14:val="tx1"/>
            </w14:solidFill>
          </w14:textFill>
        </w:rPr>
        <w:t>最大可能超标居民饮用泉水点共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，压裂井筒</w:t>
      </w:r>
      <w:r>
        <w:rPr>
          <w:rFonts w:hint="eastAsia" w:cs="Times New Roman"/>
          <w:color w:val="000000" w:themeColor="text1"/>
          <w:szCs w:val="24"/>
          <w:highlight w:val="none"/>
          <w:lang w:val="en-US" w:eastAsia="zh-CN"/>
          <w14:textFill>
            <w14:solidFill>
              <w14:schemeClr w14:val="tx1"/>
            </w14:solidFill>
          </w14:textFill>
        </w:rPr>
        <w:t>套管</w:t>
      </w:r>
      <w:r>
        <w:rPr>
          <w:rFonts w:cs="Times New Roman"/>
          <w:color w:val="000000" w:themeColor="text1"/>
          <w:szCs w:val="24"/>
          <w:highlight w:val="none"/>
          <w14:textFill>
            <w14:solidFill>
              <w14:schemeClr w14:val="tx1"/>
            </w14:solidFill>
          </w14:textFill>
        </w:rPr>
        <w:t>破裂</w:t>
      </w:r>
      <w:r>
        <w:rPr>
          <w:rFonts w:hint="eastAsia" w:cs="Times New Roman"/>
          <w:color w:val="000000" w:themeColor="text1"/>
          <w:szCs w:val="24"/>
          <w:highlight w:val="none"/>
          <w14:textFill>
            <w14:solidFill>
              <w14:schemeClr w14:val="tx1"/>
            </w14:solidFill>
          </w14:textFill>
        </w:rPr>
        <w:t>时</w:t>
      </w:r>
      <w:r>
        <w:rPr>
          <w:rFonts w:cs="Times New Roman"/>
          <w:color w:val="000000" w:themeColor="text1"/>
          <w:szCs w:val="24"/>
          <w:highlight w:val="none"/>
          <w14:textFill>
            <w14:solidFill>
              <w14:schemeClr w14:val="tx1"/>
            </w14:solidFill>
          </w14:textFill>
        </w:rPr>
        <w:t>最大可能超标居民饮用泉水点共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由于项目所在区域水文地质条件简单，为潜水含水层，地下水径流速度一般，含水层有效孔隙度小，污染物扩散速度较慢，发生事故时可利用下游民井监控，因此可以有足够的时间来处理，控制污染影响范围。在此需要说明的是，根据中石化川东北地区多年来压裂测试情况，由于井筒质量和固井质量较好，井筒破裂的情况还未发生过，压裂过程处于全程监控，实际上发生井筒破裂的情况微乎其微。同时压裂在目的层进行，浅层套管破裂的可能性远远小于深层套管破裂，浅层含水层经过了多次固井，含水层以下有多层封隔层，压返液因深层井筒破裂进入浅层含水层是很难发生的；池体修建均采用高标准要求，防渗达到设计要求，发生垮塌泄漏的可能性非常小，因此由于井筒破裂事故和池体渗漏造成的地下水不利影响是极难发生的。</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根据项目井场布置和周边居民水井分布情况，本项目在井筒破裂和放喷池风险泄漏初期小范围地区地下水水质，放喷池</w:t>
      </w:r>
      <w:r>
        <w:rPr>
          <w:rFonts w:hint="eastAsia" w:cs="Times New Roman"/>
          <w:color w:val="000000" w:themeColor="text1"/>
          <w:szCs w:val="24"/>
          <w:highlight w:val="none"/>
          <w14:textFill>
            <w14:solidFill>
              <w14:schemeClr w14:val="tx1"/>
            </w14:solidFill>
          </w14:textFill>
        </w:rPr>
        <w:t>泄漏时</w:t>
      </w:r>
      <w:r>
        <w:rPr>
          <w:rFonts w:cs="Times New Roman"/>
          <w:color w:val="000000" w:themeColor="text1"/>
          <w:szCs w:val="24"/>
          <w:highlight w:val="none"/>
          <w14:textFill>
            <w14:solidFill>
              <w14:schemeClr w14:val="tx1"/>
            </w14:solidFill>
          </w14:textFill>
        </w:rPr>
        <w:t>最大可能超标居民饮用泉水点共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，压裂井筒破裂</w:t>
      </w:r>
      <w:r>
        <w:rPr>
          <w:rFonts w:hint="eastAsia" w:cs="Times New Roman"/>
          <w:color w:val="000000" w:themeColor="text1"/>
          <w:szCs w:val="24"/>
          <w:highlight w:val="none"/>
          <w14:textFill>
            <w14:solidFill>
              <w14:schemeClr w14:val="tx1"/>
            </w14:solidFill>
          </w14:textFill>
        </w:rPr>
        <w:t>时</w:t>
      </w:r>
      <w:r>
        <w:rPr>
          <w:rFonts w:cs="Times New Roman"/>
          <w:color w:val="000000" w:themeColor="text1"/>
          <w:szCs w:val="24"/>
          <w:highlight w:val="none"/>
          <w14:textFill>
            <w14:solidFill>
              <w14:schemeClr w14:val="tx1"/>
            </w14:solidFill>
          </w14:textFill>
        </w:rPr>
        <w:t>最大可能超标居民饮用泉水点共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，其余地区地下水水质均满足《地下水质量标准》（GB/T14848-2017）中的Ⅲ类标准，随着时间的推移，污染物在整个评价范围内超标现象逐渐消失。</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鉴于模拟的两种情况的污染物超标范围会随着时间的增加逐渐扩大。本环评建议：在钻井作业中加强生产管理，严密监控压裂液及放喷池的运行状况，发现井管破裂后应立即停止压裂作业并启动应急预案，按要求在下游设置的监控水井加密监控，采取有效措施控制污染物扩散范围，降低环境影响。同时建议建设单位在施工期应加强与</w:t>
      </w:r>
      <w:r>
        <w:rPr>
          <w:rFonts w:hint="eastAsia" w:cs="Times New Roman"/>
          <w:color w:val="000000" w:themeColor="text1"/>
          <w:szCs w:val="24"/>
          <w:highlight w:val="none"/>
          <w14:textFill>
            <w14:solidFill>
              <w14:schemeClr w14:val="tx1"/>
            </w14:solidFill>
          </w14:textFill>
        </w:rPr>
        <w:t>周边居民的</w:t>
      </w:r>
      <w:r>
        <w:rPr>
          <w:rFonts w:cs="Times New Roman"/>
          <w:color w:val="000000" w:themeColor="text1"/>
          <w:szCs w:val="24"/>
          <w:highlight w:val="none"/>
          <w14:textFill>
            <w14:solidFill>
              <w14:schemeClr w14:val="tx1"/>
            </w14:solidFill>
          </w14:textFill>
        </w:rPr>
        <w:t>沟通联系，及时了解</w:t>
      </w:r>
      <w:r>
        <w:rPr>
          <w:rFonts w:hint="eastAsia" w:cs="Times New Roman"/>
          <w:color w:val="000000" w:themeColor="text1"/>
          <w:szCs w:val="24"/>
          <w:highlight w:val="none"/>
          <w14:textFill>
            <w14:solidFill>
              <w14:schemeClr w14:val="tx1"/>
            </w14:solidFill>
          </w14:textFill>
        </w:rPr>
        <w:t>周边居民</w:t>
      </w:r>
      <w:r>
        <w:rPr>
          <w:rFonts w:hint="eastAsia" w:cs="Times New Roman"/>
          <w:color w:val="000000" w:themeColor="text1"/>
          <w:szCs w:val="24"/>
          <w:highlight w:val="none"/>
          <w:lang w:eastAsia="zh-CN"/>
          <w14:textFill>
            <w14:solidFill>
              <w14:schemeClr w14:val="tx1"/>
            </w14:solidFill>
          </w14:textFill>
        </w:rPr>
        <w:t>水井</w:t>
      </w:r>
      <w:r>
        <w:rPr>
          <w:rFonts w:cs="Times New Roman"/>
          <w:color w:val="000000" w:themeColor="text1"/>
          <w:szCs w:val="24"/>
          <w:highlight w:val="none"/>
          <w14:textFill>
            <w14:solidFill>
              <w14:schemeClr w14:val="tx1"/>
            </w14:solidFill>
          </w14:textFill>
        </w:rPr>
        <w:t>水质的变化情况，若发生改变应及时查明原因，确保与本项目的施工无关，并可协助主管部门采取相应保护措施。</w:t>
      </w:r>
    </w:p>
    <w:p>
      <w:pPr>
        <w:autoSpaceDE w:val="0"/>
        <w:autoSpaceDN w:val="0"/>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在对下游居民水井加强监控后，项目建设不会对周围居民水井产生不利影响，也不会对地下水环境造成明显不利影响，项目建设对地下水的影响是可接受的。</w:t>
      </w:r>
    </w:p>
    <w:bookmarkEnd w:id="325"/>
    <w:p>
      <w:pPr>
        <w:ind w:firstLine="480"/>
        <w:rPr>
          <w:rFonts w:eastAsia="黑体" w:cs="Times New Roman"/>
          <w:color w:val="000000" w:themeColor="text1"/>
          <w:szCs w:val="24"/>
          <w:highlight w:val="none"/>
          <w14:textFill>
            <w14:solidFill>
              <w14:schemeClr w14:val="tx1"/>
            </w14:solidFill>
          </w14:textFill>
        </w:rPr>
      </w:pPr>
      <w:bookmarkStart w:id="326" w:name="_Toc78877616"/>
      <w:r>
        <w:rPr>
          <w:rFonts w:eastAsia="黑体" w:cs="Times New Roman"/>
          <w:color w:val="000000" w:themeColor="text1"/>
          <w:szCs w:val="24"/>
          <w:highlight w:val="none"/>
          <w14:textFill>
            <w14:solidFill>
              <w14:schemeClr w14:val="tx1"/>
            </w14:solidFill>
          </w14:textFill>
        </w:rPr>
        <w:t>4、试采期地下水影响预测分析</w:t>
      </w:r>
      <w:bookmarkEnd w:id="326"/>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本项目为油气试采项目，对地下水的影响主要在项目的施工期，试采阶段对地下水的影响极小。</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试采期无生产固废产生和堆放；</w:t>
      </w:r>
      <w:r>
        <w:rPr>
          <w:rFonts w:hint="eastAsia" w:cs="Times New Roman"/>
          <w:color w:val="000000" w:themeColor="text1"/>
          <w:szCs w:val="24"/>
          <w:highlight w:val="none"/>
          <w:lang w:eastAsia="zh-CN"/>
          <w14:textFill>
            <w14:solidFill>
              <w14:schemeClr w14:val="tx1"/>
            </w14:solidFill>
          </w14:textFill>
        </w:rPr>
        <w:t>气田水</w:t>
      </w:r>
      <w:r>
        <w:rPr>
          <w:rFonts w:cs="Times New Roman"/>
          <w:color w:val="000000" w:themeColor="text1"/>
          <w:szCs w:val="24"/>
          <w:highlight w:val="none"/>
          <w14:textFill>
            <w14:solidFill>
              <w14:schemeClr w14:val="tx1"/>
            </w14:solidFill>
          </w14:textFill>
        </w:rPr>
        <w:t>暂存于</w:t>
      </w:r>
      <w:r>
        <w:rPr>
          <w:rFonts w:hint="eastAsia" w:cs="Times New Roman"/>
          <w:color w:val="000000" w:themeColor="text1"/>
          <w:szCs w:val="24"/>
          <w:highlight w:val="none"/>
          <w:lang w:eastAsia="zh-CN"/>
          <w14:textFill>
            <w14:solidFill>
              <w14:schemeClr w14:val="tx1"/>
            </w14:solidFill>
          </w14:textFill>
        </w:rPr>
        <w:t>采出水罐</w:t>
      </w:r>
      <w:r>
        <w:rPr>
          <w:rFonts w:cs="Times New Roman"/>
          <w:color w:val="000000" w:themeColor="text1"/>
          <w:szCs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然</w:t>
      </w:r>
      <w:r>
        <w:rPr>
          <w:rFonts w:hint="eastAsia"/>
          <w:color w:val="000000" w:themeColor="text1"/>
          <w:sz w:val="24"/>
          <w:highlight w:val="none"/>
          <w:lang w:val="en-US" w:eastAsia="zh-CN"/>
          <w14:textFill>
            <w14:solidFill>
              <w14:schemeClr w14:val="tx1"/>
            </w14:solidFill>
          </w14:textFill>
        </w:rPr>
        <w:t>后</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回注，不外排。试采期工作人员生活污水经站场化粪池处理后定期由密闭罐车拉运至周边生活污水处理厂处理；除此之外，无其他废水产生。</w:t>
      </w:r>
      <w:r>
        <w:rPr>
          <w:rFonts w:hint="eastAsia" w:cs="Times New Roman"/>
          <w:color w:val="000000" w:themeColor="text1"/>
          <w:szCs w:val="24"/>
          <w:highlight w:val="none"/>
          <w:lang w:eastAsia="zh-CN"/>
          <w14:textFill>
            <w14:solidFill>
              <w14:schemeClr w14:val="tx1"/>
            </w14:solidFill>
          </w14:textFill>
        </w:rPr>
        <w:t>放空分液罐、采出水罐</w:t>
      </w:r>
      <w:r>
        <w:rPr>
          <w:rFonts w:cs="Times New Roman"/>
          <w:color w:val="000000" w:themeColor="text1"/>
          <w:szCs w:val="24"/>
          <w:highlight w:val="none"/>
          <w14:textFill>
            <w14:solidFill>
              <w14:schemeClr w14:val="tx1"/>
            </w14:solidFill>
          </w14:textFill>
        </w:rPr>
        <w:t>采取了围堰并重点防渗，</w:t>
      </w:r>
      <w:r>
        <w:rPr>
          <w:rFonts w:hint="eastAsia" w:cs="Times New Roman"/>
          <w:color w:val="000000" w:themeColor="text1"/>
          <w:szCs w:val="24"/>
          <w:highlight w:val="none"/>
          <w:lang w:eastAsia="zh-CN"/>
          <w14:textFill>
            <w14:solidFill>
              <w14:schemeClr w14:val="tx1"/>
            </w14:solidFill>
          </w14:textFill>
        </w:rPr>
        <w:t>放空分液罐、采出水罐</w:t>
      </w:r>
      <w:r>
        <w:rPr>
          <w:rFonts w:cs="Times New Roman"/>
          <w:color w:val="000000" w:themeColor="text1"/>
          <w:szCs w:val="24"/>
          <w:highlight w:val="none"/>
          <w14:textFill>
            <w14:solidFill>
              <w14:schemeClr w14:val="tx1"/>
            </w14:solidFill>
          </w14:textFill>
        </w:rPr>
        <w:t>暂存地层水及时转运，污水发生泄漏进入地下水环境可能性基本不存在</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输气管线（气水混输）采用</w:t>
      </w:r>
      <w:r>
        <w:rPr>
          <w:rFonts w:hint="eastAsia"/>
          <w:color w:val="000000" w:themeColor="text1"/>
          <w:szCs w:val="20"/>
          <w:highlight w:val="none"/>
          <w14:textFill>
            <w14:solidFill>
              <w14:schemeClr w14:val="tx1"/>
            </w14:solidFill>
          </w14:textFill>
        </w:rPr>
        <w:t>柔性复合</w:t>
      </w:r>
      <w:r>
        <w:rPr>
          <w:rFonts w:hint="eastAsia"/>
          <w:color w:val="000000" w:themeColor="text1"/>
          <w:szCs w:val="20"/>
          <w:highlight w:val="none"/>
          <w:lang w:val="en-US" w:eastAsia="zh-CN"/>
          <w14:textFill>
            <w14:solidFill>
              <w14:schemeClr w14:val="tx1"/>
            </w14:solidFill>
          </w14:textFill>
        </w:rPr>
        <w:t>双层</w:t>
      </w:r>
      <w:r>
        <w:rPr>
          <w:rFonts w:hint="eastAsia"/>
          <w:color w:val="000000" w:themeColor="text1"/>
          <w:szCs w:val="20"/>
          <w:highlight w:val="none"/>
          <w14:textFill>
            <w14:solidFill>
              <w14:schemeClr w14:val="tx1"/>
            </w14:solidFill>
          </w14:textFill>
        </w:rPr>
        <w:t>高压输送管</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管线地面辐射，管输压力小，同时管线占地区进行了压实处理，有效提高了包气带防污性能，输水管线设置了泄漏检测装置与截断系统联控，发生泄漏后能及时发现处理，因此管道输送采出水难以泄漏并进入地下水环境，因此</w:t>
      </w:r>
      <w:r>
        <w:rPr>
          <w:rFonts w:cs="Times New Roman"/>
          <w:color w:val="000000" w:themeColor="text1"/>
          <w:szCs w:val="24"/>
          <w:highlight w:val="none"/>
          <w14:textFill>
            <w14:solidFill>
              <w14:schemeClr w14:val="tx1"/>
            </w14:solidFill>
          </w14:textFill>
        </w:rPr>
        <w:t>在加强对监控井在试采期内例行监测后，试采期不会对地下水环境造成不利影响。</w:t>
      </w:r>
    </w:p>
    <w:p>
      <w:pPr>
        <w:ind w:firstLine="480"/>
        <w:rPr>
          <w:rFonts w:eastAsia="黑体" w:cs="Times New Roman"/>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5、</w:t>
      </w:r>
      <w:r>
        <w:rPr>
          <w:rFonts w:hint="eastAsia" w:eastAsia="黑体" w:cs="Times New Roman"/>
          <w:color w:val="000000" w:themeColor="text1"/>
          <w:szCs w:val="24"/>
          <w:highlight w:val="none"/>
          <w14:textFill>
            <w14:solidFill>
              <w14:schemeClr w14:val="tx1"/>
            </w14:solidFill>
          </w14:textFill>
        </w:rPr>
        <w:t>项目完工及试采结束</w:t>
      </w:r>
      <w:r>
        <w:rPr>
          <w:rFonts w:eastAsia="黑体" w:cs="Times New Roman"/>
          <w:color w:val="000000" w:themeColor="text1"/>
          <w:szCs w:val="24"/>
          <w:highlight w:val="none"/>
          <w14:textFill>
            <w14:solidFill>
              <w14:schemeClr w14:val="tx1"/>
            </w14:solidFill>
          </w14:textFill>
        </w:rPr>
        <w:t>后地下水环境影响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w:t>
      </w:r>
      <w:r>
        <w:rPr>
          <w:rFonts w:hint="eastAsia" w:cs="Times New Roman"/>
          <w:color w:val="000000" w:themeColor="text1"/>
          <w:highlight w:val="none"/>
          <w14:textFill>
            <w14:solidFill>
              <w14:schemeClr w14:val="tx1"/>
            </w14:solidFill>
          </w14:textFill>
        </w:rPr>
        <w:t>完工及试采结束</w:t>
      </w:r>
      <w:r>
        <w:rPr>
          <w:rFonts w:cs="Times New Roman"/>
          <w:color w:val="000000" w:themeColor="text1"/>
          <w:highlight w:val="none"/>
          <w14:textFill>
            <w14:solidFill>
              <w14:schemeClr w14:val="tx1"/>
            </w14:solidFill>
          </w14:textFill>
        </w:rPr>
        <w:t>后</w:t>
      </w:r>
      <w:r>
        <w:rPr>
          <w:rFonts w:cs="Times New Roman"/>
          <w:color w:val="000000" w:themeColor="text1"/>
          <w:szCs w:val="24"/>
          <w:highlight w:val="none"/>
          <w14:textFill>
            <w14:solidFill>
              <w14:schemeClr w14:val="tx1"/>
            </w14:solidFill>
          </w14:textFill>
        </w:rPr>
        <w:t>进行站场拆除、封井和生态恢复，对井场进行无害化治理，产生少量建筑垃圾及时转运至当地政府</w:t>
      </w:r>
      <w:r>
        <w:rPr>
          <w:rFonts w:hint="eastAsia" w:cs="Times New Roman"/>
          <w:color w:val="000000" w:themeColor="text1"/>
          <w:szCs w:val="24"/>
          <w:highlight w:val="none"/>
          <w:lang w:eastAsia="zh-CN"/>
          <w14:textFill>
            <w14:solidFill>
              <w14:schemeClr w14:val="tx1"/>
            </w14:solidFill>
          </w14:textFill>
        </w:rPr>
        <w:t>指定地点</w:t>
      </w:r>
      <w:r>
        <w:rPr>
          <w:rFonts w:cs="Times New Roman"/>
          <w:color w:val="000000" w:themeColor="text1"/>
          <w:szCs w:val="24"/>
          <w:highlight w:val="none"/>
          <w14:textFill>
            <w14:solidFill>
              <w14:schemeClr w14:val="tx1"/>
            </w14:solidFill>
          </w14:textFill>
        </w:rPr>
        <w:t>处理，避开雨季对固废的淋滤，</w:t>
      </w:r>
      <w:r>
        <w:rPr>
          <w:rFonts w:hint="eastAsia" w:cs="Times New Roman"/>
          <w:color w:val="000000" w:themeColor="text1"/>
          <w:highlight w:val="none"/>
          <w14:textFill>
            <w14:solidFill>
              <w14:schemeClr w14:val="tx1"/>
            </w14:solidFill>
          </w14:textFill>
        </w:rPr>
        <w:t>项目完工及试采结束</w:t>
      </w:r>
      <w:r>
        <w:rPr>
          <w:rFonts w:cs="Times New Roman"/>
          <w:color w:val="000000" w:themeColor="text1"/>
          <w:highlight w:val="none"/>
          <w14:textFill>
            <w14:solidFill>
              <w14:schemeClr w14:val="tx1"/>
            </w14:solidFill>
          </w14:textFill>
        </w:rPr>
        <w:t>后</w:t>
      </w:r>
      <w:r>
        <w:rPr>
          <w:rFonts w:cs="Times New Roman"/>
          <w:color w:val="000000" w:themeColor="text1"/>
          <w:szCs w:val="24"/>
          <w:highlight w:val="none"/>
          <w14:textFill>
            <w14:solidFill>
              <w14:schemeClr w14:val="tx1"/>
            </w14:solidFill>
          </w14:textFill>
        </w:rPr>
        <w:t>对地下水环境影响很有限，对地下水环境的影响是可接受的。</w:t>
      </w:r>
    </w:p>
    <w:p>
      <w:pPr>
        <w:ind w:firstLine="480"/>
        <w:rPr>
          <w:rFonts w:eastAsia="黑体" w:cs="Times New Roman"/>
          <w:color w:val="000000" w:themeColor="text1"/>
          <w:szCs w:val="24"/>
          <w:highlight w:val="none"/>
          <w14:textFill>
            <w14:solidFill>
              <w14:schemeClr w14:val="tx1"/>
            </w14:solidFill>
          </w14:textFill>
        </w:rPr>
      </w:pPr>
      <w:bookmarkStart w:id="327" w:name="_Toc78877617"/>
      <w:r>
        <w:rPr>
          <w:rFonts w:eastAsia="黑体" w:cs="Times New Roman"/>
          <w:color w:val="000000" w:themeColor="text1"/>
          <w:szCs w:val="24"/>
          <w:highlight w:val="none"/>
          <w14:textFill>
            <w14:solidFill>
              <w14:schemeClr w14:val="tx1"/>
            </w14:solidFill>
          </w14:textFill>
        </w:rPr>
        <w:t>6、地下水环境影响预测小结</w:t>
      </w:r>
      <w:bookmarkEnd w:id="327"/>
    </w:p>
    <w:p>
      <w:pPr>
        <w:ind w:firstLine="480"/>
        <w:rPr>
          <w:rFonts w:cs="Times New Roman"/>
          <w:bCs/>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根据项目外环境关系，本项目在井筒破裂和放喷池风险泄漏初期小范围地区地下水水质超标，放喷池</w:t>
      </w:r>
      <w:r>
        <w:rPr>
          <w:rFonts w:hint="eastAsia" w:cs="Times New Roman"/>
          <w:color w:val="000000" w:themeColor="text1"/>
          <w:szCs w:val="24"/>
          <w:highlight w:val="none"/>
          <w14:textFill>
            <w14:solidFill>
              <w14:schemeClr w14:val="tx1"/>
            </w14:solidFill>
          </w14:textFill>
        </w:rPr>
        <w:t>泄漏时</w:t>
      </w:r>
      <w:r>
        <w:rPr>
          <w:rFonts w:cs="Times New Roman"/>
          <w:color w:val="000000" w:themeColor="text1"/>
          <w:szCs w:val="24"/>
          <w:highlight w:val="none"/>
          <w14:textFill>
            <w14:solidFill>
              <w14:schemeClr w14:val="tx1"/>
            </w14:solidFill>
          </w14:textFill>
        </w:rPr>
        <w:t>最大可能超标</w:t>
      </w:r>
      <w:r>
        <w:rPr>
          <w:rFonts w:hint="eastAsia" w:cs="Times New Roman"/>
          <w:color w:val="000000" w:themeColor="text1"/>
          <w:szCs w:val="24"/>
          <w:highlight w:val="none"/>
          <w:lang w:val="en-US" w:eastAsia="zh-CN"/>
          <w14:textFill>
            <w14:solidFill>
              <w14:schemeClr w14:val="tx1"/>
            </w14:solidFill>
          </w14:textFill>
        </w:rPr>
        <w:t>范围（下游405m）内有</w:t>
      </w:r>
      <w:r>
        <w:rPr>
          <w:rFonts w:cs="Times New Roman"/>
          <w:color w:val="000000" w:themeColor="text1"/>
          <w:szCs w:val="24"/>
          <w:highlight w:val="none"/>
          <w14:textFill>
            <w14:solidFill>
              <w14:schemeClr w14:val="tx1"/>
            </w14:solidFill>
          </w14:textFill>
        </w:rPr>
        <w:t>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超标因子为石油类；</w:t>
      </w:r>
      <w:r>
        <w:rPr>
          <w:rFonts w:cs="Times New Roman"/>
          <w:color w:val="000000" w:themeColor="text1"/>
          <w:szCs w:val="24"/>
          <w:highlight w:val="none"/>
          <w14:textFill>
            <w14:solidFill>
              <w14:schemeClr w14:val="tx1"/>
            </w14:solidFill>
          </w14:textFill>
        </w:rPr>
        <w:t>压裂井筒破裂</w:t>
      </w:r>
      <w:r>
        <w:rPr>
          <w:rFonts w:hint="eastAsia" w:cs="Times New Roman"/>
          <w:color w:val="000000" w:themeColor="text1"/>
          <w:szCs w:val="24"/>
          <w:highlight w:val="none"/>
          <w14:textFill>
            <w14:solidFill>
              <w14:schemeClr w14:val="tx1"/>
            </w14:solidFill>
          </w14:textFill>
        </w:rPr>
        <w:t>时</w:t>
      </w:r>
      <w:r>
        <w:rPr>
          <w:rFonts w:cs="Times New Roman"/>
          <w:color w:val="000000" w:themeColor="text1"/>
          <w:szCs w:val="24"/>
          <w:highlight w:val="none"/>
          <w14:textFill>
            <w14:solidFill>
              <w14:schemeClr w14:val="tx1"/>
            </w14:solidFill>
          </w14:textFill>
        </w:rPr>
        <w:t>最大可能</w:t>
      </w:r>
      <w:r>
        <w:rPr>
          <w:rFonts w:hint="eastAsia" w:cs="Times New Roman"/>
          <w:color w:val="000000" w:themeColor="text1"/>
          <w:szCs w:val="24"/>
          <w:highlight w:val="none"/>
          <w:lang w:val="en-US" w:eastAsia="zh-CN"/>
          <w14:textFill>
            <w14:solidFill>
              <w14:schemeClr w14:val="tx1"/>
            </w14:solidFill>
          </w14:textFill>
        </w:rPr>
        <w:t>范围（</w:t>
      </w:r>
      <w:r>
        <w:rPr>
          <w:rFonts w:cs="Times New Roman"/>
          <w:color w:val="000000" w:themeColor="text1"/>
          <w:szCs w:val="24"/>
          <w:highlight w:val="none"/>
          <w14:textFill>
            <w14:solidFill>
              <w14:schemeClr w14:val="tx1"/>
            </w14:solidFill>
          </w14:textFill>
        </w:rPr>
        <w:t>下游</w:t>
      </w:r>
      <w:r>
        <w:rPr>
          <w:rFonts w:hint="eastAsia" w:cs="Times New Roman"/>
          <w:color w:val="000000" w:themeColor="text1"/>
          <w:szCs w:val="24"/>
          <w:highlight w:val="none"/>
          <w:lang w:val="en-US" w:eastAsia="zh-CN"/>
          <w14:textFill>
            <w14:solidFill>
              <w14:schemeClr w14:val="tx1"/>
            </w14:solidFill>
          </w14:textFill>
        </w:rPr>
        <w:t>490</w:t>
      </w:r>
      <w:r>
        <w:rPr>
          <w:rFonts w:cs="Times New Roman"/>
          <w:color w:val="000000" w:themeColor="text1"/>
          <w:szCs w:val="24"/>
          <w:highlight w:val="none"/>
          <w14:textFill>
            <w14:solidFill>
              <w14:schemeClr w14:val="tx1"/>
            </w14:solidFill>
          </w14:textFill>
        </w:rPr>
        <w:t>m</w:t>
      </w:r>
      <w:r>
        <w:rPr>
          <w:rFonts w:hint="eastAsia" w:cs="Times New Roman"/>
          <w:color w:val="000000" w:themeColor="text1"/>
          <w:szCs w:val="24"/>
          <w:highlight w:val="none"/>
          <w:lang w:val="en-US" w:eastAsia="zh-CN"/>
          <w14:textFill>
            <w14:solidFill>
              <w14:schemeClr w14:val="tx1"/>
            </w14:solidFill>
          </w14:textFill>
        </w:rPr>
        <w:t>）内有</w:t>
      </w:r>
      <w:r>
        <w:rPr>
          <w:rFonts w:cs="Times New Roman"/>
          <w:color w:val="000000" w:themeColor="text1"/>
          <w:szCs w:val="24"/>
          <w:highlight w:val="none"/>
          <w14:textFill>
            <w14:solidFill>
              <w14:schemeClr w14:val="tx1"/>
            </w14:solidFill>
          </w14:textFill>
        </w:rPr>
        <w:t>居民饮用泉水点共</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处约</w:t>
      </w:r>
      <w:r>
        <w:rPr>
          <w:rFonts w:hint="eastAsia" w:cs="Times New Roman"/>
          <w:color w:val="000000" w:themeColor="text1"/>
          <w:szCs w:val="24"/>
          <w:highlight w:val="none"/>
          <w:lang w:val="en-US" w:eastAsia="zh-CN"/>
          <w14:textFill>
            <w14:solidFill>
              <w14:schemeClr w14:val="tx1"/>
            </w14:solidFill>
          </w14:textFill>
        </w:rPr>
        <w:t>19</w:t>
      </w:r>
      <w:r>
        <w:rPr>
          <w:rFonts w:cs="Times New Roman"/>
          <w:color w:val="000000" w:themeColor="text1"/>
          <w:szCs w:val="24"/>
          <w:highlight w:val="none"/>
          <w14:textFill>
            <w14:solidFill>
              <w14:schemeClr w14:val="tx1"/>
            </w14:solidFill>
          </w14:textFill>
        </w:rPr>
        <w:t>户</w:t>
      </w:r>
      <w:r>
        <w:rPr>
          <w:rFonts w:hint="eastAsia" w:cs="Times New Roman"/>
          <w:color w:val="000000" w:themeColor="text1"/>
          <w:szCs w:val="24"/>
          <w:highlight w:val="none"/>
          <w14:textFill>
            <w14:solidFill>
              <w14:schemeClr w14:val="tx1"/>
            </w14:solidFill>
          </w14:textFill>
        </w:rPr>
        <w:t>居民使用</w:t>
      </w:r>
      <w:r>
        <w:rPr>
          <w:rFonts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超标因子为石油类</w:t>
      </w:r>
      <w:r>
        <w:rPr>
          <w:rFonts w:cs="Times New Roman"/>
          <w:color w:val="000000" w:themeColor="text1"/>
          <w:szCs w:val="24"/>
          <w:highlight w:val="none"/>
          <w14:textFill>
            <w14:solidFill>
              <w14:schemeClr w14:val="tx1"/>
            </w14:solidFill>
          </w14:textFill>
        </w:rPr>
        <w:t>。在对下游居民水井加强监控后，项目建设不会对周围居民水井产生不利影响，也不会对地下水环境造成明显不利影响，项目建设对地下水的影响是可接受的。</w:t>
      </w:r>
    </w:p>
    <w:p>
      <w:pPr>
        <w:pStyle w:val="2"/>
        <w:spacing w:before="480" w:beforeLines="200" w:after="0" w:line="480" w:lineRule="auto"/>
        <w:ind w:firstLine="480"/>
        <w:rPr>
          <w:rFonts w:eastAsiaTheme="minorEastAsia"/>
          <w:color w:val="000000" w:themeColor="text1"/>
          <w:sz w:val="24"/>
          <w:szCs w:val="24"/>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bookmarkStart w:id="328" w:name="第六章__环境保护措施及其可行性论证"/>
      <w:bookmarkEnd w:id="328"/>
      <w:bookmarkStart w:id="329" w:name="_bookmark31"/>
      <w:bookmarkEnd w:id="329"/>
    </w:p>
    <w:p>
      <w:pPr>
        <w:pStyle w:val="2"/>
        <w:keepNext/>
        <w:keepLines/>
        <w:pageBreakBefore w:val="0"/>
        <w:widowControl/>
        <w:kinsoku/>
        <w:wordWrap/>
        <w:overflowPunct/>
        <w:topLinePunct w:val="0"/>
        <w:autoSpaceDE/>
        <w:autoSpaceDN/>
        <w:bidi w:val="0"/>
        <w:adjustRightInd w:val="0"/>
        <w:snapToGrid w:val="0"/>
        <w:textAlignment w:val="auto"/>
        <w:rPr>
          <w:b/>
          <w:color w:val="000000" w:themeColor="text1"/>
          <w:highlight w:val="none"/>
          <w:lang w:eastAsia="zh-CN"/>
          <w14:textFill>
            <w14:solidFill>
              <w14:schemeClr w14:val="tx1"/>
            </w14:solidFill>
          </w14:textFill>
        </w:rPr>
      </w:pPr>
      <w:bookmarkStart w:id="330" w:name="_Toc12418"/>
      <w:r>
        <w:rPr>
          <w:color w:val="000000" w:themeColor="text1"/>
          <w:highlight w:val="none"/>
          <w:lang w:eastAsia="zh-CN"/>
          <w14:textFill>
            <w14:solidFill>
              <w14:schemeClr w14:val="tx1"/>
            </w14:solidFill>
          </w14:textFill>
        </w:rPr>
        <w:t>环境风险分析</w:t>
      </w:r>
      <w:bookmarkEnd w:id="330"/>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环境风险评价是分析和预测该项目在钻井、压裂测试过程中存在的潜在危险、有害因素，该项目在建设期间可能发生的突发性事件或事故（不包括</w:t>
      </w:r>
      <w:r>
        <w:rPr>
          <w:rFonts w:hint="eastAsia" w:ascii="Times New Roman" w:hAnsi="Times New Roman"/>
          <w:bCs/>
          <w:color w:val="000000" w:themeColor="text1"/>
          <w:kern w:val="2"/>
          <w:highlight w:val="none"/>
          <w:lang w:eastAsia="zh-CN"/>
          <w14:textFill>
            <w14:solidFill>
              <w14:schemeClr w14:val="tx1"/>
            </w14:solidFill>
          </w14:textFill>
        </w:rPr>
        <w:t>人为</w:t>
      </w:r>
      <w:r>
        <w:rPr>
          <w:rFonts w:ascii="Times New Roman" w:hAnsi="Times New Roman"/>
          <w:bCs/>
          <w:color w:val="000000" w:themeColor="text1"/>
          <w:kern w:val="2"/>
          <w:highlight w:val="none"/>
          <w:lang w:eastAsia="zh-CN"/>
          <w14:textFill>
            <w14:solidFill>
              <w14:schemeClr w14:val="tx1"/>
            </w14:solidFill>
          </w14:textFill>
        </w:rPr>
        <w:t>破坏或自然灾害），引起平台内可燃气体、液体泄漏，所造成的人身安全、环境影响的损害程度，提出合理可行的防范、应急与减缓措施，以使建设项目事故率、损失和环境风险影响达到可接受水平。</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根据《建设项目环境风险评价技术导则》（HJ169-2018）导则要求，本次环境风险评价关注点为环境风险事故状态下对厂（场）界外环境的影响，同时关注生产放喷池泄漏等对当地耕地、水体的环境风险影响。</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31" w:name="5.3.1评价依据"/>
      <w:bookmarkEnd w:id="331"/>
      <w:bookmarkStart w:id="332" w:name="_Toc651"/>
      <w:r>
        <w:rPr>
          <w:color w:val="000000" w:themeColor="text1"/>
          <w:highlight w:val="none"/>
          <w:lang w:eastAsia="zh-CN"/>
          <w14:textFill>
            <w14:solidFill>
              <w14:schemeClr w14:val="tx1"/>
            </w14:solidFill>
          </w14:textFill>
        </w:rPr>
        <w:t>评价依据</w:t>
      </w:r>
      <w:bookmarkEnd w:id="332"/>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33" w:name="_Toc120173171"/>
      <w:r>
        <w:rPr>
          <w:color w:val="000000" w:themeColor="text1"/>
          <w:highlight w:val="none"/>
          <w:lang w:eastAsia="zh-CN"/>
          <w14:textFill>
            <w14:solidFill>
              <w14:schemeClr w14:val="tx1"/>
            </w14:solidFill>
          </w14:textFill>
        </w:rPr>
        <w:t>风险调查</w:t>
      </w:r>
      <w:bookmarkEnd w:id="333"/>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根据《危险化学品重大危险源辨识》（GB18218-2018）的有关规定，本项目试采的天然气</w:t>
      </w:r>
      <w:r>
        <w:rPr>
          <w:rFonts w:hint="eastAsia" w:ascii="Times New Roman" w:hAnsi="Times New Roman"/>
          <w:bCs/>
          <w:color w:val="000000" w:themeColor="text1"/>
          <w:kern w:val="2"/>
          <w:highlight w:val="none"/>
          <w:lang w:val="en-US" w:eastAsia="zh-CN"/>
          <w14:textFill>
            <w14:solidFill>
              <w14:schemeClr w14:val="tx1"/>
            </w14:solidFill>
          </w14:textFill>
        </w:rPr>
        <w:t>不</w:t>
      </w:r>
      <w:r>
        <w:rPr>
          <w:rFonts w:ascii="Times New Roman" w:hAnsi="Times New Roman"/>
          <w:bCs/>
          <w:color w:val="000000" w:themeColor="text1"/>
          <w:kern w:val="2"/>
          <w:highlight w:val="none"/>
          <w:lang w:eastAsia="zh-CN"/>
          <w14:textFill>
            <w14:solidFill>
              <w14:schemeClr w14:val="tx1"/>
            </w14:solidFill>
          </w14:textFill>
        </w:rPr>
        <w:t>含硫，因此，项目涉及的主要危险物质主要包括CH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eastAsia="zh-CN"/>
          <w14:textFill>
            <w14:solidFill>
              <w14:schemeClr w14:val="tx1"/>
            </w14:solidFill>
          </w14:textFill>
        </w:rPr>
        <w:t>盐酸、</w:t>
      </w:r>
      <w:r>
        <w:rPr>
          <w:rFonts w:ascii="Times New Roman" w:hAnsi="Times New Roman"/>
          <w:bCs/>
          <w:color w:val="000000" w:themeColor="text1"/>
          <w:kern w:val="2"/>
          <w:highlight w:val="none"/>
          <w:lang w:eastAsia="zh-CN"/>
          <w14:textFill>
            <w14:solidFill>
              <w14:schemeClr w14:val="tx1"/>
            </w14:solidFill>
          </w14:textFill>
        </w:rPr>
        <w:t>停电等紧急情况下使用柴油发电机所需的易燃物质柴油以及生产过程中产生的废油</w:t>
      </w:r>
      <w:r>
        <w:rPr>
          <w:rFonts w:hint="eastAsia" w:ascii="Times New Roman" w:hAnsi="Times New Roman"/>
          <w:bCs/>
          <w:color w:val="000000" w:themeColor="text1"/>
          <w:kern w:val="2"/>
          <w:highlight w:val="none"/>
          <w:lang w:eastAsia="zh-CN"/>
          <w14:textFill>
            <w14:solidFill>
              <w14:schemeClr w14:val="tx1"/>
            </w14:solidFill>
          </w14:textFill>
        </w:rPr>
        <w:t>、白油和油基泥浆</w:t>
      </w:r>
      <w:r>
        <w:rPr>
          <w:rFonts w:ascii="Times New Roman" w:hAnsi="Times New Roman"/>
          <w:bCs/>
          <w:color w:val="000000" w:themeColor="text1"/>
          <w:kern w:val="2"/>
          <w:highlight w:val="none"/>
          <w:lang w:eastAsia="zh-CN"/>
          <w14:textFill>
            <w14:solidFill>
              <w14:schemeClr w14:val="tx1"/>
            </w14:solidFill>
          </w14:textFill>
        </w:rPr>
        <w:t>，存在发生火灾、泄</w:t>
      </w:r>
      <w:r>
        <w:rPr>
          <w:rFonts w:hint="eastAsia" w:ascii="Times New Roman" w:hAnsi="Times New Roman"/>
          <w:bCs/>
          <w:color w:val="000000" w:themeColor="text1"/>
          <w:kern w:val="2"/>
          <w:highlight w:val="none"/>
          <w:lang w:eastAsia="zh-CN"/>
          <w14:textFill>
            <w14:solidFill>
              <w14:schemeClr w14:val="tx1"/>
            </w14:solidFill>
          </w14:textFill>
        </w:rPr>
        <w:t>漏</w:t>
      </w:r>
      <w:r>
        <w:rPr>
          <w:rFonts w:ascii="Times New Roman" w:hAnsi="Times New Roman"/>
          <w:bCs/>
          <w:color w:val="000000" w:themeColor="text1"/>
          <w:kern w:val="2"/>
          <w:highlight w:val="none"/>
          <w:lang w:eastAsia="zh-CN"/>
          <w14:textFill>
            <w14:solidFill>
              <w14:schemeClr w14:val="tx1"/>
            </w14:solidFill>
          </w14:textFill>
        </w:rPr>
        <w:t>、爆炸等突发性风险事故的可能性。</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根据工艺生产特点，该项目钻井过程中使用主要原、辅材料有泥浆、加重剂、固井水泥、添加剂、堵漏剂、试采的天然气、柴油发电机用柴油</w:t>
      </w:r>
      <w:r>
        <w:rPr>
          <w:rFonts w:hint="eastAsia" w:ascii="Times New Roman" w:hAnsi="Times New Roman"/>
          <w:bCs/>
          <w:color w:val="000000" w:themeColor="text1"/>
          <w:kern w:val="2"/>
          <w:highlight w:val="none"/>
          <w:lang w:eastAsia="zh-CN"/>
          <w14:textFill>
            <w14:solidFill>
              <w14:schemeClr w14:val="tx1"/>
            </w14:solidFill>
          </w14:textFill>
        </w:rPr>
        <w:t>、白油（三开采用油基钻井）</w:t>
      </w:r>
      <w:r>
        <w:rPr>
          <w:rFonts w:ascii="Times New Roman" w:hAnsi="Times New Roman"/>
          <w:bCs/>
          <w:color w:val="000000" w:themeColor="text1"/>
          <w:kern w:val="2"/>
          <w:highlight w:val="none"/>
          <w:lang w:eastAsia="zh-CN"/>
          <w14:textFill>
            <w14:solidFill>
              <w14:schemeClr w14:val="tx1"/>
            </w14:solidFill>
          </w14:textFill>
        </w:rPr>
        <w:t>，井站试采期由工艺系统分离产生的气田水、试采的天然气。试采结束后对油罐进行清罐会产生</w:t>
      </w:r>
      <w:r>
        <w:rPr>
          <w:rFonts w:hint="eastAsia" w:ascii="Times New Roman" w:hAnsi="Times New Roman"/>
          <w:bCs/>
          <w:color w:val="000000" w:themeColor="text1"/>
          <w:kern w:val="2"/>
          <w:highlight w:val="none"/>
          <w:lang w:eastAsia="zh-CN"/>
          <w14:textFill>
            <w14:solidFill>
              <w14:schemeClr w14:val="tx1"/>
            </w14:solidFill>
          </w14:textFill>
        </w:rPr>
        <w:t>三甘醇脱水单元产生的废活性炭</w:t>
      </w:r>
      <w:r>
        <w:rPr>
          <w:rFonts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eastAsia="zh-CN"/>
          <w14:textFill>
            <w14:solidFill>
              <w14:schemeClr w14:val="tx1"/>
            </w14:solidFill>
          </w14:textFill>
        </w:rPr>
        <w:t>暂存于危险废物暂存间，定期交由资质单位处置</w:t>
      </w:r>
      <w:r>
        <w:rPr>
          <w:rFonts w:ascii="Times New Roman" w:hAnsi="Times New Roman"/>
          <w:bCs/>
          <w:color w:val="000000" w:themeColor="text1"/>
          <w:kern w:val="2"/>
          <w:highlight w:val="none"/>
          <w:lang w:eastAsia="zh-CN"/>
          <w14:textFill>
            <w14:solidFill>
              <w14:schemeClr w14:val="tx1"/>
            </w14:solidFill>
          </w14:textFill>
        </w:rPr>
        <w:t>，不在场内暂存，故不将其作为环境风险物质。</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过程中设置了自动、手动和电子共3套点火装置，根据《石油天然气钻井井控技术规范》（GB/T31033-2014）等井控技术规范，发生井喷后可保证在15min内实施井口点火，故钻井施工现场风险事故泄漏的甲烷泄漏量按15min计。根据项目可研报告可知，本项目酸化前最大无阻流量为</w:t>
      </w:r>
      <w:r>
        <w:rPr>
          <w:rFonts w:hint="eastAsia" w:ascii="Times New Roman" w:hAnsi="Times New Roman"/>
          <w:bCs/>
          <w:color w:val="000000" w:themeColor="text1"/>
          <w:kern w:val="2"/>
          <w:highlight w:val="none"/>
          <w:lang w:val="en-US"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0×10</w:t>
      </w:r>
      <w:r>
        <w:rPr>
          <w:rFonts w:ascii="Times New Roman" w:hAnsi="Times New Roman"/>
          <w:bCs/>
          <w:color w:val="000000" w:themeColor="text1"/>
          <w:kern w:val="2"/>
          <w:highlight w:val="none"/>
          <w:vertAlign w:val="super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m</w:t>
      </w:r>
      <w:r>
        <w:rPr>
          <w:rFonts w:ascii="Times New Roman" w:hAnsi="Times New Roman"/>
          <w:bCs/>
          <w:color w:val="000000" w:themeColor="text1"/>
          <w:kern w:val="2"/>
          <w:highlight w:val="none"/>
          <w:vertAlign w:val="superscript"/>
          <w:lang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/d，15min井喷天然气量为</w:t>
      </w:r>
      <w:r>
        <w:rPr>
          <w:rFonts w:hint="eastAsia" w:ascii="Times New Roman" w:hAnsi="Times New Roman"/>
          <w:bCs/>
          <w:color w:val="000000" w:themeColor="text1"/>
          <w:kern w:val="2"/>
          <w:highlight w:val="none"/>
          <w:lang w:val="en-US" w:eastAsia="zh-CN"/>
          <w14:textFill>
            <w14:solidFill>
              <w14:schemeClr w14:val="tx1"/>
            </w14:solidFill>
          </w14:textFill>
        </w:rPr>
        <w:t>4166</w:t>
      </w:r>
      <w:r>
        <w:rPr>
          <w:rFonts w:ascii="Times New Roman" w:hAnsi="Times New Roman"/>
          <w:bCs/>
          <w:color w:val="000000" w:themeColor="text1"/>
          <w:kern w:val="2"/>
          <w:highlight w:val="none"/>
          <w:lang w:eastAsia="zh-CN"/>
          <w14:textFill>
            <w14:solidFill>
              <w14:schemeClr w14:val="tx1"/>
            </w14:solidFill>
          </w14:textFill>
        </w:rPr>
        <w:t>m</w:t>
      </w:r>
      <w:r>
        <w:rPr>
          <w:rFonts w:ascii="Times New Roman" w:hAnsi="Times New Roman"/>
          <w:bCs/>
          <w:color w:val="000000" w:themeColor="text1"/>
          <w:kern w:val="2"/>
          <w:highlight w:val="none"/>
          <w:vertAlign w:val="superscript"/>
          <w:lang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含量为85.427mol％</w:t>
      </w:r>
      <w:r>
        <w:rPr>
          <w:rFonts w:hint="eastAsia" w:ascii="Times New Roman" w:hAnsi="Times New Roman"/>
          <w:bCs/>
          <w:color w:val="000000" w:themeColor="text1"/>
          <w:kern w:val="2"/>
          <w:highlight w:val="none"/>
          <w:lang w:val="en-US" w:eastAsia="zh-CN"/>
          <w14:textFill>
            <w14:solidFill>
              <w14:schemeClr w14:val="tx1"/>
            </w14:solidFill>
          </w14:textFill>
        </w:rPr>
        <w:t>96.643</w:t>
      </w:r>
      <w:r>
        <w:rPr>
          <w:rFonts w:ascii="Times New Roman" w:hAnsi="Times New Roman"/>
          <w:bCs/>
          <w:color w:val="000000" w:themeColor="text1"/>
          <w:kern w:val="2"/>
          <w:highlight w:val="none"/>
          <w:lang w:eastAsia="zh-CN"/>
          <w14:textFill>
            <w14:solidFill>
              <w14:schemeClr w14:val="tx1"/>
            </w14:solidFill>
          </w14:textFill>
        </w:rPr>
        <w:t>mol％，即CH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含量为</w:t>
      </w:r>
      <w:r>
        <w:rPr>
          <w:rFonts w:hint="eastAsia" w:ascii="Times New Roman" w:hAnsi="Times New Roman"/>
          <w:bCs/>
          <w:color w:val="000000" w:themeColor="text1"/>
          <w:kern w:val="2"/>
          <w:highlight w:val="none"/>
          <w:lang w:eastAsia="zh-CN"/>
          <w14:textFill>
            <w14:solidFill>
              <w14:schemeClr w14:val="tx1"/>
            </w14:solidFill>
          </w14:textFill>
        </w:rPr>
        <w:t>690307</w:t>
      </w:r>
      <w:r>
        <w:rPr>
          <w:rFonts w:ascii="Times New Roman" w:hAnsi="Times New Roman"/>
          <w:bCs/>
          <w:color w:val="000000" w:themeColor="text1"/>
          <w:kern w:val="2"/>
          <w:highlight w:val="none"/>
          <w:lang w:eastAsia="zh-CN"/>
          <w14:textFill>
            <w14:solidFill>
              <w14:schemeClr w14:val="tx1"/>
            </w14:solidFill>
          </w14:textFill>
        </w:rPr>
        <w:t>mg/m</w:t>
      </w:r>
      <w:r>
        <w:rPr>
          <w:rFonts w:ascii="Times New Roman" w:hAnsi="Times New Roman"/>
          <w:bCs/>
          <w:color w:val="000000" w:themeColor="text1"/>
          <w:kern w:val="2"/>
          <w:highlight w:val="none"/>
          <w:vertAlign w:val="superscript"/>
          <w:lang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，15min井喷CH4量为</w:t>
      </w:r>
      <w:r>
        <w:rPr>
          <w:rFonts w:hint="eastAsia" w:ascii="Times New Roman" w:hAnsi="Times New Roman"/>
          <w:bCs/>
          <w:color w:val="000000" w:themeColor="text1"/>
          <w:kern w:val="2"/>
          <w:highlight w:val="none"/>
          <w:lang w:val="en-US" w:eastAsia="zh-CN"/>
          <w14:textFill>
            <w14:solidFill>
              <w14:schemeClr w14:val="tx1"/>
            </w14:solidFill>
          </w14:textFill>
        </w:rPr>
        <w:t>2.87。</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本项目涉及危险物质数量及分布情况见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_Ref142859000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color w:val="000000" w:themeColor="text1"/>
          <w:highlight w:val="none"/>
          <w:lang w:eastAsia="zh-CN"/>
          <w14:textFill>
            <w14:solidFill>
              <w14:schemeClr w14:val="tx1"/>
            </w14:solidFill>
          </w14:textFill>
        </w:rPr>
        <w:t>表</w:t>
      </w:r>
      <w:r>
        <w:rPr>
          <w:rFonts w:ascii="Times New Roman" w:hAnsi="Times New Roman"/>
          <w:color w:val="000000" w:themeColor="text1"/>
          <w:highlight w:val="none"/>
          <w:lang w:eastAsia="zh-CN"/>
          <w14:textFill>
            <w14:solidFill>
              <w14:schemeClr w14:val="tx1"/>
            </w14:solidFill>
          </w14:textFill>
        </w:rPr>
        <w:t>6.1</w:t>
      </w:r>
      <w:r>
        <w:rPr>
          <w:rFonts w:ascii="Times New Roman" w:hAnsi="Times New Roman"/>
          <w:color w:val="000000" w:themeColor="text1"/>
          <w:highlight w:val="none"/>
          <w:lang w:eastAsia="zh-CN"/>
          <w14:textFill>
            <w14:solidFill>
              <w14:schemeClr w14:val="tx1"/>
            </w14:solidFill>
          </w14:textFill>
        </w:rPr>
        <w:noBreakHyphen/>
      </w:r>
      <w:r>
        <w:rPr>
          <w:rFonts w:ascii="Times New Roman" w:hAnsi="Times New Roman"/>
          <w:color w:val="000000" w:themeColor="text1"/>
          <w:highlight w:val="none"/>
          <w:lang w:eastAsia="zh-CN"/>
          <w14:textFill>
            <w14:solidFill>
              <w14:schemeClr w14:val="tx1"/>
            </w14:solidFill>
          </w14:textFill>
        </w:rPr>
        <w:t>1</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34" w:name="_Ref14285900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33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本项目涉及危险物质数量及分布情况表</w:t>
      </w:r>
    </w:p>
    <w:tbl>
      <w:tblPr>
        <w:tblStyle w:val="52"/>
        <w:tblW w:w="82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6"/>
        <w:gridCol w:w="1167"/>
        <w:gridCol w:w="1621"/>
        <w:gridCol w:w="1418"/>
        <w:gridCol w:w="3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blHeade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序号</w:t>
            </w:r>
          </w:p>
        </w:tc>
        <w:tc>
          <w:tcPr>
            <w:tcW w:w="116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时段</w:t>
            </w:r>
          </w:p>
        </w:tc>
        <w:tc>
          <w:tcPr>
            <w:tcW w:w="162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物质</w:t>
            </w:r>
          </w:p>
        </w:tc>
        <w:tc>
          <w:tcPr>
            <w:tcW w:w="141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最大存在量</w:t>
            </w:r>
          </w:p>
        </w:tc>
        <w:tc>
          <w:tcPr>
            <w:tcW w:w="341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分布位置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p>
        </w:tc>
        <w:tc>
          <w:tcPr>
            <w:tcW w:w="1167"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施工期（钻井工程）</w:t>
            </w: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水基泥浆、固井水泥及添加剂</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ascii="Times New Roman" w:hAnsi="Times New Roman"/>
                <w:color w:val="000000" w:themeColor="text1"/>
                <w:spacing w:val="-3"/>
                <w:sz w:val="21"/>
                <w:szCs w:val="21"/>
                <w:highlight w:val="none"/>
                <w:lang w:eastAsia="zh-CN"/>
                <w14:textFill>
                  <w14:solidFill>
                    <w14:schemeClr w14:val="tx1"/>
                  </w14:solidFill>
                </w14:textFill>
              </w:rPr>
              <w:t>约350m</w:t>
            </w:r>
            <w:r>
              <w:rPr>
                <w:rFonts w:hint="default" w:ascii="Times New Roman" w:hAnsi="Times New Roman"/>
                <w:color w:val="000000" w:themeColor="text1"/>
                <w:spacing w:val="-3"/>
                <w:sz w:val="21"/>
                <w:szCs w:val="21"/>
                <w:highlight w:val="none"/>
                <w:vertAlign w:val="superscript"/>
                <w:lang w:eastAsia="zh-CN"/>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泥浆循环系统、泥浆不落地工艺区，重浆罐、泥浆材料区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钻井废水</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bCs/>
                <w:color w:val="000000" w:themeColor="text1"/>
                <w:szCs w:val="20"/>
                <w:highlight w:val="none"/>
                <w:lang w:val="en-US" w:eastAsia="zh-CN"/>
                <w14:textFill>
                  <w14:solidFill>
                    <w14:schemeClr w14:val="tx1"/>
                  </w14:solidFill>
                </w14:textFill>
              </w:rPr>
              <w:t>160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泥浆不落地装置区</w:t>
            </w:r>
            <w:r>
              <w:rPr>
                <w:rFonts w:hint="default"/>
                <w:color w:val="000000" w:themeColor="text1"/>
                <w:szCs w:val="20"/>
                <w:highlight w:val="none"/>
                <w14:textFill>
                  <w14:solidFill>
                    <w14:schemeClr w14:val="tx1"/>
                  </w14:solidFill>
                </w14:textFill>
              </w:rPr>
              <w:t>废水罐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柴油罐区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废油</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0.085t</w:t>
            </w:r>
          </w:p>
        </w:tc>
        <w:tc>
          <w:tcPr>
            <w:tcW w:w="3410"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泥浆不落地装置</w:t>
            </w:r>
            <w:r>
              <w:rPr>
                <w:rFonts w:hint="default"/>
                <w:color w:val="000000" w:themeColor="text1"/>
                <w:szCs w:val="20"/>
                <w:highlight w:val="none"/>
                <w14:textFill>
                  <w14:solidFill>
                    <w14:schemeClr w14:val="tx1"/>
                  </w14:solidFill>
                </w14:textFill>
              </w:rPr>
              <w:t>区</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4个25L油桶暂存</w:t>
            </w:r>
            <w:r>
              <w:rPr>
                <w:rFonts w:hint="eastAsia"/>
                <w:color w:val="000000" w:themeColor="text1"/>
                <w:szCs w:val="20"/>
                <w:highlight w:val="none"/>
                <w:lang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5</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白油</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采用油基钻井时</w:t>
            </w:r>
            <w:r>
              <w:rPr>
                <w:rFonts w:hint="default"/>
                <w:color w:val="000000" w:themeColor="text1"/>
                <w:szCs w:val="20"/>
                <w:highlight w:val="none"/>
                <w14:textFill>
                  <w14:solidFill>
                    <w14:schemeClr w14:val="tx1"/>
                  </w14:solidFill>
                </w14:textFill>
              </w:rPr>
              <w:t>）</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40</w:t>
            </w:r>
            <w:r>
              <w:rPr>
                <w:rFonts w:hint="eastAsia"/>
                <w:color w:val="000000" w:themeColor="text1"/>
                <w:szCs w:val="20"/>
                <w:highlight w:val="none"/>
                <w14:textFill>
                  <w14:solidFill>
                    <w14:schemeClr w14:val="tx1"/>
                  </w14:solidFill>
                </w14:textFill>
              </w:rPr>
              <w:t>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油桶区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6</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油基泥浆（采用油基钻井时）</w:t>
            </w:r>
          </w:p>
        </w:tc>
        <w:tc>
          <w:tcPr>
            <w:tcW w:w="1418"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约300t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泥浆循环系统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甲烷</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2.87</w:t>
            </w:r>
            <w:r>
              <w:rPr>
                <w:rFonts w:hint="default"/>
                <w:color w:val="000000" w:themeColor="text1"/>
                <w:szCs w:val="20"/>
                <w:highlight w:val="none"/>
                <w14:textFill>
                  <w14:solidFill>
                    <w14:schemeClr w14:val="tx1"/>
                  </w14:solidFill>
                </w14:textFill>
              </w:rPr>
              <w:t>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单井井喷失控（按井喷15min计算）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8</w:t>
            </w:r>
          </w:p>
        </w:tc>
        <w:tc>
          <w:tcPr>
            <w:tcW w:w="1167"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w:t>
            </w:r>
            <w:r>
              <w:rPr>
                <w:rFonts w:hint="eastAsia"/>
                <w:color w:val="000000" w:themeColor="text1"/>
                <w:szCs w:val="20"/>
                <w:highlight w:val="none"/>
                <w14:textFill>
                  <w14:solidFill>
                    <w14:schemeClr w14:val="tx1"/>
                  </w14:solidFill>
                </w14:textFill>
              </w:rPr>
              <w:t>储层改造</w:t>
            </w:r>
            <w:r>
              <w:rPr>
                <w:rFonts w:hint="default"/>
                <w:color w:val="000000" w:themeColor="text1"/>
                <w:szCs w:val="20"/>
                <w:highlight w:val="none"/>
                <w14:textFill>
                  <w14:solidFill>
                    <w14:schemeClr w14:val="tx1"/>
                  </w14:solidFill>
                </w14:textFill>
              </w:rPr>
              <w:t>）</w:t>
            </w:r>
          </w:p>
        </w:tc>
        <w:tc>
          <w:tcPr>
            <w:tcW w:w="162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压裂液（含压裂反排液）</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1600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井场压裂液储罐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9</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6</w:t>
            </w:r>
            <w:r>
              <w:rPr>
                <w:rFonts w:hint="eastAsia"/>
                <w:color w:val="000000" w:themeColor="text1"/>
                <w:szCs w:val="20"/>
                <w:highlight w:val="none"/>
                <w14:textFill>
                  <w14:solidFill>
                    <w14:schemeClr w14:val="tx1"/>
                  </w14:solidFill>
                </w14:textFill>
              </w:rPr>
              <w:t>00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清水</w:t>
            </w:r>
            <w:r>
              <w:rPr>
                <w:rFonts w:hint="default"/>
                <w:color w:val="000000" w:themeColor="text1"/>
                <w:szCs w:val="20"/>
                <w:highlight w:val="none"/>
                <w14:textFill>
                  <w14:solidFill>
                    <w14:schemeClr w14:val="tx1"/>
                  </w14:solidFill>
                </w14:textFill>
              </w:rPr>
              <w:t>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300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柴油罐区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12</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盐酸</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4.5t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盐酸罐车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eastAsia"/>
                <w:color w:val="000000" w:themeColor="text1"/>
                <w:szCs w:val="20"/>
                <w:highlight w:val="none"/>
                <w14:textFill>
                  <w14:solidFill>
                    <w14:schemeClr w14:val="tx1"/>
                  </w14:solidFill>
                </w14:textFill>
              </w:rPr>
              <w:t>3</w:t>
            </w:r>
          </w:p>
        </w:tc>
        <w:tc>
          <w:tcPr>
            <w:tcW w:w="1167"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w:t>
            </w:r>
            <w:r>
              <w:rPr>
                <w:rFonts w:hint="eastAsia"/>
                <w:color w:val="000000" w:themeColor="text1"/>
                <w:szCs w:val="20"/>
                <w:highlight w:val="none"/>
                <w14:textFill>
                  <w14:solidFill>
                    <w14:schemeClr w14:val="tx1"/>
                  </w14:solidFill>
                </w14:textFill>
              </w:rPr>
              <w:t>（站内）</w:t>
            </w:r>
          </w:p>
        </w:tc>
        <w:tc>
          <w:tcPr>
            <w:tcW w:w="16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甲烷</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w:t>
            </w:r>
            <w:r>
              <w:rPr>
                <w:rFonts w:hint="eastAsia"/>
                <w:color w:val="000000" w:themeColor="text1"/>
                <w:szCs w:val="20"/>
                <w:highlight w:val="none"/>
                <w:lang w:val="en-US" w:eastAsia="zh-CN"/>
                <w14:textFill>
                  <w14:solidFill>
                    <w14:schemeClr w14:val="tx1"/>
                  </w14:solidFill>
                </w14:textFill>
              </w:rPr>
              <w:t>9</w:t>
            </w:r>
            <w:r>
              <w:rPr>
                <w:rFonts w:hint="default"/>
                <w:color w:val="000000" w:themeColor="text1"/>
                <w:szCs w:val="20"/>
                <w:highlight w:val="none"/>
                <w14:textFill>
                  <w14:solidFill>
                    <w14:schemeClr w14:val="tx1"/>
                  </w14:solidFill>
                </w14:textFill>
              </w:rPr>
              <w:t>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井口和站场工艺设备、管线（按500m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eastAsia"/>
                <w:color w:val="000000" w:themeColor="text1"/>
                <w:szCs w:val="20"/>
                <w:highlight w:val="none"/>
                <w:lang w:val="en-US" w:eastAsia="zh-CN"/>
                <w14:textFill>
                  <w14:solidFill>
                    <w14:schemeClr w14:val="tx1"/>
                  </w14:solidFill>
                </w14:textFill>
              </w:rPr>
              <w:t>5</w:t>
            </w:r>
          </w:p>
        </w:tc>
        <w:tc>
          <w:tcPr>
            <w:tcW w:w="1167" w:type="dxa"/>
            <w:vMerge w:val="continue"/>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tcBorders>
              <w:bottom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气田水</w:t>
            </w:r>
          </w:p>
        </w:tc>
        <w:tc>
          <w:tcPr>
            <w:tcW w:w="1418"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40m</w:t>
            </w:r>
            <w:r>
              <w:rPr>
                <w:rFonts w:hint="eastAsia"/>
                <w:color w:val="000000" w:themeColor="text1"/>
                <w:szCs w:val="20"/>
                <w:highlight w:val="none"/>
                <w:vertAlign w:val="superscript"/>
                <w:lang w:val="en-US" w:eastAsia="zh-CN"/>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采出水罐（达到容积80%即刻外输）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eastAsia"/>
                <w:color w:val="000000" w:themeColor="text1"/>
                <w:szCs w:val="20"/>
                <w:highlight w:val="none"/>
                <w:lang w:val="en-US" w:eastAsia="zh-CN"/>
                <w14:textFill>
                  <w14:solidFill>
                    <w14:schemeClr w14:val="tx1"/>
                  </w14:solidFill>
                </w14:textFill>
              </w:rPr>
              <w:t>6</w:t>
            </w:r>
          </w:p>
        </w:tc>
        <w:tc>
          <w:tcPr>
            <w:tcW w:w="1167" w:type="dxa"/>
            <w:vMerge w:val="restart"/>
            <w:tcBorders>
              <w:top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w:t>
            </w:r>
            <w:r>
              <w:rPr>
                <w:rFonts w:hint="eastAsia"/>
                <w:color w:val="000000" w:themeColor="text1"/>
                <w:szCs w:val="20"/>
                <w:highlight w:val="none"/>
                <w14:textFill>
                  <w14:solidFill>
                    <w14:schemeClr w14:val="tx1"/>
                  </w14:solidFill>
                </w14:textFill>
              </w:rPr>
              <w:t>（外输管线）</w:t>
            </w:r>
          </w:p>
        </w:tc>
        <w:tc>
          <w:tcPr>
            <w:tcW w:w="1621" w:type="dxa"/>
            <w:tcBorders>
              <w:top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甲烷</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r>
              <w:rPr>
                <w:rFonts w:hint="eastAsia"/>
                <w:color w:val="000000" w:themeColor="text1"/>
                <w:szCs w:val="20"/>
                <w:highlight w:val="none"/>
                <w:lang w:val="en-US" w:eastAsia="zh-CN"/>
                <w14:textFill>
                  <w14:solidFill>
                    <w14:schemeClr w14:val="tx1"/>
                  </w14:solidFill>
                </w14:textFill>
              </w:rPr>
              <w:t>19</w:t>
            </w:r>
            <w:r>
              <w:rPr>
                <w:rFonts w:hint="default"/>
                <w:color w:val="000000" w:themeColor="text1"/>
                <w:szCs w:val="20"/>
                <w:highlight w:val="none"/>
                <w14:textFill>
                  <w14:solidFill>
                    <w14:schemeClr w14:val="tx1"/>
                  </w14:solidFill>
                </w14:textFill>
              </w:rPr>
              <w:t>t</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外输管线（</w:t>
            </w:r>
            <w:r>
              <w:rPr>
                <w:rFonts w:hint="default"/>
                <w:color w:val="000000" w:themeColor="text1"/>
                <w:szCs w:val="20"/>
                <w:highlight w:val="none"/>
                <w14:textFill>
                  <w14:solidFill>
                    <w14:schemeClr w14:val="tx1"/>
                  </w14:solidFill>
                </w14:textFill>
              </w:rPr>
              <w:t>按</w:t>
            </w:r>
            <w:r>
              <w:rPr>
                <w:rFonts w:hint="eastAsia"/>
                <w:color w:val="000000" w:themeColor="text1"/>
                <w:szCs w:val="20"/>
                <w:highlight w:val="none"/>
                <w:lang w:val="en-US" w:eastAsia="zh-CN"/>
                <w14:textFill>
                  <w14:solidFill>
                    <w14:schemeClr w14:val="tx1"/>
                  </w14:solidFill>
                </w14:textFill>
              </w:rPr>
              <w:t>0.14km</w:t>
            </w:r>
            <w:r>
              <w:rPr>
                <w:rFonts w:hint="default"/>
                <w:color w:val="000000" w:themeColor="text1"/>
                <w:szCs w:val="20"/>
                <w:highlight w:val="none"/>
                <w14:textFill>
                  <w14:solidFill>
                    <w14:schemeClr w14:val="tx1"/>
                  </w14:solidFill>
                </w14:textFill>
              </w:rPr>
              <w:t>计</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输气压力10MPa计算</w:t>
            </w:r>
            <w:r>
              <w:rPr>
                <w:rFonts w:hint="eastAsia"/>
                <w:color w:val="000000" w:themeColor="text1"/>
                <w:szCs w:val="20"/>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0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1</w:t>
            </w:r>
            <w:r>
              <w:rPr>
                <w:rFonts w:hint="eastAsia"/>
                <w:color w:val="000000" w:themeColor="text1"/>
                <w:szCs w:val="20"/>
                <w:highlight w:val="none"/>
                <w:lang w:val="en-US" w:eastAsia="zh-CN"/>
                <w14:textFill>
                  <w14:solidFill>
                    <w14:schemeClr w14:val="tx1"/>
                  </w14:solidFill>
                </w14:textFill>
              </w:rPr>
              <w:t>7</w:t>
            </w:r>
          </w:p>
        </w:tc>
        <w:tc>
          <w:tcPr>
            <w:tcW w:w="1167"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621"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气田水</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0.7</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41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外输管线（</w:t>
            </w:r>
            <w:r>
              <w:rPr>
                <w:rFonts w:hint="eastAsia"/>
                <w:color w:val="000000" w:themeColor="text1"/>
                <w:szCs w:val="20"/>
                <w:highlight w:val="none"/>
                <w:lang w:eastAsia="zh-CN"/>
                <w14:textFill>
                  <w14:solidFill>
                    <w14:schemeClr w14:val="tx1"/>
                  </w14:solidFill>
                </w14:textFill>
              </w:rPr>
              <w:t>按0.14km</w:t>
            </w:r>
            <w:r>
              <w:rPr>
                <w:rFonts w:hint="default"/>
                <w:color w:val="000000" w:themeColor="text1"/>
                <w:szCs w:val="20"/>
                <w:highlight w:val="none"/>
                <w14:textFill>
                  <w14:solidFill>
                    <w14:schemeClr w14:val="tx1"/>
                  </w14:solidFill>
                </w14:textFill>
              </w:rPr>
              <w:t>计</w:t>
            </w:r>
            <w:r>
              <w:rPr>
                <w:rFonts w:hint="eastAsia"/>
                <w:color w:val="000000" w:themeColor="text1"/>
                <w:szCs w:val="20"/>
                <w:highlight w:val="none"/>
                <w14:textFill>
                  <w14:solidFill>
                    <w14:schemeClr w14:val="tx1"/>
                  </w14:solidFill>
                </w14:textFill>
              </w:rPr>
              <w:t>）</w:t>
            </w:r>
          </w:p>
        </w:tc>
      </w:tr>
    </w:tbl>
    <w:p>
      <w:pPr>
        <w:pStyle w:val="21"/>
        <w:spacing w:before="120" w:beforeLines="5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本项目涉及的危险物质物理化学特性及毒理性如下：</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（1）水基泥浆、固井水泥及添加剂危险性分析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泥浆为水基泥浆，以粘土（主要用膨润土）、水作为基础配浆材料，加入各种有机和无机材料形成的</w:t>
      </w:r>
      <w:r>
        <w:rPr>
          <w:rFonts w:hint="eastAsia" w:ascii="Times New Roman" w:hAnsi="Times New Roman"/>
          <w:bCs/>
          <w:color w:val="000000" w:themeColor="text1"/>
          <w:kern w:val="2"/>
          <w:highlight w:val="none"/>
          <w:lang w:eastAsia="zh-CN"/>
          <w14:textFill>
            <w14:solidFill>
              <w14:schemeClr w14:val="tx1"/>
            </w14:solidFill>
          </w14:textFill>
        </w:rPr>
        <w:t>多种成分</w:t>
      </w:r>
      <w:r>
        <w:rPr>
          <w:rFonts w:ascii="Times New Roman" w:hAnsi="Times New Roman"/>
          <w:bCs/>
          <w:color w:val="000000" w:themeColor="text1"/>
          <w:kern w:val="2"/>
          <w:highlight w:val="none"/>
          <w:lang w:eastAsia="zh-CN"/>
          <w14:textFill>
            <w14:solidFill>
              <w14:schemeClr w14:val="tx1"/>
            </w14:solidFill>
          </w14:textFill>
        </w:rPr>
        <w:t>和相态共存的悬浮液，主要添加成分有聚合物、氯化钠、羧甲基纤维素（CMC）、木质硫酸盐、盐抑制剂以及改性石棉、石墨粉、烧碱等20多种化学品。膨润土的主要成分是蒙脱石。泥浆中影响环境的主要成分是有机物类、无机盐类、烧碱等配浆和加重材料中的杂质，本项目采用的泥浆不含重金属及其他有毒物质，呈碱性。水泥及添加剂主要为微硅水泥及重晶石添加剂，不含易燃、易爆、有毒物质。</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（2）钻井废水危险性分析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钻井废水主要呈现出pH值偏高，属碱性废水，含较高的COD和色度，具有一定的腐蚀性。</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（3）压裂液危险性分析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压裂液主要成分为清水，主要添加成分为稀盐酸、胶凝剂、缓蚀剂、铁稳剂、助排剂、NaOH、多功能增效剂、瓜胶等。本项目采用的压裂液不含有重金属和其他有毒物质，呈酸性，影响环境的主要成分是有机物类、无机盐类。</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（4）气田水危险性分析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气田水</w:t>
      </w:r>
      <w:r>
        <w:rPr>
          <w:rFonts w:ascii="Times New Roman" w:hAnsi="Times New Roman"/>
          <w:bCs/>
          <w:color w:val="000000" w:themeColor="text1"/>
          <w:kern w:val="2"/>
          <w:highlight w:val="none"/>
          <w:lang w:eastAsia="zh-CN"/>
          <w14:textFill>
            <w14:solidFill>
              <w14:schemeClr w14:val="tx1"/>
            </w14:solidFill>
          </w14:textFill>
        </w:rPr>
        <w:t>中的主要污染物成分为石油类、COD、Cl</w:t>
      </w:r>
      <w:r>
        <w:rPr>
          <w:rFonts w:ascii="Times New Roman" w:hAnsi="Times New Roman"/>
          <w:bCs/>
          <w:color w:val="000000" w:themeColor="text1"/>
          <w:kern w:val="2"/>
          <w:highlight w:val="none"/>
          <w:vertAlign w:val="superscript"/>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。结合工程项目的实际情况，</w:t>
      </w:r>
      <w:r>
        <w:rPr>
          <w:rFonts w:hint="eastAsia" w:ascii="Times New Roman" w:hAnsi="Times New Roman"/>
          <w:bCs/>
          <w:color w:val="000000" w:themeColor="text1"/>
          <w:kern w:val="2"/>
          <w:highlight w:val="none"/>
          <w:lang w:eastAsia="zh-CN"/>
          <w14:textFill>
            <w14:solidFill>
              <w14:schemeClr w14:val="tx1"/>
            </w14:solidFill>
          </w14:textFill>
        </w:rPr>
        <w:t>气田水</w:t>
      </w:r>
      <w:r>
        <w:rPr>
          <w:rFonts w:ascii="Times New Roman" w:hAnsi="Times New Roman"/>
          <w:bCs/>
          <w:color w:val="000000" w:themeColor="text1"/>
          <w:kern w:val="2"/>
          <w:highlight w:val="none"/>
          <w:lang w:eastAsia="zh-CN"/>
          <w14:textFill>
            <w14:solidFill>
              <w14:schemeClr w14:val="tx1"/>
            </w14:solidFill>
          </w14:textFill>
        </w:rPr>
        <w:t>泄漏后会对地表水、地下水和土壤产生一定危害。</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（5）甲烷危险性分析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从地层中试采出的天然气属易燃、易爆物质，极易在通常环境中引起燃烧和爆炸，主要烃</w:t>
      </w:r>
      <w:r>
        <w:rPr>
          <w:rFonts w:hint="eastAsia" w:ascii="Times New Roman" w:hAnsi="Times New Roman"/>
          <w:bCs/>
          <w:color w:val="000000" w:themeColor="text1"/>
          <w:kern w:val="2"/>
          <w:highlight w:val="none"/>
          <w:lang w:eastAsia="zh-CN"/>
          <w14:textFill>
            <w14:solidFill>
              <w14:schemeClr w14:val="tx1"/>
            </w14:solidFill>
          </w14:textFill>
        </w:rPr>
        <w:t>组分的</w:t>
      </w:r>
      <w:r>
        <w:rPr>
          <w:rFonts w:ascii="Times New Roman" w:hAnsi="Times New Roman"/>
          <w:bCs/>
          <w:color w:val="000000" w:themeColor="text1"/>
          <w:kern w:val="2"/>
          <w:highlight w:val="none"/>
          <w:lang w:eastAsia="zh-CN"/>
          <w14:textFill>
            <w14:solidFill>
              <w14:schemeClr w14:val="tx1"/>
            </w14:solidFill>
          </w14:textFill>
        </w:rPr>
        <w:t>甲烷属于《化学品分类和危险性公示通则》（GB13690-2009）中的气相爆炸物质，泄漏在环境中与空气混合后易达到爆炸极限，此时若遇火或静电可能引起燃烧和爆炸。其爆炸极限范围为5%～15%（体积比）。当空气中甲烷浓度达到10%时，就使人感到氧气不足；当空气中甲烷浓度达25%～30%时，可引起头痛、头晕、注意力不集中，呼吸和心跳加速、精细动作障碍等；当空气中甲烷浓度达30%以上时可能会因缺氧窒息、昏迷等。《石油天然气工程设计防火规范》</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GB50183-2015</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将使用或产生甲烷（CH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）的生产列为甲类火灾危险性生产。甲烷的危险、有害特性详见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_Ref142859020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bCs/>
          <w:color w:val="000000" w:themeColor="text1"/>
          <w:kern w:val="2"/>
          <w:highlight w:val="none"/>
          <w:lang w:eastAsia="zh-CN"/>
          <w14:textFill>
            <w14:solidFill>
              <w14:schemeClr w14:val="tx1"/>
            </w14:solidFill>
          </w14:textFill>
        </w:rPr>
        <w:t>表</w:t>
      </w:r>
      <w:r>
        <w:rPr>
          <w:rFonts w:ascii="Times New Roman" w:hAnsi="Times New Roman"/>
          <w:bCs/>
          <w:color w:val="000000" w:themeColor="text1"/>
          <w:kern w:val="2"/>
          <w:highlight w:val="none"/>
          <w:lang w:eastAsia="zh-CN"/>
          <w14:textFill>
            <w14:solidFill>
              <w14:schemeClr w14:val="tx1"/>
            </w14:solidFill>
          </w14:textFill>
        </w:rPr>
        <w:t>6.1</w:t>
      </w:r>
      <w:r>
        <w:rPr>
          <w:rFonts w:ascii="Times New Roman" w:hAnsi="Times New Roman"/>
          <w:bCs/>
          <w:color w:val="000000" w:themeColor="text1"/>
          <w:kern w:val="2"/>
          <w:highlight w:val="none"/>
          <w:lang w:eastAsia="zh-CN"/>
          <w14:textFill>
            <w14:solidFill>
              <w14:schemeClr w14:val="tx1"/>
            </w14:solidFill>
          </w14:textFill>
        </w:rPr>
        <w:noBreakHyphen/>
      </w:r>
      <w:r>
        <w:rPr>
          <w:rFonts w:ascii="Times New Roman" w:hAnsi="Times New Roman"/>
          <w:bCs/>
          <w:color w:val="000000" w:themeColor="text1"/>
          <w:kern w:val="2"/>
          <w:highlight w:val="none"/>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35" w:name="_Ref14285902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33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甲烷危险、有害特性表</w:t>
      </w:r>
    </w:p>
    <w:tbl>
      <w:tblPr>
        <w:tblStyle w:val="52"/>
        <w:tblW w:w="822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57" w:type="dxa"/>
          <w:bottom w:w="0" w:type="dxa"/>
          <w:right w:w="57" w:type="dxa"/>
        </w:tblCellMar>
      </w:tblPr>
      <w:tblGrid>
        <w:gridCol w:w="791"/>
        <w:gridCol w:w="1581"/>
        <w:gridCol w:w="1702"/>
        <w:gridCol w:w="1848"/>
        <w:gridCol w:w="97"/>
        <w:gridCol w:w="220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标识</w:t>
            </w:r>
          </w:p>
        </w:tc>
        <w:tc>
          <w:tcPr>
            <w:tcW w:w="158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中文名</w:t>
            </w:r>
          </w:p>
        </w:tc>
        <w:tc>
          <w:tcPr>
            <w:tcW w:w="170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甲烷</w:t>
            </w:r>
          </w:p>
        </w:tc>
        <w:tc>
          <w:tcPr>
            <w:tcW w:w="184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英文名</w:t>
            </w: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Methane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化学式</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CH</w:t>
            </w:r>
            <w:r>
              <w:rPr>
                <w:rFonts w:hint="default"/>
                <w:color w:val="000000" w:themeColor="text1"/>
                <w:szCs w:val="20"/>
                <w:highlight w:val="none"/>
                <w:vertAlign w:val="subscript"/>
                <w14:textFill>
                  <w14:solidFill>
                    <w14:schemeClr w14:val="tx1"/>
                  </w14:solidFill>
                </w14:textFill>
              </w:rPr>
              <w:t>4</w:t>
            </w:r>
          </w:p>
        </w:tc>
        <w:tc>
          <w:tcPr>
            <w:tcW w:w="18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分子量</w:t>
            </w: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ICSC编号</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0291</w:t>
            </w:r>
          </w:p>
        </w:tc>
        <w:tc>
          <w:tcPr>
            <w:tcW w:w="18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IMDG规则页码</w:t>
            </w: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2156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CAS号</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74-82-8</w:t>
            </w:r>
          </w:p>
        </w:tc>
        <w:tc>
          <w:tcPr>
            <w:tcW w:w="18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RTECS号</w:t>
            </w: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PA1490000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UN编号</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1971</w:t>
            </w:r>
          </w:p>
        </w:tc>
        <w:tc>
          <w:tcPr>
            <w:tcW w:w="18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危险货物编号</w:t>
            </w: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21007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EC编号</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601-001-00-4</w:t>
            </w:r>
          </w:p>
        </w:tc>
        <w:tc>
          <w:tcPr>
            <w:tcW w:w="18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300"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理化</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性质</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外观与性状</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无色无臭气体。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溶解性</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微溶于水，溶于乙醇、乙醚.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主要用途</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用作燃料和用于炭黑、氢、乙炔、甲醛等的制造。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熔点（℃）</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-182.5</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相对密度（水=1）</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0.42/-164℃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沸点（℃）</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-161.5</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相对密度（空气=1）</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饱和蒸汽压（kpa）</w:t>
            </w:r>
          </w:p>
        </w:tc>
        <w:tc>
          <w:tcPr>
            <w:tcW w:w="3647"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53.32（-168.8℃）</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临界温度（℃）</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-82.6</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临界压力（Mpa）</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4.59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燃烧热（KJ/mol）</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889.5</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最小引燃能量（mJ）</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毒性</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及健</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康危</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害</w:t>
            </w:r>
          </w:p>
        </w:tc>
        <w:tc>
          <w:tcPr>
            <w:tcW w:w="158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接触限值</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中国MAC</w:t>
            </w:r>
          </w:p>
        </w:tc>
        <w:tc>
          <w:tcPr>
            <w:tcW w:w="414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前苏联MAC</w:t>
            </w:r>
          </w:p>
        </w:tc>
        <w:tc>
          <w:tcPr>
            <w:tcW w:w="414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300mg/m</w:t>
            </w:r>
            <w:r>
              <w:rPr>
                <w:rFonts w:hint="default"/>
                <w:color w:val="000000" w:themeColor="text1"/>
                <w:szCs w:val="20"/>
                <w:highlight w:val="none"/>
                <w:vertAlign w:val="superscript"/>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美国TWA</w:t>
            </w:r>
          </w:p>
        </w:tc>
        <w:tc>
          <w:tcPr>
            <w:tcW w:w="414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ACGIH窒息性气体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美国STEL</w:t>
            </w:r>
          </w:p>
        </w:tc>
        <w:tc>
          <w:tcPr>
            <w:tcW w:w="4148"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侵入途径</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吸入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健康危害</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1、当空气中甲烷浓度达</w:t>
            </w:r>
            <w:r>
              <w:rPr>
                <w:rFonts w:hint="eastAsia"/>
                <w:color w:val="000000" w:themeColor="text1"/>
                <w:szCs w:val="20"/>
                <w:highlight w:val="none"/>
                <w:lang w:eastAsia="zh-CN"/>
                <w14:textFill>
                  <w14:solidFill>
                    <w14:schemeClr w14:val="tx1"/>
                  </w14:solidFill>
                </w14:textFill>
              </w:rPr>
              <w:t>25%—30%</w:t>
            </w:r>
            <w:r>
              <w:rPr>
                <w:rFonts w:hint="default"/>
                <w:color w:val="000000" w:themeColor="text1"/>
                <w:szCs w:val="20"/>
                <w:highlight w:val="none"/>
                <w14:textFill>
                  <w14:solidFill>
                    <w14:schemeClr w14:val="tx1"/>
                  </w14:solidFill>
                </w14:textFill>
              </w:rPr>
              <w:t>时，可引起头痛、头晕、乏力、注意力不集中、呼吸和心跳加速、精细动作障碍等；</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2、当空气中甲烷浓度更高时，可能使人出现窒息、昏迷等。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燃烧</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爆炸</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危险</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性</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燃烧性</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易燃</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建规火险等级</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闪点（℃）</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-188</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爆炸下限（v%）</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自然温度（℃）</w:t>
            </w:r>
          </w:p>
        </w:tc>
        <w:tc>
          <w:tcPr>
            <w:tcW w:w="170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538</w:t>
            </w:r>
          </w:p>
        </w:tc>
        <w:tc>
          <w:tcPr>
            <w:tcW w:w="1945"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爆炸上限（v%）</w:t>
            </w:r>
          </w:p>
        </w:tc>
        <w:tc>
          <w:tcPr>
            <w:tcW w:w="220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危险特性</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1、甲烷与空气混合能形成爆炸性混合物，当在爆炸极限范围内遇明火、高热能时引起燃烧爆炸。2、甲烷与氟、氯等能发生剧烈的化学反应。3、甲烷若遇高热，容器内压增大，有开裂和爆炸的危险。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稳定性</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稳定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聚合危害</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不会出现聚合危害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禁忌物</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强氧化剂，如氟、氯等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灭火方法</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1、立即切断气源。2、若不能立即切断气源，则不允许熄灭正在燃烧的气体。3、喷水冷却容器，如果可能应将容器从火场移至空旷处。4、采用雾状水、泡沫灭火器和二氧化碳灭火器等。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包装</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储运</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危险性类别</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第2.1类（UN类别）易燃气体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危险货物包装标志</w:t>
            </w:r>
          </w:p>
        </w:tc>
        <w:tc>
          <w:tcPr>
            <w:tcW w:w="5850"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包装</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储运</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储运注意事项</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储存于阴凉、通风的储存间内，且储存间内温度不宜超过30℃，储存间内的照明、通风设施应采用防爆型，开关设置于储存间外。2、罐储时，要有防火防爆措施，若为露天储罐夏季应有降温措施。3、储存间和储罐附近应配备相应品种和数量的消防器材。4、远离火种、热源，禁止使用易产生火花的机械设备和工具。5、防止阳光直射。6、与氧气、压缩空气、卤素（氟、氯、溴）等分开存放，切忌混储混运。7、验收时应注意品名，注意验瓶日期，先进储存的先发用。8、搬运时轻装轻卸，防止钢瓶及附件破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急救</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皮肤接触</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若有冻伤，就医治疗。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吸入</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1、迅速脱离现场至空气新鲜处。2、注意保暖，呼吸困难时给输氧。3、呼吸及心跳停止者立即进行人工呼吸和心脏按压术，并就医治疗。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防护</w:t>
            </w:r>
          </w:p>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措施</w:t>
            </w: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工程控制</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全面通风。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呼吸系统防护</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一般不需要特殊防护，高浓度环境中，可</w:t>
            </w:r>
            <w:r>
              <w:rPr>
                <w:rFonts w:hint="eastAsia"/>
                <w:color w:val="000000" w:themeColor="text1"/>
                <w:szCs w:val="20"/>
                <w:highlight w:val="none"/>
                <w:lang w:eastAsia="zh-CN"/>
                <w14:textFill>
                  <w14:solidFill>
                    <w14:schemeClr w14:val="tx1"/>
                  </w14:solidFill>
                </w14:textFill>
              </w:rPr>
              <w:t>佩戴</w:t>
            </w:r>
            <w:r>
              <w:rPr>
                <w:rFonts w:hint="default"/>
                <w:color w:val="000000" w:themeColor="text1"/>
                <w:szCs w:val="20"/>
                <w:highlight w:val="none"/>
                <w14:textFill>
                  <w14:solidFill>
                    <w14:schemeClr w14:val="tx1"/>
                  </w14:solidFill>
                </w14:textFill>
              </w:rPr>
              <w:t>供气式呼吸器。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眼睛防护</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一般不需要特殊防护，高浓度接触时可戴安全防护眼镜。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手防护</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一般不需要特殊防护，高浓度接触可戴防护手套。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5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其它</w:t>
            </w:r>
          </w:p>
        </w:tc>
        <w:tc>
          <w:tcPr>
            <w:tcW w:w="5850"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1、工作现场严禁吸烟；2、避免长期反复接触；</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3、进入罐区或其它高浓度区作业时须有人监护。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cantSplit/>
          <w:jc w:val="center"/>
        </w:trPr>
        <w:tc>
          <w:tcPr>
            <w:tcW w:w="79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泄露</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处理</w:t>
            </w:r>
          </w:p>
        </w:tc>
        <w:tc>
          <w:tcPr>
            <w:tcW w:w="7431" w:type="dxa"/>
            <w:gridSpan w:val="5"/>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1、切断气源，喷雾状水稀释、降温，抽排（室内）或强力通风（室外）。2、切断火源，迅速撤离</w:t>
            </w:r>
            <w:r>
              <w:rPr>
                <w:rFonts w:hint="default"/>
                <w:bCs/>
                <w:color w:val="000000" w:themeColor="text1"/>
                <w:szCs w:val="20"/>
                <w:highlight w:val="none"/>
                <w14:textFill>
                  <w14:solidFill>
                    <w14:schemeClr w14:val="tx1"/>
                  </w14:solidFill>
                </w14:textFill>
              </w:rPr>
              <w:t>泄漏</w:t>
            </w:r>
            <w:r>
              <w:rPr>
                <w:rFonts w:hint="default"/>
                <w:color w:val="000000" w:themeColor="text1"/>
                <w:szCs w:val="20"/>
                <w:highlight w:val="none"/>
                <w14:textFill>
                  <w14:solidFill>
                    <w14:schemeClr w14:val="tx1"/>
                  </w14:solidFill>
                </w14:textFill>
              </w:rPr>
              <w:t>污染区人员至上风处，并隔离直至气体散尽。3、应急处理人员应戴自给式呼吸器，穿一般消防防护服。4、如有可能，应将漏出气用排风机送至空旷地方或装设适当喷头烧掉；也可以将漏气的容器移至空旷处，注意通风。5、漏气容器不能再用，且要经过技术处理以清除可能剩下的</w:t>
            </w:r>
            <w:r>
              <w:rPr>
                <w:rFonts w:hint="eastAsia"/>
                <w:color w:val="000000" w:themeColor="text1"/>
                <w:szCs w:val="20"/>
                <w:highlight w:val="none"/>
                <w:lang w:eastAsia="zh-CN"/>
                <w14:textFill>
                  <w14:solidFill>
                    <w14:schemeClr w14:val="tx1"/>
                  </w14:solidFill>
                </w14:textFill>
              </w:rPr>
              <w:t>气体</w:t>
            </w:r>
            <w:r>
              <w:rPr>
                <w:rFonts w:hint="default"/>
                <w:color w:val="000000" w:themeColor="text1"/>
                <w:szCs w:val="20"/>
                <w:highlight w:val="none"/>
                <w14:textFill>
                  <w14:solidFill>
                    <w14:schemeClr w14:val="tx1"/>
                  </w14:solidFill>
                </w14:textFill>
              </w:rPr>
              <w:t>。</w:t>
            </w:r>
          </w:p>
        </w:tc>
      </w:tr>
    </w:tbl>
    <w:p>
      <w:pPr>
        <w:pStyle w:val="21"/>
        <w:spacing w:before="120" w:beforeLines="5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（6）柴油危险性分析</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钻井及井下作业过程中使用柴油机作为钻井作业现场电力和动力输出，柴油具有可燃性，其物理化学特性见</w:t>
      </w:r>
      <w:r>
        <w:rPr>
          <w:rFonts w:cs="Times New Roman"/>
          <w:color w:val="000000" w:themeColor="text1"/>
          <w:kern w:val="0"/>
          <w:szCs w:val="20"/>
          <w:highlight w:val="none"/>
          <w14:textFill>
            <w14:solidFill>
              <w14:schemeClr w14:val="tx1"/>
            </w14:solidFill>
          </w14:textFill>
        </w:rPr>
        <w:fldChar w:fldCharType="begin"/>
      </w:r>
      <w:r>
        <w:rPr>
          <w:rFonts w:cs="Times New Roman"/>
          <w:color w:val="000000" w:themeColor="text1"/>
          <w:kern w:val="0"/>
          <w:szCs w:val="20"/>
          <w:highlight w:val="none"/>
          <w14:textFill>
            <w14:solidFill>
              <w14:schemeClr w14:val="tx1"/>
            </w14:solidFill>
          </w14:textFill>
        </w:rPr>
        <w:instrText xml:space="preserve"> REF _Ref142859071 \h  \* MERGEFORMAT </w:instrText>
      </w:r>
      <w:r>
        <w:rPr>
          <w:rFonts w:cs="Times New Roman"/>
          <w:color w:val="000000" w:themeColor="text1"/>
          <w:kern w:val="0"/>
          <w:szCs w:val="20"/>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color w:val="000000" w:themeColor="text1"/>
          <w:kern w:val="0"/>
          <w:szCs w:val="20"/>
          <w:highlight w:val="none"/>
          <w14:textFill>
            <w14:solidFill>
              <w14:schemeClr w14:val="tx1"/>
            </w14:solidFill>
          </w14:textFill>
        </w:rPr>
        <w:fldChar w:fldCharType="end"/>
      </w:r>
      <w:r>
        <w:rPr>
          <w:rFonts w:cs="Times New Roman"/>
          <w:color w:val="000000" w:themeColor="text1"/>
          <w:kern w:val="0"/>
          <w:szCs w:val="20"/>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36" w:name="_Ref14285907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33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柴油特性表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948"/>
        <w:gridCol w:w="1883"/>
        <w:gridCol w:w="2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第一部分危险性概述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危险性类别</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第3.3类高闪点易燃液体。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侵入途径</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吸入、食入、经皮肤吸收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健康危害</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皮肤接触柴油可引起接触性皮炎、油性痤疮，吸入可引起吸入性肺炎。能经胎盘进入胎儿血中。柴油废气可引起眼、鼻</w:t>
            </w:r>
            <w:r>
              <w:rPr>
                <w:rFonts w:hint="eastAsia"/>
                <w:color w:val="000000" w:themeColor="text1"/>
                <w:szCs w:val="20"/>
                <w:highlight w:val="none"/>
                <w:lang w:eastAsia="zh-CN"/>
                <w14:textFill>
                  <w14:solidFill>
                    <w14:schemeClr w14:val="tx1"/>
                  </w14:solidFill>
                </w14:textFill>
              </w:rPr>
              <w:t>刺激征</w:t>
            </w:r>
            <w:r>
              <w:rPr>
                <w:rFonts w:hint="default"/>
                <w:color w:val="000000" w:themeColor="text1"/>
                <w:szCs w:val="20"/>
                <w:highlight w:val="none"/>
                <w14:textFill>
                  <w14:solidFill>
                    <w14:schemeClr w14:val="tx1"/>
                  </w14:solidFill>
                </w14:textFill>
              </w:rPr>
              <w:t>状，头痛。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第二部分急救措施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皮肤接触</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脱去污染的衣着，用肥皂和大量清水清洗污染皮肤。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眼睛接触</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立即翻开上下眼睑，用流动清水冲洗，至少15min。就医。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吸入</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脱离现场。脱去污染的衣着，至空气新鲜处，就医。防治吸入性肺炎。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误服</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误服者饮牛奶或植物油，洗胃并灌肠，就医。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第三部分消防措施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危险特性</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有害燃烧产物</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灭火方法灭火剂</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第四部分</w:t>
            </w:r>
            <w:r>
              <w:rPr>
                <w:rFonts w:hint="eastAsia"/>
                <w:color w:val="000000" w:themeColor="text1"/>
                <w:szCs w:val="20"/>
                <w:highlight w:val="none"/>
                <w:lang w:eastAsia="zh-CN"/>
                <w14:textFill>
                  <w14:solidFill>
                    <w14:schemeClr w14:val="tx1"/>
                  </w14:solidFill>
                </w14:textFill>
              </w:rPr>
              <w:t>泄漏</w:t>
            </w:r>
            <w:r>
              <w:rPr>
                <w:rFonts w:hint="default"/>
                <w:color w:val="000000" w:themeColor="text1"/>
                <w:szCs w:val="20"/>
                <w:highlight w:val="none"/>
                <w14:textFill>
                  <w14:solidFill>
                    <w14:schemeClr w14:val="tx1"/>
                  </w14:solidFill>
                </w14:textFill>
              </w:rPr>
              <w:t>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应急处理</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切断火源。应急处理人员戴好防毒面具，穿化学防护服。在确保安全情况下堵漏。用活性炭或其他惰性材料吸收，然后收集运到空旷处焚烧。如大量</w:t>
            </w:r>
            <w:r>
              <w:rPr>
                <w:rFonts w:hint="eastAsia"/>
                <w:color w:val="000000" w:themeColor="text1"/>
                <w:szCs w:val="20"/>
                <w:highlight w:val="none"/>
                <w:lang w:eastAsia="zh-CN"/>
                <w14:textFill>
                  <w14:solidFill>
                    <w14:schemeClr w14:val="tx1"/>
                  </w14:solidFill>
                </w14:textFill>
              </w:rPr>
              <w:t>泄漏</w:t>
            </w:r>
            <w:r>
              <w:rPr>
                <w:rFonts w:hint="default"/>
                <w:color w:val="000000" w:themeColor="text1"/>
                <w:szCs w:val="20"/>
                <w:highlight w:val="none"/>
                <w14:textFill>
                  <w14:solidFill>
                    <w14:schemeClr w14:val="tx1"/>
                  </w14:solidFill>
                </w14:textFill>
              </w:rPr>
              <w:t>，利用围堤收容，然后收集、转移、回收或无害处理后废弃。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第五部分操作处置与储存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储存注意事项</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储存于阴凉、通风仓间内。远离火种、热源。保持容器密封。应与氧化剂分开存放。桶装堆垛不可过大，应留墙距、顶距、柱距及必要的防火检查走道。罐储时要有防火防爆技术措施。禁止使用易产生火花的机械设备和工具。充装要控制流速，注意防止静电积聚。搬运时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第六部分接触控制/个体防护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工程控制</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密闭操作，注意通风。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眼睛防护</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必要时戴安全防护眼镜。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呼吸系统防护</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一般不需特殊防护，但建议特殊情况下，佩戴供气式呼吸器。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身体防护</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穿工作服。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手防护</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必要时戴防护手套。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其他防护</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第七部分理化特性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外观及性状</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粘性棕色液体。</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闪点（℃）</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相对密度</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0.87～0.9（水=1）</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爆炸下限（V%）</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相对密度</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3.5（空气=1）</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爆炸上限（V%）</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引燃温度（℃）</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257</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用途</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用作柴油机的燃料。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溶解性</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2" w:type="dxa"/>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第八部分稳定性及化学活性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稳定性</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稳定</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避免接触的条件</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禁配物</w:t>
            </w:r>
          </w:p>
        </w:tc>
        <w:tc>
          <w:tcPr>
            <w:tcW w:w="194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强氧化剂、卤素</w:t>
            </w:r>
          </w:p>
        </w:tc>
        <w:tc>
          <w:tcPr>
            <w:tcW w:w="188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聚合危害</w:t>
            </w:r>
          </w:p>
        </w:tc>
        <w:tc>
          <w:tcPr>
            <w:tcW w:w="25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分解产物</w:t>
            </w:r>
          </w:p>
        </w:tc>
        <w:tc>
          <w:tcPr>
            <w:tcW w:w="6401"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一氧化碳、二氧化碳。</w:t>
            </w:r>
          </w:p>
        </w:tc>
      </w:tr>
    </w:tbl>
    <w:p>
      <w:pPr>
        <w:widowControl/>
        <w:spacing w:before="120" w:beforeLines="50"/>
        <w:ind w:firstLine="482"/>
        <w:rPr>
          <w:rFonts w:cs="Times New Roman"/>
          <w:b/>
          <w:color w:val="000000" w:themeColor="text1"/>
          <w:szCs w:val="24"/>
          <w:highlight w:val="none"/>
          <w14:textFill>
            <w14:solidFill>
              <w14:schemeClr w14:val="tx1"/>
            </w14:solidFill>
          </w14:textFill>
        </w:rPr>
      </w:pPr>
      <w:r>
        <w:rPr>
          <w:rFonts w:cs="Times New Roman"/>
          <w:b/>
          <w:color w:val="000000" w:themeColor="text1"/>
          <w:szCs w:val="24"/>
          <w:highlight w:val="none"/>
          <w14:textFill>
            <w14:solidFill>
              <w14:schemeClr w14:val="tx1"/>
            </w14:solidFill>
          </w14:textFill>
        </w:rPr>
        <w:t>（</w:t>
      </w:r>
      <w:r>
        <w:rPr>
          <w:rFonts w:hint="eastAsia" w:cs="Times New Roman"/>
          <w:b/>
          <w:color w:val="000000" w:themeColor="text1"/>
          <w:szCs w:val="24"/>
          <w:highlight w:val="none"/>
          <w:lang w:val="en-US" w:eastAsia="zh-CN"/>
          <w14:textFill>
            <w14:solidFill>
              <w14:schemeClr w14:val="tx1"/>
            </w14:solidFill>
          </w14:textFill>
        </w:rPr>
        <w:t>7</w:t>
      </w:r>
      <w:r>
        <w:rPr>
          <w:rFonts w:cs="Times New Roman"/>
          <w:b/>
          <w:color w:val="000000" w:themeColor="text1"/>
          <w:szCs w:val="24"/>
          <w:highlight w:val="none"/>
          <w14:textFill>
            <w14:solidFill>
              <w14:schemeClr w14:val="tx1"/>
            </w14:solidFill>
          </w14:textFill>
        </w:rPr>
        <w:t>）白油危险性分析</w:t>
      </w:r>
    </w:p>
    <w:p>
      <w:pPr>
        <w:ind w:firstLine="480"/>
        <w:rPr>
          <w:rFonts w:cs="Times New Roman"/>
          <w:color w:val="000000" w:themeColor="text1"/>
          <w:kern w:val="0"/>
          <w:szCs w:val="20"/>
          <w:highlight w:val="none"/>
          <w14:textFill>
            <w14:solidFill>
              <w14:schemeClr w14:val="tx1"/>
            </w14:solidFill>
          </w14:textFill>
        </w:rPr>
      </w:pPr>
      <w:r>
        <w:rPr>
          <w:rFonts w:cs="Times New Roman"/>
          <w:color w:val="000000" w:themeColor="text1"/>
          <w:kern w:val="0"/>
          <w:szCs w:val="20"/>
          <w:highlight w:val="none"/>
          <w14:textFill>
            <w14:solidFill>
              <w14:schemeClr w14:val="tx1"/>
            </w14:solidFill>
          </w14:textFill>
        </w:rPr>
        <w:t>白油为石油分馏的高沸馏分，不在现场储存，仅在紧急情况下临时调用，其物理化学特性见</w:t>
      </w:r>
      <w:r>
        <w:rPr>
          <w:rFonts w:hint="default" w:cs="Times New Roman"/>
          <w:color w:val="000000" w:themeColor="text1"/>
          <w:kern w:val="0"/>
          <w:szCs w:val="20"/>
          <w:highlight w:val="none"/>
          <w:lang w:val="en-US"/>
          <w14:textFill>
            <w14:solidFill>
              <w14:schemeClr w14:val="tx1"/>
            </w14:solidFill>
          </w14:textFill>
        </w:rPr>
        <w:fldChar w:fldCharType="begin"/>
      </w:r>
      <w:r>
        <w:rPr>
          <w:rFonts w:hint="default" w:cs="Times New Roman"/>
          <w:color w:val="000000" w:themeColor="text1"/>
          <w:kern w:val="0"/>
          <w:szCs w:val="20"/>
          <w:highlight w:val="none"/>
          <w:lang w:val="en-US"/>
          <w14:textFill>
            <w14:solidFill>
              <w14:schemeClr w14:val="tx1"/>
            </w14:solidFill>
          </w14:textFill>
        </w:rPr>
        <w:instrText xml:space="preserve"> REF _Ref2096 \h </w:instrText>
      </w:r>
      <w:r>
        <w:rPr>
          <w:rFonts w:hint="default" w:cs="Times New Roman"/>
          <w:color w:val="000000" w:themeColor="text1"/>
          <w:kern w:val="0"/>
          <w:szCs w:val="20"/>
          <w:highlight w:val="none"/>
          <w:lang w:val="en-US"/>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STYLEREF 2 \s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4</w:t>
      </w:r>
      <w:r>
        <w:rPr>
          <w:rFonts w:hint="default" w:cs="Times New Roman"/>
          <w:color w:val="000000" w:themeColor="text1"/>
          <w:kern w:val="0"/>
          <w:szCs w:val="20"/>
          <w:highlight w:val="none"/>
          <w:lang w:val="en-US"/>
          <w14:textFill>
            <w14:solidFill>
              <w14:schemeClr w14:val="tx1"/>
            </w14:solidFill>
          </w14:textFill>
        </w:rPr>
        <w:fldChar w:fldCharType="end"/>
      </w:r>
      <w:r>
        <w:rPr>
          <w:rFonts w:cs="Times New Roman"/>
          <w:color w:val="000000" w:themeColor="text1"/>
          <w:kern w:val="0"/>
          <w:szCs w:val="20"/>
          <w:highlight w:val="none"/>
          <w14:textFill>
            <w14:solidFill>
              <w14:schemeClr w14:val="tx1"/>
            </w14:solidFill>
          </w14:textFill>
        </w:rPr>
        <w:t>。</w:t>
      </w:r>
    </w:p>
    <w:p>
      <w:pPr>
        <w:pStyle w:val="201"/>
        <w:spacing w:before="120"/>
        <w:rPr>
          <w:rFonts w:hint="eastAsia"/>
          <w:color w:val="000000" w:themeColor="text1"/>
          <w:highlight w:val="none"/>
          <w14:textFill>
            <w14:solidFill>
              <w14:schemeClr w14:val="tx1"/>
            </w14:solidFill>
          </w14:textFill>
        </w:rPr>
      </w:pPr>
      <w:bookmarkStart w:id="337" w:name="_Ref2096"/>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STYLEREF 2 \s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SEQ 表 \* ARABIC \s 2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fldChar w:fldCharType="end"/>
      </w:r>
      <w:bookmarkEnd w:id="337"/>
      <w:r>
        <w:rPr>
          <w:rFonts w:hint="eastAsia"/>
          <w:color w:val="000000" w:themeColor="text1"/>
          <w:highlight w:val="none"/>
          <w14:textFill>
            <w14:solidFill>
              <w14:schemeClr w14:val="tx1"/>
            </w14:solidFill>
          </w14:textFill>
        </w:rPr>
        <w:t xml:space="preserve"> 白油特性表</w:t>
      </w:r>
    </w:p>
    <w:tbl>
      <w:tblPr>
        <w:tblStyle w:val="9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0"/>
        <w:gridCol w:w="913"/>
        <w:gridCol w:w="422"/>
        <w:gridCol w:w="1729"/>
        <w:gridCol w:w="651"/>
        <w:gridCol w:w="842"/>
        <w:gridCol w:w="138"/>
        <w:gridCol w:w="95"/>
        <w:gridCol w:w="2004"/>
        <w:gridCol w:w="423"/>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restart"/>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标识</w:t>
            </w: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中文名</w:t>
            </w:r>
          </w:p>
        </w:tc>
        <w:tc>
          <w:tcPr>
            <w:tcW w:w="3360" w:type="dxa"/>
            <w:gridSpan w:val="4"/>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白油</w:t>
            </w:r>
          </w:p>
        </w:tc>
        <w:tc>
          <w:tcPr>
            <w:tcW w:w="2099"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危货及UN编号</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主要成分</w:t>
            </w:r>
          </w:p>
        </w:tc>
        <w:tc>
          <w:tcPr>
            <w:tcW w:w="3360" w:type="dxa"/>
            <w:gridSpan w:val="4"/>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C16～C31的正异构烷烃的混合物</w:t>
            </w:r>
          </w:p>
        </w:tc>
        <w:tc>
          <w:tcPr>
            <w:tcW w:w="2099"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分子量</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250～450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restart"/>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理化特性</w:t>
            </w: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相对密度（水=1）</w:t>
            </w:r>
          </w:p>
        </w:tc>
        <w:tc>
          <w:tcPr>
            <w:tcW w:w="3360" w:type="dxa"/>
            <w:gridSpan w:val="4"/>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0.831～0.883</w:t>
            </w:r>
          </w:p>
        </w:tc>
        <w:tc>
          <w:tcPr>
            <w:tcW w:w="2099"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相对密度（空气=1）</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外观与性状</w:t>
            </w:r>
          </w:p>
        </w:tc>
        <w:tc>
          <w:tcPr>
            <w:tcW w:w="6387" w:type="dxa"/>
            <w:gridSpan w:val="8"/>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无色透明油状液体，无臭味，具有润滑性。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溶解性</w:t>
            </w:r>
          </w:p>
        </w:tc>
        <w:tc>
          <w:tcPr>
            <w:tcW w:w="6387" w:type="dxa"/>
            <w:gridSpan w:val="8"/>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不溶于水和乙醇。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沸点，℃</w:t>
            </w:r>
          </w:p>
        </w:tc>
        <w:tc>
          <w:tcPr>
            <w:tcW w:w="1729"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726" w:type="dxa"/>
            <w:gridSpan w:val="4"/>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熔点，℃</w:t>
            </w:r>
          </w:p>
        </w:tc>
        <w:tc>
          <w:tcPr>
            <w:tcW w:w="2932" w:type="dxa"/>
            <w:gridSpan w:val="3"/>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restart"/>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燃爆特性</w:t>
            </w: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闪点，℃</w:t>
            </w:r>
          </w:p>
        </w:tc>
        <w:tc>
          <w:tcPr>
            <w:tcW w:w="1729"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≥130℃</w:t>
            </w:r>
          </w:p>
        </w:tc>
        <w:tc>
          <w:tcPr>
            <w:tcW w:w="3730" w:type="dxa"/>
            <w:gridSpan w:val="5"/>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爆炸极限，%(V/V)</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引燃温度，℃</w:t>
            </w:r>
          </w:p>
        </w:tc>
        <w:tc>
          <w:tcPr>
            <w:tcW w:w="1729"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3730" w:type="dxa"/>
            <w:gridSpan w:val="5"/>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临界压力，MPa</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火灾危险类别</w:t>
            </w:r>
          </w:p>
        </w:tc>
        <w:tc>
          <w:tcPr>
            <w:tcW w:w="1729"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3730" w:type="dxa"/>
            <w:gridSpan w:val="5"/>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爆炸危险组别/类别</w:t>
            </w:r>
          </w:p>
        </w:tc>
        <w:tc>
          <w:tcPr>
            <w:tcW w:w="928"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危险特性</w:t>
            </w:r>
          </w:p>
        </w:tc>
        <w:tc>
          <w:tcPr>
            <w:tcW w:w="6387" w:type="dxa"/>
            <w:gridSpan w:val="8"/>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温度过高热、明火或与氧化剂接触，均有引燃危险。容器内压增大有 开裂或爆炸危险。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p>
        </w:tc>
        <w:tc>
          <w:tcPr>
            <w:tcW w:w="1335" w:type="dxa"/>
            <w:gridSpan w:val="2"/>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灭火方法</w:t>
            </w:r>
          </w:p>
        </w:tc>
        <w:tc>
          <w:tcPr>
            <w:tcW w:w="6387" w:type="dxa"/>
            <w:gridSpan w:val="8"/>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灭火剂：二氧化碳﹑干化学粉末、泡沫、砂、泥土或水雾</w:t>
            </w:r>
            <w:r>
              <w:rPr>
                <w:rFonts w:hint="eastAsia" w:cs="Times New Roman"/>
                <w:iCs/>
                <w:color w:val="000000" w:themeColor="text1"/>
                <w:sz w:val="21"/>
                <w:szCs w:val="24"/>
                <w:highlight w:val="none"/>
                <w:lang w:eastAsia="zh-CN"/>
                <w14:textFill>
                  <w14:solidFill>
                    <w14:schemeClr w14:val="tx1"/>
                  </w14:solidFill>
                </w14:textFill>
              </w:rPr>
              <w:t>（</w:t>
            </w:r>
            <w:r>
              <w:rPr>
                <w:rFonts w:cs="Times New Roman"/>
                <w:iCs/>
                <w:color w:val="000000" w:themeColor="text1"/>
                <w:sz w:val="21"/>
                <w:szCs w:val="24"/>
                <w:highlight w:val="none"/>
                <w:lang w:eastAsia="zh-CN"/>
                <w14:textFill>
                  <w14:solidFill>
                    <w14:schemeClr w14:val="tx1"/>
                  </w14:solidFill>
                </w14:textFill>
              </w:rPr>
              <w:t>不可用水 喷射</w:t>
            </w:r>
            <w:r>
              <w:rPr>
                <w:rFonts w:hint="eastAsia" w:cs="Times New Roman"/>
                <w:iCs/>
                <w:color w:val="000000" w:themeColor="text1"/>
                <w:sz w:val="21"/>
                <w:szCs w:val="24"/>
                <w:highlight w:val="none"/>
                <w:lang w:eastAsia="zh-CN"/>
                <w14:textFill>
                  <w14:solidFill>
                    <w14:schemeClr w14:val="tx1"/>
                  </w14:solidFill>
                </w14:textFill>
              </w:rPr>
              <w:t>）</w:t>
            </w:r>
            <w:r>
              <w:rPr>
                <w:rFonts w:cs="Times New Roman"/>
                <w:iCs/>
                <w:color w:val="000000" w:themeColor="text1"/>
                <w:sz w:val="21"/>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restart"/>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毒性及健康危害</w:t>
            </w:r>
          </w:p>
        </w:tc>
        <w:tc>
          <w:tcPr>
            <w:tcW w:w="913"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急性毒性</w:t>
            </w:r>
          </w:p>
        </w:tc>
        <w:tc>
          <w:tcPr>
            <w:tcW w:w="2802" w:type="dxa"/>
            <w:gridSpan w:val="3"/>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LD50(mg/kg</w:t>
            </w:r>
            <w:r>
              <w:rPr>
                <w:rFonts w:hint="eastAsia" w:cs="Times New Roman"/>
                <w:iCs/>
                <w:color w:val="000000" w:themeColor="text1"/>
                <w:sz w:val="21"/>
                <w:szCs w:val="24"/>
                <w:highlight w:val="none"/>
                <w:lang w:eastAsia="zh-CN"/>
                <w14:textFill>
                  <w14:solidFill>
                    <w14:schemeClr w14:val="tx1"/>
                  </w14:solidFill>
                </w14:textFill>
              </w:rPr>
              <w:t>，</w:t>
            </w:r>
            <w:r>
              <w:rPr>
                <w:rFonts w:cs="Times New Roman"/>
                <w:iCs/>
                <w:color w:val="000000" w:themeColor="text1"/>
                <w:sz w:val="21"/>
                <w:szCs w:val="24"/>
                <w:highlight w:val="none"/>
                <w:lang w:eastAsia="en-US"/>
                <w14:textFill>
                  <w14:solidFill>
                    <w14:schemeClr w14:val="tx1"/>
                  </w14:solidFill>
                </w14:textFill>
              </w:rPr>
              <w:t>大鼠经口</w:t>
            </w:r>
            <w:r>
              <w:rPr>
                <w:rFonts w:hint="eastAsia" w:cs="Times New Roman"/>
                <w:iCs/>
                <w:color w:val="000000" w:themeColor="text1"/>
                <w:sz w:val="21"/>
                <w:szCs w:val="24"/>
                <w:highlight w:val="none"/>
                <w:lang w:eastAsia="zh-CN"/>
                <w14:textFill>
                  <w14:solidFill>
                    <w14:schemeClr w14:val="tx1"/>
                  </w14:solidFill>
                </w14:textFill>
              </w:rPr>
              <w:t>）</w:t>
            </w:r>
          </w:p>
        </w:tc>
        <w:tc>
          <w:tcPr>
            <w:tcW w:w="842"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w:t>
            </w:r>
          </w:p>
        </w:tc>
        <w:tc>
          <w:tcPr>
            <w:tcW w:w="2660" w:type="dxa"/>
            <w:gridSpan w:val="4"/>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LC50（mg/m</w:t>
            </w:r>
            <w:r>
              <w:rPr>
                <w:rFonts w:cs="Times New Roman"/>
                <w:iCs/>
                <w:color w:val="000000" w:themeColor="text1"/>
                <w:sz w:val="21"/>
                <w:szCs w:val="24"/>
                <w:highlight w:val="none"/>
                <w:vertAlign w:val="superscript"/>
                <w:lang w:eastAsia="en-US"/>
                <w14:textFill>
                  <w14:solidFill>
                    <w14:schemeClr w14:val="tx1"/>
                  </w14:solidFill>
                </w14:textFill>
              </w:rPr>
              <w:t>3</w:t>
            </w:r>
            <w:r>
              <w:rPr>
                <w:rFonts w:cs="Times New Roman"/>
                <w:iCs/>
                <w:color w:val="000000" w:themeColor="text1"/>
                <w:sz w:val="21"/>
                <w:szCs w:val="24"/>
                <w:highlight w:val="none"/>
                <w:lang w:eastAsia="en-US"/>
                <w14:textFill>
                  <w14:solidFill>
                    <w14:schemeClr w14:val="tx1"/>
                  </w14:solidFill>
                </w14:textFill>
              </w:rPr>
              <w:t>，大鼠吸入）</w:t>
            </w:r>
          </w:p>
        </w:tc>
        <w:tc>
          <w:tcPr>
            <w:tcW w:w="505"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p>
        </w:tc>
        <w:tc>
          <w:tcPr>
            <w:tcW w:w="913"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健康危害</w:t>
            </w:r>
          </w:p>
        </w:tc>
        <w:tc>
          <w:tcPr>
            <w:tcW w:w="6809" w:type="dxa"/>
            <w:gridSpan w:val="9"/>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吸入：吸入大量挥发气体会感觉眩晕。</w:t>
            </w:r>
            <w:r>
              <w:rPr>
                <w:rFonts w:cs="Times New Roman"/>
                <w:iCs/>
                <w:color w:val="000000" w:themeColor="text1"/>
                <w:sz w:val="21"/>
                <w:szCs w:val="24"/>
                <w:highlight w:val="none"/>
                <w:lang w:eastAsia="zh-CN"/>
                <w14:textFill>
                  <w14:solidFill>
                    <w14:schemeClr w14:val="tx1"/>
                  </w14:solidFill>
                </w14:textFill>
              </w:rPr>
              <w:tab/>
            </w:r>
            <w:r>
              <w:rPr>
                <w:rFonts w:cs="Times New Roman"/>
                <w:iCs/>
                <w:color w:val="000000" w:themeColor="text1"/>
                <w:sz w:val="21"/>
                <w:szCs w:val="24"/>
                <w:highlight w:val="none"/>
                <w:lang w:eastAsia="zh-CN"/>
                <w14:textFill>
                  <w14:solidFill>
                    <w14:schemeClr w14:val="tx1"/>
                  </w14:solidFill>
                </w14:textFill>
              </w:rPr>
              <w:t>眼接触：有刺激感，损伤视力。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p>
        </w:tc>
        <w:tc>
          <w:tcPr>
            <w:tcW w:w="913"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操作注意事项</w:t>
            </w:r>
          </w:p>
        </w:tc>
        <w:tc>
          <w:tcPr>
            <w:tcW w:w="6809" w:type="dxa"/>
            <w:gridSpan w:val="9"/>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密闭操作，全面通风。操作人员必须经过专门培训，严格遵守操作规程。远离火种、热源，工作场所严禁吸烟。使用防爆型的通风系统和设备。防止气体泄漏到工作场所空气中。避免与氧化剂接触。在传送过程中，容器必须接地和跨接，防止产生静电。搬运时轻装轻卸，防止容器及附件破损。配备相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Merge w:val="continue"/>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p>
        </w:tc>
        <w:tc>
          <w:tcPr>
            <w:tcW w:w="913"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急救措施</w:t>
            </w:r>
          </w:p>
        </w:tc>
        <w:tc>
          <w:tcPr>
            <w:tcW w:w="6809" w:type="dxa"/>
            <w:gridSpan w:val="9"/>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zh-CN"/>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皮肤接触：建议使用脂枪加脂，如意外注射使皮肤受伤，应送医治疗。眼接触：张开眼皮，以洁净清水冲洗，如刺激持续，建议看医生。食入：用清水洗胃稀释，毋须诱发呕吐，如大量入肚确感不适，需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泄漏应急处理</w:t>
            </w:r>
          </w:p>
        </w:tc>
        <w:tc>
          <w:tcPr>
            <w:tcW w:w="7722" w:type="dxa"/>
            <w:gridSpan w:val="10"/>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迅速撤离泄漏污染区人员至上风处，并进行隔离，严格限制出入。切断火源，防止火花产生，除处理备油人员外，从速撤离现场，避免吸入油雾；小量泄漏：用砂泥土或木屑，吸收溢出的油，然后移至安全地点。根据有关法例处理，后以大量水冲洗被沾污的地方；大量泄漏：以砂或泥土截溢油蔓延，防止溢油流入下水道。如有可能，将溢油以槽罐截起，随后处理，或按“小量泄漏”方法处理。</w:t>
            </w:r>
            <w:r>
              <w:rPr>
                <w:rFonts w:cs="Times New Roman"/>
                <w:iCs/>
                <w:color w:val="000000" w:themeColor="text1"/>
                <w:sz w:val="21"/>
                <w:szCs w:val="24"/>
                <w:highlight w:val="none"/>
                <w:lang w:eastAsia="en-US"/>
                <w14:textFill>
                  <w14:solidFill>
                    <w14:schemeClr w14:val="tx1"/>
                  </w14:solidFill>
                </w14:textFill>
              </w:rPr>
              <w:t>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储运</w:t>
            </w:r>
          </w:p>
        </w:tc>
        <w:tc>
          <w:tcPr>
            <w:tcW w:w="7722" w:type="dxa"/>
            <w:gridSpan w:val="10"/>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储存于阴凉、通风的库房。远离火种、热源。库温不宜超过30℃。</w:t>
            </w:r>
            <w:r>
              <w:rPr>
                <w:rFonts w:cs="Times New Roman"/>
                <w:iCs/>
                <w:color w:val="000000" w:themeColor="text1"/>
                <w:sz w:val="21"/>
                <w:szCs w:val="24"/>
                <w:highlight w:val="none"/>
                <w:lang w:eastAsia="en-US"/>
                <w14:textFill>
                  <w14:solidFill>
                    <w14:schemeClr w14:val="tx1"/>
                  </w14:solidFill>
                </w14:textFill>
              </w:rPr>
              <w:t>应与氧化剂等分开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 w:type="dxa"/>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en-US"/>
                <w14:textFill>
                  <w14:solidFill>
                    <w14:schemeClr w14:val="tx1"/>
                  </w14:solidFill>
                </w14:textFill>
              </w:rPr>
              <w:t>注意事项</w:t>
            </w:r>
          </w:p>
        </w:tc>
        <w:tc>
          <w:tcPr>
            <w:tcW w:w="7722" w:type="dxa"/>
            <w:gridSpan w:val="10"/>
            <w:vAlign w:val="center"/>
          </w:tcPr>
          <w:p>
            <w:pPr>
              <w:widowControl/>
              <w:spacing w:line="240" w:lineRule="auto"/>
              <w:ind w:firstLine="0" w:firstLineChars="0"/>
              <w:jc w:val="center"/>
              <w:textAlignment w:val="center"/>
              <w:rPr>
                <w:rFonts w:cs="Times New Roman"/>
                <w:iCs/>
                <w:color w:val="000000" w:themeColor="text1"/>
                <w:sz w:val="21"/>
                <w:szCs w:val="24"/>
                <w:highlight w:val="none"/>
                <w:lang w:eastAsia="en-US"/>
                <w14:textFill>
                  <w14:solidFill>
                    <w14:schemeClr w14:val="tx1"/>
                  </w14:solidFill>
                </w14:textFill>
              </w:rPr>
            </w:pPr>
            <w:r>
              <w:rPr>
                <w:rFonts w:cs="Times New Roman"/>
                <w:iCs/>
                <w:color w:val="000000" w:themeColor="text1"/>
                <w:sz w:val="21"/>
                <w:szCs w:val="24"/>
                <w:highlight w:val="none"/>
                <w:lang w:eastAsia="zh-CN"/>
                <w14:textFill>
                  <w14:solidFill>
                    <w14:schemeClr w14:val="tx1"/>
                  </w14:solidFill>
                </w14:textFill>
              </w:rPr>
              <w:t>存放，切忌混储。采用防爆型照明、通风设施。禁止使用易产生火花的机械设备和工具。储区应备有泄漏应急处理设备。储存容器必须加盖密封，减少挥发量；避免日光照射，置于低处放置；使用：轻拿轻放，使用者戴手套。特殊注意事项：避免过多接触，工作完毕后沐浴更衣。运输时运输车辆应配备相应品种和数量的消防器材。装运该物品的车辆排气管必须配备阻火装置，禁止使用易产生火花的机械设备和工具装卸。严禁与氧化剂等混装混运。夏季应早晚运输，防止日光</w:t>
            </w:r>
            <w:r>
              <w:rPr>
                <w:rFonts w:hint="eastAsia" w:cs="Times New Roman"/>
                <w:iCs/>
                <w:color w:val="000000" w:themeColor="text1"/>
                <w:sz w:val="21"/>
                <w:szCs w:val="24"/>
                <w:highlight w:val="none"/>
                <w:lang w:eastAsia="zh-CN"/>
                <w14:textFill>
                  <w14:solidFill>
                    <w14:schemeClr w14:val="tx1"/>
                  </w14:solidFill>
                </w14:textFill>
              </w:rPr>
              <w:t>暴晒</w:t>
            </w:r>
            <w:r>
              <w:rPr>
                <w:rFonts w:cs="Times New Roman"/>
                <w:iCs/>
                <w:color w:val="000000" w:themeColor="text1"/>
                <w:sz w:val="21"/>
                <w:szCs w:val="24"/>
                <w:highlight w:val="none"/>
                <w:lang w:eastAsia="zh-CN"/>
                <w14:textFill>
                  <w14:solidFill>
                    <w14:schemeClr w14:val="tx1"/>
                  </w14:solidFill>
                </w14:textFill>
              </w:rPr>
              <w:t>。</w:t>
            </w:r>
            <w:r>
              <w:rPr>
                <w:rFonts w:cs="Times New Roman"/>
                <w:iCs/>
                <w:color w:val="000000" w:themeColor="text1"/>
                <w:sz w:val="21"/>
                <w:szCs w:val="24"/>
                <w:highlight w:val="none"/>
                <w:lang w:eastAsia="en-US"/>
                <w14:textFill>
                  <w14:solidFill>
                    <w14:schemeClr w14:val="tx1"/>
                  </w14:solidFill>
                </w14:textFill>
              </w:rPr>
              <w:t>中途停留时应远离火种、热源。</w:t>
            </w:r>
          </w:p>
        </w:tc>
      </w:tr>
    </w:tbl>
    <w:p>
      <w:pPr>
        <w:spacing w:before="120" w:beforeLines="50"/>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8</w:t>
      </w:r>
      <w:r>
        <w:rPr>
          <w:rFonts w:cs="Times New Roman"/>
          <w:b/>
          <w:bCs/>
          <w:color w:val="000000" w:themeColor="text1"/>
          <w:szCs w:val="24"/>
          <w:highlight w:val="none"/>
          <w14:textFill>
            <w14:solidFill>
              <w14:schemeClr w14:val="tx1"/>
            </w14:solidFill>
          </w14:textFill>
        </w:rPr>
        <w:t>）压裂前置酸（主要成分为7%的稀盐酸）</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盐酸，化学式为HCl，是氯化氢水溶液，相对密度1.187。熔点：114.8℃。沸点：84.9℃。易溶于水，有强烈的腐蚀性，能腐蚀金属，对动植物纤维和人体肌肤均有腐蚀作用。浓盐酸在空气中发烟，触及氨蒸气会生成白色云雾。氯化氢气体对动植物有害。盐酸是极强的无机酸，高浓度对人体有极度伤害，具有刺激性气味，能和很多金属</w:t>
      </w:r>
      <w:r>
        <w:rPr>
          <w:rFonts w:hint="eastAsia" w:cs="Times New Roman"/>
          <w:color w:val="000000" w:themeColor="text1"/>
          <w:szCs w:val="24"/>
          <w:highlight w:val="none"/>
          <w:lang w:eastAsia="zh-CN"/>
          <w14:textFill>
            <w14:solidFill>
              <w14:schemeClr w14:val="tx1"/>
            </w14:solidFill>
          </w14:textFill>
        </w:rPr>
        <w:t>发生反应</w:t>
      </w:r>
      <w:r>
        <w:rPr>
          <w:rFonts w:cs="Times New Roman"/>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健康危害：接触其蒸气或烟雾，可引起急性中毒：出现眼结膜炎，鼻及口腔</w:t>
      </w:r>
      <w:r>
        <w:rPr>
          <w:rFonts w:hint="eastAsia" w:cs="Times New Roman"/>
          <w:color w:val="000000" w:themeColor="text1"/>
          <w:szCs w:val="24"/>
          <w:highlight w:val="none"/>
          <w:lang w:eastAsia="zh-CN"/>
          <w14:textFill>
            <w14:solidFill>
              <w14:schemeClr w14:val="tx1"/>
            </w14:solidFill>
          </w14:textFill>
        </w:rPr>
        <w:t>黏膜</w:t>
      </w:r>
      <w:r>
        <w:rPr>
          <w:rFonts w:cs="Times New Roman"/>
          <w:color w:val="000000" w:themeColor="text1"/>
          <w:szCs w:val="24"/>
          <w:highlight w:val="none"/>
          <w14:textFill>
            <w14:solidFill>
              <w14:schemeClr w14:val="tx1"/>
            </w14:solidFill>
          </w14:textFill>
        </w:rPr>
        <w:t>有烧灼感，鼻出血、齿龈出血，气管炎等。误服可引起消化道灼伤、溃疡形成，有可能引起胃穿孔、腹膜炎等。眼和皮肤接触可致灼伤。</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危险特性：易燃，具刺激性。遇明火、高热源或与氧化剂接触，有引起燃烧爆炸的危险。若遇高热，容器内压增大，有开裂和爆炸的危险。</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慢性影响：长期接触，引起慢性鼻炎、慢性支气管炎、牙齿酸蚀症及皮肤损害。</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环境危害：对环境有危害，对水体和土壤可造成污染。</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燃爆危险：该品不燃。具强腐蚀性、强刺激性，可致人体灼伤。</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盐酸属于危险化学品和易制毒化学品，根据《危险化学品管理条例》和《易制毒化学品管理条例》，本项目使用盐酸前应落实使用盐酸具体责任单位，并在当地公安机关备案。</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9</w:t>
      </w:r>
      <w:r>
        <w:rPr>
          <w:rFonts w:cs="Times New Roman"/>
          <w:b/>
          <w:bCs/>
          <w:color w:val="000000" w:themeColor="text1"/>
          <w:szCs w:val="24"/>
          <w:highlight w:val="none"/>
          <w14:textFill>
            <w14:solidFill>
              <w14:schemeClr w14:val="tx1"/>
            </w14:solidFill>
          </w14:textFill>
        </w:rPr>
        <w:t>）油基泥浆及油基岩屑</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w:t>
      </w:r>
      <w:r>
        <w:rPr>
          <w:rFonts w:hint="eastAsia" w:cs="Times New Roman"/>
          <w:color w:val="000000" w:themeColor="text1"/>
          <w:szCs w:val="24"/>
          <w:highlight w:val="none"/>
          <w:lang w:eastAsia="zh-CN"/>
          <w14:textFill>
            <w14:solidFill>
              <w14:schemeClr w14:val="tx1"/>
            </w14:solidFill>
          </w14:textFill>
        </w:rPr>
        <w:t>三开</w:t>
      </w:r>
      <w:r>
        <w:rPr>
          <w:rFonts w:cs="Times New Roman"/>
          <w:color w:val="000000" w:themeColor="text1"/>
          <w:szCs w:val="24"/>
          <w:highlight w:val="none"/>
          <w14:textFill>
            <w14:solidFill>
              <w14:schemeClr w14:val="tx1"/>
            </w14:solidFill>
          </w14:textFill>
        </w:rPr>
        <w:t>采用油基钻井液钻井，油基钻井液是以油为分散介质组成的泥浆，油基泥浆的成分主要为白油、1%～2%有机土、4%～5%主乳化剂、3%～4%辅乳化剂、2%～4%润湿剂、2%～5%生石灰、氯化钙溶液</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25%～30%)、4%～5%降滤失剂、3%～5%封堵剂、1%～2%流型调节剂、1%～3%除硫剂、加重剂（按密度需要）等。危险性主要表现在油性物质的可燃性。油基泥浆现场不储存，油基泥浆和油基岩屑主要危险成分白油为无色透明油状液体，两者的危险性均远低于油类物质，其中油基岩屑相比于油基泥浆其含油率更低。通过加强管理，及时转运处置后其环境风险事故影响很小。</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w:t>
      </w:r>
      <w:r>
        <w:rPr>
          <w:rFonts w:hint="eastAsia" w:cs="Times New Roman"/>
          <w:b/>
          <w:bCs/>
          <w:color w:val="000000" w:themeColor="text1"/>
          <w:szCs w:val="24"/>
          <w:highlight w:val="none"/>
          <w:lang w:val="en-US" w:eastAsia="zh-CN"/>
          <w14:textFill>
            <w14:solidFill>
              <w14:schemeClr w14:val="tx1"/>
            </w14:solidFill>
          </w14:textFill>
        </w:rPr>
        <w:t>0</w:t>
      </w:r>
      <w:r>
        <w:rPr>
          <w:rFonts w:cs="Times New Roman"/>
          <w:b/>
          <w:bCs/>
          <w:color w:val="000000" w:themeColor="text1"/>
          <w:szCs w:val="24"/>
          <w:highlight w:val="none"/>
          <w14:textFill>
            <w14:solidFill>
              <w14:schemeClr w14:val="tx1"/>
            </w14:solidFill>
          </w14:textFill>
        </w:rPr>
        <w:t>）废油</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项目钻井使用设备过程中，或多或少会产生一些废油，主要是设备润滑、保养产生的废机油。废油主要分布于油桶里面，其特性和润滑油差不多。废油对眼睛、皮肤、</w:t>
      </w:r>
      <w:r>
        <w:rPr>
          <w:rFonts w:hint="eastAsia" w:cs="Times New Roman"/>
          <w:bCs/>
          <w:color w:val="000000" w:themeColor="text1"/>
          <w:szCs w:val="24"/>
          <w:highlight w:val="none"/>
          <w:lang w:eastAsia="zh-CN"/>
          <w14:textFill>
            <w14:solidFill>
              <w14:schemeClr w14:val="tx1"/>
            </w14:solidFill>
          </w14:textFill>
        </w:rPr>
        <w:t>黏膜</w:t>
      </w:r>
      <w:r>
        <w:rPr>
          <w:rFonts w:cs="Times New Roman"/>
          <w:bCs/>
          <w:color w:val="000000" w:themeColor="text1"/>
          <w:szCs w:val="24"/>
          <w:highlight w:val="none"/>
          <w14:textFill>
            <w14:solidFill>
              <w14:schemeClr w14:val="tx1"/>
            </w14:solidFill>
          </w14:textFill>
        </w:rPr>
        <w:t>和上呼吸道具有刺激作用。吸入后，可引起喉、支气管的火症、水肿、痉挛、化学性肺炎或肺水肿。接触后可引起燃灼感、咳嗽、喘息、气短、头痛、恶心和呕吐等。皮肤接触可发生接触性皮炎及油疹，可致急性肾脏损害，吸入其雾滴或液体呛入可引起吸入性肺炎。结合工程项目的实际情况，主要危害为废油</w:t>
      </w:r>
      <w:r>
        <w:rPr>
          <w:rFonts w:hint="eastAsia" w:cs="Times New Roman"/>
          <w:bCs/>
          <w:color w:val="000000" w:themeColor="text1"/>
          <w:szCs w:val="24"/>
          <w:highlight w:val="none"/>
          <w:lang w:eastAsia="zh-CN"/>
          <w14:textFill>
            <w14:solidFill>
              <w14:schemeClr w14:val="tx1"/>
            </w14:solidFill>
          </w14:textFill>
        </w:rPr>
        <w:t>泄漏</w:t>
      </w:r>
      <w:r>
        <w:rPr>
          <w:rFonts w:cs="Times New Roman"/>
          <w:bCs/>
          <w:color w:val="000000" w:themeColor="text1"/>
          <w:szCs w:val="24"/>
          <w:highlight w:val="none"/>
          <w14:textFill>
            <w14:solidFill>
              <w14:schemeClr w14:val="tx1"/>
            </w14:solidFill>
          </w14:textFill>
        </w:rPr>
        <w:t>后地表水、地下水和土壤的影响。</w:t>
      </w:r>
    </w:p>
    <w:p>
      <w:pPr>
        <w:pStyle w:val="4"/>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38" w:name="_Toc120173172"/>
      <w:r>
        <w:rPr>
          <w:color w:val="000000" w:themeColor="text1"/>
          <w:highlight w:val="none"/>
          <w:lang w:eastAsia="zh-CN"/>
          <w14:textFill>
            <w14:solidFill>
              <w14:schemeClr w14:val="tx1"/>
            </w14:solidFill>
          </w14:textFill>
        </w:rPr>
        <w:t>环境风险潜势初判</w:t>
      </w:r>
      <w:bookmarkEnd w:id="338"/>
    </w:p>
    <w:p>
      <w:pPr>
        <w:pStyle w:val="294"/>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建设项目环境风险潜势划分为Ⅰ、Ⅱ、Ⅲ、Ⅳ、Ⅳ+级。根据建设项目设计的物质和工艺系数的危险性及其所在地的敏感程度，结合事故情形下环境影响途径，对建设项目潜在环境危害程度进行概化分析，</w:t>
      </w:r>
      <w:r>
        <w:rPr>
          <w:rFonts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instrText xml:space="preserve"> REF _Ref2279 \h </w:instrText>
      </w:r>
      <w:r>
        <w:rPr>
          <w:rFonts w:hint="eastAsia"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t>表</w:t>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fldChar w:fldCharType="begin"/>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instrText xml:space="preserve"> STYLEREF 2 \s </w:instrText>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fldChar w:fldCharType="separate"/>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t>6.1</w:t>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fldChar w:fldCharType="end"/>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noBreakHyphen/>
      </w:r>
      <w:r>
        <w:rPr>
          <w:rFonts w:hint="eastAsia" w:ascii="Times New Roman" w:hAnsi="Times New Roman" w:eastAsia="宋体" w:cs="Times New Roman"/>
          <w:bCs/>
          <w:color w:val="000000" w:themeColor="text1"/>
          <w:kern w:val="2"/>
          <w:sz w:val="24"/>
          <w:szCs w:val="24"/>
          <w:highlight w:val="none"/>
          <w:shd w:val="clear"/>
          <w:lang w:val="en-US" w:eastAsia="zh-CN" w:bidi="ar-SA"/>
          <w14:textFill>
            <w14:solidFill>
              <w14:schemeClr w14:val="tx1"/>
            </w14:solidFill>
          </w14:textFill>
        </w:rPr>
        <w:t>5</w:t>
      </w:r>
      <w:r>
        <w:rPr>
          <w:rFonts w:hint="eastAsia"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fldChar w:fldCharType="end"/>
      </w:r>
      <w:r>
        <w:rPr>
          <w:rFonts w:ascii="Times New Roman" w:hAnsi="Times New Roman" w:eastAsia="宋体" w:cs="Times New Roman"/>
          <w:bCs/>
          <w:color w:val="000000" w:themeColor="text1"/>
          <w:kern w:val="2"/>
          <w:sz w:val="24"/>
          <w:szCs w:val="24"/>
          <w:highlight w:val="none"/>
          <w:shd w:val="clear"/>
          <w:lang w:val="zh-CN" w:eastAsia="zh-CN" w:bidi="ar-SA"/>
          <w14:textFill>
            <w14:solidFill>
              <w14:schemeClr w14:val="tx1"/>
            </w14:solidFill>
          </w14:textFill>
        </w:rPr>
        <w:t>确定环境</w:t>
      </w:r>
      <w:r>
        <w:rPr>
          <w:color w:val="000000" w:themeColor="text1"/>
          <w:highlight w:val="none"/>
          <w:lang w:val="zh-CN"/>
          <w14:textFill>
            <w14:solidFill>
              <w14:schemeClr w14:val="tx1"/>
            </w14:solidFill>
          </w14:textFill>
        </w:rPr>
        <w:t>风险潜势。</w:t>
      </w:r>
    </w:p>
    <w:p>
      <w:pPr>
        <w:pStyle w:val="201"/>
        <w:spacing w:before="120"/>
        <w:rPr>
          <w:rFonts w:hint="eastAsia"/>
          <w:color w:val="000000" w:themeColor="text1"/>
          <w:highlight w:val="none"/>
          <w:lang w:val="zh-CN"/>
          <w14:textFill>
            <w14:solidFill>
              <w14:schemeClr w14:val="tx1"/>
            </w14:solidFill>
          </w14:textFill>
        </w:rPr>
      </w:pPr>
      <w:bookmarkStart w:id="339" w:name="_Ref2279"/>
      <w:r>
        <w:rPr>
          <w:rFonts w:hint="eastAsia"/>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STYLEREF 2 \s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SEQ 表 \* ARABIC \s 2 </w:instrText>
      </w:r>
      <w:r>
        <w:rPr>
          <w:rFonts w:hint="eastAsia"/>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fldChar w:fldCharType="end"/>
      </w:r>
      <w:bookmarkEnd w:id="339"/>
      <w:r>
        <w:rPr>
          <w:rFonts w:hint="eastAsia"/>
          <w:color w:val="000000" w:themeColor="text1"/>
          <w:highlight w:val="none"/>
          <w:lang w:val="zh-CN"/>
          <w14:textFill>
            <w14:solidFill>
              <w14:schemeClr w14:val="tx1"/>
            </w14:solidFill>
          </w14:textFill>
        </w:rPr>
        <w:t xml:space="preserve">  建设项目环境风险潜势划分</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2388"/>
        <w:gridCol w:w="1458"/>
        <w:gridCol w:w="1458"/>
        <w:gridCol w:w="1458"/>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2388" w:type="dxa"/>
            <w:vMerge w:val="restart"/>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环境敏感程度（E）</w:t>
            </w:r>
          </w:p>
        </w:tc>
        <w:tc>
          <w:tcPr>
            <w:tcW w:w="5832" w:type="dxa"/>
            <w:gridSpan w:val="4"/>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2388" w:type="dxa"/>
            <w:vMerge w:val="continue"/>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极高危害（P1）</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高度危害（P2）</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中度危害（P3）</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238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环境高度敏感区（E1）</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Ⅳ+</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Ⅳ</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238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环境中度敏感区（E2）</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Ⅳ</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238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环境低度敏感区（E3）</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Ⅲ</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Ⅱ</w:t>
            </w:r>
          </w:p>
        </w:tc>
        <w:tc>
          <w:tcPr>
            <w:tcW w:w="145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8220" w:type="dxa"/>
            <w:gridSpan w:val="5"/>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注：Ⅳ+为极高环境风险。</w:t>
            </w:r>
          </w:p>
        </w:tc>
      </w:tr>
    </w:tbl>
    <w:p>
      <w:pPr>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rFonts w:cs="Times New Roman"/>
          <w:bCs/>
          <w:color w:val="000000" w:themeColor="text1"/>
          <w:szCs w:val="24"/>
          <w:highlight w:val="none"/>
          <w:lang w:val="zh-CN"/>
          <w14:textFill>
            <w14:solidFill>
              <w14:schemeClr w14:val="tx1"/>
            </w14:solidFill>
          </w14:textFill>
        </w:rPr>
      </w:pPr>
      <w:r>
        <w:rPr>
          <w:rFonts w:cs="Times New Roman"/>
          <w:bCs/>
          <w:color w:val="000000" w:themeColor="text1"/>
          <w:szCs w:val="24"/>
          <w:highlight w:val="none"/>
          <w:lang w:val="zh-CN"/>
          <w14:textFill>
            <w14:solidFill>
              <w14:schemeClr w14:val="tx1"/>
            </w14:solidFill>
          </w14:textFill>
        </w:rPr>
        <w:t>分析建设项目生产、使用、储存过程中涉及的有毒有害、易燃易爆物质，参见HJ 169-2018中附录B确定危险物质的临界量，并参照附录C进行判定。</w:t>
      </w:r>
    </w:p>
    <w:p>
      <w:pPr>
        <w:ind w:firstLine="480"/>
        <w:rPr>
          <w:rFonts w:cs="Times New Roman"/>
          <w:bCs/>
          <w:color w:val="000000" w:themeColor="text1"/>
          <w:szCs w:val="24"/>
          <w:highlight w:val="none"/>
          <w:lang w:val="zh-CN"/>
          <w14:textFill>
            <w14:solidFill>
              <w14:schemeClr w14:val="tx1"/>
            </w14:solidFill>
          </w14:textFill>
        </w:rPr>
      </w:pPr>
      <w:r>
        <w:rPr>
          <w:rFonts w:hint="eastAsia" w:ascii="宋体" w:hAnsi="宋体" w:cs="宋体"/>
          <w:bCs/>
          <w:color w:val="000000" w:themeColor="text1"/>
          <w:szCs w:val="24"/>
          <w:highlight w:val="none"/>
          <w:lang w:val="zh-CN"/>
          <w14:textFill>
            <w14:solidFill>
              <w14:schemeClr w14:val="tx1"/>
            </w14:solidFill>
          </w14:textFill>
        </w:rPr>
        <w:t>①</w:t>
      </w:r>
      <w:r>
        <w:rPr>
          <w:rFonts w:cs="Times New Roman"/>
          <w:bCs/>
          <w:color w:val="000000" w:themeColor="text1"/>
          <w:szCs w:val="24"/>
          <w:highlight w:val="none"/>
          <w:lang w:val="zh-CN"/>
          <w14:textFill>
            <w14:solidFill>
              <w14:schemeClr w14:val="tx1"/>
            </w14:solidFill>
          </w14:textFill>
        </w:rPr>
        <w:t>当企业只涉及一种风险物质时，该物质的数量与其临界量比值，即为Q。</w:t>
      </w:r>
    </w:p>
    <w:p>
      <w:pPr>
        <w:ind w:firstLine="480"/>
        <w:rPr>
          <w:rFonts w:cs="Times New Roman"/>
          <w:bCs/>
          <w:color w:val="000000" w:themeColor="text1"/>
          <w:szCs w:val="24"/>
          <w:highlight w:val="none"/>
          <w:lang w:val="zh-CN"/>
          <w14:textFill>
            <w14:solidFill>
              <w14:schemeClr w14:val="tx1"/>
            </w14:solidFill>
          </w14:textFill>
        </w:rPr>
      </w:pPr>
      <w:r>
        <w:rPr>
          <w:rFonts w:hint="eastAsia" w:ascii="宋体" w:hAnsi="宋体" w:cs="宋体"/>
          <w:bCs/>
          <w:color w:val="000000" w:themeColor="text1"/>
          <w:szCs w:val="24"/>
          <w:highlight w:val="none"/>
          <w:lang w:val="zh-CN"/>
          <w14:textFill>
            <w14:solidFill>
              <w14:schemeClr w14:val="tx1"/>
            </w14:solidFill>
          </w14:textFill>
        </w:rPr>
        <w:t>②</w:t>
      </w:r>
      <w:r>
        <w:rPr>
          <w:rFonts w:cs="Times New Roman"/>
          <w:bCs/>
          <w:color w:val="000000" w:themeColor="text1"/>
          <w:szCs w:val="24"/>
          <w:highlight w:val="none"/>
          <w:lang w:val="zh-CN"/>
          <w14:textFill>
            <w14:solidFill>
              <w14:schemeClr w14:val="tx1"/>
            </w14:solidFill>
          </w14:textFill>
        </w:rPr>
        <w:t>当企业存在多种风险物质时，则按下式计算：</w:t>
      </w:r>
    </w:p>
    <w:p>
      <w:pPr>
        <w:pStyle w:val="558"/>
        <w:ind w:firstLine="480"/>
        <w:jc w:val="center"/>
        <w:rPr>
          <w:rFonts w:ascii="Times New Roman"/>
          <w:bCs/>
          <w:color w:val="000000" w:themeColor="text1"/>
          <w:szCs w:val="24"/>
          <w:highlight w:val="none"/>
          <w:vertAlign w:val="subscript"/>
          <w14:textFill>
            <w14:solidFill>
              <w14:schemeClr w14:val="tx1"/>
            </w14:solidFill>
          </w14:textFill>
        </w:rPr>
      </w:pPr>
      <w:r>
        <w:rPr>
          <w:rFonts w:ascii="Times New Roman"/>
          <w:bCs/>
          <w:color w:val="000000" w:themeColor="text1"/>
          <w:szCs w:val="24"/>
          <w:highlight w:val="none"/>
          <w14:textFill>
            <w14:solidFill>
              <w14:schemeClr w14:val="tx1"/>
            </w14:solidFill>
          </w14:textFill>
        </w:rPr>
        <w:t>Q=q</w:t>
      </w:r>
      <w:r>
        <w:rPr>
          <w:rFonts w:ascii="Times New Roman"/>
          <w:bCs/>
          <w:color w:val="000000" w:themeColor="text1"/>
          <w:szCs w:val="24"/>
          <w:highlight w:val="none"/>
          <w:vertAlign w:val="subscript"/>
          <w14:textFill>
            <w14:solidFill>
              <w14:schemeClr w14:val="tx1"/>
            </w14:solidFill>
          </w14:textFill>
        </w:rPr>
        <w:t>1</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1</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2</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2</w:t>
      </w:r>
      <w:r>
        <w:rPr>
          <w:rFonts w:ascii="Times New Roman"/>
          <w:bCs/>
          <w:color w:val="000000" w:themeColor="text1"/>
          <w:szCs w:val="24"/>
          <w:highlight w:val="none"/>
          <w14:textFill>
            <w14:solidFill>
              <w14:schemeClr w14:val="tx1"/>
            </w14:solidFill>
          </w14:textFill>
        </w:rPr>
        <w:t>+</w:t>
      </w:r>
      <w:r>
        <w:rPr>
          <w:rFonts w:ascii="Times New Roman"/>
          <w:bCs/>
          <w:color w:val="000000" w:themeColor="text1"/>
          <w:spacing w:val="-4"/>
          <w:szCs w:val="24"/>
          <w:highlight w:val="none"/>
          <w14:textFill>
            <w14:solidFill>
              <w14:schemeClr w14:val="tx1"/>
            </w14:solidFill>
          </w14:textFill>
        </w:rPr>
        <w:t>...</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n</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n</w:t>
      </w:r>
    </w:p>
    <w:p>
      <w:pPr>
        <w:pStyle w:val="558"/>
        <w:ind w:firstLine="472"/>
        <w:rPr>
          <w:rFonts w:ascii="Times New Roman"/>
          <w:bCs/>
          <w:color w:val="000000" w:themeColor="text1"/>
          <w:spacing w:val="-4"/>
          <w:szCs w:val="24"/>
          <w:highlight w:val="none"/>
          <w14:textFill>
            <w14:solidFill>
              <w14:schemeClr w14:val="tx1"/>
            </w14:solidFill>
          </w14:textFill>
        </w:rPr>
      </w:pPr>
      <w:r>
        <w:rPr>
          <w:rFonts w:ascii="Times New Roman"/>
          <w:bCs/>
          <w:color w:val="000000" w:themeColor="text1"/>
          <w:spacing w:val="-4"/>
          <w:szCs w:val="24"/>
          <w:highlight w:val="none"/>
          <w14:textFill>
            <w14:solidFill>
              <w14:schemeClr w14:val="tx1"/>
            </w14:solidFill>
          </w14:textFill>
        </w:rPr>
        <w:t>式中：q</w:t>
      </w:r>
      <w:r>
        <w:rPr>
          <w:rFonts w:ascii="Times New Roman"/>
          <w:bCs/>
          <w:color w:val="000000" w:themeColor="text1"/>
          <w:spacing w:val="-4"/>
          <w:szCs w:val="24"/>
          <w:highlight w:val="none"/>
          <w:vertAlign w:val="subscript"/>
          <w14:textFill>
            <w14:solidFill>
              <w14:schemeClr w14:val="tx1"/>
            </w14:solidFill>
          </w14:textFill>
        </w:rPr>
        <w:t>1</w:t>
      </w:r>
      <w:r>
        <w:rPr>
          <w:rFonts w:ascii="Times New Roman"/>
          <w:bCs/>
          <w:color w:val="000000" w:themeColor="text1"/>
          <w:spacing w:val="-4"/>
          <w:szCs w:val="24"/>
          <w:highlight w:val="none"/>
          <w14:textFill>
            <w14:solidFill>
              <w14:schemeClr w14:val="tx1"/>
            </w14:solidFill>
          </w14:textFill>
        </w:rPr>
        <w:t>，q</w:t>
      </w:r>
      <w:r>
        <w:rPr>
          <w:rFonts w:ascii="Times New Roman"/>
          <w:bCs/>
          <w:color w:val="000000" w:themeColor="text1"/>
          <w:spacing w:val="-4"/>
          <w:szCs w:val="24"/>
          <w:highlight w:val="none"/>
          <w:vertAlign w:val="subscript"/>
          <w14:textFill>
            <w14:solidFill>
              <w14:schemeClr w14:val="tx1"/>
            </w14:solidFill>
          </w14:textFill>
        </w:rPr>
        <w:t>2</w:t>
      </w:r>
      <w:r>
        <w:rPr>
          <w:rFonts w:ascii="Times New Roman"/>
          <w:bCs/>
          <w:color w:val="000000" w:themeColor="text1"/>
          <w:spacing w:val="-4"/>
          <w:szCs w:val="24"/>
          <w:highlight w:val="none"/>
          <w14:textFill>
            <w14:solidFill>
              <w14:schemeClr w14:val="tx1"/>
            </w14:solidFill>
          </w14:textFill>
        </w:rPr>
        <w:t>，...，q</w:t>
      </w:r>
      <w:r>
        <w:rPr>
          <w:rFonts w:ascii="Times New Roman"/>
          <w:bCs/>
          <w:color w:val="000000" w:themeColor="text1"/>
          <w:spacing w:val="-4"/>
          <w:szCs w:val="24"/>
          <w:highlight w:val="none"/>
          <w:vertAlign w:val="subscript"/>
          <w14:textFill>
            <w14:solidFill>
              <w14:schemeClr w14:val="tx1"/>
            </w14:solidFill>
          </w14:textFill>
        </w:rPr>
        <w:t>n</w:t>
      </w:r>
      <w:r>
        <w:rPr>
          <w:rFonts w:ascii="Times New Roman"/>
          <w:bCs/>
          <w:color w:val="000000" w:themeColor="text1"/>
          <w:spacing w:val="-4"/>
          <w:szCs w:val="24"/>
          <w:highlight w:val="none"/>
          <w14:textFill>
            <w14:solidFill>
              <w14:schemeClr w14:val="tx1"/>
            </w14:solidFill>
          </w14:textFill>
        </w:rPr>
        <w:t>——每种风险物质的存在量，t；</w:t>
      </w:r>
    </w:p>
    <w:p>
      <w:pPr>
        <w:pStyle w:val="558"/>
        <w:ind w:firstLine="1080" w:firstLineChars="450"/>
        <w:rPr>
          <w:rFonts w:ascii="Times New Roman"/>
          <w:bCs/>
          <w:color w:val="000000" w:themeColor="text1"/>
          <w:szCs w:val="24"/>
          <w:highlight w:val="none"/>
          <w14:textFill>
            <w14:solidFill>
              <w14:schemeClr w14:val="tx1"/>
            </w14:solidFill>
          </w14:textFill>
        </w:rPr>
      </w:pP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1</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2</w:t>
      </w:r>
      <w:r>
        <w:rPr>
          <w:rFonts w:ascii="Times New Roman"/>
          <w:bCs/>
          <w:color w:val="000000" w:themeColor="text1"/>
          <w:szCs w:val="24"/>
          <w:highlight w:val="none"/>
          <w14:textFill>
            <w14:solidFill>
              <w14:schemeClr w14:val="tx1"/>
            </w14:solidFill>
          </w14:textFill>
        </w:rPr>
        <w:t>，...，Q</w:t>
      </w:r>
      <w:r>
        <w:rPr>
          <w:rFonts w:ascii="Times New Roman"/>
          <w:bCs/>
          <w:color w:val="000000" w:themeColor="text1"/>
          <w:szCs w:val="24"/>
          <w:highlight w:val="none"/>
          <w:vertAlign w:val="subscript"/>
          <w14:textFill>
            <w14:solidFill>
              <w14:schemeClr w14:val="tx1"/>
            </w14:solidFill>
          </w14:textFill>
        </w:rPr>
        <w:t>n</w:t>
      </w:r>
      <w:r>
        <w:rPr>
          <w:rFonts w:ascii="Times New Roman"/>
          <w:bCs/>
          <w:color w:val="000000" w:themeColor="text1"/>
          <w:szCs w:val="24"/>
          <w:highlight w:val="none"/>
          <w14:textFill>
            <w14:solidFill>
              <w14:schemeClr w14:val="tx1"/>
            </w14:solidFill>
          </w14:textFill>
        </w:rPr>
        <w:t>——每种风险物质的临界量，t。</w:t>
      </w:r>
    </w:p>
    <w:p>
      <w:pPr>
        <w:pStyle w:val="558"/>
        <w:ind w:firstLine="480"/>
        <w:rPr>
          <w:rFonts w:ascii="Times New Roman"/>
          <w:bCs/>
          <w:snapToGrid w:val="0"/>
          <w:color w:val="000000" w:themeColor="text1"/>
          <w:szCs w:val="24"/>
          <w:highlight w:val="none"/>
          <w14:textFill>
            <w14:solidFill>
              <w14:schemeClr w14:val="tx1"/>
            </w14:solidFill>
          </w14:textFill>
        </w:rPr>
      </w:pPr>
      <w:r>
        <w:rPr>
          <w:rFonts w:ascii="Times New Roman"/>
          <w:bCs/>
          <w:snapToGrid w:val="0"/>
          <w:color w:val="000000" w:themeColor="text1"/>
          <w:szCs w:val="24"/>
          <w:highlight w:val="none"/>
          <w14:textFill>
            <w14:solidFill>
              <w14:schemeClr w14:val="tx1"/>
            </w14:solidFill>
          </w14:textFill>
        </w:rPr>
        <w:t>当Q＜1时，本项目环境风险潜势为Ⅰ级。</w:t>
      </w:r>
    </w:p>
    <w:p>
      <w:pPr>
        <w:ind w:firstLine="480"/>
        <w:rPr>
          <w:rFonts w:cs="Times New Roman"/>
          <w:bCs/>
          <w:color w:val="000000" w:themeColor="text1"/>
          <w:szCs w:val="24"/>
          <w:highlight w:val="none"/>
          <w:lang w:val="zh-CN"/>
          <w14:textFill>
            <w14:solidFill>
              <w14:schemeClr w14:val="tx1"/>
            </w14:solidFill>
          </w14:textFill>
        </w:rPr>
      </w:pPr>
      <w:r>
        <w:rPr>
          <w:rFonts w:cs="Times New Roman"/>
          <w:bCs/>
          <w:color w:val="000000" w:themeColor="text1"/>
          <w:szCs w:val="24"/>
          <w:highlight w:val="none"/>
          <w:lang w:val="zh-CN"/>
          <w14:textFill>
            <w14:solidFill>
              <w14:schemeClr w14:val="tx1"/>
            </w14:solidFill>
          </w14:textFill>
        </w:rPr>
        <w:t>当Q≥1时，将Q值划分为：（1）1≤Q＜10；（2）10≤Q＜100；（3）Q≥100。</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建设项目环境风险评价技术导则》（HJ/T169-2018），本项目天然气所含的甲烷、盐酸、柴油和废油等油类物质属于附录B.1突发环境事件风险物质，甲烷临界量为10t、盐酸临界量为7.5t、柴油、废油、白油、油基泥浆等油类物质临界量为2500t。</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本项目大气环境危险物质主要</w:t>
      </w:r>
      <w:r>
        <w:rPr>
          <w:rFonts w:hint="eastAsia" w:cs="Times New Roman"/>
          <w:bCs/>
          <w:color w:val="000000" w:themeColor="text1"/>
          <w:szCs w:val="24"/>
          <w:highlight w:val="none"/>
          <w:lang w:eastAsia="zh-CN"/>
          <w14:textFill>
            <w14:solidFill>
              <w14:schemeClr w14:val="tx1"/>
            </w14:solidFill>
          </w14:textFill>
        </w:rPr>
        <w:t>涉及</w:t>
      </w:r>
      <w:r>
        <w:rPr>
          <w:rFonts w:cs="Times New Roman"/>
          <w:bCs/>
          <w:color w:val="000000" w:themeColor="text1"/>
          <w:szCs w:val="24"/>
          <w:highlight w:val="none"/>
          <w14:textFill>
            <w14:solidFill>
              <w14:schemeClr w14:val="tx1"/>
            </w14:solidFill>
          </w14:textFill>
        </w:rPr>
        <w:t>甲烷（CH</w:t>
      </w:r>
      <w:r>
        <w:rPr>
          <w:rFonts w:cs="Times New Roman"/>
          <w:bCs/>
          <w:color w:val="000000" w:themeColor="text1"/>
          <w:szCs w:val="24"/>
          <w:highlight w:val="none"/>
          <w:vertAlign w:val="subscript"/>
          <w14:textFill>
            <w14:solidFill>
              <w14:schemeClr w14:val="tx1"/>
            </w14:solidFill>
          </w14:textFill>
        </w:rPr>
        <w:t>4</w:t>
      </w:r>
      <w:r>
        <w:rPr>
          <w:rFonts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盐酸</w:t>
      </w:r>
      <w:r>
        <w:rPr>
          <w:rFonts w:cs="Times New Roman"/>
          <w:bCs/>
          <w:color w:val="000000" w:themeColor="text1"/>
          <w:szCs w:val="24"/>
          <w:highlight w:val="none"/>
          <w14:textFill>
            <w14:solidFill>
              <w14:schemeClr w14:val="tx1"/>
            </w14:solidFill>
          </w14:textFill>
        </w:rPr>
        <w:t>和油类（柴油、废油）三类物质。按照环境风险管理规定，事故状态下在不超过15min内对井场可燃气体实施点火应急处置作业。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施工期：根据前文计算，本项目事故时CH</w:t>
      </w:r>
      <w:r>
        <w:rPr>
          <w:rFonts w:cs="Times New Roman"/>
          <w:color w:val="000000" w:themeColor="text1"/>
          <w:szCs w:val="24"/>
          <w:highlight w:val="none"/>
          <w:vertAlign w:val="subscript"/>
          <w14:textFill>
            <w14:solidFill>
              <w14:schemeClr w14:val="tx1"/>
            </w14:solidFill>
          </w14:textFill>
        </w:rPr>
        <w:t>4</w:t>
      </w:r>
      <w:r>
        <w:rPr>
          <w:rFonts w:cs="Times New Roman"/>
          <w:color w:val="000000" w:themeColor="text1"/>
          <w:szCs w:val="24"/>
          <w:highlight w:val="none"/>
          <w14:textFill>
            <w14:solidFill>
              <w14:schemeClr w14:val="tx1"/>
            </w14:solidFill>
          </w14:textFill>
        </w:rPr>
        <w:t>泄露总量按单井计最大为</w:t>
      </w:r>
      <w:r>
        <w:rPr>
          <w:rFonts w:hint="eastAsia" w:cs="Times New Roman"/>
          <w:color w:val="000000" w:themeColor="text1"/>
          <w:szCs w:val="24"/>
          <w:highlight w:val="none"/>
          <w:lang w:val="en-US" w:eastAsia="zh-CN"/>
          <w14:textFill>
            <w14:solidFill>
              <w14:schemeClr w14:val="tx1"/>
            </w14:solidFill>
          </w14:textFill>
        </w:rPr>
        <w:t>2.87</w:t>
      </w:r>
      <w:r>
        <w:rPr>
          <w:rFonts w:cs="Times New Roman"/>
          <w:color w:val="000000" w:themeColor="text1"/>
          <w:szCs w:val="24"/>
          <w:highlight w:val="none"/>
          <w14:textFill>
            <w14:solidFill>
              <w14:schemeClr w14:val="tx1"/>
            </w14:solidFill>
          </w14:textFill>
        </w:rPr>
        <w:t>t，小于其临界量10t；钻井阶段现场柴油储存、使用量最大为16t；废油单井产生量约0.7m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，现场采取4个容积为25L的废油收集桶，废油随时回用，废油最大存在量为0.1m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，废油密度约0.85，故废油量最大为0.085t，因此共计油类16.085t，远小于油类物质临界量为2500t。</w:t>
      </w:r>
      <w:bookmarkStart w:id="340" w:name="_Hlk149209123"/>
      <w:r>
        <w:rPr>
          <w:rFonts w:cs="Times New Roman"/>
          <w:color w:val="000000" w:themeColor="text1"/>
          <w:szCs w:val="24"/>
          <w:highlight w:val="none"/>
          <w14:textFill>
            <w14:solidFill>
              <w14:schemeClr w14:val="tx1"/>
            </w14:solidFill>
          </w14:textFill>
        </w:rPr>
        <w:t>油基钻井泥浆和油基岩屑其环境风险主要表现在油基钻井液泄漏环境风险，项目</w:t>
      </w:r>
      <w:r>
        <w:rPr>
          <w:rFonts w:hint="eastAsia" w:cs="Times New Roman"/>
          <w:color w:val="000000" w:themeColor="text1"/>
          <w:szCs w:val="24"/>
          <w:highlight w:val="none"/>
          <w:lang w:val="en-US" w:eastAsia="zh-CN"/>
          <w14:textFill>
            <w14:solidFill>
              <w14:schemeClr w14:val="tx1"/>
            </w14:solidFill>
          </w14:textFill>
        </w:rPr>
        <w:t>油基钻井液井场内最大存在</w:t>
      </w:r>
      <w:r>
        <w:rPr>
          <w:rFonts w:hint="eastAsia" w:cs="Times New Roman"/>
          <w:color w:val="000000" w:themeColor="text1"/>
          <w:szCs w:val="24"/>
          <w:highlight w:val="none"/>
          <w14:textFill>
            <w14:solidFill>
              <w14:schemeClr w14:val="tx1"/>
            </w14:solidFill>
          </w14:textFill>
        </w:rPr>
        <w:t>量</w:t>
      </w:r>
      <w:r>
        <w:rPr>
          <w:rFonts w:cs="Times New Roman"/>
          <w:color w:val="000000" w:themeColor="text1"/>
          <w:szCs w:val="24"/>
          <w:highlight w:val="none"/>
          <w14:textFill>
            <w14:solidFill>
              <w14:schemeClr w14:val="tx1"/>
            </w14:solidFill>
          </w14:textFill>
        </w:rPr>
        <w:t>为</w:t>
      </w:r>
      <w:r>
        <w:rPr>
          <w:rFonts w:hint="eastAsia" w:cs="Times New Roman"/>
          <w:color w:val="000000" w:themeColor="text1"/>
          <w:szCs w:val="24"/>
          <w:highlight w:val="none"/>
          <w:lang w:val="en-US" w:eastAsia="zh-CN"/>
          <w14:textFill>
            <w14:solidFill>
              <w14:schemeClr w14:val="tx1"/>
            </w14:solidFill>
          </w14:textFill>
        </w:rPr>
        <w:t>300</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，油基</w:t>
      </w:r>
      <w:r>
        <w:rPr>
          <w:rFonts w:hint="eastAsia" w:cs="Times New Roman"/>
          <w:color w:val="000000" w:themeColor="text1"/>
          <w:szCs w:val="24"/>
          <w:highlight w:val="none"/>
          <w:lang w:val="en-US" w:eastAsia="zh-CN"/>
          <w14:textFill>
            <w14:solidFill>
              <w14:schemeClr w14:val="tx1"/>
            </w14:solidFill>
          </w14:textFill>
        </w:rPr>
        <w:t>钻井液</w:t>
      </w:r>
      <w:r>
        <w:rPr>
          <w:rFonts w:cs="Times New Roman"/>
          <w:color w:val="000000" w:themeColor="text1"/>
          <w:szCs w:val="24"/>
          <w:highlight w:val="none"/>
          <w14:textFill>
            <w14:solidFill>
              <w14:schemeClr w14:val="tx1"/>
            </w14:solidFill>
          </w14:textFill>
        </w:rPr>
        <w:t>比重</w:t>
      </w:r>
      <w:r>
        <w:rPr>
          <w:rFonts w:hint="eastAsia" w:cs="Times New Roman"/>
          <w:color w:val="000000" w:themeColor="text1"/>
          <w:szCs w:val="24"/>
          <w:highlight w:val="none"/>
          <w:lang w:val="en-US" w:eastAsia="zh-CN"/>
          <w14:textFill>
            <w14:solidFill>
              <w14:schemeClr w14:val="tx1"/>
            </w14:solidFill>
          </w14:textFill>
        </w:rPr>
        <w:t>约1.9</w:t>
      </w:r>
      <w:r>
        <w:rPr>
          <w:rFonts w:cs="Times New Roman"/>
          <w:color w:val="000000" w:themeColor="text1"/>
          <w:szCs w:val="24"/>
          <w:highlight w:val="none"/>
          <w14:textFill>
            <w14:solidFill>
              <w14:schemeClr w14:val="tx1"/>
            </w14:solidFill>
          </w14:textFill>
        </w:rPr>
        <w:t>，计算得油基泥浆重约</w:t>
      </w:r>
      <w:r>
        <w:rPr>
          <w:rFonts w:hint="eastAsia" w:cs="Times New Roman"/>
          <w:color w:val="000000" w:themeColor="text1"/>
          <w:szCs w:val="24"/>
          <w:highlight w:val="none"/>
          <w:lang w:val="en-US" w:eastAsia="zh-CN"/>
          <w14:textFill>
            <w14:solidFill>
              <w14:schemeClr w14:val="tx1"/>
            </w14:solidFill>
          </w14:textFill>
        </w:rPr>
        <w:t>570</w:t>
      </w:r>
      <w:r>
        <w:rPr>
          <w:rFonts w:cs="Times New Roman"/>
          <w:color w:val="000000" w:themeColor="text1"/>
          <w:szCs w:val="24"/>
          <w:highlight w:val="none"/>
          <w14:textFill>
            <w14:solidFill>
              <w14:schemeClr w14:val="tx1"/>
            </w14:solidFill>
          </w14:textFill>
        </w:rPr>
        <w:t>t。</w:t>
      </w:r>
      <w:bookmarkEnd w:id="340"/>
    </w:p>
    <w:p>
      <w:pPr>
        <w:ind w:firstLine="468" w:firstLineChars="195"/>
        <w:rPr>
          <w:rFonts w:cs="Times New Roman"/>
          <w:color w:val="000000" w:themeColor="text1"/>
          <w:highlight w:val="none"/>
          <w14:textFill>
            <w14:solidFill>
              <w14:schemeClr w14:val="tx1"/>
            </w14:solidFill>
          </w14:textFill>
        </w:rPr>
      </w:pPr>
      <w:bookmarkStart w:id="341" w:name="_Hlk149209152"/>
      <w:r>
        <w:rPr>
          <w:rFonts w:cs="Times New Roman"/>
          <w:color w:val="000000" w:themeColor="text1"/>
          <w:highlight w:val="none"/>
          <w14:textFill>
            <w14:solidFill>
              <w14:schemeClr w14:val="tx1"/>
            </w14:solidFill>
          </w14:textFill>
        </w:rPr>
        <w:t>酸化压裂使用稀盐酸由玻璃钢罐车专业运输车辆拉运至现场使用，每批次约20m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。井场内不再设置储罐暂存，根据预估使用量，分批次运输至井场。现场最大贮存量不超20m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。本项目酸化使用酸液为7%的稀盐酸，根据《企业突发环境</w:t>
      </w:r>
      <w:r>
        <w:rPr>
          <w:rFonts w:hint="eastAsia" w:cs="Times New Roman"/>
          <w:color w:val="000000" w:themeColor="text1"/>
          <w:highlight w:val="none"/>
          <w:lang w:eastAsia="zh-CN"/>
          <w14:textFill>
            <w14:solidFill>
              <w14:schemeClr w14:val="tx1"/>
            </w14:solidFill>
          </w14:textFill>
        </w:rPr>
        <w:t>事件</w:t>
      </w:r>
      <w:r>
        <w:rPr>
          <w:rFonts w:cs="Times New Roman"/>
          <w:color w:val="000000" w:themeColor="text1"/>
          <w:highlight w:val="none"/>
          <w14:textFill>
            <w14:solidFill>
              <w14:schemeClr w14:val="tx1"/>
            </w14:solidFill>
          </w14:textFill>
        </w:rPr>
        <w:t>风险分级》（HJ941-2018）中提出</w:t>
      </w:r>
      <w:r>
        <w:rPr>
          <w:rFonts w:hint="eastAsia" w:ascii="宋体" w:hAnsi="宋体" w:eastAsia="宋体" w:cs="宋体"/>
          <w:color w:val="000000" w:themeColor="text1"/>
          <w:highlight w:val="none"/>
          <w14:textFill>
            <w14:solidFill>
              <w14:schemeClr w14:val="tx1"/>
            </w14:solidFill>
          </w14:textFill>
        </w:rPr>
        <w:t>“混合或稀释的风险物质按其组分比例折算成纯物质”</w:t>
      </w:r>
      <w:r>
        <w:rPr>
          <w:rFonts w:cs="Times New Roman"/>
          <w:color w:val="000000" w:themeColor="text1"/>
          <w:highlight w:val="none"/>
          <w14:textFill>
            <w14:solidFill>
              <w14:schemeClr w14:val="tx1"/>
            </w14:solidFill>
          </w14:textFill>
        </w:rPr>
        <w:t>的原则折算成37%浓度盐酸，同时查表盐酸在37%、温度25℃情况下密度为1.1899t/m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，可计算本项目折算成（37%）盐酸风险物质最大在线量为4.5t。</w:t>
      </w:r>
    </w:p>
    <w:bookmarkEnd w:id="341"/>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试采期</w:t>
      </w:r>
      <w:r>
        <w:rPr>
          <w:rFonts w:hint="eastAsia" w:cs="Times New Roman"/>
          <w:color w:val="000000" w:themeColor="text1"/>
          <w:szCs w:val="24"/>
          <w:highlight w:val="none"/>
          <w14:textFill>
            <w14:solidFill>
              <w14:schemeClr w14:val="tx1"/>
            </w14:solidFill>
          </w14:textFill>
        </w:rPr>
        <w:t>站内</w:t>
      </w:r>
      <w:r>
        <w:rPr>
          <w:rFonts w:cs="Times New Roman"/>
          <w:color w:val="000000" w:themeColor="text1"/>
          <w:szCs w:val="24"/>
          <w:highlight w:val="none"/>
          <w14:textFill>
            <w14:solidFill>
              <w14:schemeClr w14:val="tx1"/>
            </w14:solidFill>
          </w14:textFill>
        </w:rPr>
        <w:t>：类比川东北地区类似井站经验数据，</w:t>
      </w:r>
      <w:r>
        <w:rPr>
          <w:rFonts w:hint="eastAsia" w:cs="Times New Roman"/>
          <w:color w:val="000000" w:themeColor="text1"/>
          <w:szCs w:val="24"/>
          <w:highlight w:val="none"/>
          <w14:textFill>
            <w14:solidFill>
              <w14:schemeClr w14:val="tx1"/>
            </w14:solidFill>
          </w14:textFill>
        </w:rPr>
        <w:t>试采</w:t>
      </w:r>
      <w:r>
        <w:rPr>
          <w:rFonts w:cs="Times New Roman"/>
          <w:color w:val="000000" w:themeColor="text1"/>
          <w:szCs w:val="24"/>
          <w:highlight w:val="none"/>
          <w14:textFill>
            <w14:solidFill>
              <w14:schemeClr w14:val="tx1"/>
            </w14:solidFill>
          </w14:textFill>
        </w:rPr>
        <w:t>站场工艺设备及管道内天然气在发生事故后可通过截断阀控制，试采期采气设备、管线内单井天然气量约</w:t>
      </w:r>
      <w:r>
        <w:rPr>
          <w:rFonts w:hint="eastAsia" w:cs="Times New Roman"/>
          <w:color w:val="000000" w:themeColor="text1"/>
          <w:szCs w:val="24"/>
          <w:highlight w:val="none"/>
          <w:lang w:val="en-US" w:eastAsia="zh-CN"/>
          <w14:textFill>
            <w14:solidFill>
              <w14:schemeClr w14:val="tx1"/>
            </w14:solidFill>
          </w14:textFill>
        </w:rPr>
        <w:t>5</w:t>
      </w:r>
      <w:r>
        <w:rPr>
          <w:rFonts w:cs="Times New Roman"/>
          <w:color w:val="000000" w:themeColor="text1"/>
          <w:szCs w:val="24"/>
          <w:highlight w:val="none"/>
          <w14:textFill>
            <w14:solidFill>
              <w14:schemeClr w14:val="tx1"/>
            </w14:solidFill>
          </w14:textFill>
        </w:rPr>
        <w:t>00m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，其中甲烷在线量为0.</w:t>
      </w:r>
      <w:r>
        <w:rPr>
          <w:rFonts w:hint="eastAsia" w:cs="Times New Roman"/>
          <w:color w:val="000000" w:themeColor="text1"/>
          <w:szCs w:val="24"/>
          <w:highlight w:val="none"/>
          <w:lang w:val="en-US" w:eastAsia="zh-CN"/>
          <w14:textFill>
            <w14:solidFill>
              <w14:schemeClr w14:val="tx1"/>
            </w14:solidFill>
          </w14:textFill>
        </w:rPr>
        <w:t>29</w:t>
      </w:r>
      <w:r>
        <w:rPr>
          <w:rFonts w:cs="Times New Roman"/>
          <w:color w:val="000000" w:themeColor="text1"/>
          <w:szCs w:val="24"/>
          <w:highlight w:val="none"/>
          <w14:textFill>
            <w14:solidFill>
              <w14:schemeClr w14:val="tx1"/>
            </w14:solidFill>
          </w14:textFill>
        </w:rPr>
        <w:t>t，小于其临界量10t；</w:t>
      </w:r>
      <w:r>
        <w:rPr>
          <w:rFonts w:ascii="Times New Roman" w:hAnsi="Times New Roman"/>
          <w:color w:val="000000" w:themeColor="text1"/>
          <w:sz w:val="24"/>
          <w:highlight w:val="none"/>
          <w:lang w:eastAsia="zh-CN"/>
          <w14:textFill>
            <w14:solidFill>
              <w14:schemeClr w14:val="tx1"/>
            </w14:solidFill>
          </w14:textFill>
        </w:rPr>
        <w:t>气田水最大暂存量为4</w:t>
      </w:r>
      <w:r>
        <w:rPr>
          <w:rFonts w:hint="eastAsia" w:ascii="Times New Roman" w:hAnsi="Times New Roman"/>
          <w:color w:val="000000" w:themeColor="text1"/>
          <w:sz w:val="24"/>
          <w:highlight w:val="none"/>
          <w:lang w:val="en-US" w:eastAsia="zh-CN"/>
          <w14:textFill>
            <w14:solidFill>
              <w14:schemeClr w14:val="tx1"/>
            </w14:solidFill>
          </w14:textFill>
        </w:rPr>
        <w:t>0</w:t>
      </w:r>
      <w:r>
        <w:rPr>
          <w:rFonts w:ascii="Times New Roman" w:hAnsi="Times New Roman"/>
          <w:color w:val="000000" w:themeColor="text1"/>
          <w:sz w:val="24"/>
          <w:highlight w:val="none"/>
          <w:lang w:eastAsia="zh-CN"/>
          <w14:textFill>
            <w14:solidFill>
              <w14:schemeClr w14:val="tx1"/>
            </w14:solidFill>
          </w14:textFill>
        </w:rPr>
        <w:t>t，小于其临界量100t</w:t>
      </w:r>
      <w:r>
        <w:rPr>
          <w:rFonts w:hint="eastAsia" w:ascii="Times New Roman" w:hAnsi="Times New Roman"/>
          <w:color w:val="000000" w:themeColor="text1"/>
          <w:sz w:val="24"/>
          <w:highlight w:val="none"/>
          <w:lang w:eastAsia="zh-CN"/>
          <w14:textFill>
            <w14:solidFill>
              <w14:schemeClr w14:val="tx1"/>
            </w14:solidFill>
          </w14:textFill>
        </w:rPr>
        <w:t>。</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cs="Times New Roman"/>
          <w:color w:val="000000" w:themeColor="text1"/>
          <w:szCs w:val="24"/>
          <w:highlight w:val="none"/>
          <w14:textFill>
            <w14:solidFill>
              <w14:schemeClr w14:val="tx1"/>
            </w14:solidFill>
          </w14:textFill>
        </w:rPr>
        <w:t>试采期</w:t>
      </w:r>
      <w:r>
        <w:rPr>
          <w:rFonts w:hint="eastAsia" w:cs="Times New Roman"/>
          <w:color w:val="000000" w:themeColor="text1"/>
          <w:szCs w:val="24"/>
          <w:highlight w:val="none"/>
          <w14:textFill>
            <w14:solidFill>
              <w14:schemeClr w14:val="tx1"/>
            </w14:solidFill>
          </w14:textFill>
        </w:rPr>
        <w:t>外输管线</w:t>
      </w:r>
      <w:r>
        <w:rPr>
          <w:rFonts w:hint="eastAsia"/>
          <w:color w:val="000000" w:themeColor="text1"/>
          <w:szCs w:val="20"/>
          <w:highlight w:val="none"/>
          <w:lang w:val="en-US" w:eastAsia="zh-CN"/>
          <w14:textFill>
            <w14:solidFill>
              <w14:schemeClr w14:val="tx1"/>
            </w14:solidFill>
          </w14:textFill>
        </w:rPr>
        <w:t>约0.14km长，管道内径为200mm</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管道容积约4.39m</w:t>
      </w:r>
      <w:r>
        <w:rPr>
          <w:rFonts w:hint="eastAsia"/>
          <w:color w:val="000000" w:themeColor="text1"/>
          <w:szCs w:val="20"/>
          <w:highlight w:val="none"/>
          <w:vertAlign w:val="superscript"/>
          <w:lang w:val="en-US" w:eastAsia="zh-CN"/>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，输气压力6.3MPa计算，</w:t>
      </w:r>
      <w:r>
        <w:rPr>
          <w:rFonts w:ascii="Times New Roman" w:hAnsi="Times New Roman"/>
          <w:bCs/>
          <w:color w:val="000000" w:themeColor="text1"/>
          <w:kern w:val="2"/>
          <w:highlight w:val="none"/>
          <w:lang w:eastAsia="zh-CN"/>
          <w14:textFill>
            <w14:solidFill>
              <w14:schemeClr w14:val="tx1"/>
            </w14:solidFill>
          </w14:textFill>
        </w:rPr>
        <w:t>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含量为</w:t>
      </w:r>
      <w:r>
        <w:rPr>
          <w:rFonts w:hint="eastAsia" w:ascii="Times New Roman" w:hAnsi="Times New Roman"/>
          <w:bCs/>
          <w:color w:val="000000" w:themeColor="text1"/>
          <w:kern w:val="2"/>
          <w:highlight w:val="none"/>
          <w:lang w:eastAsia="zh-CN"/>
          <w14:textFill>
            <w14:solidFill>
              <w14:schemeClr w14:val="tx1"/>
            </w14:solidFill>
          </w14:textFill>
        </w:rPr>
        <w:t>690307</w:t>
      </w:r>
      <w:r>
        <w:rPr>
          <w:rFonts w:hint="eastAsia"/>
          <w:bCs/>
          <w:color w:val="000000" w:themeColor="text1"/>
          <w:kern w:val="2"/>
          <w:highlight w:val="none"/>
          <w:lang w:val="en-US" w:eastAsia="zh-CN"/>
          <w14:textFill>
            <w14:solidFill>
              <w14:schemeClr w14:val="tx1"/>
            </w14:solidFill>
          </w14:textFill>
        </w:rPr>
        <w:t>*6.3*10</w:t>
      </w:r>
      <w:r>
        <w:rPr>
          <w:rFonts w:hint="eastAsia"/>
          <w:bCs/>
          <w:color w:val="000000" w:themeColor="text1"/>
          <w:kern w:val="2"/>
          <w:highlight w:val="none"/>
          <w:vertAlign w:val="superscript"/>
          <w:lang w:val="en-US" w:eastAsia="zh-CN"/>
          <w14:textFill>
            <w14:solidFill>
              <w14:schemeClr w14:val="tx1"/>
            </w14:solidFill>
          </w14:textFill>
        </w:rPr>
        <w:t>6</w:t>
      </w:r>
      <w:r>
        <w:rPr>
          <w:rFonts w:hint="eastAsia"/>
          <w:bCs/>
          <w:color w:val="000000" w:themeColor="text1"/>
          <w:kern w:val="2"/>
          <w:highlight w:val="none"/>
          <w:lang w:val="en-US" w:eastAsia="zh-CN"/>
          <w14:textFill>
            <w14:solidFill>
              <w14:schemeClr w14:val="tx1"/>
            </w14:solidFill>
          </w14:textFill>
        </w:rPr>
        <w:t>/101325=42920642.49mg/m</w:t>
      </w:r>
      <w:r>
        <w:rPr>
          <w:rFonts w:hint="eastAsia"/>
          <w:bCs/>
          <w:color w:val="000000" w:themeColor="text1"/>
          <w:kern w:val="2"/>
          <w:highlight w:val="none"/>
          <w:vertAlign w:val="superscript"/>
          <w:lang w:val="en-US"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color w:val="000000" w:themeColor="text1"/>
          <w:sz w:val="24"/>
          <w:highlight w:val="none"/>
          <w:lang w:eastAsia="zh-CN"/>
          <w14:textFill>
            <w14:solidFill>
              <w14:schemeClr w14:val="tx1"/>
            </w14:solidFill>
          </w14:textFill>
        </w:rPr>
        <w:t>根据计算可知，该段管线内甲烷在线量为</w:t>
      </w:r>
      <w:r>
        <w:rPr>
          <w:rFonts w:hint="eastAsia" w:ascii="Times New Roman" w:hAnsi="Times New Roman"/>
          <w:color w:val="000000" w:themeColor="text1"/>
          <w:sz w:val="24"/>
          <w:highlight w:val="none"/>
          <w:lang w:val="en-US" w:eastAsia="zh-CN"/>
          <w14:textFill>
            <w14:solidFill>
              <w14:schemeClr w14:val="tx1"/>
            </w14:solidFill>
          </w14:textFill>
        </w:rPr>
        <w:t>0.</w:t>
      </w:r>
      <w:r>
        <w:rPr>
          <w:rFonts w:hint="eastAsia"/>
          <w:color w:val="000000" w:themeColor="text1"/>
          <w:sz w:val="24"/>
          <w:highlight w:val="none"/>
          <w:lang w:val="en-US" w:eastAsia="zh-CN"/>
          <w14:textFill>
            <w14:solidFill>
              <w14:schemeClr w14:val="tx1"/>
            </w14:solidFill>
          </w14:textFill>
        </w:rPr>
        <w:t>19</w:t>
      </w:r>
      <w:r>
        <w:rPr>
          <w:rFonts w:ascii="Times New Roman" w:hAnsi="Times New Roman"/>
          <w:color w:val="000000" w:themeColor="text1"/>
          <w:sz w:val="24"/>
          <w:highlight w:val="none"/>
          <w:lang w:eastAsia="zh-CN"/>
          <w14:textFill>
            <w14:solidFill>
              <w14:schemeClr w14:val="tx1"/>
            </w14:solidFill>
          </w14:textFill>
        </w:rPr>
        <w:t>t，小于其临界量10t。</w:t>
      </w:r>
    </w:p>
    <w:p>
      <w:pPr>
        <w:pStyle w:val="201"/>
        <w:spacing w:before="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STYLEREF 2 \s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SEQ 表 \* ARABIC \s 2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本项目环境风险物质数量与临界量的比值Q统计表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661"/>
        <w:gridCol w:w="1094"/>
        <w:gridCol w:w="1588"/>
        <w:gridCol w:w="1638"/>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钻井</w:t>
            </w:r>
            <w:r>
              <w:rPr>
                <w:rFonts w:hint="default"/>
                <w:color w:val="000000" w:themeColor="text1"/>
                <w:sz w:val="21"/>
                <w:szCs w:val="21"/>
                <w:highlight w:val="none"/>
                <w14:textFill>
                  <w14:solidFill>
                    <w14:schemeClr w14:val="tx1"/>
                  </w14:solidFill>
                </w14:textFill>
              </w:rPr>
              <w:t>施工</w:t>
            </w:r>
            <w:r>
              <w:rPr>
                <w:rFonts w:hint="eastAsia"/>
                <w:color w:val="000000" w:themeColor="text1"/>
                <w:sz w:val="21"/>
                <w:szCs w:val="21"/>
                <w:highlight w:val="none"/>
                <w:lang w:val="en-US" w:eastAsia="zh-CN"/>
                <w14:textFill>
                  <w14:solidFill>
                    <w14:schemeClr w14:val="tx1"/>
                  </w14:solidFill>
                </w14:textFill>
              </w:rPr>
              <w:t>阶段</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序号</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物质</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q</w:t>
            </w:r>
            <w:r>
              <w:rPr>
                <w:rFonts w:hint="default"/>
                <w:b/>
                <w:bCs/>
                <w:color w:val="000000" w:themeColor="text1"/>
                <w:sz w:val="21"/>
                <w:szCs w:val="21"/>
                <w:highlight w:val="none"/>
                <w:vertAlign w:val="subscript"/>
                <w14:textFill>
                  <w14:solidFill>
                    <w14:schemeClr w14:val="tx1"/>
                  </w14:solidFill>
                </w14:textFill>
              </w:rPr>
              <w:t>n</w:t>
            </w:r>
            <w:r>
              <w:rPr>
                <w:rFonts w:hint="default"/>
                <w:b/>
                <w:bCs/>
                <w:color w:val="000000" w:themeColor="text1"/>
                <w:sz w:val="21"/>
                <w:szCs w:val="21"/>
                <w:highlight w:val="none"/>
                <w14:textFill>
                  <w14:solidFill>
                    <w14:schemeClr w14:val="tx1"/>
                  </w14:solidFill>
                </w14:textFill>
              </w:rPr>
              <w:t>，储存量，t</w:t>
            </w:r>
          </w:p>
        </w:tc>
        <w:tc>
          <w:tcPr>
            <w:tcW w:w="0" w:type="auto"/>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Q</w:t>
            </w:r>
            <w:r>
              <w:rPr>
                <w:rFonts w:hint="default"/>
                <w:b/>
                <w:bCs/>
                <w:color w:val="000000" w:themeColor="text1"/>
                <w:sz w:val="21"/>
                <w:szCs w:val="21"/>
                <w:highlight w:val="none"/>
                <w:vertAlign w:val="subscript"/>
                <w14:textFill>
                  <w14:solidFill>
                    <w14:schemeClr w14:val="tx1"/>
                  </w14:solidFill>
                </w14:textFill>
              </w:rPr>
              <w:t>n，</w:t>
            </w:r>
            <w:r>
              <w:rPr>
                <w:rFonts w:hint="default"/>
                <w:b/>
                <w:bCs/>
                <w:color w:val="000000" w:themeColor="text1"/>
                <w:sz w:val="21"/>
                <w:szCs w:val="21"/>
                <w:highlight w:val="none"/>
                <w14:textFill>
                  <w14:solidFill>
                    <w14:schemeClr w14:val="tx1"/>
                  </w14:solidFill>
                </w14:textFill>
              </w:rPr>
              <w:t>临界量，t</w:t>
            </w:r>
          </w:p>
        </w:tc>
        <w:tc>
          <w:tcPr>
            <w:tcW w:w="1058" w:type="dxa"/>
            <w:vAlign w:val="bottom"/>
          </w:tcPr>
          <w:p>
            <w:pPr>
              <w:keepNext w:val="0"/>
              <w:keepLines w:val="0"/>
              <w:widowControl/>
              <w:suppressLineNumbers w:val="0"/>
              <w:spacing w:before="0" w:beforeAutospacing="0" w:after="0" w:afterAutospacing="0"/>
              <w:ind w:left="0" w:leftChars="0" w:right="0" w:firstLine="0" w:firstLineChars="0"/>
              <w:jc w:val="center"/>
              <w:textAlignment w:val="bottom"/>
              <w:rPr>
                <w:rFonts w:hint="default"/>
                <w:b/>
                <w:bCs/>
                <w:color w:val="000000" w:themeColor="text1"/>
                <w:sz w:val="21"/>
                <w:szCs w:val="21"/>
                <w:highlight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甲烷</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2.87</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0" w:type="auto"/>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柴油</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废油</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r>
              <w:rPr>
                <w:rFonts w:hint="default"/>
                <w:color w:val="000000" w:themeColor="text1"/>
                <w:sz w:val="21"/>
                <w:szCs w:val="21"/>
                <w:highlight w:val="none"/>
                <w14:textFill>
                  <w14:solidFill>
                    <w14:schemeClr w14:val="tx1"/>
                  </w14:solidFill>
                </w14:textFill>
              </w:rPr>
              <w:t>.085</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白油</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40</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油基泥浆</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570</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058" w:type="dxa"/>
            <w:vAlign w:val="bottom"/>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储层改造阶段</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盐酸</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柴油</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试采期</w:t>
            </w:r>
            <w:r>
              <w:rPr>
                <w:rFonts w:hint="eastAsia"/>
                <w:color w:val="000000" w:themeColor="text1"/>
                <w:sz w:val="21"/>
                <w:szCs w:val="21"/>
                <w:highlight w:val="none"/>
                <w14:textFill>
                  <w14:solidFill>
                    <w14:schemeClr w14:val="tx1"/>
                  </w14:solidFill>
                </w14:textFill>
              </w:rPr>
              <w:t>（站内）</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序号</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物质</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q</w:t>
            </w:r>
            <w:r>
              <w:rPr>
                <w:rFonts w:hint="default"/>
                <w:color w:val="000000" w:themeColor="text1"/>
                <w:sz w:val="21"/>
                <w:szCs w:val="21"/>
                <w:highlight w:val="none"/>
                <w:vertAlign w:val="subscript"/>
                <w14:textFill>
                  <w14:solidFill>
                    <w14:schemeClr w14:val="tx1"/>
                  </w14:solidFill>
                </w14:textFill>
              </w:rPr>
              <w:t>n</w:t>
            </w:r>
            <w:r>
              <w:rPr>
                <w:rFonts w:hint="default"/>
                <w:color w:val="000000" w:themeColor="text1"/>
                <w:sz w:val="21"/>
                <w:szCs w:val="21"/>
                <w:highlight w:val="none"/>
                <w14:textFill>
                  <w14:solidFill>
                    <w14:schemeClr w14:val="tx1"/>
                  </w14:solidFill>
                </w14:textFill>
              </w:rPr>
              <w:t>，储存量，t</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Q</w:t>
            </w:r>
            <w:r>
              <w:rPr>
                <w:rFonts w:hint="default"/>
                <w:color w:val="000000" w:themeColor="text1"/>
                <w:sz w:val="21"/>
                <w:szCs w:val="21"/>
                <w:highlight w:val="none"/>
                <w:vertAlign w:val="subscript"/>
                <w14:textFill>
                  <w14:solidFill>
                    <w14:schemeClr w14:val="tx1"/>
                  </w14:solidFill>
                </w14:textFill>
              </w:rPr>
              <w:t>n，</w:t>
            </w:r>
            <w:r>
              <w:rPr>
                <w:rFonts w:hint="default"/>
                <w:color w:val="000000" w:themeColor="text1"/>
                <w:sz w:val="21"/>
                <w:szCs w:val="21"/>
                <w:highlight w:val="none"/>
                <w14:textFill>
                  <w14:solidFill>
                    <w14:schemeClr w14:val="tx1"/>
                  </w14:solidFill>
                </w14:textFill>
              </w:rPr>
              <w:t>临界量，t</w:t>
            </w:r>
          </w:p>
        </w:tc>
        <w:tc>
          <w:tcPr>
            <w:tcW w:w="1058" w:type="dxa"/>
            <w:vAlign w:val="bottom"/>
          </w:tcPr>
          <w:p>
            <w:pPr>
              <w:keepNext w:val="0"/>
              <w:keepLines w:val="0"/>
              <w:widowControl/>
              <w:suppressLineNumbers w:val="0"/>
              <w:spacing w:before="0" w:beforeAutospacing="0" w:after="0" w:afterAutospacing="0"/>
              <w:ind w:left="0" w:leftChars="0" w:right="0" w:firstLine="0" w:firstLineChars="0"/>
              <w:jc w:val="center"/>
              <w:textAlignment w:val="bottom"/>
              <w:rPr>
                <w:rFonts w:hint="default"/>
                <w:color w:val="000000" w:themeColor="text1"/>
                <w:sz w:val="21"/>
                <w:szCs w:val="21"/>
                <w:highlight w:val="none"/>
                <w14:textFill>
                  <w14:solidFill>
                    <w14:schemeClr w14:val="tx1"/>
                  </w14:solidFill>
                </w14:textFill>
              </w:rPr>
            </w:pPr>
            <w:r>
              <w:rPr>
                <w:rFonts w:hint="default" w:ascii="Times New Roman" w:hAnsi="Times New Roman" w:eastAsia="等线" w:cs="Times New Roman"/>
                <w:b/>
                <w:bCs/>
                <w:i w:val="0"/>
                <w:iCs w:val="0"/>
                <w:color w:val="000000" w:themeColor="text1"/>
                <w:kern w:val="0"/>
                <w:sz w:val="21"/>
                <w:szCs w:val="21"/>
                <w:u w:val="none"/>
                <w:lang w:val="en-US" w:eastAsia="zh-CN" w:bidi="ar"/>
                <w14:textFill>
                  <w14:solidFill>
                    <w14:schemeClr w14:val="tx1"/>
                  </w14:solidFill>
                </w14:textFill>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甲烷</w:t>
            </w:r>
          </w:p>
        </w:tc>
        <w:tc>
          <w:tcPr>
            <w:tcW w:w="0" w:type="auto"/>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0.2</w:t>
            </w:r>
            <w:r>
              <w:rPr>
                <w:rFonts w:hint="eastAsia"/>
                <w:color w:val="000000" w:themeColor="text1"/>
                <w:sz w:val="21"/>
                <w:szCs w:val="21"/>
                <w:highlight w:val="none"/>
                <w:lang w:val="en-US" w:eastAsia="zh-CN"/>
                <w14:textFill>
                  <w14:solidFill>
                    <w14:schemeClr w14:val="tx1"/>
                  </w14:solidFill>
                </w14:textFill>
              </w:rPr>
              <w:t>9</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058" w:type="dxa"/>
            <w:vAlign w:val="bottom"/>
          </w:tcPr>
          <w:p>
            <w:pPr>
              <w:pStyle w:val="295"/>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试采期</w:t>
            </w:r>
            <w:r>
              <w:rPr>
                <w:rFonts w:hint="eastAsia"/>
                <w:color w:val="000000" w:themeColor="text1"/>
                <w:sz w:val="21"/>
                <w:szCs w:val="21"/>
                <w:highlight w:val="none"/>
                <w14:textFill>
                  <w14:solidFill>
                    <w14:schemeClr w14:val="tx1"/>
                  </w14:solidFill>
                </w14:textFill>
              </w:rPr>
              <w:t>（外输管线）</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序号</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物质</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q</w:t>
            </w:r>
            <w:r>
              <w:rPr>
                <w:rFonts w:hint="default"/>
                <w:color w:val="000000" w:themeColor="text1"/>
                <w:sz w:val="21"/>
                <w:szCs w:val="21"/>
                <w:highlight w:val="none"/>
                <w:vertAlign w:val="subscript"/>
                <w14:textFill>
                  <w14:solidFill>
                    <w14:schemeClr w14:val="tx1"/>
                  </w14:solidFill>
                </w14:textFill>
              </w:rPr>
              <w:t>n</w:t>
            </w:r>
            <w:r>
              <w:rPr>
                <w:rFonts w:hint="default"/>
                <w:color w:val="000000" w:themeColor="text1"/>
                <w:sz w:val="21"/>
                <w:szCs w:val="21"/>
                <w:highlight w:val="none"/>
                <w14:textFill>
                  <w14:solidFill>
                    <w14:schemeClr w14:val="tx1"/>
                  </w14:solidFill>
                </w14:textFill>
              </w:rPr>
              <w:t>，储存量，t</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Qn，临界量，t</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0" w:type="auto"/>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甲烷</w:t>
            </w:r>
          </w:p>
        </w:tc>
        <w:tc>
          <w:tcPr>
            <w:tcW w:w="0" w:type="auto"/>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19</w:t>
            </w:r>
          </w:p>
        </w:tc>
        <w:tc>
          <w:tcPr>
            <w:tcW w:w="0" w:type="auto"/>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0" w:type="auto"/>
            <w:gridSpan w:val="4"/>
            <w:vAlign w:val="center"/>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058" w:type="dxa"/>
            <w:vAlign w:val="bottom"/>
          </w:tcPr>
          <w:p>
            <w:pPr>
              <w:pStyle w:val="295"/>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0.019</w:t>
            </w:r>
          </w:p>
        </w:tc>
      </w:tr>
    </w:tbl>
    <w:p>
      <w:pPr>
        <w:pStyle w:val="250"/>
        <w:keepNext w:val="0"/>
        <w:keepLines w:val="0"/>
        <w:pageBreakBefore w:val="0"/>
        <w:widowControl w:val="0"/>
        <w:kinsoku/>
        <w:wordWrap/>
        <w:overflowPunct/>
        <w:topLinePunct w:val="0"/>
        <w:autoSpaceDE/>
        <w:autoSpaceDN/>
        <w:bidi w:val="0"/>
        <w:adjustRightInd w:val="0"/>
        <w:snapToGrid w:val="0"/>
        <w:spacing w:before="164" w:beforeLines="50"/>
        <w:ind w:firstLine="480"/>
        <w:textAlignment w:val="auto"/>
        <w:rPr>
          <w:bCs/>
          <w:color w:val="000000" w:themeColor="text1"/>
          <w:szCs w:val="24"/>
          <w:highlight w:val="none"/>
          <w:lang w:val="zh-CN"/>
          <w14:textFill>
            <w14:solidFill>
              <w14:schemeClr w14:val="tx1"/>
            </w14:solidFill>
          </w14:textFill>
        </w:rPr>
      </w:pPr>
      <w:r>
        <w:rPr>
          <w:bCs/>
          <w:snapToGrid w:val="0"/>
          <w:color w:val="000000" w:themeColor="text1"/>
          <w:highlight w:val="none"/>
          <w14:textFill>
            <w14:solidFill>
              <w14:schemeClr w14:val="tx1"/>
            </w14:solidFill>
          </w14:textFill>
        </w:rPr>
        <w:t>根据</w:t>
      </w:r>
      <w:r>
        <w:rPr>
          <w:rFonts w:hint="eastAsia"/>
          <w:bCs/>
          <w:snapToGrid w:val="0"/>
          <w:color w:val="000000" w:themeColor="text1"/>
          <w:highlight w:val="none"/>
          <w:lang w:val="en-US" w:eastAsia="zh-CN"/>
          <w14:textFill>
            <w14:solidFill>
              <w14:schemeClr w14:val="tx1"/>
            </w14:solidFill>
          </w14:textFill>
        </w:rPr>
        <w:t>上表</w:t>
      </w:r>
      <w:r>
        <w:rPr>
          <w:bCs/>
          <w:snapToGrid w:val="0"/>
          <w:color w:val="000000" w:themeColor="text1"/>
          <w:highlight w:val="none"/>
          <w14:textFill>
            <w14:solidFill>
              <w14:schemeClr w14:val="tx1"/>
            </w14:solidFill>
          </w14:textFill>
        </w:rPr>
        <w:t>计算可知，</w:t>
      </w:r>
      <w:bookmarkStart w:id="342" w:name="_Hlk149209482"/>
      <w:r>
        <w:rPr>
          <w:bCs/>
          <w:snapToGrid w:val="0"/>
          <w:color w:val="000000" w:themeColor="text1"/>
          <w:highlight w:val="none"/>
          <w14:textFill>
            <w14:solidFill>
              <w14:schemeClr w14:val="tx1"/>
            </w14:solidFill>
          </w14:textFill>
        </w:rPr>
        <w:t>企业的主要危险物质：</w:t>
      </w:r>
      <w:r>
        <w:rPr>
          <w:rFonts w:hint="eastAsia"/>
          <w:bCs/>
          <w:snapToGrid w:val="0"/>
          <w:color w:val="000000" w:themeColor="text1"/>
          <w:highlight w:val="none"/>
          <w14:textFill>
            <w14:solidFill>
              <w14:schemeClr w14:val="tx1"/>
            </w14:solidFill>
          </w14:textFill>
        </w:rPr>
        <w:t>钻井</w:t>
      </w:r>
      <w:r>
        <w:rPr>
          <w:bCs/>
          <w:snapToGrid w:val="0"/>
          <w:color w:val="000000" w:themeColor="text1"/>
          <w:highlight w:val="none"/>
          <w14:textFill>
            <w14:solidFill>
              <w14:schemeClr w14:val="tx1"/>
            </w14:solidFill>
          </w14:textFill>
        </w:rPr>
        <w:t>施工期天然气所含的甲烷和油类物质的Q值计算结果为</w:t>
      </w:r>
      <w:r>
        <w:rPr>
          <w:rFonts w:hint="eastAsia"/>
          <w:bCs/>
          <w:snapToGrid w:val="0"/>
          <w:color w:val="000000" w:themeColor="text1"/>
          <w:highlight w:val="none"/>
          <w:lang w:val="en-US" w:eastAsia="zh-CN"/>
          <w14:textFill>
            <w14:solidFill>
              <w14:schemeClr w14:val="tx1"/>
            </w14:solidFill>
          </w14:textFill>
        </w:rPr>
        <w:t>0.537</w:t>
      </w:r>
      <w:r>
        <w:rPr>
          <w:bCs/>
          <w:snapToGrid w:val="0"/>
          <w:color w:val="000000" w:themeColor="text1"/>
          <w:highlight w:val="none"/>
          <w14:textFill>
            <w14:solidFill>
              <w14:schemeClr w14:val="tx1"/>
            </w14:solidFill>
          </w14:textFill>
        </w:rPr>
        <w:t>，Q值＜1；储层改造阶段的风险物质</w:t>
      </w:r>
      <w:r>
        <w:rPr>
          <w:color w:val="000000" w:themeColor="text1"/>
          <w:kern w:val="2"/>
          <w:highlight w:val="none"/>
          <w14:textFill>
            <w14:solidFill>
              <w14:schemeClr w14:val="tx1"/>
            </w14:solidFill>
          </w14:textFill>
        </w:rPr>
        <w:t>盐酸和柴油的</w:t>
      </w:r>
      <w:r>
        <w:rPr>
          <w:bCs/>
          <w:snapToGrid w:val="0"/>
          <w:color w:val="000000" w:themeColor="text1"/>
          <w:highlight w:val="none"/>
          <w14:textFill>
            <w14:solidFill>
              <w14:schemeClr w14:val="tx1"/>
            </w14:solidFill>
          </w14:textFill>
        </w:rPr>
        <w:t>Q值计算结果为</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.606</w:t>
      </w:r>
      <w:r>
        <w:rPr>
          <w:bCs/>
          <w:snapToGrid w:val="0"/>
          <w:color w:val="000000" w:themeColor="text1"/>
          <w:highlight w:val="none"/>
          <w14:textFill>
            <w14:solidFill>
              <w14:schemeClr w14:val="tx1"/>
            </w14:solidFill>
          </w14:textFill>
        </w:rPr>
        <w:t>，Q值＜1；试采期</w:t>
      </w:r>
      <w:r>
        <w:rPr>
          <w:rFonts w:hint="eastAsia"/>
          <w:bCs/>
          <w:snapToGrid w:val="0"/>
          <w:color w:val="000000" w:themeColor="text1"/>
          <w:highlight w:val="none"/>
          <w14:textFill>
            <w14:solidFill>
              <w14:schemeClr w14:val="tx1"/>
            </w14:solidFill>
          </w14:textFill>
        </w:rPr>
        <w:t>站内</w:t>
      </w:r>
      <w:r>
        <w:rPr>
          <w:bCs/>
          <w:snapToGrid w:val="0"/>
          <w:color w:val="000000" w:themeColor="text1"/>
          <w:highlight w:val="none"/>
          <w14:textFill>
            <w14:solidFill>
              <w14:schemeClr w14:val="tx1"/>
            </w14:solidFill>
          </w14:textFill>
        </w:rPr>
        <w:t>天然气所含的</w:t>
      </w:r>
      <w:r>
        <w:rPr>
          <w:rFonts w:hint="eastAsia"/>
          <w:bCs/>
          <w:snapToGrid w:val="0"/>
          <w:color w:val="000000" w:themeColor="text1"/>
          <w:highlight w:val="none"/>
          <w:lang w:eastAsia="zh-CN"/>
          <w14:textFill>
            <w14:solidFill>
              <w14:schemeClr w14:val="tx1"/>
            </w14:solidFill>
          </w14:textFill>
        </w:rPr>
        <w:t>甲烷</w:t>
      </w:r>
      <w:r>
        <w:rPr>
          <w:bCs/>
          <w:snapToGrid w:val="0"/>
          <w:color w:val="000000" w:themeColor="text1"/>
          <w:highlight w:val="none"/>
          <w14:textFill>
            <w14:solidFill>
              <w14:schemeClr w14:val="tx1"/>
            </w14:solidFill>
          </w14:textFill>
        </w:rPr>
        <w:t>的Q值计算结果为</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29</w:t>
      </w:r>
      <w:r>
        <w:rPr>
          <w:bCs/>
          <w:snapToGrid w:val="0"/>
          <w:color w:val="000000" w:themeColor="text1"/>
          <w:highlight w:val="none"/>
          <w14:textFill>
            <w14:solidFill>
              <w14:schemeClr w14:val="tx1"/>
            </w14:solidFill>
          </w14:textFill>
        </w:rPr>
        <w:t>，Q值＜1</w:t>
      </w:r>
      <w:bookmarkEnd w:id="342"/>
      <w:r>
        <w:rPr>
          <w:rFonts w:hint="eastAsia"/>
          <w:bCs/>
          <w:snapToGrid w:val="0"/>
          <w:color w:val="000000" w:themeColor="text1"/>
          <w:highlight w:val="none"/>
          <w14:textFill>
            <w14:solidFill>
              <w14:schemeClr w14:val="tx1"/>
            </w14:solidFill>
          </w14:textFill>
        </w:rPr>
        <w:t>；</w:t>
      </w:r>
      <w:r>
        <w:rPr>
          <w:bCs/>
          <w:snapToGrid w:val="0"/>
          <w:color w:val="000000" w:themeColor="text1"/>
          <w:highlight w:val="none"/>
          <w14:textFill>
            <w14:solidFill>
              <w14:schemeClr w14:val="tx1"/>
            </w14:solidFill>
          </w14:textFill>
        </w:rPr>
        <w:t>试采期</w:t>
      </w:r>
      <w:r>
        <w:rPr>
          <w:rFonts w:hint="eastAsia"/>
          <w:bCs/>
          <w:snapToGrid w:val="0"/>
          <w:color w:val="000000" w:themeColor="text1"/>
          <w:highlight w:val="none"/>
          <w14:textFill>
            <w14:solidFill>
              <w14:schemeClr w14:val="tx1"/>
            </w14:solidFill>
          </w14:textFill>
        </w:rPr>
        <w:t>外输管线</w:t>
      </w:r>
      <w:r>
        <w:rPr>
          <w:bCs/>
          <w:snapToGrid w:val="0"/>
          <w:color w:val="000000" w:themeColor="text1"/>
          <w:highlight w:val="none"/>
          <w14:textFill>
            <w14:solidFill>
              <w14:schemeClr w14:val="tx1"/>
            </w14:solidFill>
          </w14:textFill>
        </w:rPr>
        <w:t>天然气所含的甲烷的Q值计算结果为</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019</w:t>
      </w:r>
      <w:r>
        <w:rPr>
          <w:bCs/>
          <w:snapToGrid w:val="0"/>
          <w:color w:val="000000" w:themeColor="text1"/>
          <w:highlight w:val="none"/>
          <w14:textFill>
            <w14:solidFill>
              <w14:schemeClr w14:val="tx1"/>
            </w14:solidFill>
          </w14:textFill>
        </w:rPr>
        <w:t>，Q值＜1。</w:t>
      </w:r>
      <w:r>
        <w:rPr>
          <w:color w:val="000000" w:themeColor="text1"/>
          <w:highlight w:val="none"/>
          <w14:textFill>
            <w14:solidFill>
              <w14:schemeClr w14:val="tx1"/>
            </w14:solidFill>
          </w14:textFill>
        </w:rPr>
        <w:t>该项目</w:t>
      </w:r>
      <w:r>
        <w:rPr>
          <w:rFonts w:hint="eastAsia"/>
          <w:color w:val="000000" w:themeColor="text1"/>
          <w:highlight w:val="none"/>
          <w:lang w:val="en-US" w:eastAsia="zh-CN"/>
          <w14:textFill>
            <w14:solidFill>
              <w14:schemeClr w14:val="tx1"/>
            </w14:solidFill>
          </w14:textFill>
        </w:rPr>
        <w:t>钻井阶段、</w:t>
      </w:r>
      <w:r>
        <w:rPr>
          <w:bCs/>
          <w:snapToGrid w:val="0"/>
          <w:color w:val="000000" w:themeColor="text1"/>
          <w:highlight w:val="none"/>
          <w14:textFill>
            <w14:solidFill>
              <w14:schemeClr w14:val="tx1"/>
            </w14:solidFill>
          </w14:textFill>
        </w:rPr>
        <w:t>储层改造阶段</w:t>
      </w:r>
      <w:r>
        <w:rPr>
          <w:rFonts w:hint="eastAsia"/>
          <w:bCs/>
          <w:snapToGrid w:val="0"/>
          <w:color w:val="000000" w:themeColor="text1"/>
          <w:highlight w:val="none"/>
          <w14:textFill>
            <w14:solidFill>
              <w14:schemeClr w14:val="tx1"/>
            </w14:solidFill>
          </w14:textFill>
        </w:rPr>
        <w:t>、</w:t>
      </w:r>
      <w:r>
        <w:rPr>
          <w:bCs/>
          <w:snapToGrid w:val="0"/>
          <w:color w:val="000000" w:themeColor="text1"/>
          <w:highlight w:val="none"/>
          <w14:textFill>
            <w14:solidFill>
              <w14:schemeClr w14:val="tx1"/>
            </w14:solidFill>
          </w14:textFill>
        </w:rPr>
        <w:t>试采期</w:t>
      </w:r>
      <w:r>
        <w:rPr>
          <w:rFonts w:hint="eastAsia"/>
          <w:bCs/>
          <w:snapToGrid w:val="0"/>
          <w:color w:val="000000" w:themeColor="text1"/>
          <w:highlight w:val="none"/>
          <w14:textFill>
            <w14:solidFill>
              <w14:schemeClr w14:val="tx1"/>
            </w14:solidFill>
          </w14:textFill>
        </w:rPr>
        <w:t>站内、</w:t>
      </w:r>
      <w:r>
        <w:rPr>
          <w:bCs/>
          <w:snapToGrid w:val="0"/>
          <w:color w:val="000000" w:themeColor="text1"/>
          <w:highlight w:val="none"/>
          <w14:textFill>
            <w14:solidFill>
              <w14:schemeClr w14:val="tx1"/>
            </w14:solidFill>
          </w14:textFill>
        </w:rPr>
        <w:t>试采期</w:t>
      </w:r>
      <w:r>
        <w:rPr>
          <w:rFonts w:hint="eastAsia"/>
          <w:bCs/>
          <w:snapToGrid w:val="0"/>
          <w:color w:val="000000" w:themeColor="text1"/>
          <w:highlight w:val="none"/>
          <w14:textFill>
            <w14:solidFill>
              <w14:schemeClr w14:val="tx1"/>
            </w14:solidFill>
          </w14:textFill>
        </w:rPr>
        <w:t>外输管线</w:t>
      </w:r>
      <w:r>
        <w:rPr>
          <w:color w:val="000000" w:themeColor="text1"/>
          <w:highlight w:val="none"/>
          <w14:textFill>
            <w14:solidFill>
              <w14:schemeClr w14:val="tx1"/>
            </w14:solidFill>
          </w14:textFill>
        </w:rPr>
        <w:t>环境风险潜势</w:t>
      </w:r>
      <w:r>
        <w:rPr>
          <w:rFonts w:hint="eastAsia"/>
          <w:color w:val="000000" w:themeColor="text1"/>
          <w:highlight w:val="none"/>
          <w:lang w:val="en-US" w:eastAsia="zh-CN"/>
          <w14:textFill>
            <w14:solidFill>
              <w14:schemeClr w14:val="tx1"/>
            </w14:solidFill>
          </w14:textFill>
        </w:rPr>
        <w:t>均</w:t>
      </w:r>
      <w:r>
        <w:rPr>
          <w:color w:val="000000" w:themeColor="text1"/>
          <w:highlight w:val="none"/>
          <w14:textFill>
            <w14:solidFill>
              <w14:schemeClr w14:val="tx1"/>
            </w14:solidFill>
          </w14:textFill>
        </w:rPr>
        <w:t>为I</w:t>
      </w:r>
      <w:r>
        <w:rPr>
          <w:rFonts w:hint="eastAsia"/>
          <w:color w:val="000000" w:themeColor="text1"/>
          <w:highlight w:val="none"/>
          <w:lang w:eastAsia="zh-CN"/>
          <w14:textFill>
            <w14:solidFill>
              <w14:schemeClr w14:val="tx1"/>
            </w14:solidFill>
          </w14:textFill>
        </w:rPr>
        <w:t>，</w:t>
      </w:r>
      <w:r>
        <w:rPr>
          <w:rFonts w:ascii="Times New Roman" w:hAnsi="Times New Roman"/>
          <w:bCs/>
          <w:snapToGrid w:val="0"/>
          <w:color w:val="000000" w:themeColor="text1"/>
          <w:highlight w:val="none"/>
          <w:lang w:eastAsia="zh-CN"/>
          <w14:textFill>
            <w14:solidFill>
              <w14:schemeClr w14:val="tx1"/>
            </w14:solidFill>
          </w14:textFill>
        </w:rPr>
        <w:t>因此，该项目环境风险潜势为Ⅰ。</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43" w:name="_Toc120173173"/>
      <w:r>
        <w:rPr>
          <w:color w:val="000000" w:themeColor="text1"/>
          <w:highlight w:val="none"/>
          <w:lang w:eastAsia="zh-CN"/>
          <w14:textFill>
            <w14:solidFill>
              <w14:schemeClr w14:val="tx1"/>
            </w14:solidFill>
          </w14:textFill>
        </w:rPr>
        <w:t>评价工作等级</w:t>
      </w:r>
      <w:bookmarkEnd w:id="343"/>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评价等级根据《建设项目环境风险评价技术导则》（HJ169-2018）评价等级划分原则，建设项目环境风险评价工作等级判定标准表见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_Ref142859136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bCs/>
          <w:color w:val="000000" w:themeColor="text1"/>
          <w:kern w:val="2"/>
          <w:highlight w:val="none"/>
          <w:lang w:eastAsia="zh-CN"/>
          <w14:textFill>
            <w14:solidFill>
              <w14:schemeClr w14:val="tx1"/>
            </w14:solidFill>
          </w14:textFill>
        </w:rPr>
        <w:t>表</w:t>
      </w:r>
      <w:r>
        <w:rPr>
          <w:rFonts w:ascii="Times New Roman" w:hAnsi="Times New Roman"/>
          <w:bCs/>
          <w:color w:val="000000" w:themeColor="text1"/>
          <w:kern w:val="2"/>
          <w:highlight w:val="none"/>
          <w:lang w:eastAsia="zh-CN"/>
          <w14:textFill>
            <w14:solidFill>
              <w14:schemeClr w14:val="tx1"/>
            </w14:solidFill>
          </w14:textFill>
        </w:rPr>
        <w:t>6.1</w:t>
      </w:r>
      <w:r>
        <w:rPr>
          <w:rFonts w:ascii="Times New Roman" w:hAnsi="Times New Roman"/>
          <w:bCs/>
          <w:color w:val="000000" w:themeColor="text1"/>
          <w:kern w:val="2"/>
          <w:highlight w:val="none"/>
          <w:lang w:eastAsia="zh-CN"/>
          <w14:textFill>
            <w14:solidFill>
              <w14:schemeClr w14:val="tx1"/>
            </w14:solidFill>
          </w14:textFill>
        </w:rPr>
        <w:noBreakHyphen/>
      </w:r>
      <w:r>
        <w:rPr>
          <w:rFonts w:ascii="Times New Roman" w:hAnsi="Times New Roman"/>
          <w:bCs/>
          <w:color w:val="000000" w:themeColor="text1"/>
          <w:kern w:val="2"/>
          <w:highlight w:val="none"/>
          <w:lang w:eastAsia="zh-CN"/>
          <w14:textFill>
            <w14:solidFill>
              <w14:schemeClr w14:val="tx1"/>
            </w14:solidFill>
          </w14:textFill>
        </w:rPr>
        <w:t>7</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44" w:name="_Ref14285913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bookmarkEnd w:id="34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项目环境风险评价分级判定</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86"/>
        <w:gridCol w:w="1601"/>
        <w:gridCol w:w="1916"/>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环境风险潜势</w:t>
            </w:r>
          </w:p>
        </w:tc>
        <w:tc>
          <w:tcPr>
            <w:tcW w:w="158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Ⅳ、Ⅴ</w:t>
            </w:r>
            <w:r>
              <w:rPr>
                <w:rFonts w:hint="default"/>
                <w:b/>
                <w:bCs/>
                <w:color w:val="000000" w:themeColor="text1"/>
                <w:szCs w:val="20"/>
                <w:highlight w:val="none"/>
                <w:vertAlign w:val="superscript"/>
                <w14:textFill>
                  <w14:solidFill>
                    <w14:schemeClr w14:val="tx1"/>
                  </w14:solidFill>
                </w14:textFill>
              </w:rPr>
              <w:t>+</w:t>
            </w:r>
          </w:p>
        </w:tc>
        <w:tc>
          <w:tcPr>
            <w:tcW w:w="160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Ⅲ</w:t>
            </w:r>
          </w:p>
        </w:tc>
        <w:tc>
          <w:tcPr>
            <w:tcW w:w="191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shd w:val="clear" w:color="auto" w:fill="auto"/>
                <w14:textFill>
                  <w14:solidFill>
                    <w14:schemeClr w14:val="tx1"/>
                  </w14:solidFill>
                </w14:textFill>
              </w:rPr>
            </w:pPr>
            <w:r>
              <w:rPr>
                <w:rFonts w:hint="default"/>
                <w:b/>
                <w:bCs/>
                <w:color w:val="000000" w:themeColor="text1"/>
                <w:szCs w:val="20"/>
                <w:highlight w:val="none"/>
                <w:shd w:val="clear" w:color="auto" w:fill="auto"/>
                <w14:textFill>
                  <w14:solidFill>
                    <w14:schemeClr w14:val="tx1"/>
                  </w14:solidFill>
                </w14:textFill>
              </w:rPr>
              <w:t>Ⅱ</w:t>
            </w:r>
          </w:p>
        </w:tc>
        <w:tc>
          <w:tcPr>
            <w:tcW w:w="1564"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shd w:val="clear" w:color="FFFFFF" w:fill="D9D9D9"/>
                <w14:textFill>
                  <w14:solidFill>
                    <w14:schemeClr w14:val="tx1"/>
                  </w14:solidFill>
                </w14:textFill>
              </w:rPr>
            </w:pPr>
            <w:r>
              <w:rPr>
                <w:rFonts w:hint="default"/>
                <w:b/>
                <w:bCs/>
                <w:color w:val="000000" w:themeColor="text1"/>
                <w:szCs w:val="20"/>
                <w:highlight w:val="none"/>
                <w:shd w:val="clear" w:color="FFFFFF" w:fill="D9D9D9"/>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评价工作等级</w:t>
            </w:r>
          </w:p>
        </w:tc>
        <w:tc>
          <w:tcPr>
            <w:tcW w:w="158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一</w:t>
            </w:r>
          </w:p>
        </w:tc>
        <w:tc>
          <w:tcPr>
            <w:tcW w:w="16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二</w:t>
            </w:r>
          </w:p>
        </w:tc>
        <w:tc>
          <w:tcPr>
            <w:tcW w:w="191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clear" w:color="auto" w:fill="auto"/>
                <w14:textFill>
                  <w14:solidFill>
                    <w14:schemeClr w14:val="tx1"/>
                  </w14:solidFill>
                </w14:textFill>
              </w:rPr>
            </w:pPr>
            <w:r>
              <w:rPr>
                <w:rFonts w:hint="default"/>
                <w:color w:val="000000" w:themeColor="text1"/>
                <w:szCs w:val="20"/>
                <w:highlight w:val="none"/>
                <w:shd w:val="clear" w:color="auto" w:fill="auto"/>
                <w14:textFill>
                  <w14:solidFill>
                    <w14:schemeClr w14:val="tx1"/>
                  </w14:solidFill>
                </w14:textFill>
              </w:rPr>
              <w:t>三</w:t>
            </w:r>
          </w:p>
        </w:tc>
        <w:tc>
          <w:tcPr>
            <w:tcW w:w="156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clear" w:color="FFFFFF" w:fill="D9D9D9"/>
                <w14:textFill>
                  <w14:solidFill>
                    <w14:schemeClr w14:val="tx1"/>
                  </w14:solidFill>
                </w14:textFill>
              </w:rPr>
            </w:pPr>
            <w:r>
              <w:rPr>
                <w:rFonts w:hint="default"/>
                <w:color w:val="000000" w:themeColor="text1"/>
                <w:szCs w:val="20"/>
                <w:highlight w:val="none"/>
                <w:shd w:val="clear" w:color="FFFFFF" w:fill="D9D9D9"/>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2" w:type="dxa"/>
            <w:gridSpan w:val="5"/>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a 是相对于详细评价工作内容而言，在描述危险物质、环境影响途径、环境危害后果、</w:t>
            </w:r>
          </w:p>
          <w:p>
            <w:pPr>
              <w:pStyle w:val="295"/>
              <w:keepNext w:val="0"/>
              <w:keepLines w:val="0"/>
              <w:widowControl/>
              <w:suppressLineNumbers w:val="0"/>
              <w:spacing w:before="0" w:beforeAutospacing="0" w:after="0" w:afterAutospacing="0"/>
              <w:ind w:left="0" w:right="0"/>
              <w:rPr>
                <w:rFonts w:hint="default"/>
                <w:color w:val="000000" w:themeColor="text1"/>
                <w:szCs w:val="20"/>
                <w:highlight w:val="none"/>
                <w:shd w:val="pct10" w:color="auto" w:fill="FFFFFF"/>
                <w14:textFill>
                  <w14:solidFill>
                    <w14:schemeClr w14:val="tx1"/>
                  </w14:solidFill>
                </w14:textFill>
              </w:rPr>
            </w:pPr>
            <w:r>
              <w:rPr>
                <w:rFonts w:hint="default"/>
                <w:color w:val="000000" w:themeColor="text1"/>
                <w:szCs w:val="20"/>
                <w:highlight w:val="none"/>
                <w14:textFill>
                  <w14:solidFill>
                    <w14:schemeClr w14:val="tx1"/>
                  </w14:solidFill>
                </w14:textFill>
              </w:rPr>
              <w:t>风险防范措施等方面给出定性的说明。</w:t>
            </w:r>
          </w:p>
        </w:tc>
      </w:tr>
    </w:tbl>
    <w:p>
      <w:pPr>
        <w:spacing w:before="120" w:beforeLines="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根据上述环境风险潜势初判结果，本项目需做</w:t>
      </w:r>
      <w:r>
        <w:rPr>
          <w:rFonts w:ascii="宋体" w:hAnsi="宋体" w:cs="Times New Roman"/>
          <w:color w:val="000000" w:themeColor="text1"/>
          <w:highlight w:val="none"/>
          <w14:textFill>
            <w14:solidFill>
              <w14:schemeClr w14:val="tx1"/>
            </w14:solidFill>
          </w14:textFill>
        </w:rPr>
        <w:t>“</w:t>
      </w:r>
      <w:r>
        <w:rPr>
          <w:rFonts w:hint="eastAsia" w:ascii="宋体" w:hAnsi="宋体" w:cs="Times New Roman"/>
          <w:color w:val="000000" w:themeColor="text1"/>
          <w:highlight w:val="none"/>
          <w:lang w:val="en-US" w:eastAsia="zh-CN"/>
          <w14:textFill>
            <w14:solidFill>
              <w14:schemeClr w14:val="tx1"/>
            </w14:solidFill>
          </w14:textFill>
        </w:rPr>
        <w:t>简单分析</w:t>
      </w:r>
      <w:r>
        <w:rPr>
          <w:rFonts w:ascii="宋体" w:hAnsi="宋体"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45" w:name="5.3.2环境敏感目标概况"/>
      <w:bookmarkEnd w:id="345"/>
      <w:bookmarkStart w:id="346" w:name="_Toc18916"/>
      <w:r>
        <w:rPr>
          <w:color w:val="000000" w:themeColor="text1"/>
          <w:highlight w:val="none"/>
          <w:lang w:eastAsia="zh-CN"/>
          <w14:textFill>
            <w14:solidFill>
              <w14:schemeClr w14:val="tx1"/>
            </w14:solidFill>
          </w14:textFill>
        </w:rPr>
        <w:t>环境敏感目标概况</w:t>
      </w:r>
      <w:bookmarkEnd w:id="346"/>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简单分析，不设置环境风险评价范围，只对涉及的危险物质、环境影响途径、环境危害、风险防范措施等方面给出定性的说明。</w:t>
      </w:r>
      <w:r>
        <w:rPr>
          <w:rFonts w:ascii="Times New Roman" w:hAnsi="Times New Roman"/>
          <w:bCs/>
          <w:color w:val="000000" w:themeColor="text1"/>
          <w:highlight w:val="none"/>
          <w:lang w:eastAsia="zh-CN"/>
          <w14:textFill>
            <w14:solidFill>
              <w14:schemeClr w14:val="tx1"/>
            </w14:solidFill>
          </w14:textFill>
        </w:rPr>
        <w:t>本项目外环境关系简单，无环境制约因素，项目与外环境相容</w:t>
      </w:r>
      <w:r>
        <w:rPr>
          <w:rFonts w:hint="eastAsia" w:ascii="Times New Roman" w:hAnsi="Times New Roman"/>
          <w:bCs/>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本次环境风险重点调查井场周</w:t>
      </w:r>
      <w:r>
        <w:rPr>
          <w:rFonts w:hint="default" w:ascii="Times New Roman" w:hAnsi="Times New Roman" w:cs="Times New Roman"/>
          <w:color w:val="000000" w:themeColor="text1"/>
          <w:szCs w:val="24"/>
          <w:highlight w:val="none"/>
          <w:lang w:eastAsia="zh-CN"/>
          <w14:textFill>
            <w14:solidFill>
              <w14:schemeClr w14:val="tx1"/>
            </w14:solidFill>
          </w14:textFill>
        </w:rPr>
        <w:t>边500m范围与管线沿线两侧200m范围，主要调查居民点、地表水、地下水等保护目</w:t>
      </w:r>
      <w:r>
        <w:rPr>
          <w:rFonts w:hint="eastAsia" w:cs="Times New Roman"/>
          <w:color w:val="000000" w:themeColor="text1"/>
          <w:szCs w:val="24"/>
          <w:highlight w:val="none"/>
          <w:lang w:eastAsia="zh-CN"/>
          <w14:textFill>
            <w14:solidFill>
              <w14:schemeClr w14:val="tx1"/>
            </w14:solidFill>
          </w14:textFill>
        </w:rPr>
        <w:t>标，</w:t>
      </w:r>
      <w:r>
        <w:rPr>
          <w:rFonts w:hint="eastAsia" w:cs="Times New Roman"/>
          <w:color w:val="000000" w:themeColor="text1"/>
          <w:szCs w:val="24"/>
          <w:highlight w:val="none"/>
          <w:lang w:val="en-US" w:eastAsia="zh-CN"/>
          <w14:textFill>
            <w14:solidFill>
              <w14:schemeClr w14:val="tx1"/>
            </w14:solidFill>
          </w14:textFill>
        </w:rPr>
        <w:t>具</w:t>
      </w:r>
      <w:r>
        <w:rPr>
          <w:rFonts w:hint="eastAsia" w:ascii="Times New Roman" w:hAnsi="Times New Roman"/>
          <w:bCs/>
          <w:color w:val="000000" w:themeColor="text1"/>
          <w:kern w:val="2"/>
          <w:highlight w:val="none"/>
          <w:lang w:val="en-US" w:eastAsia="zh-CN"/>
          <w14:textFill>
            <w14:solidFill>
              <w14:schemeClr w14:val="tx1"/>
            </w14:solidFill>
          </w14:textFill>
        </w:rPr>
        <w:t>体见前文</w:t>
      </w:r>
      <w:r>
        <w:rPr>
          <w:rFonts w:hint="eastAsia" w:ascii="Times New Roman" w:hAnsi="Times New Roman"/>
          <w:bCs/>
          <w:color w:val="000000" w:themeColor="text1"/>
          <w:kern w:val="2"/>
          <w:highlight w:val="none"/>
          <w:lang w:val="en-US" w:eastAsia="zh-CN"/>
          <w14:textFill>
            <w14:solidFill>
              <w14:schemeClr w14:val="tx1"/>
            </w14:solidFill>
          </w14:textFill>
        </w:rPr>
        <w:fldChar w:fldCharType="begin"/>
      </w:r>
      <w:r>
        <w:rPr>
          <w:rFonts w:hint="eastAsia" w:ascii="Times New Roman" w:hAnsi="Times New Roman"/>
          <w:bCs/>
          <w:color w:val="000000" w:themeColor="text1"/>
          <w:kern w:val="2"/>
          <w:highlight w:val="none"/>
          <w:lang w:val="en-US" w:eastAsia="zh-CN"/>
          <w14:textFill>
            <w14:solidFill>
              <w14:schemeClr w14:val="tx1"/>
            </w14:solidFill>
          </w14:textFill>
        </w:rPr>
        <w:instrText xml:space="preserve"> REF _Ref16837 \h </w:instrText>
      </w:r>
      <w:r>
        <w:rPr>
          <w:rFonts w:hint="eastAsia" w:ascii="Times New Roman" w:hAnsi="Times New Roman"/>
          <w:bCs/>
          <w:color w:val="000000" w:themeColor="text1"/>
          <w:kern w:val="2"/>
          <w:highlight w:val="none"/>
          <w:lang w:val="en-US" w:eastAsia="zh-CN"/>
          <w14:textFill>
            <w14:solidFill>
              <w14:schemeClr w14:val="tx1"/>
            </w14:solidFill>
          </w14:textFill>
        </w:rPr>
        <w:fldChar w:fldCharType="separate"/>
      </w:r>
      <w:r>
        <w:rPr>
          <w:rFonts w:hint="eastAsia" w:ascii="Times New Roman" w:hAnsi="Times New Roman"/>
          <w:bCs/>
          <w:color w:val="000000" w:themeColor="text1"/>
          <w:kern w:val="2"/>
          <w:highlight w:val="none"/>
          <w:lang w:eastAsia="zh-CN"/>
          <w14:textFill>
            <w14:solidFill>
              <w14:schemeClr w14:val="tx1"/>
            </w14:solidFill>
          </w14:textFill>
        </w:rPr>
        <w:t>表</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w:instrText>
      </w:r>
      <w:r>
        <w:rPr>
          <w:rFonts w:hint="eastAsia" w:ascii="Times New Roman" w:hAnsi="Times New Roman"/>
          <w:bCs/>
          <w:color w:val="000000" w:themeColor="text1"/>
          <w:kern w:val="2"/>
          <w:highlight w:val="none"/>
          <w:lang w:eastAsia="zh-CN"/>
          <w14:textFill>
            <w14:solidFill>
              <w14:schemeClr w14:val="tx1"/>
            </w14:solidFill>
          </w14:textFill>
        </w:rPr>
        <w:instrText xml:space="preserve">STYLEREF 2 \s</w:instrText>
      </w:r>
      <w:r>
        <w:rPr>
          <w:rFonts w:ascii="Times New Roman" w:hAnsi="Times New Roman"/>
          <w:bCs/>
          <w:color w:val="000000" w:themeColor="text1"/>
          <w:kern w:val="2"/>
          <w:highlight w:val="none"/>
          <w:lang w:eastAsia="zh-CN"/>
          <w14:textFill>
            <w14:solidFill>
              <w14:schemeClr w14:val="tx1"/>
            </w14:solidFill>
          </w14:textFill>
        </w:rPr>
        <w:instrText xml:space="preserve">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bCs/>
          <w:color w:val="000000" w:themeColor="text1"/>
          <w:kern w:val="2"/>
          <w:highlight w:val="none"/>
          <w:lang w:eastAsia="zh-CN"/>
          <w14:textFill>
            <w14:solidFill>
              <w14:schemeClr w14:val="tx1"/>
            </w14:solidFill>
          </w14:textFill>
        </w:rPr>
        <w:t>2.9</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noBreakHyphen/>
      </w:r>
      <w:r>
        <w:rPr>
          <w:rFonts w:hint="eastAsia" w:ascii="Times New Roman" w:hAnsi="Times New Roman"/>
          <w:bCs/>
          <w:color w:val="000000" w:themeColor="text1"/>
          <w:kern w:val="2"/>
          <w:highlight w:val="none"/>
          <w:lang w:eastAsia="zh-CN"/>
          <w14:textFill>
            <w14:solidFill>
              <w14:schemeClr w14:val="tx1"/>
            </w14:solidFill>
          </w14:textFill>
        </w:rPr>
        <w:t>6</w:t>
      </w:r>
      <w:r>
        <w:rPr>
          <w:rFonts w:hint="eastAsia" w:ascii="Times New Roman" w:hAnsi="Times New Roman"/>
          <w:bCs/>
          <w:color w:val="000000" w:themeColor="text1"/>
          <w:kern w:val="2"/>
          <w:highlight w:val="none"/>
          <w:lang w:val="en-US"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47" w:name="_Toc10985"/>
      <w:r>
        <w:rPr>
          <w:color w:val="000000" w:themeColor="text1"/>
          <w:highlight w:val="none"/>
          <w:lang w:eastAsia="zh-CN"/>
          <w14:textFill>
            <w14:solidFill>
              <w14:schemeClr w14:val="tx1"/>
            </w14:solidFill>
          </w14:textFill>
        </w:rPr>
        <w:t>环境风险识别</w:t>
      </w:r>
      <w:bookmarkEnd w:id="34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48" w:name="_Toc120173176"/>
      <w:r>
        <w:rPr>
          <w:color w:val="000000" w:themeColor="text1"/>
          <w:highlight w:val="none"/>
          <w:lang w:eastAsia="zh-CN"/>
          <w14:textFill>
            <w14:solidFill>
              <w14:schemeClr w14:val="tx1"/>
            </w14:solidFill>
          </w14:textFill>
        </w:rPr>
        <w:t>物质危险性识别</w:t>
      </w:r>
      <w:bookmarkEnd w:id="348"/>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本项目生产过程中涉及的危险物质有天然气、天然气中的甲烷、天然气燃烧后的二氧化碳、柴油</w:t>
      </w:r>
      <w:r>
        <w:rPr>
          <w:rFonts w:hint="eastAsia"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val="en-US" w:eastAsia="zh-CN"/>
          <w14:textFill>
            <w14:solidFill>
              <w14:schemeClr w14:val="tx1"/>
            </w14:solidFill>
          </w14:textFill>
        </w:rPr>
        <w:t>盐酸、</w:t>
      </w:r>
      <w:r>
        <w:rPr>
          <w:rFonts w:ascii="Times New Roman" w:hAnsi="Times New Roman"/>
          <w:bCs/>
          <w:color w:val="000000" w:themeColor="text1"/>
          <w:kern w:val="2"/>
          <w:highlight w:val="none"/>
          <w:lang w:eastAsia="zh-CN"/>
          <w14:textFill>
            <w14:solidFill>
              <w14:schemeClr w14:val="tx1"/>
            </w14:solidFill>
          </w14:textFill>
        </w:rPr>
        <w:t>钻井废水、压裂液及返排液、废油</w:t>
      </w:r>
      <w:r>
        <w:rPr>
          <w:rFonts w:hint="eastAsia"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val="en-US" w:eastAsia="zh-CN"/>
          <w14:textFill>
            <w14:solidFill>
              <w14:schemeClr w14:val="tx1"/>
            </w14:solidFill>
          </w14:textFill>
        </w:rPr>
        <w:t>钻井固废</w:t>
      </w:r>
      <w:r>
        <w:rPr>
          <w:rFonts w:ascii="Times New Roman" w:hAnsi="Times New Roman"/>
          <w:bCs/>
          <w:color w:val="000000" w:themeColor="text1"/>
          <w:kern w:val="2"/>
          <w:highlight w:val="none"/>
          <w:lang w:eastAsia="zh-CN"/>
          <w14:textFill>
            <w14:solidFill>
              <w14:schemeClr w14:val="tx1"/>
            </w14:solidFill>
          </w14:textFill>
        </w:rPr>
        <w:t>和</w:t>
      </w:r>
      <w:r>
        <w:rPr>
          <w:rFonts w:hint="eastAsia" w:ascii="Times New Roman" w:hAnsi="Times New Roman"/>
          <w:bCs/>
          <w:color w:val="000000" w:themeColor="text1"/>
          <w:kern w:val="2"/>
          <w:highlight w:val="none"/>
          <w:lang w:eastAsia="zh-CN"/>
          <w14:textFill>
            <w14:solidFill>
              <w14:schemeClr w14:val="tx1"/>
            </w14:solidFill>
          </w14:textFill>
        </w:rPr>
        <w:t>气田水</w:t>
      </w:r>
      <w:r>
        <w:rPr>
          <w:rFonts w:ascii="Times New Roman" w:hAnsi="Times New Roman"/>
          <w:bCs/>
          <w:color w:val="000000" w:themeColor="text1"/>
          <w:kern w:val="2"/>
          <w:highlight w:val="none"/>
          <w:lang w:eastAsia="zh-CN"/>
          <w14:textFill>
            <w14:solidFill>
              <w14:schemeClr w14:val="tx1"/>
            </w14:solidFill>
          </w14:textFill>
        </w:rPr>
        <w:t>等，具体见</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6.</w:t>
      </w:r>
      <w:r>
        <w:rPr>
          <w:rFonts w:hint="eastAsia" w:ascii="Times New Roman" w:hAnsi="Times New Roman"/>
          <w:bCs/>
          <w:color w:val="000000" w:themeColor="text1"/>
          <w:kern w:val="2"/>
          <w:highlight w:val="none"/>
          <w:lang w:eastAsia="zh-CN"/>
          <w14:textFill>
            <w14:solidFill>
              <w14:schemeClr w14:val="tx1"/>
            </w14:solidFill>
          </w14:textFill>
        </w:rPr>
        <w:t>1</w:t>
      </w:r>
      <w:r>
        <w:rPr>
          <w:rFonts w:ascii="Times New Roman" w:hAnsi="Times New Roman"/>
          <w:bCs/>
          <w:color w:val="000000" w:themeColor="text1"/>
          <w:kern w:val="2"/>
          <w:highlight w:val="none"/>
          <w:lang w:eastAsia="zh-CN"/>
          <w14:textFill>
            <w14:solidFill>
              <w14:schemeClr w14:val="tx1"/>
            </w14:solidFill>
          </w14:textFill>
        </w:rPr>
        <w:t>评价依据</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章节内容。本项目涉及的主要危险物质包括CH</w:t>
      </w:r>
      <w:r>
        <w:rPr>
          <w:rFonts w:ascii="Times New Roman" w:hAnsi="Times New Roman"/>
          <w:bCs/>
          <w:color w:val="000000" w:themeColor="text1"/>
          <w:kern w:val="2"/>
          <w:highlight w:val="none"/>
          <w:vertAlign w:val="sub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（易燃易爆）、</w:t>
      </w:r>
      <w:r>
        <w:rPr>
          <w:rFonts w:hint="eastAsia" w:ascii="Times New Roman" w:hAnsi="Times New Roman"/>
          <w:bCs/>
          <w:color w:val="000000" w:themeColor="text1"/>
          <w:kern w:val="2"/>
          <w:highlight w:val="none"/>
          <w:lang w:val="en-US" w:eastAsia="zh-CN"/>
          <w14:textFill>
            <w14:solidFill>
              <w14:schemeClr w14:val="tx1"/>
            </w14:solidFill>
          </w14:textFill>
        </w:rPr>
        <w:t>盐酸</w:t>
      </w:r>
      <w:r>
        <w:rPr>
          <w:rFonts w:ascii="Times New Roman" w:hAnsi="Times New Roman"/>
          <w:bCs/>
          <w:color w:val="000000" w:themeColor="text1"/>
          <w:kern w:val="2"/>
          <w:highlight w:val="none"/>
          <w:lang w:eastAsia="zh-CN"/>
          <w14:textFill>
            <w14:solidFill>
              <w14:schemeClr w14:val="tx1"/>
            </w14:solidFill>
          </w14:textFill>
        </w:rPr>
        <w:t>和油类物质等。</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49" w:name="_Toc120173177"/>
      <w:r>
        <w:rPr>
          <w:color w:val="000000" w:themeColor="text1"/>
          <w:highlight w:val="none"/>
          <w:lang w:eastAsia="zh-CN"/>
          <w14:textFill>
            <w14:solidFill>
              <w14:schemeClr w14:val="tx1"/>
            </w14:solidFill>
          </w14:textFill>
        </w:rPr>
        <w:t>生产系统风险识别</w:t>
      </w:r>
      <w:bookmarkEnd w:id="349"/>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（1）井喷失控造成天然气释放</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页岩气井</w:t>
      </w:r>
      <w:r>
        <w:rPr>
          <w:rFonts w:ascii="Times New Roman" w:hAnsi="Times New Roman"/>
          <w:bCs/>
          <w:color w:val="000000" w:themeColor="text1"/>
          <w:kern w:val="2"/>
          <w:highlight w:val="none"/>
          <w:lang w:eastAsia="zh-CN"/>
          <w14:textFill>
            <w14:solidFill>
              <w14:schemeClr w14:val="tx1"/>
            </w14:solidFill>
          </w14:textFill>
        </w:rPr>
        <w:t>在开发过程中，如果遇到地层压力异常高、井控措施不当或设备故障等情况</w:t>
      </w:r>
      <w:r>
        <w:rPr>
          <w:rFonts w:hint="eastAsia"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val="en-US" w:eastAsia="zh-CN"/>
          <w14:textFill>
            <w14:solidFill>
              <w14:schemeClr w14:val="tx1"/>
            </w14:solidFill>
          </w14:textFill>
        </w:rPr>
        <w:t>可能发生井喷现象。井喷主要是</w:t>
      </w:r>
      <w:r>
        <w:rPr>
          <w:rFonts w:ascii="Times New Roman" w:hAnsi="Times New Roman"/>
          <w:bCs/>
          <w:color w:val="000000" w:themeColor="text1"/>
          <w:kern w:val="2"/>
          <w:highlight w:val="none"/>
          <w:lang w:eastAsia="zh-CN"/>
          <w14:textFill>
            <w14:solidFill>
              <w14:schemeClr w14:val="tx1"/>
            </w14:solidFill>
          </w14:textFill>
        </w:rPr>
        <w:t>钻井过程中遇到地下气、水层时，气或水窜进井内的泥浆里，加快了泥浆流动和循环的速度，如果井底压力小于地层压力，地层流体将进入井筒并推动泥浆外溢，即发生溢流</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此时如果对地下气压平衡控制不当，不能及时控制溢流，会造成气、水或其混合物沿着环形空间迅速喷到地面，即发生井喷。井喷后会有大量的天然气逸散到空气中，对周围的环境空气造成一定的影响。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导致井喷失控的主要因素涉及以下几个方面：</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cs="宋体"/>
          <w:bCs/>
          <w:color w:val="000000" w:themeColor="text1"/>
          <w:kern w:val="2"/>
          <w:highlight w:val="none"/>
          <w:lang w:eastAsia="zh-CN"/>
          <w14:textFill>
            <w14:solidFill>
              <w14:schemeClr w14:val="tx1"/>
            </w14:solidFill>
          </w14:textFill>
        </w:rPr>
        <w:t>①</w:t>
      </w:r>
      <w:r>
        <w:rPr>
          <w:rFonts w:ascii="Times New Roman" w:hAnsi="Times New Roman"/>
          <w:bCs/>
          <w:color w:val="000000" w:themeColor="text1"/>
          <w:kern w:val="2"/>
          <w:highlight w:val="none"/>
          <w:lang w:eastAsia="zh-CN"/>
          <w14:textFill>
            <w14:solidFill>
              <w14:schemeClr w14:val="tx1"/>
            </w14:solidFill>
          </w14:textFill>
        </w:rPr>
        <w:t>地层压力：当钻井钻至高压气层期间，由于对地层压力预测不准，出现异常超压情况，如果操作处置失当，将导致井口装置和井控汇管失控发生井喷失控事故。</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cs="宋体"/>
          <w:bCs/>
          <w:color w:val="000000" w:themeColor="text1"/>
          <w:kern w:val="2"/>
          <w:highlight w:val="none"/>
          <w:lang w:eastAsia="zh-CN"/>
          <w14:textFill>
            <w14:solidFill>
              <w14:schemeClr w14:val="tx1"/>
            </w14:solidFill>
          </w14:textFill>
        </w:rPr>
        <w:t>②</w:t>
      </w:r>
      <w:r>
        <w:rPr>
          <w:rFonts w:ascii="Times New Roman" w:hAnsi="Times New Roman"/>
          <w:bCs/>
          <w:color w:val="000000" w:themeColor="text1"/>
          <w:kern w:val="2"/>
          <w:highlight w:val="none"/>
          <w:lang w:eastAsia="zh-CN"/>
          <w14:textFill>
            <w14:solidFill>
              <w14:schemeClr w14:val="tx1"/>
            </w14:solidFill>
          </w14:textFill>
        </w:rPr>
        <w:t>遇山洪、地震、滑坡等自然灾害，导致井口所在地地层位移甚至塌陷损坏井控装置，导致井喷失控事故。这类事故目前还未见报道。</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cs="宋体"/>
          <w:bCs/>
          <w:color w:val="000000" w:themeColor="text1"/>
          <w:kern w:val="2"/>
          <w:highlight w:val="none"/>
          <w:lang w:eastAsia="zh-CN"/>
          <w14:textFill>
            <w14:solidFill>
              <w14:schemeClr w14:val="tx1"/>
            </w14:solidFill>
          </w14:textFill>
        </w:rPr>
        <w:t>③</w:t>
      </w:r>
      <w:r>
        <w:rPr>
          <w:rFonts w:ascii="Times New Roman" w:hAnsi="Times New Roman"/>
          <w:bCs/>
          <w:color w:val="000000" w:themeColor="text1"/>
          <w:kern w:val="2"/>
          <w:highlight w:val="none"/>
          <w:lang w:eastAsia="zh-CN"/>
          <w14:textFill>
            <w14:solidFill>
              <w14:schemeClr w14:val="tx1"/>
            </w14:solidFill>
          </w14:textFill>
        </w:rPr>
        <w:t>压井泥浆密度偏低，不能满足压井要求。</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cs="宋体"/>
          <w:bCs/>
          <w:color w:val="000000" w:themeColor="text1"/>
          <w:kern w:val="2"/>
          <w:highlight w:val="none"/>
          <w:lang w:eastAsia="zh-CN"/>
          <w14:textFill>
            <w14:solidFill>
              <w14:schemeClr w14:val="tx1"/>
            </w14:solidFill>
          </w14:textFill>
        </w:rPr>
        <w:t>④</w:t>
      </w:r>
      <w:r>
        <w:rPr>
          <w:rFonts w:ascii="Times New Roman" w:hAnsi="Times New Roman"/>
          <w:bCs/>
          <w:color w:val="000000" w:themeColor="text1"/>
          <w:kern w:val="2"/>
          <w:highlight w:val="none"/>
          <w:lang w:eastAsia="zh-CN"/>
          <w14:textFill>
            <w14:solidFill>
              <w14:schemeClr w14:val="tx1"/>
            </w14:solidFill>
          </w14:textFill>
        </w:rPr>
        <w:t>操作因素：当出现井喷前兆，如泥浆溢流、泥浆井涌等现象，作业人员未及时发现或采取有效的控制措施，从而可能导致井喷。</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（2）井漏导致泥浆泄漏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当井下泥浆压力大于地层压力会发生井漏事故；水平井钻井液密度选择范围变小，容易出现井漏和井塌或者钻遇到大面积裂缝发育带容易发生严重井漏、井喷；固井施工中可能会因水泥浆对漏失层强烈的挤压作用发生漏失等。井漏如果发生在含水层，则泄漏的泥浆可能会污染含水层。</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（3）油类物质泄漏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柴油和废油等油类物质在使用、储运过程中的风险主要来自于油罐、油桶自身缺陷、人员误操作、老化等造成的泄漏以及外部破坏产生的事故，包括人为破坏及洪水、地震等不可抗拒因素。油类物质泄漏可能污染土壤、地表水和地下水，对生态环境和社会影响很大，也可能引起火灾爆炸，造成人员伤亡及财产损失。</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（4）钻井液、压裂液泄漏</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钻井泥浆、压裂液在施工过程中的泄漏风险主要来自设备老化、管道破损或人员误操作等造成的泄漏以及外部破坏产生的事故，包括人为破坏及洪水、地震等不可抗拒因素。钻井泥浆、压裂液泄漏可能污染地表水、地下水及土壤，影响农作物生长发育和产量。</w:t>
      </w:r>
    </w:p>
    <w:p>
      <w:pPr>
        <w:pStyle w:val="21"/>
        <w:spacing w:before="0"/>
        <w:ind w:left="0" w:firstLine="482"/>
        <w:jc w:val="both"/>
        <w:rPr>
          <w:rFonts w:ascii="Times New Roman" w:hAnsi="Times New Roman"/>
          <w:b/>
          <w:bCs/>
          <w:color w:val="000000" w:themeColor="text1"/>
          <w:kern w:val="2"/>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w:t>
      </w:r>
      <w:r>
        <w:rPr>
          <w:rFonts w:ascii="Times New Roman" w:hAnsi="Times New Roman"/>
          <w:b/>
          <w:bCs/>
          <w:color w:val="000000" w:themeColor="text1"/>
          <w:kern w:val="2"/>
          <w:highlight w:val="none"/>
          <w:lang w:eastAsia="zh-CN"/>
          <w14:textFill>
            <w14:solidFill>
              <w14:schemeClr w14:val="tx1"/>
            </w14:solidFill>
          </w14:textFill>
        </w:rPr>
        <w:t>5）井场、站场废水泄漏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项目废水泄漏包括钻井期废水收集设施泄漏，试采期站场污水罐泄漏。废水泄漏原因可能为罐体老化、管道破损或人为破坏及洪水、地震等不可抗拒因素。泄漏废水可能污染地表水、地下水及土壤，影响农作物生长发育和产量。</w:t>
      </w:r>
    </w:p>
    <w:p>
      <w:pPr>
        <w:pStyle w:val="21"/>
        <w:spacing w:before="0"/>
        <w:ind w:left="0" w:firstLine="482"/>
        <w:jc w:val="both"/>
        <w:rPr>
          <w:rFonts w:ascii="Times New Roman" w:hAnsi="Times New Roman"/>
          <w:b/>
          <w:bCs/>
          <w:color w:val="000000" w:themeColor="text1"/>
          <w:kern w:val="2"/>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w:t>
      </w:r>
      <w:r>
        <w:rPr>
          <w:rFonts w:ascii="Times New Roman" w:hAnsi="Times New Roman"/>
          <w:b/>
          <w:bCs/>
          <w:color w:val="000000" w:themeColor="text1"/>
          <w:kern w:val="2"/>
          <w:highlight w:val="none"/>
          <w:lang w:eastAsia="zh-CN"/>
          <w14:textFill>
            <w14:solidFill>
              <w14:schemeClr w14:val="tx1"/>
            </w14:solidFill>
          </w14:textFill>
        </w:rPr>
        <w:t>6）废水转运过程泄漏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default" w:ascii="Times New Roman" w:hAnsi="Times New Roman" w:cs="Times New Roman"/>
          <w:bCs/>
          <w:color w:val="000000" w:themeColor="text1"/>
          <w:kern w:val="2"/>
          <w:highlight w:val="none"/>
          <w:lang w:eastAsia="zh-CN"/>
          <w14:textFill>
            <w14:solidFill>
              <w14:schemeClr w14:val="tx1"/>
            </w14:solidFill>
          </w14:textFill>
        </w:rPr>
        <w:t>本项目钻井废水、</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场地初期雨水、洗井废水、</w:t>
      </w:r>
      <w:r>
        <w:rPr>
          <w:rFonts w:hint="default" w:ascii="Times New Roman" w:hAnsi="Times New Roman" w:cs="Times New Roman"/>
          <w:bCs/>
          <w:color w:val="000000" w:themeColor="text1"/>
          <w:kern w:val="2"/>
          <w:highlight w:val="none"/>
          <w:lang w:eastAsia="zh-CN"/>
          <w14:textFill>
            <w14:solidFill>
              <w14:schemeClr w14:val="tx1"/>
            </w14:solidFill>
          </w14:textFill>
        </w:rPr>
        <w:t>废压裂返排液</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等均会</w:t>
      </w:r>
      <w:r>
        <w:rPr>
          <w:rFonts w:hint="default" w:ascii="Times New Roman" w:hAnsi="Times New Roman" w:cs="Times New Roman"/>
          <w:bCs/>
          <w:color w:val="000000" w:themeColor="text1"/>
          <w:kern w:val="2"/>
          <w:highlight w:val="none"/>
          <w:lang w:eastAsia="zh-CN"/>
          <w14:textFill>
            <w14:solidFill>
              <w14:schemeClr w14:val="tx1"/>
            </w14:solidFill>
          </w14:textFill>
        </w:rPr>
        <w:t>通过罐车转运</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处理</w:t>
      </w:r>
      <w:r>
        <w:rPr>
          <w:rFonts w:hint="eastAsia" w:ascii="Times New Roman" w:hAnsi="Times New Roman" w:cs="Times New Roman"/>
          <w:bCs/>
          <w:color w:val="000000" w:themeColor="text1"/>
          <w:kern w:val="2"/>
          <w:highlight w:val="none"/>
          <w:lang w:eastAsia="zh-CN"/>
          <w14:textFill>
            <w14:solidFill>
              <w14:schemeClr w14:val="tx1"/>
            </w14:solidFill>
          </w14:textFill>
        </w:rPr>
        <w:t>，</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试采期</w:t>
      </w:r>
      <w:r>
        <w:rPr>
          <w:rFonts w:hint="default" w:ascii="Times New Roman" w:hAnsi="Times New Roman" w:cs="Times New Roman"/>
          <w:bCs/>
          <w:color w:val="000000" w:themeColor="text1"/>
          <w:kern w:val="2"/>
          <w:highlight w:val="none"/>
          <w:lang w:eastAsia="zh-CN"/>
          <w14:textFill>
            <w14:solidFill>
              <w14:schemeClr w14:val="tx1"/>
            </w14:solidFill>
          </w14:textFill>
        </w:rPr>
        <w:t>气田水</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通过管道外输至雷页1试采站缓冲罐暂存后再罐车外运处理</w:t>
      </w:r>
      <w:r>
        <w:rPr>
          <w:rFonts w:ascii="Times New Roman" w:hAnsi="Times New Roman"/>
          <w:bCs/>
          <w:color w:val="000000" w:themeColor="text1"/>
          <w:kern w:val="2"/>
          <w:highlight w:val="none"/>
          <w:lang w:eastAsia="zh-CN"/>
          <w14:textFill>
            <w14:solidFill>
              <w14:schemeClr w14:val="tx1"/>
            </w14:solidFill>
          </w14:textFill>
        </w:rPr>
        <w:t>。废水转运过程中可能存在罐体泄漏、运输车侧翻导致污水外溢的风险。如</w:t>
      </w:r>
      <w:r>
        <w:rPr>
          <w:rFonts w:hint="eastAsia" w:ascii="Times New Roman" w:hAnsi="Times New Roman"/>
          <w:bCs/>
          <w:color w:val="000000" w:themeColor="text1"/>
          <w:kern w:val="2"/>
          <w:highlight w:val="none"/>
          <w:lang w:eastAsia="zh-CN"/>
          <w14:textFill>
            <w14:solidFill>
              <w14:schemeClr w14:val="tx1"/>
            </w14:solidFill>
          </w14:textFill>
        </w:rPr>
        <w:t>途经</w:t>
      </w:r>
      <w:r>
        <w:rPr>
          <w:rFonts w:ascii="Times New Roman" w:hAnsi="Times New Roman"/>
          <w:bCs/>
          <w:color w:val="000000" w:themeColor="text1"/>
          <w:kern w:val="2"/>
          <w:highlight w:val="none"/>
          <w:lang w:eastAsia="zh-CN"/>
          <w14:textFill>
            <w14:solidFill>
              <w14:schemeClr w14:val="tx1"/>
            </w14:solidFill>
          </w14:textFill>
        </w:rPr>
        <w:t>集中式饮用水水源地、水产种质保护区等特别敏感区域时发生泄漏，将产生一定的影响。</w:t>
      </w:r>
    </w:p>
    <w:p>
      <w:pPr>
        <w:pStyle w:val="21"/>
        <w:spacing w:before="0"/>
        <w:ind w:left="0" w:firstLine="482"/>
        <w:jc w:val="both"/>
        <w:rPr>
          <w:rFonts w:ascii="Times New Roman" w:hAnsi="Times New Roman"/>
          <w:b/>
          <w:bCs/>
          <w:color w:val="000000" w:themeColor="text1"/>
          <w:kern w:val="2"/>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w:t>
      </w:r>
      <w:r>
        <w:rPr>
          <w:rFonts w:ascii="Times New Roman" w:hAnsi="Times New Roman"/>
          <w:b/>
          <w:bCs/>
          <w:color w:val="000000" w:themeColor="text1"/>
          <w:kern w:val="2"/>
          <w:highlight w:val="none"/>
          <w:lang w:eastAsia="zh-CN"/>
          <w14:textFill>
            <w14:solidFill>
              <w14:schemeClr w14:val="tx1"/>
            </w14:solidFill>
          </w14:textFill>
        </w:rPr>
        <w:t>7）</w:t>
      </w:r>
      <w:r>
        <w:rPr>
          <w:rFonts w:hint="eastAsia" w:ascii="Times New Roman" w:hAnsi="Times New Roman"/>
          <w:b/>
          <w:bCs/>
          <w:color w:val="000000" w:themeColor="text1"/>
          <w:kern w:val="2"/>
          <w:highlight w:val="none"/>
          <w:lang w:eastAsia="zh-CN"/>
          <w14:textFill>
            <w14:solidFill>
              <w14:schemeClr w14:val="tx1"/>
            </w14:solidFill>
          </w14:textFill>
        </w:rPr>
        <w:t>试采</w:t>
      </w:r>
      <w:r>
        <w:rPr>
          <w:rFonts w:ascii="Times New Roman" w:hAnsi="Times New Roman"/>
          <w:b/>
          <w:bCs/>
          <w:color w:val="000000" w:themeColor="text1"/>
          <w:kern w:val="2"/>
          <w:highlight w:val="none"/>
          <w:lang w:eastAsia="zh-CN"/>
          <w14:textFill>
            <w14:solidFill>
              <w14:schemeClr w14:val="tx1"/>
            </w14:solidFill>
          </w14:textFill>
        </w:rPr>
        <w:t>站场及集输管线</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本项目天然气泄漏情形为</w:t>
      </w:r>
      <w:r>
        <w:rPr>
          <w:rFonts w:hint="eastAsia" w:ascii="Times New Roman" w:hAnsi="Times New Roman"/>
          <w:bCs/>
          <w:color w:val="000000" w:themeColor="text1"/>
          <w:kern w:val="2"/>
          <w:highlight w:val="none"/>
          <w:lang w:eastAsia="zh-CN"/>
          <w14:textFill>
            <w14:solidFill>
              <w14:schemeClr w14:val="tx1"/>
            </w14:solidFill>
          </w14:textFill>
        </w:rPr>
        <w:t>试采</w:t>
      </w:r>
      <w:r>
        <w:rPr>
          <w:rFonts w:ascii="Times New Roman" w:hAnsi="Times New Roman"/>
          <w:bCs/>
          <w:color w:val="000000" w:themeColor="text1"/>
          <w:kern w:val="2"/>
          <w:highlight w:val="none"/>
          <w:lang w:eastAsia="zh-CN"/>
          <w14:textFill>
            <w14:solidFill>
              <w14:schemeClr w14:val="tx1"/>
            </w14:solidFill>
          </w14:textFill>
        </w:rPr>
        <w:t>站场内部的管线或设备泄漏。</w:t>
      </w:r>
      <w:r>
        <w:rPr>
          <w:rFonts w:hint="eastAsia" w:ascii="Times New Roman" w:hAnsi="Times New Roman"/>
          <w:bCs/>
          <w:color w:val="000000" w:themeColor="text1"/>
          <w:kern w:val="2"/>
          <w:highlight w:val="none"/>
          <w:lang w:eastAsia="zh-CN"/>
          <w14:textFill>
            <w14:solidFill>
              <w14:schemeClr w14:val="tx1"/>
            </w14:solidFill>
          </w14:textFill>
        </w:rPr>
        <w:t>试采</w:t>
      </w:r>
      <w:r>
        <w:rPr>
          <w:rFonts w:ascii="Times New Roman" w:hAnsi="Times New Roman"/>
          <w:bCs/>
          <w:color w:val="000000" w:themeColor="text1"/>
          <w:kern w:val="2"/>
          <w:highlight w:val="none"/>
          <w:lang w:eastAsia="zh-CN"/>
          <w14:textFill>
            <w14:solidFill>
              <w14:schemeClr w14:val="tx1"/>
            </w14:solidFill>
          </w14:textFill>
        </w:rPr>
        <w:t>站场内部管线为井口</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水套加热炉</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外输截止阀，井场可能存在天然气泄漏的设备为撬装卧式分离器。本项目站内集输管线为天然气管线和设备破裂原因为内、外腐蚀作用，母体材料缺陷或焊口缺陷隐患，意外重大的机械损伤或地震、地陷、洪水等自然灾害破坏作用。管线或设备破裂会造成天然气泄漏，本项目根据建设单位管理要求，本项目井口100m范围内无居民分布</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区域大气扩散条件较好，天然气</w:t>
      </w:r>
      <w:r>
        <w:rPr>
          <w:rFonts w:hint="eastAsia" w:ascii="Times New Roman" w:hAnsi="Times New Roman"/>
          <w:bCs/>
          <w:color w:val="000000" w:themeColor="text1"/>
          <w:kern w:val="2"/>
          <w:highlight w:val="none"/>
          <w:lang w:val="en-US" w:eastAsia="zh-CN"/>
          <w14:textFill>
            <w14:solidFill>
              <w14:schemeClr w14:val="tx1"/>
            </w14:solidFill>
          </w14:textFill>
        </w:rPr>
        <w:t>不含硫</w:t>
      </w:r>
      <w:r>
        <w:rPr>
          <w:rFonts w:ascii="Times New Roman" w:hAnsi="Times New Roman"/>
          <w:bCs/>
          <w:color w:val="000000" w:themeColor="text1"/>
          <w:kern w:val="2"/>
          <w:highlight w:val="none"/>
          <w:lang w:eastAsia="zh-CN"/>
          <w14:textFill>
            <w14:solidFill>
              <w14:schemeClr w14:val="tx1"/>
            </w14:solidFill>
          </w14:textFill>
        </w:rPr>
        <w:t>，发生泄漏后及时关闭阀门，泄漏的天然气量较少，因此天然气泄漏对空气影响较小。</w:t>
      </w:r>
    </w:p>
    <w:p>
      <w:pPr>
        <w:pStyle w:val="21"/>
        <w:spacing w:before="0"/>
        <w:ind w:left="0" w:firstLine="482"/>
        <w:jc w:val="both"/>
        <w:rPr>
          <w:rFonts w:ascii="Times New Roman" w:hAnsi="Times New Roman"/>
          <w:b/>
          <w:bCs/>
          <w:color w:val="000000" w:themeColor="text1"/>
          <w:kern w:val="2"/>
          <w:highlight w:val="none"/>
          <w:lang w:eastAsia="zh-CN"/>
          <w14:textFill>
            <w14:solidFill>
              <w14:schemeClr w14:val="tx1"/>
            </w14:solidFill>
          </w14:textFill>
        </w:rPr>
      </w:pPr>
      <w:r>
        <w:rPr>
          <w:rFonts w:ascii="Times New Roman" w:hAnsi="Times New Roman"/>
          <w:b/>
          <w:bCs/>
          <w:color w:val="000000" w:themeColor="text1"/>
          <w:highlight w:val="none"/>
          <w:lang w:eastAsia="zh-CN"/>
          <w14:textFill>
            <w14:solidFill>
              <w14:schemeClr w14:val="tx1"/>
            </w14:solidFill>
          </w14:textFill>
        </w:rPr>
        <w:t>（</w:t>
      </w:r>
      <w:r>
        <w:rPr>
          <w:rFonts w:ascii="Times New Roman" w:hAnsi="Times New Roman"/>
          <w:b/>
          <w:bCs/>
          <w:color w:val="000000" w:themeColor="text1"/>
          <w:kern w:val="2"/>
          <w:highlight w:val="none"/>
          <w:lang w:eastAsia="zh-CN"/>
          <w14:textFill>
            <w14:solidFill>
              <w14:schemeClr w14:val="tx1"/>
            </w14:solidFill>
          </w14:textFill>
        </w:rPr>
        <w:t>8）火灾爆炸引发次生污染</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本项目发生火灾爆炸情形有如下几种：</w:t>
      </w:r>
      <w:r>
        <w:rPr>
          <w:rFonts w:hint="eastAsia" w:cs="宋体"/>
          <w:bCs/>
          <w:color w:val="000000" w:themeColor="text1"/>
          <w:kern w:val="2"/>
          <w:highlight w:val="none"/>
          <w:lang w:eastAsia="zh-CN"/>
          <w14:textFill>
            <w14:solidFill>
              <w14:schemeClr w14:val="tx1"/>
            </w14:solidFill>
          </w14:textFill>
        </w:rPr>
        <w:t>①</w:t>
      </w:r>
      <w:r>
        <w:rPr>
          <w:rFonts w:ascii="Times New Roman" w:hAnsi="Times New Roman"/>
          <w:bCs/>
          <w:color w:val="000000" w:themeColor="text1"/>
          <w:kern w:val="2"/>
          <w:highlight w:val="none"/>
          <w:lang w:eastAsia="zh-CN"/>
          <w14:textFill>
            <w14:solidFill>
              <w14:schemeClr w14:val="tx1"/>
            </w14:solidFill>
          </w14:textFill>
        </w:rPr>
        <w:t>钻井过程发生井喷失控，天然气逸散到空气中遇明火发生火灾爆炸或主动点火发生火灾爆炸，产生污染物CO进入大气；</w:t>
      </w:r>
      <w:r>
        <w:rPr>
          <w:rFonts w:hint="eastAsia" w:cs="宋体"/>
          <w:bCs/>
          <w:color w:val="000000" w:themeColor="text1"/>
          <w:kern w:val="2"/>
          <w:highlight w:val="none"/>
          <w:lang w:eastAsia="zh-CN"/>
          <w14:textFill>
            <w14:solidFill>
              <w14:schemeClr w14:val="tx1"/>
            </w14:solidFill>
          </w14:textFill>
        </w:rPr>
        <w:t>②</w:t>
      </w:r>
      <w:r>
        <w:rPr>
          <w:rFonts w:ascii="Times New Roman" w:hAnsi="Times New Roman"/>
          <w:bCs/>
          <w:color w:val="000000" w:themeColor="text1"/>
          <w:kern w:val="2"/>
          <w:highlight w:val="none"/>
          <w:lang w:eastAsia="zh-CN"/>
          <w14:textFill>
            <w14:solidFill>
              <w14:schemeClr w14:val="tx1"/>
            </w14:solidFill>
          </w14:textFill>
        </w:rPr>
        <w:t>施工期柴油泄漏后，遇明火燃烧产生污染物CO进入大气；</w:t>
      </w:r>
      <w:r>
        <w:rPr>
          <w:rFonts w:hint="eastAsia" w:cs="宋体"/>
          <w:bCs/>
          <w:color w:val="000000" w:themeColor="text1"/>
          <w:kern w:val="2"/>
          <w:highlight w:val="none"/>
          <w:lang w:eastAsia="zh-CN"/>
          <w14:textFill>
            <w14:solidFill>
              <w14:schemeClr w14:val="tx1"/>
            </w14:solidFill>
          </w14:textFill>
        </w:rPr>
        <w:t>③</w:t>
      </w:r>
      <w:r>
        <w:rPr>
          <w:rFonts w:ascii="Times New Roman" w:hAnsi="Times New Roman"/>
          <w:bCs/>
          <w:color w:val="000000" w:themeColor="text1"/>
          <w:kern w:val="2"/>
          <w:highlight w:val="none"/>
          <w:lang w:eastAsia="zh-CN"/>
          <w14:textFill>
            <w14:solidFill>
              <w14:schemeClr w14:val="tx1"/>
            </w14:solidFill>
          </w14:textFill>
        </w:rPr>
        <w:t>试采过程站场或集输管线发生天然气泄漏后，遇明火燃烧产生污染物CO进入大气。</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50" w:name="_Toc120173178"/>
      <w:r>
        <w:rPr>
          <w:color w:val="000000" w:themeColor="text1"/>
          <w:highlight w:val="none"/>
          <w:lang w:eastAsia="zh-CN"/>
          <w14:textFill>
            <w14:solidFill>
              <w14:schemeClr w14:val="tx1"/>
            </w14:solidFill>
          </w14:textFill>
        </w:rPr>
        <w:t>危险物质可能影响环境的途径</w:t>
      </w:r>
      <w:bookmarkEnd w:id="350"/>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通过以上物质识别、生产系统危险性识别过程可以看出，本项目涉及危险物质的向环境转移的途径主要有：</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（1）井场发生井喷后，天然气进入大气对环境空气的影响；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（2）井漏如果发生在含水层，则泄漏的泥浆可能会污染含水层；</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（3）柴油泄漏可能污染土壤、地表水和地下水；</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（4）钻井泥浆、压裂液泄漏可能污染地表水、地下水及土壤；</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（5）井场、放喷池、站场废水泄漏可能污染地表水、地下水及土壤；</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（6）废水转运过程发生泄漏可能污染地表水、地下水及土壤；</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（7）</w:t>
      </w:r>
      <w:r>
        <w:rPr>
          <w:rFonts w:hint="eastAsia" w:ascii="Times New Roman" w:hAnsi="Times New Roman"/>
          <w:bCs/>
          <w:color w:val="000000" w:themeColor="text1"/>
          <w:kern w:val="2"/>
          <w:highlight w:val="none"/>
          <w:lang w:eastAsia="zh-CN"/>
          <w14:textFill>
            <w14:solidFill>
              <w14:schemeClr w14:val="tx1"/>
            </w14:solidFill>
          </w14:textFill>
        </w:rPr>
        <w:t>试采</w:t>
      </w:r>
      <w:r>
        <w:rPr>
          <w:rFonts w:ascii="Times New Roman" w:hAnsi="Times New Roman"/>
          <w:bCs/>
          <w:color w:val="000000" w:themeColor="text1"/>
          <w:kern w:val="2"/>
          <w:highlight w:val="none"/>
          <w:lang w:eastAsia="zh-CN"/>
          <w14:textFill>
            <w14:solidFill>
              <w14:schemeClr w14:val="tx1"/>
            </w14:solidFill>
          </w14:textFill>
        </w:rPr>
        <w:t>站场及集输管线发生天然气泄漏对环境空气的影响；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（8）天然气、柴油泄漏后，遇明火燃烧次生污染物CO进入大气对环境空气的影响。</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51" w:name="_Toc474725972"/>
      <w:bookmarkStart w:id="352" w:name="_Toc21593"/>
      <w:r>
        <w:rPr>
          <w:color w:val="000000" w:themeColor="text1"/>
          <w:highlight w:val="none"/>
          <w:lang w:eastAsia="zh-CN"/>
          <w14:textFill>
            <w14:solidFill>
              <w14:schemeClr w14:val="tx1"/>
            </w14:solidFill>
          </w14:textFill>
        </w:rPr>
        <w:t>环境风险分析</w:t>
      </w:r>
      <w:bookmarkEnd w:id="351"/>
      <w:bookmarkEnd w:id="352"/>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53" w:name="_Toc120173180"/>
      <w:r>
        <w:rPr>
          <w:color w:val="000000" w:themeColor="text1"/>
          <w:highlight w:val="none"/>
          <w:lang w:eastAsia="zh-CN"/>
          <w14:textFill>
            <w14:solidFill>
              <w14:schemeClr w14:val="tx1"/>
            </w14:solidFill>
          </w14:textFill>
        </w:rPr>
        <w:t>大气环境风险影响分析</w:t>
      </w:r>
      <w:bookmarkEnd w:id="353"/>
    </w:p>
    <w:p>
      <w:pPr>
        <w:pStyle w:val="21"/>
        <w:keepNext w:val="0"/>
        <w:keepLines w:val="0"/>
        <w:pageBreakBefore w:val="0"/>
        <w:widowControl/>
        <w:kinsoku/>
        <w:wordWrap/>
        <w:overflowPunct/>
        <w:topLinePunct w:val="0"/>
        <w:autoSpaceDE/>
        <w:autoSpaceDN/>
        <w:bidi w:val="0"/>
        <w:adjustRightInd w:val="0"/>
        <w:snapToGrid w:val="0"/>
        <w:spacing w:before="0"/>
        <w:ind w:left="0" w:firstLine="482"/>
        <w:jc w:val="both"/>
        <w:textAlignment w:val="auto"/>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（1）井喷环境风险影响分析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天然气在钻探作业过程中发生泄漏后的影响后果严重，即井喷失控、着火爆炸是钻井工作中最重大的危险。</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其中可能造成最大危害的是井喷失控喷射出的天然气遇火燃烧爆炸，造成冲击波和热辐射伤人、伤亡事故。根据《含硫化氢天然气井失控井口点火时间规定》（AQ2016-2008）和本项目钻井工程设计资料，钻井现场配备自动、手动和高压高能电子点火三套独立点火系统，按照中石化集团公司对发生井喷环境风险事故时的井控管理要求，</w:t>
      </w:r>
      <w:r>
        <w:rPr>
          <w:rFonts w:hint="eastAsia" w:ascii="宋体" w:hAnsi="宋体" w:eastAsia="宋体" w:cs="宋体"/>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在出现井喷事故征兆时，现场作业人员应立即进行点火准备工作”；在符合下述条件之一时，须在5min内实施井口点火：</w:t>
      </w:r>
      <w:r>
        <w:rPr>
          <w:rFonts w:hint="eastAsia" w:ascii="Times New Roman" w:hAnsi="Times New Roman"/>
          <w:bCs/>
          <w:color w:val="000000" w:themeColor="text1"/>
          <w:kern w:val="2"/>
          <w:highlight w:val="none"/>
          <w:lang w:eastAsia="zh-CN"/>
          <w14:textFill>
            <w14:solidFill>
              <w14:schemeClr w14:val="tx1"/>
            </w14:solidFill>
          </w14:textFill>
        </w:rPr>
        <w:t>①</w:t>
      </w:r>
      <w:r>
        <w:rPr>
          <w:rFonts w:ascii="Times New Roman" w:hAnsi="Times New Roman"/>
          <w:bCs/>
          <w:color w:val="000000" w:themeColor="text1"/>
          <w:kern w:val="2"/>
          <w:highlight w:val="none"/>
          <w:lang w:eastAsia="zh-CN"/>
          <w14:textFill>
            <w14:solidFill>
              <w14:schemeClr w14:val="tx1"/>
            </w14:solidFill>
          </w14:textFill>
        </w:rPr>
        <w:t>“气井发生井喷失控，且距井口500m范围内存在未撤离的公众；</w:t>
      </w:r>
      <w:r>
        <w:rPr>
          <w:rFonts w:hint="eastAsia" w:ascii="Times New Roman" w:hAnsi="Times New Roman"/>
          <w:bCs/>
          <w:color w:val="000000" w:themeColor="text1"/>
          <w:kern w:val="2"/>
          <w:highlight w:val="none"/>
          <w:lang w:eastAsia="zh-CN"/>
          <w14:textFill>
            <w14:solidFill>
              <w14:schemeClr w14:val="tx1"/>
            </w14:solidFill>
          </w14:textFill>
        </w:rPr>
        <w:t>②</w:t>
      </w:r>
      <w:r>
        <w:rPr>
          <w:rFonts w:ascii="Times New Roman" w:hAnsi="Times New Roman"/>
          <w:bCs/>
          <w:color w:val="000000" w:themeColor="text1"/>
          <w:kern w:val="2"/>
          <w:highlight w:val="none"/>
          <w:lang w:eastAsia="zh-CN"/>
          <w14:textFill>
            <w14:solidFill>
              <w14:schemeClr w14:val="tx1"/>
            </w14:solidFill>
          </w14:textFill>
        </w:rPr>
        <w:t>距井口500m范围内居民点的H</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S在3min平均监测浓度达到100ppm，且存在无防护措施的公众；</w:t>
      </w:r>
      <w:r>
        <w:rPr>
          <w:rFonts w:hint="eastAsia" w:ascii="Times New Roman" w:hAnsi="Times New Roman"/>
          <w:bCs/>
          <w:color w:val="000000" w:themeColor="text1"/>
          <w:kern w:val="2"/>
          <w:highlight w:val="none"/>
          <w:lang w:eastAsia="zh-CN"/>
          <w14:textFill>
            <w14:solidFill>
              <w14:schemeClr w14:val="tx1"/>
            </w14:solidFill>
          </w14:textFill>
        </w:rPr>
        <w:t>③</w:t>
      </w:r>
      <w:r>
        <w:rPr>
          <w:rFonts w:ascii="Times New Roman" w:hAnsi="Times New Roman"/>
          <w:bCs/>
          <w:color w:val="000000" w:themeColor="text1"/>
          <w:kern w:val="2"/>
          <w:highlight w:val="none"/>
          <w:lang w:eastAsia="zh-CN"/>
          <w14:textFill>
            <w14:solidFill>
              <w14:schemeClr w14:val="tx1"/>
            </w14:solidFill>
          </w14:textFill>
        </w:rPr>
        <w:t>井场周边1000米范围内无有效的H</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S监测手段</w:t>
      </w:r>
      <w:r>
        <w:rPr>
          <w:rFonts w:hint="eastAsia" w:ascii="宋体" w:hAnsi="宋体" w:eastAsia="宋体" w:cs="宋体"/>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预计不含硫化氢，井口周边500m范围内有分散居民，事故状态下应在5min内启动点火程序实施点火。井场内同时配备自动、手动和高压高能电子点火三套独立点火系统，可有效确保按要求在井喷失控后5min内成功实施点火作业。</w:t>
      </w:r>
    </w:p>
    <w:p>
      <w:pPr>
        <w:pStyle w:val="21"/>
        <w:keepNext w:val="0"/>
        <w:keepLines w:val="0"/>
        <w:pageBreakBefore w:val="0"/>
        <w:widowControl/>
        <w:kinsoku/>
        <w:wordWrap/>
        <w:overflowPunct/>
        <w:topLinePunct w:val="0"/>
        <w:autoSpaceDE/>
        <w:autoSpaceDN/>
        <w:bidi w:val="0"/>
        <w:adjustRightInd w:val="0"/>
        <w:snapToGrid w:val="0"/>
        <w:spacing w:before="0"/>
        <w:ind w:left="0" w:firstLine="482"/>
        <w:jc w:val="both"/>
        <w:textAlignment w:val="auto"/>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（2）井眼碰撞或压裂作业导致套管破裂天然气窜层</w:t>
      </w:r>
      <w:r>
        <w:rPr>
          <w:rFonts w:ascii="Times New Roman" w:hAnsi="Times New Roman"/>
          <w:b/>
          <w:bCs/>
          <w:color w:val="000000" w:themeColor="text1"/>
          <w:kern w:val="2"/>
          <w:highlight w:val="none"/>
          <w:lang w:eastAsia="zh-CN"/>
          <w14:textFill>
            <w14:solidFill>
              <w14:schemeClr w14:val="tx1"/>
            </w14:solidFill>
          </w14:textFill>
        </w:rPr>
        <w:t>泄漏</w:t>
      </w:r>
      <w:r>
        <w:rPr>
          <w:rFonts w:ascii="Times New Roman" w:hAnsi="Times New Roman"/>
          <w:b/>
          <w:color w:val="000000" w:themeColor="text1"/>
          <w:kern w:val="2"/>
          <w:highlight w:val="none"/>
          <w:lang w:eastAsia="zh-CN"/>
          <w14:textFill>
            <w14:solidFill>
              <w14:schemeClr w14:val="tx1"/>
            </w14:solidFill>
          </w14:textFill>
        </w:rPr>
        <w:t>进入地表环境风险影响分析</w:t>
      </w:r>
    </w:p>
    <w:p>
      <w:pPr>
        <w:pStyle w:val="21"/>
        <w:spacing w:before="0"/>
        <w:ind w:left="0" w:firstLine="480"/>
        <w:jc w:val="both"/>
        <w:rPr>
          <w:rFonts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本项目在钻井施工中井组内布设</w:t>
      </w:r>
      <w:r>
        <w:rPr>
          <w:rFonts w:hint="eastAsia" w:ascii="Times New Roman" w:hAnsi="Times New Roman"/>
          <w:color w:val="000000" w:themeColor="text1"/>
          <w:highlight w:val="none"/>
          <w:lang w:val="en-US" w:eastAsia="zh-CN"/>
          <w14:textFill>
            <w14:solidFill>
              <w14:schemeClr w14:val="tx1"/>
            </w14:solidFill>
          </w14:textFill>
        </w:rPr>
        <w:t>2</w:t>
      </w:r>
      <w:r>
        <w:rPr>
          <w:rFonts w:ascii="Times New Roman" w:hAnsi="Times New Roman"/>
          <w:color w:val="000000" w:themeColor="text1"/>
          <w:highlight w:val="none"/>
          <w:lang w:eastAsia="zh-CN"/>
          <w14:textFill>
            <w14:solidFill>
              <w14:schemeClr w14:val="tx1"/>
            </w14:solidFill>
          </w14:textFill>
        </w:rPr>
        <w:t>口井，符合《丛式井平台布置及井眼防碰技术要求》（SY/T 6396-2014）、《钻井井控技术规范》（Q/SY1552-2012），在钻井作业中严格控制直井段井斜和斜井水平段的位置方向，加强钻井位置监测，类比同类丛式水平井组钻井，从未发生过串井事故，因此井下工具破坏已完钻气井套管的可能性基本不存在。</w:t>
      </w:r>
    </w:p>
    <w:p>
      <w:pPr>
        <w:pStyle w:val="21"/>
        <w:spacing w:before="0"/>
        <w:ind w:left="0" w:firstLine="480"/>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完井套管均采用高压无缝钢管，压裂作业在高压压裂时破坏已完钻气井套管的可能性也很小。根据川东北地区多年来的钻井记录，井眼碰撞以及压裂作业导致套管损坏在钻井中出现的几率非常小，在严把质量关的前提下发生该事故的几率极其小。由于通过地下岩层的阻隔，事故发生后天然气窜层</w:t>
      </w:r>
      <w:r>
        <w:rPr>
          <w:rFonts w:ascii="Times New Roman" w:hAnsi="Times New Roman"/>
          <w:bCs/>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进入地表的量、压力、速率比井喷量小很多，影响程度比井喷小很多，但出现的</w:t>
      </w:r>
      <w:r>
        <w:rPr>
          <w:rFonts w:ascii="Times New Roman" w:hAnsi="Times New Roman"/>
          <w:bCs/>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点多，出现位置不能进行有效预测，但主要在井口周边地带，</w:t>
      </w:r>
      <w:r>
        <w:rPr>
          <w:rFonts w:ascii="Times New Roman" w:hAnsi="Times New Roman"/>
          <w:bCs/>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范围在井口外1km范围内。</w:t>
      </w:r>
      <w:r>
        <w:rPr>
          <w:rFonts w:ascii="Times New Roman" w:hAnsi="Times New Roman"/>
          <w:bCs/>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点主要表现为可燃气体的</w:t>
      </w:r>
      <w:r>
        <w:rPr>
          <w:rFonts w:ascii="Times New Roman" w:hAnsi="Times New Roman"/>
          <w:bCs/>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遇火爆炸环境风险，形成的爆炸冲击波较井喷失控时甲烷扩散遇火爆炸形成的爆炸冲击波影响小得多。</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（3）套管破裂天然气串层</w:t>
      </w:r>
      <w:r>
        <w:rPr>
          <w:rFonts w:ascii="Times New Roman" w:hAnsi="Times New Roman"/>
          <w:b/>
          <w:bCs/>
          <w:color w:val="000000" w:themeColor="text1"/>
          <w:kern w:val="2"/>
          <w:highlight w:val="none"/>
          <w:lang w:eastAsia="zh-CN"/>
          <w14:textFill>
            <w14:solidFill>
              <w14:schemeClr w14:val="tx1"/>
            </w14:solidFill>
          </w14:textFill>
        </w:rPr>
        <w:t>泄漏</w:t>
      </w:r>
      <w:r>
        <w:rPr>
          <w:rFonts w:ascii="Times New Roman" w:hAnsi="Times New Roman"/>
          <w:b/>
          <w:color w:val="000000" w:themeColor="text1"/>
          <w:kern w:val="2"/>
          <w:highlight w:val="none"/>
          <w:lang w:eastAsia="zh-CN"/>
          <w14:textFill>
            <w14:solidFill>
              <w14:schemeClr w14:val="tx1"/>
            </w14:solidFill>
          </w14:textFill>
        </w:rPr>
        <w:t>进入地表环境风险影响分析</w:t>
      </w:r>
    </w:p>
    <w:p>
      <w:pPr>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在施工中，出现套管破裂的概率很小。由于地下岩层的阻隔，事故发生后串层</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进入地表的天然气量、压力、速率比井喷量小很多，影响程度比井喷小很多。</w:t>
      </w:r>
    </w:p>
    <w:p>
      <w:pPr>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该事故主要控制措施是加强对周边3km范围内居民进行宣传教育，遇到此类事故应立即撤离</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点，撤离距离根据应急监测确定。企业应在可能的</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点周边设置便携监测仪，确定浓度，根据浓度确定具体撤离范围。企业同时应对事故后主要是堵漏，通过井口周边放喷管放喷燃烧泄压，减少周边地表</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点</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量，对地表</w:t>
      </w:r>
      <w:r>
        <w:rPr>
          <w:rFonts w:cs="Times New Roman"/>
          <w:bCs/>
          <w:color w:val="000000" w:themeColor="text1"/>
          <w:kern w:val="0"/>
          <w:szCs w:val="24"/>
          <w:highlight w:val="none"/>
          <w14:textFill>
            <w14:solidFill>
              <w14:schemeClr w14:val="tx1"/>
            </w14:solidFill>
          </w14:textFill>
        </w:rPr>
        <w:t>泄漏</w:t>
      </w:r>
      <w:r>
        <w:rPr>
          <w:rFonts w:cs="Times New Roman"/>
          <w:color w:val="000000" w:themeColor="text1"/>
          <w:kern w:val="0"/>
          <w:szCs w:val="24"/>
          <w:highlight w:val="none"/>
          <w14:textFill>
            <w14:solidFill>
              <w14:schemeClr w14:val="tx1"/>
            </w14:solidFill>
          </w14:textFill>
        </w:rPr>
        <w:t>点进行点火燃烧。</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bookmarkStart w:id="354" w:name="_Hlk88498378"/>
      <w:r>
        <w:rPr>
          <w:rFonts w:ascii="Times New Roman" w:hAnsi="Times New Roman"/>
          <w:b/>
          <w:color w:val="000000" w:themeColor="text1"/>
          <w:kern w:val="2"/>
          <w:highlight w:val="none"/>
          <w:lang w:eastAsia="zh-CN"/>
          <w14:textFill>
            <w14:solidFill>
              <w14:schemeClr w14:val="tx1"/>
            </w14:solidFill>
          </w14:textFill>
        </w:rPr>
        <w:t>（4）试采期</w:t>
      </w:r>
      <w:r>
        <w:rPr>
          <w:rFonts w:hint="eastAsia" w:ascii="Times New Roman" w:hAnsi="Times New Roman"/>
          <w:b/>
          <w:color w:val="000000" w:themeColor="text1"/>
          <w:kern w:val="2"/>
          <w:highlight w:val="none"/>
          <w:lang w:val="en-US" w:eastAsia="zh-CN"/>
          <w14:textFill>
            <w14:solidFill>
              <w14:schemeClr w14:val="tx1"/>
            </w14:solidFill>
          </w14:textFill>
        </w:rPr>
        <w:t>井站</w:t>
      </w:r>
      <w:r>
        <w:rPr>
          <w:rFonts w:ascii="Times New Roman" w:hAnsi="Times New Roman"/>
          <w:b/>
          <w:color w:val="000000" w:themeColor="text1"/>
          <w:kern w:val="2"/>
          <w:highlight w:val="none"/>
          <w:lang w:eastAsia="zh-CN"/>
          <w14:textFill>
            <w14:solidFill>
              <w14:schemeClr w14:val="tx1"/>
            </w14:solidFill>
          </w14:textFill>
        </w:rPr>
        <w:t>天然气泄漏风险分析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由于地面试采工程时在测试放喷定产后配产规模下生产，单井最大配产规模</w:t>
      </w:r>
      <w:r>
        <w:rPr>
          <w:rFonts w:hint="eastAsia" w:ascii="Times New Roman" w:hAnsi="Times New Roman"/>
          <w:bCs/>
          <w:color w:val="000000" w:themeColor="text1"/>
          <w:kern w:val="2"/>
          <w:highlight w:val="none"/>
          <w:lang w:val="en-US" w:eastAsia="zh-CN"/>
          <w14:textFill>
            <w14:solidFill>
              <w14:schemeClr w14:val="tx1"/>
            </w14:solidFill>
          </w14:textFill>
        </w:rPr>
        <w:t>10</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10</w:t>
      </w:r>
      <w:r>
        <w:rPr>
          <w:rFonts w:ascii="Times New Roman" w:hAnsi="Times New Roman"/>
          <w:bCs/>
          <w:color w:val="000000" w:themeColor="text1"/>
          <w:kern w:val="2"/>
          <w:highlight w:val="none"/>
          <w:vertAlign w:val="superscript"/>
          <w:lang w:eastAsia="zh-CN"/>
          <w14:textFill>
            <w14:solidFill>
              <w14:schemeClr w14:val="tx1"/>
            </w14:solidFill>
          </w14:textFill>
        </w:rPr>
        <w:t>4</w:t>
      </w:r>
      <w:r>
        <w:rPr>
          <w:rFonts w:ascii="Times New Roman" w:hAnsi="Times New Roman"/>
          <w:bCs/>
          <w:color w:val="000000" w:themeColor="text1"/>
          <w:kern w:val="2"/>
          <w:highlight w:val="none"/>
          <w:lang w:eastAsia="zh-CN"/>
          <w14:textFill>
            <w14:solidFill>
              <w14:schemeClr w14:val="tx1"/>
            </w14:solidFill>
          </w14:textFill>
        </w:rPr>
        <w:t>m</w:t>
      </w:r>
      <w:r>
        <w:rPr>
          <w:rFonts w:ascii="Times New Roman" w:hAnsi="Times New Roman"/>
          <w:bCs/>
          <w:color w:val="000000" w:themeColor="text1"/>
          <w:kern w:val="2"/>
          <w:highlight w:val="none"/>
          <w:vertAlign w:val="superscript"/>
          <w:lang w:eastAsia="zh-CN"/>
          <w14:textFill>
            <w14:solidFill>
              <w14:schemeClr w14:val="tx1"/>
            </w14:solidFill>
          </w14:textFill>
        </w:rPr>
        <w:t>3</w:t>
      </w:r>
      <w:r>
        <w:rPr>
          <w:rFonts w:ascii="Times New Roman" w:hAnsi="Times New Roman"/>
          <w:bCs/>
          <w:color w:val="000000" w:themeColor="text1"/>
          <w:kern w:val="2"/>
          <w:highlight w:val="none"/>
          <w:lang w:eastAsia="zh-CN"/>
          <w14:textFill>
            <w14:solidFill>
              <w14:schemeClr w14:val="tx1"/>
            </w14:solidFill>
          </w14:textFill>
        </w:rPr>
        <w:t>/d，地面试采阶段环境风险源较钻井和储层改造施工阶段小，其环境风险影响范围较施工期小，且在站内工艺管道发生断裂泄漏事故后，自控系统控制的截断阀能在2min内截断上游气源，管道两边截断阀（井口截断阀、出站阀组区截断阀）在第一时间响应关闭并启动放散程序，最大泄漏量为管线在线量和2min的天然气流量，天然气泄漏量很小。由于天然气主要成分为甲烷和硫化氢，稀释扩散较快，对环境、人和动物的影响是局部影响，且井口周边500m范围内无居民分布，发生风险事故后周边居民能及时地进行疏散。因此，对大气环境影响小。</w:t>
      </w:r>
    </w:p>
    <w:p>
      <w:pPr>
        <w:pStyle w:val="21"/>
        <w:spacing w:before="0"/>
        <w:ind w:left="0" w:firstLine="482"/>
        <w:jc w:val="both"/>
        <w:rPr>
          <w:rFonts w:ascii="Times New Roman" w:hAnsi="Times New Roman"/>
          <w:b/>
          <w:bCs w:val="0"/>
          <w:color w:val="000000" w:themeColor="text1"/>
          <w:kern w:val="2"/>
          <w:highlight w:val="none"/>
          <w:lang w:eastAsia="zh-CN"/>
          <w14:textFill>
            <w14:solidFill>
              <w14:schemeClr w14:val="tx1"/>
            </w14:solidFill>
          </w14:textFill>
        </w:rPr>
      </w:pPr>
      <w:r>
        <w:rPr>
          <w:rFonts w:hint="eastAsia" w:ascii="Times New Roman" w:hAnsi="Times New Roman"/>
          <w:b/>
          <w:bCs w:val="0"/>
          <w:color w:val="000000" w:themeColor="text1"/>
          <w:kern w:val="2"/>
          <w:highlight w:val="none"/>
          <w:lang w:eastAsia="zh-CN"/>
          <w14:textFill>
            <w14:solidFill>
              <w14:schemeClr w14:val="tx1"/>
            </w14:solidFill>
          </w14:textFill>
        </w:rPr>
        <w:t>（</w:t>
      </w:r>
      <w:r>
        <w:rPr>
          <w:rFonts w:hint="eastAsia" w:ascii="Times New Roman" w:hAnsi="Times New Roman"/>
          <w:b/>
          <w:bCs w:val="0"/>
          <w:color w:val="000000" w:themeColor="text1"/>
          <w:kern w:val="2"/>
          <w:highlight w:val="none"/>
          <w:lang w:val="en-US" w:eastAsia="zh-CN"/>
          <w14:textFill>
            <w14:solidFill>
              <w14:schemeClr w14:val="tx1"/>
            </w14:solidFill>
          </w14:textFill>
        </w:rPr>
        <w:t>5</w:t>
      </w:r>
      <w:r>
        <w:rPr>
          <w:rFonts w:hint="eastAsia" w:ascii="Times New Roman" w:hAnsi="Times New Roman"/>
          <w:b/>
          <w:bCs w:val="0"/>
          <w:color w:val="000000" w:themeColor="text1"/>
          <w:kern w:val="2"/>
          <w:highlight w:val="none"/>
          <w:lang w:eastAsia="zh-CN"/>
          <w14:textFill>
            <w14:solidFill>
              <w14:schemeClr w14:val="tx1"/>
            </w14:solidFill>
          </w14:textFill>
        </w:rPr>
        <w:t>）</w:t>
      </w:r>
      <w:r>
        <w:rPr>
          <w:rFonts w:ascii="Times New Roman" w:hAnsi="Times New Roman"/>
          <w:b/>
          <w:bCs w:val="0"/>
          <w:color w:val="000000" w:themeColor="text1"/>
          <w:kern w:val="2"/>
          <w:highlight w:val="none"/>
          <w:lang w:eastAsia="zh-CN"/>
          <w14:textFill>
            <w14:solidFill>
              <w14:schemeClr w14:val="tx1"/>
            </w14:solidFill>
          </w14:textFill>
        </w:rPr>
        <w:t>集输过程中甲烷泄漏环境风险分析</w:t>
      </w:r>
    </w:p>
    <w:p>
      <w:pPr>
        <w:pStyle w:val="21"/>
        <w:spacing w:before="0"/>
        <w:ind w:left="0" w:firstLine="480"/>
        <w:jc w:val="both"/>
        <w:rPr>
          <w:rFonts w:hint="default" w:ascii="Times New Roman" w:hAnsi="Times New Roman"/>
          <w:bCs/>
          <w:color w:val="000000" w:themeColor="text1"/>
          <w:kern w:val="2"/>
          <w:highlight w:val="none"/>
          <w:lang w:val="en-US"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在</w:t>
      </w:r>
      <w:r>
        <w:rPr>
          <w:rFonts w:hint="eastAsia" w:ascii="Times New Roman" w:hAnsi="Times New Roman"/>
          <w:bCs/>
          <w:color w:val="000000" w:themeColor="text1"/>
          <w:kern w:val="2"/>
          <w:highlight w:val="none"/>
          <w:lang w:val="en-US" w:eastAsia="zh-CN"/>
          <w14:textFill>
            <w14:solidFill>
              <w14:schemeClr w14:val="tx1"/>
            </w14:solidFill>
          </w14:textFill>
        </w:rPr>
        <w:t>天然</w:t>
      </w:r>
      <w:r>
        <w:rPr>
          <w:rFonts w:ascii="Times New Roman" w:hAnsi="Times New Roman"/>
          <w:bCs/>
          <w:color w:val="000000" w:themeColor="text1"/>
          <w:kern w:val="2"/>
          <w:highlight w:val="none"/>
          <w:lang w:eastAsia="zh-CN"/>
          <w14:textFill>
            <w14:solidFill>
              <w14:schemeClr w14:val="tx1"/>
            </w14:solidFill>
          </w14:textFill>
        </w:rPr>
        <w:t>集输过程中，若发生甲烷泄漏事故时，会进入周边环境，造成大气污染。当空气中甲烷浓度达25%</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30%时，将造成人体不适，甚至窒息死亡。当甲烷浓度到达爆炸极限时，会发生爆炸，引发火灾，造成人员和财产损失。爆炸和火灾引发的有毒有害气体和烟尘会破坏植被、污染土壤，对周边生态环境和居民健康产生不利影响。</w:t>
      </w:r>
      <w:r>
        <w:rPr>
          <w:rFonts w:hint="eastAsia" w:ascii="Times New Roman" w:hAnsi="Times New Roman"/>
          <w:bCs/>
          <w:color w:val="000000" w:themeColor="text1"/>
          <w:kern w:val="2"/>
          <w:highlight w:val="none"/>
          <w:lang w:val="en-US" w:eastAsia="zh-CN"/>
          <w14:textFill>
            <w14:solidFill>
              <w14:schemeClr w14:val="tx1"/>
            </w14:solidFill>
          </w14:textFill>
        </w:rPr>
        <w:t>本项目外输管线较短，管线处于农村地区，周边居民点少，无集中居民区等，管线天然气泄漏导致的环境风险小。</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w:t>
      </w:r>
      <w:r>
        <w:rPr>
          <w:rFonts w:hint="eastAsia" w:ascii="Times New Roman" w:hAnsi="Times New Roman"/>
          <w:b/>
          <w:color w:val="000000" w:themeColor="text1"/>
          <w:kern w:val="2"/>
          <w:highlight w:val="none"/>
          <w:lang w:val="en-US" w:eastAsia="zh-CN"/>
          <w14:textFill>
            <w14:solidFill>
              <w14:schemeClr w14:val="tx1"/>
            </w14:solidFill>
          </w14:textFill>
        </w:rPr>
        <w:t>6</w:t>
      </w:r>
      <w:r>
        <w:rPr>
          <w:rFonts w:ascii="Times New Roman" w:hAnsi="Times New Roman"/>
          <w:b/>
          <w:color w:val="000000" w:themeColor="text1"/>
          <w:kern w:val="2"/>
          <w:highlight w:val="none"/>
          <w:lang w:eastAsia="zh-CN"/>
          <w14:textFill>
            <w14:solidFill>
              <w14:schemeClr w14:val="tx1"/>
            </w14:solidFill>
          </w14:textFill>
        </w:rPr>
        <w:t>）火灾爆炸产生次生污染物对大气的影响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过程发生井喷失控后天然气逸散到空气中遇明火发生火灾爆炸或主动点火发生火灾爆炸情形、施工期柴油泄漏后遇明火燃烧情形以及采气过程站场或集输管线发生天然气泄漏后遇明火燃烧等情形产生污染物对大气将产生一定的影响。由于本项目可能发生火灾爆炸的部位位于露天环境，燃烧物质与空气接触较充分，充分燃烧情况下燃烧产物主要为CO</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，毒性较大的CO的量相对较少。且本项目处于农村环境，周边大气敏感点分散，且环境空气流通性较好，火灾爆炸燃烧产物对大气产生的影响较小。</w:t>
      </w:r>
      <w:bookmarkEnd w:id="354"/>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55" w:name="_Toc120173181"/>
      <w:r>
        <w:rPr>
          <w:color w:val="000000" w:themeColor="text1"/>
          <w:highlight w:val="none"/>
          <w:lang w:eastAsia="zh-CN"/>
          <w14:textFill>
            <w14:solidFill>
              <w14:schemeClr w14:val="tx1"/>
            </w14:solidFill>
          </w14:textFill>
        </w:rPr>
        <w:t>地表水环境风险影响分析</w:t>
      </w:r>
      <w:bookmarkEnd w:id="355"/>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（1）废水泄漏或外溢</w:t>
      </w:r>
      <w:r>
        <w:rPr>
          <w:rFonts w:hint="eastAsia" w:ascii="Times New Roman" w:hAnsi="Times New Roman"/>
          <w:b/>
          <w:color w:val="000000" w:themeColor="text1"/>
          <w:kern w:val="2"/>
          <w:highlight w:val="none"/>
          <w:lang w:val="en-US" w:eastAsia="zh-CN"/>
          <w14:textFill>
            <w14:solidFill>
              <w14:schemeClr w14:val="tx1"/>
            </w14:solidFill>
          </w14:textFill>
        </w:rPr>
        <w:t>风险</w:t>
      </w:r>
      <w:r>
        <w:rPr>
          <w:rFonts w:ascii="Times New Roman" w:hAnsi="Times New Roman"/>
          <w:b/>
          <w:color w:val="000000" w:themeColor="text1"/>
          <w:kern w:val="2"/>
          <w:highlight w:val="none"/>
          <w:lang w:eastAsia="zh-CN"/>
          <w14:textFill>
            <w14:solidFill>
              <w14:schemeClr w14:val="tx1"/>
            </w14:solidFill>
          </w14:textFill>
        </w:rPr>
        <w:t>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废水、压裂废水、气田水的危害主要表现在：pH值过高过低、可溶性盐含量高，含石油类。泄漏和外溢废水对地表水的影响一般有两种途径，一种是泄漏后直接进入水体；另一种是泄漏于地表，由降雨形成的地表径流将泄漏废水或受污染的土壤一起带入水体造成污染。由于本项目位于森林生态环境与农业生态环境中，周边主要为耕地与林地，项目附近有冲沟等，泄漏的废水可能随着降雨进入</w:t>
      </w:r>
      <w:r>
        <w:rPr>
          <w:rFonts w:hint="eastAsia" w:ascii="Times New Roman" w:hAnsi="Times New Roman"/>
          <w:bCs/>
          <w:color w:val="000000" w:themeColor="text1"/>
          <w:kern w:val="2"/>
          <w:highlight w:val="none"/>
          <w:lang w:eastAsia="zh-CN"/>
          <w14:textFill>
            <w14:solidFill>
              <w14:schemeClr w14:val="tx1"/>
            </w14:solidFill>
          </w14:textFill>
        </w:rPr>
        <w:t>对周边地表水水体</w:t>
      </w:r>
      <w:r>
        <w:rPr>
          <w:rFonts w:ascii="Times New Roman" w:hAnsi="Times New Roman"/>
          <w:bCs/>
          <w:color w:val="000000" w:themeColor="text1"/>
          <w:kern w:val="2"/>
          <w:highlight w:val="none"/>
          <w:lang w:eastAsia="zh-CN"/>
          <w14:textFill>
            <w14:solidFill>
              <w14:schemeClr w14:val="tx1"/>
            </w14:solidFill>
          </w14:textFill>
        </w:rPr>
        <w:t>，使地表水中的COD、BOD、石油类增高，影响水生生物的生长。</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钻井井场设置清污分流系统，使井场内废水经处理后进入泥浆不落地系统内，同时避免雨水流入废水系统增加负荷，项目高出地面的放喷池集污坑等池壁也可有效避免周边雨水进入废水之中。试采期气田水于</w:t>
      </w:r>
      <w:r>
        <w:rPr>
          <w:rFonts w:hint="eastAsia" w:ascii="Times New Roman" w:hAnsi="Times New Roman"/>
          <w:bCs/>
          <w:color w:val="000000" w:themeColor="text1"/>
          <w:kern w:val="2"/>
          <w:highlight w:val="none"/>
          <w:lang w:eastAsia="zh-CN"/>
          <w14:textFill>
            <w14:solidFill>
              <w14:schemeClr w14:val="tx1"/>
            </w14:solidFill>
          </w14:textFill>
        </w:rPr>
        <w:t>放空分液罐、采出水罐</w:t>
      </w:r>
      <w:r>
        <w:rPr>
          <w:rFonts w:ascii="Times New Roman" w:hAnsi="Times New Roman"/>
          <w:bCs/>
          <w:color w:val="000000" w:themeColor="text1"/>
          <w:kern w:val="2"/>
          <w:highlight w:val="none"/>
          <w:lang w:eastAsia="zh-CN"/>
          <w14:textFill>
            <w14:solidFill>
              <w14:schemeClr w14:val="tx1"/>
            </w14:solidFill>
          </w14:textFill>
        </w:rPr>
        <w:t>内暂存，</w:t>
      </w:r>
      <w:r>
        <w:rPr>
          <w:rFonts w:hint="eastAsia" w:ascii="Times New Roman" w:hAnsi="Times New Roman"/>
          <w:bCs/>
          <w:color w:val="000000" w:themeColor="text1"/>
          <w:kern w:val="2"/>
          <w:highlight w:val="none"/>
          <w:lang w:eastAsia="zh-CN"/>
          <w14:textFill>
            <w14:solidFill>
              <w14:schemeClr w14:val="tx1"/>
            </w14:solidFill>
          </w14:textFill>
        </w:rPr>
        <w:t>放空分液罐、采出水罐</w:t>
      </w:r>
      <w:r>
        <w:rPr>
          <w:rFonts w:ascii="Times New Roman" w:hAnsi="Times New Roman"/>
          <w:bCs/>
          <w:color w:val="000000" w:themeColor="text1"/>
          <w:kern w:val="2"/>
          <w:highlight w:val="none"/>
          <w:lang w:eastAsia="zh-CN"/>
          <w14:textFill>
            <w14:solidFill>
              <w14:schemeClr w14:val="tx1"/>
            </w14:solidFill>
          </w14:textFill>
        </w:rPr>
        <w:t>外围设置有采取防渗处理的围堰，也有效防止气田水外溢。因此只要加强管理，完善风险防范措施，发生废水外溢事故的概率较低。此外，工程也有相应的事故应急预案，事故时能及时采取控制措施，确保对地表水环境的影响降至最低限度。</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考虑到初期雨水以及井场内所有储水设备泄露收集处理不及时等极端情况时，集污坑规格不够，废水流出井场，对周围环境造成影响，要求建设单位（尤其如果项目施工在雨季时）应确保集污坑的利用效率，保证井场内废水能有效收集进入泥浆不落地装置或放喷池。建议建设单位适当加大集污坑的规格或者将集污坑改建为隔油污水池并做好防渗，增大废水储存规格，避免初期雨水控制不好或极端情况对附近水环境的污染，同时也能更加降低</w:t>
      </w:r>
      <w:r>
        <w:rPr>
          <w:rFonts w:hint="eastAsia" w:ascii="Times New Roman" w:hAnsi="Times New Roman"/>
          <w:bCs/>
          <w:color w:val="000000" w:themeColor="text1"/>
          <w:kern w:val="2"/>
          <w:highlight w:val="none"/>
          <w:lang w:eastAsia="zh-CN"/>
          <w14:textFill>
            <w14:solidFill>
              <w14:schemeClr w14:val="tx1"/>
            </w14:solidFill>
          </w14:textFill>
        </w:rPr>
        <w:t>污水泄漏</w:t>
      </w:r>
      <w:r>
        <w:rPr>
          <w:rFonts w:ascii="Times New Roman" w:hAnsi="Times New Roman"/>
          <w:bCs/>
          <w:color w:val="000000" w:themeColor="text1"/>
          <w:kern w:val="2"/>
          <w:highlight w:val="none"/>
          <w:lang w:eastAsia="zh-CN"/>
          <w14:textFill>
            <w14:solidFill>
              <w14:schemeClr w14:val="tx1"/>
            </w14:solidFill>
          </w14:textFill>
        </w:rPr>
        <w:t>对外环境（如地下水、耕地）的影响。本次环评要求构建</w:t>
      </w:r>
      <w:r>
        <w:rPr>
          <w:bCs/>
          <w:color w:val="000000" w:themeColor="text1"/>
          <w:kern w:val="2"/>
          <w:highlight w:val="none"/>
          <w:lang w:eastAsia="zh-CN"/>
          <w14:textFill>
            <w14:solidFill>
              <w14:schemeClr w14:val="tx1"/>
            </w14:solidFill>
          </w14:textFill>
        </w:rPr>
        <w:t>“三级”</w:t>
      </w:r>
      <w:r>
        <w:rPr>
          <w:rFonts w:ascii="Times New Roman" w:hAnsi="Times New Roman"/>
          <w:bCs/>
          <w:color w:val="000000" w:themeColor="text1"/>
          <w:kern w:val="2"/>
          <w:highlight w:val="none"/>
          <w:lang w:eastAsia="zh-CN"/>
          <w14:textFill>
            <w14:solidFill>
              <w14:schemeClr w14:val="tx1"/>
            </w14:solidFill>
          </w14:textFill>
        </w:rPr>
        <w:t>防控体系：具体如下：</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第一级防控措施是对存放废水和原料的罐池定期检查，确认罐池容量不超过设计容量，并及时清空，确保废水暂存容量足够；</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第二级防控措施是通过对可能发生废水泄露的罐、池区以及作业区等区域修建围堰，避免</w:t>
      </w:r>
      <w:r>
        <w:rPr>
          <w:rFonts w:hint="eastAsia" w:ascii="Times New Roman" w:hAnsi="Times New Roman"/>
          <w:bCs/>
          <w:color w:val="000000" w:themeColor="text1"/>
          <w:kern w:val="2"/>
          <w:highlight w:val="none"/>
          <w:lang w:eastAsia="zh-CN"/>
          <w14:textFill>
            <w14:solidFill>
              <w14:schemeClr w14:val="tx1"/>
            </w14:solidFill>
          </w14:textFill>
        </w:rPr>
        <w:t>泄漏</w:t>
      </w:r>
      <w:r>
        <w:rPr>
          <w:rFonts w:ascii="Times New Roman" w:hAnsi="Times New Roman"/>
          <w:bCs/>
          <w:color w:val="000000" w:themeColor="text1"/>
          <w:kern w:val="2"/>
          <w:highlight w:val="none"/>
          <w:lang w:eastAsia="zh-CN"/>
          <w14:textFill>
            <w14:solidFill>
              <w14:schemeClr w14:val="tx1"/>
            </w14:solidFill>
          </w14:textFill>
        </w:rPr>
        <w:t>废水散排进入井场其他区域；</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第三级防控措施是内环沟集污坑、方井、井场四周集水坑等废水汇集处低进高出，同时设置水泵，将废水抽至泥浆不落地区暂存罐或应急罐、放喷池，拦截可能流出井场外的废水，保持内环沟、集污坑、方井、泥浆不落地装置应急罐等常空。</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在废水外溢事故发生，集水坑拦截失效时，在集水坑附近等低洼区域以及外溢口处采用沙包、装土编织袋等拦截措施阻止废水进入外环境，同时保持泥浆不落地区暂存罐常空，通过泵将井场场内外溢废水引流至泥浆不落地区暂存罐或应急罐、放喷池，并及时处理转运。</w:t>
      </w:r>
      <w:r>
        <w:rPr>
          <w:rFonts w:hint="eastAsia" w:ascii="Times New Roman" w:hAnsi="Times New Roman"/>
          <w:bCs/>
          <w:color w:val="000000" w:themeColor="text1"/>
          <w:kern w:val="2"/>
          <w:highlight w:val="none"/>
          <w:lang w:eastAsia="zh-CN"/>
          <w14:textFill>
            <w14:solidFill>
              <w14:schemeClr w14:val="tx1"/>
            </w14:solidFill>
          </w14:textFill>
        </w:rPr>
        <w:t>因此，项目钻井施工时废水外溢事故对周边地表水水体</w:t>
      </w:r>
      <w:r>
        <w:rPr>
          <w:rFonts w:hint="eastAsia"/>
          <w:color w:val="000000" w:themeColor="text1"/>
          <w:szCs w:val="21"/>
          <w:highlight w:val="none"/>
          <w:lang w:eastAsia="zh-CN"/>
          <w14:textFill>
            <w14:solidFill>
              <w14:schemeClr w14:val="tx1"/>
            </w14:solidFill>
          </w14:textFill>
        </w:rPr>
        <w:t>产生影响的可能性较小。</w:t>
      </w:r>
    </w:p>
    <w:p>
      <w:pPr>
        <w:pStyle w:val="21"/>
        <w:spacing w:before="0"/>
        <w:ind w:left="0" w:firstLine="482"/>
        <w:jc w:val="both"/>
        <w:rPr>
          <w:rFonts w:hint="default" w:ascii="Times New Roman" w:hAnsi="Times New Roman"/>
          <w:b/>
          <w:color w:val="000000" w:themeColor="text1"/>
          <w:kern w:val="2"/>
          <w:highlight w:val="none"/>
          <w:lang w:val="en-US"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（2）油类物质的泄漏或外溢</w:t>
      </w:r>
      <w:r>
        <w:rPr>
          <w:rFonts w:hint="eastAsia" w:ascii="Times New Roman" w:hAnsi="Times New Roman"/>
          <w:b/>
          <w:color w:val="000000" w:themeColor="text1"/>
          <w:kern w:val="2"/>
          <w:highlight w:val="none"/>
          <w:lang w:val="en-US" w:eastAsia="zh-CN"/>
          <w14:textFill>
            <w14:solidFill>
              <w14:schemeClr w14:val="tx1"/>
            </w14:solidFill>
          </w14:textFill>
        </w:rPr>
        <w:t>风险分析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柴油及废油泄漏对地表水的影响一般有两种途径，一种是泄漏后直接进入水体；另一种是柴油或废油泄漏于地表，由降雨形成的地表径流将受污染的土壤一起带入水体造成污染。由于本项目位于农业生态环境中，主要为耕地和林地，项目附近有冲沟等，泄漏的柴油或废油可能随着降雨进入地表水，将产生如下危害：表层油在地表水体中可大大降低水体及动植物对氧的摄取，能引起某些生物死亡率的增加。因此，加强管理尽量杜绝风险事故发生是控制污染的主要手段，应加强对储油罐和废油罐的检查，以减少事故的发生。</w:t>
      </w:r>
      <w:r>
        <w:rPr>
          <w:rFonts w:ascii="Times New Roman" w:hAnsi="Times New Roman"/>
          <w:color w:val="000000" w:themeColor="text1"/>
          <w:highlight w:val="none"/>
          <w:lang w:eastAsia="zh-CN"/>
          <w14:textFill>
            <w14:solidFill>
              <w14:schemeClr w14:val="tx1"/>
            </w14:solidFill>
          </w14:textFill>
        </w:rPr>
        <w:t>钻井施工期油罐布置在井场外地势较高处，风险影响主要是柴油罐区的火灾爆炸。钻井期油罐设置在基础上，基础周边设置围栏、收油沟以及集污坑。油罐密闭，柴油发生大量</w:t>
      </w:r>
      <w:r>
        <w:rPr>
          <w:rFonts w:hint="eastAsia" w:ascii="Times New Roman" w:hAnsi="Times New Roman"/>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的几率很小，一般情况管道</w:t>
      </w:r>
      <w:r>
        <w:rPr>
          <w:rFonts w:hint="eastAsia" w:ascii="Times New Roman" w:hAnsi="Times New Roman"/>
          <w:color w:val="000000" w:themeColor="text1"/>
          <w:highlight w:val="none"/>
          <w:lang w:eastAsia="zh-CN"/>
          <w14:textFill>
            <w14:solidFill>
              <w14:schemeClr w14:val="tx1"/>
            </w14:solidFill>
          </w14:textFill>
        </w:rPr>
        <w:t>阀门泄漏</w:t>
      </w:r>
      <w:r>
        <w:rPr>
          <w:rFonts w:ascii="Times New Roman" w:hAnsi="Times New Roman"/>
          <w:color w:val="000000" w:themeColor="text1"/>
          <w:highlight w:val="none"/>
          <w:lang w:eastAsia="zh-CN"/>
          <w14:textFill>
            <w14:solidFill>
              <w14:schemeClr w14:val="tx1"/>
            </w14:solidFill>
          </w14:textFill>
        </w:rPr>
        <w:t>，少量跑冒漏滴均收集在集污坑内，可有效防止污染。钻井施工期设置废油桶集中收集暂存于泥浆不落地装置区临时堆放区内，钻井队综合利用或交由有资质的单位处理，废油在施工生产过程中随时利用，废油暂存量小，废油发生</w:t>
      </w:r>
      <w:r>
        <w:rPr>
          <w:rFonts w:hint="eastAsia" w:ascii="Times New Roman" w:hAnsi="Times New Roman"/>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并进入外环境的可能性很小。废油在生产过程中随时利用，废油暂存量小，废油发生</w:t>
      </w:r>
      <w:r>
        <w:rPr>
          <w:rFonts w:hint="eastAsia" w:ascii="Times New Roman" w:hAnsi="Times New Roman"/>
          <w:color w:val="000000" w:themeColor="text1"/>
          <w:highlight w:val="none"/>
          <w:lang w:eastAsia="zh-CN"/>
          <w14:textFill>
            <w14:solidFill>
              <w14:schemeClr w14:val="tx1"/>
            </w14:solidFill>
          </w14:textFill>
        </w:rPr>
        <w:t>泄漏</w:t>
      </w:r>
      <w:r>
        <w:rPr>
          <w:rFonts w:ascii="Times New Roman" w:hAnsi="Times New Roman"/>
          <w:color w:val="000000" w:themeColor="text1"/>
          <w:highlight w:val="none"/>
          <w:lang w:eastAsia="zh-CN"/>
          <w14:textFill>
            <w14:solidFill>
              <w14:schemeClr w14:val="tx1"/>
            </w14:solidFill>
          </w14:textFill>
        </w:rPr>
        <w:t>并进入外环境的可能性很小。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尽管项目在钻井期存在对地表水环境产生影响的风险因素，但项目有完善的QHSE管理体系，以及有效的风险防范措施，发生事故的概率较低。此外，工程也有相应的事故应急预案，事故时能及时采取控制措施，确保</w:t>
      </w:r>
      <w:r>
        <w:rPr>
          <w:rFonts w:hint="eastAsia" w:ascii="Times New Roman" w:hAnsi="Times New Roman"/>
          <w:bCs/>
          <w:color w:val="000000" w:themeColor="text1"/>
          <w:kern w:val="2"/>
          <w:highlight w:val="none"/>
          <w:lang w:eastAsia="zh-CN"/>
          <w14:textFill>
            <w14:solidFill>
              <w14:schemeClr w14:val="tx1"/>
            </w14:solidFill>
          </w14:textFill>
        </w:rPr>
        <w:t>对周边地表水水体</w:t>
      </w:r>
      <w:r>
        <w:rPr>
          <w:rFonts w:hint="eastAsia"/>
          <w:color w:val="000000" w:themeColor="text1"/>
          <w:szCs w:val="21"/>
          <w:highlight w:val="none"/>
          <w:lang w:eastAsia="zh-CN"/>
          <w14:textFill>
            <w14:solidFill>
              <w14:schemeClr w14:val="tx1"/>
            </w14:solidFill>
          </w14:textFill>
        </w:rPr>
        <w:t>的</w:t>
      </w:r>
      <w:r>
        <w:rPr>
          <w:rFonts w:ascii="Times New Roman" w:hAnsi="Times New Roman"/>
          <w:bCs/>
          <w:color w:val="000000" w:themeColor="text1"/>
          <w:kern w:val="2"/>
          <w:highlight w:val="none"/>
          <w:lang w:eastAsia="zh-CN"/>
          <w14:textFill>
            <w14:solidFill>
              <w14:schemeClr w14:val="tx1"/>
            </w14:solidFill>
          </w14:textFill>
        </w:rPr>
        <w:t>环境影响降至最低限度。</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（3）</w:t>
      </w:r>
      <w:r>
        <w:rPr>
          <w:rFonts w:ascii="Times New Roman" w:hAnsi="Times New Roman"/>
          <w:b/>
          <w:bCs/>
          <w:color w:val="000000" w:themeColor="text1"/>
          <w:kern w:val="2"/>
          <w:highlight w:val="none"/>
          <w:lang w:eastAsia="zh-CN"/>
          <w14:textFill>
            <w14:solidFill>
              <w14:schemeClr w14:val="tx1"/>
            </w14:solidFill>
          </w14:textFill>
        </w:rPr>
        <w:t>物质外运过程事故</w:t>
      </w:r>
      <w:r>
        <w:rPr>
          <w:rFonts w:hint="eastAsia" w:ascii="Times New Roman" w:hAnsi="Times New Roman"/>
          <w:b/>
          <w:bCs/>
          <w:color w:val="000000" w:themeColor="text1"/>
          <w:kern w:val="2"/>
          <w:highlight w:val="none"/>
          <w:lang w:val="en-US" w:eastAsia="zh-CN"/>
          <w14:textFill>
            <w14:solidFill>
              <w14:schemeClr w14:val="tx1"/>
            </w14:solidFill>
          </w14:textFill>
        </w:rPr>
        <w:t>风险</w:t>
      </w:r>
      <w:r>
        <w:rPr>
          <w:rFonts w:ascii="Times New Roman" w:hAnsi="Times New Roman"/>
          <w:b/>
          <w:bCs/>
          <w:color w:val="000000" w:themeColor="text1"/>
          <w:kern w:val="2"/>
          <w:highlight w:val="none"/>
          <w:lang w:eastAsia="zh-CN"/>
          <w14:textFill>
            <w14:solidFill>
              <w14:schemeClr w14:val="tx1"/>
            </w14:solidFill>
          </w14:textFill>
        </w:rPr>
        <w:t>分析</w:t>
      </w:r>
    </w:p>
    <w:p>
      <w:pPr>
        <w:pStyle w:val="21"/>
        <w:adjustRightInd w:val="0"/>
        <w:snapToGrid w:val="0"/>
        <w:spacing w:before="0" w:line="360" w:lineRule="auto"/>
        <w:ind w:left="0" w:firstLine="480" w:firstLineChars="20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钻井废水暂存于清洁生产操作平台的废水罐内，定期装车拉运至</w:t>
      </w:r>
      <w:r>
        <w:rPr>
          <w:rFonts w:hint="eastAsia" w:ascii="Times New Roman" w:hAnsi="Times New Roman"/>
          <w:bCs/>
          <w:color w:val="000000" w:themeColor="text1"/>
          <w:kern w:val="2"/>
          <w:highlight w:val="none"/>
          <w:lang w:eastAsia="zh-CN"/>
          <w14:textFill>
            <w14:solidFill>
              <w14:schemeClr w14:val="tx1"/>
            </w14:solidFill>
          </w14:textFill>
        </w:rPr>
        <w:t>赵家坝污水处理站</w:t>
      </w:r>
      <w:r>
        <w:rPr>
          <w:rFonts w:ascii="Times New Roman" w:hAnsi="Times New Roman"/>
          <w:bCs/>
          <w:color w:val="000000" w:themeColor="text1"/>
          <w:kern w:val="2"/>
          <w:highlight w:val="none"/>
          <w:lang w:eastAsia="zh-CN"/>
          <w14:textFill>
            <w14:solidFill>
              <w14:schemeClr w14:val="tx1"/>
            </w14:solidFill>
          </w14:textFill>
        </w:rPr>
        <w:t>达标后管输至</w:t>
      </w:r>
      <w:r>
        <w:rPr>
          <w:rFonts w:hint="eastAsia" w:ascii="Times New Roman" w:hAnsi="Times New Roman"/>
          <w:bCs/>
          <w:color w:val="000000" w:themeColor="text1"/>
          <w:kern w:val="2"/>
          <w:highlight w:val="none"/>
          <w:lang w:eastAsia="zh-CN"/>
          <w14:textFill>
            <w14:solidFill>
              <w14:schemeClr w14:val="tx1"/>
            </w14:solidFill>
          </w14:textFill>
        </w:rPr>
        <w:t>普光3井回注站</w:t>
      </w:r>
      <w:r>
        <w:rPr>
          <w:rFonts w:ascii="Times New Roman" w:hAnsi="Times New Roman"/>
          <w:bCs/>
          <w:color w:val="000000" w:themeColor="text1"/>
          <w:kern w:val="2"/>
          <w:highlight w:val="none"/>
          <w:lang w:eastAsia="zh-CN"/>
          <w14:textFill>
            <w14:solidFill>
              <w14:schemeClr w14:val="tx1"/>
            </w14:solidFill>
          </w14:textFill>
        </w:rPr>
        <w:t>回注；压裂废水和洗井废水暂存于放喷池，装车拉运至</w:t>
      </w:r>
      <w:r>
        <w:rPr>
          <w:rFonts w:hint="eastAsia" w:ascii="Times New Roman" w:hAnsi="Times New Roman"/>
          <w:bCs/>
          <w:color w:val="000000" w:themeColor="text1"/>
          <w:kern w:val="2"/>
          <w:highlight w:val="none"/>
          <w:lang w:eastAsia="zh-CN"/>
          <w14:textFill>
            <w14:solidFill>
              <w14:schemeClr w14:val="tx1"/>
            </w14:solidFill>
          </w14:textFill>
        </w:rPr>
        <w:t>赵家坝污水处理站</w:t>
      </w:r>
      <w:r>
        <w:rPr>
          <w:rFonts w:ascii="Times New Roman" w:hAnsi="Times New Roman"/>
          <w:bCs/>
          <w:color w:val="000000" w:themeColor="text1"/>
          <w:kern w:val="2"/>
          <w:highlight w:val="none"/>
          <w:lang w:eastAsia="zh-CN"/>
          <w14:textFill>
            <w14:solidFill>
              <w14:schemeClr w14:val="tx1"/>
            </w14:solidFill>
          </w14:textFill>
        </w:rPr>
        <w:t>达标后管输至</w:t>
      </w:r>
      <w:r>
        <w:rPr>
          <w:rFonts w:hint="eastAsia" w:ascii="Times New Roman" w:hAnsi="Times New Roman"/>
          <w:bCs/>
          <w:color w:val="000000" w:themeColor="text1"/>
          <w:kern w:val="2"/>
          <w:highlight w:val="none"/>
          <w:lang w:eastAsia="zh-CN"/>
          <w14:textFill>
            <w14:solidFill>
              <w14:schemeClr w14:val="tx1"/>
            </w14:solidFill>
          </w14:textFill>
        </w:rPr>
        <w:t>普光3井回注站</w:t>
      </w:r>
      <w:r>
        <w:rPr>
          <w:rFonts w:ascii="Times New Roman" w:hAnsi="Times New Roman"/>
          <w:bCs/>
          <w:color w:val="000000" w:themeColor="text1"/>
          <w:kern w:val="2"/>
          <w:highlight w:val="none"/>
          <w:lang w:eastAsia="zh-CN"/>
          <w14:textFill>
            <w14:solidFill>
              <w14:schemeClr w14:val="tx1"/>
            </w14:solidFill>
          </w14:textFill>
        </w:rPr>
        <w:t>回注；采出水（气田水）暂存于放空分液罐、采出水罐，</w:t>
      </w:r>
      <w:r>
        <w:rPr>
          <w:rFonts w:hint="eastAsia" w:ascii="Times New Roman" w:hAnsi="Times New Roman"/>
          <w:bCs/>
          <w:color w:val="000000" w:themeColor="text1"/>
          <w:kern w:val="2"/>
          <w:highlight w:val="none"/>
          <w:lang w:val="en-US" w:eastAsia="zh-CN"/>
          <w14:textFill>
            <w14:solidFill>
              <w14:schemeClr w14:val="tx1"/>
            </w14:solidFill>
          </w14:textFill>
        </w:rPr>
        <w:t>后</w:t>
      </w:r>
      <w:r>
        <w:rPr>
          <w:rFonts w:ascii="Times New Roman" w:hAnsi="Times New Roman"/>
          <w:bCs/>
          <w:color w:val="000000" w:themeColor="text1"/>
          <w:kern w:val="2"/>
          <w:highlight w:val="none"/>
          <w:lang w:eastAsia="zh-CN"/>
          <w14:textFill>
            <w14:solidFill>
              <w14:schemeClr w14:val="tx1"/>
            </w14:solidFill>
          </w14:textFill>
        </w:rPr>
        <w:t>装车拉运至</w:t>
      </w:r>
      <w:r>
        <w:rPr>
          <w:rFonts w:hint="eastAsia" w:ascii="Times New Roman" w:hAnsi="Times New Roman"/>
          <w:bCs/>
          <w:color w:val="000000" w:themeColor="text1"/>
          <w:kern w:val="2"/>
          <w:highlight w:val="none"/>
          <w:lang w:eastAsia="zh-CN"/>
          <w14:textFill>
            <w14:solidFill>
              <w14:schemeClr w14:val="tx1"/>
            </w14:solidFill>
          </w14:textFill>
        </w:rPr>
        <w:t>赵家坝污水处理站</w:t>
      </w:r>
      <w:r>
        <w:rPr>
          <w:rFonts w:ascii="Times New Roman" w:hAnsi="Times New Roman"/>
          <w:bCs/>
          <w:color w:val="000000" w:themeColor="text1"/>
          <w:kern w:val="2"/>
          <w:highlight w:val="none"/>
          <w:lang w:eastAsia="zh-CN"/>
          <w14:textFill>
            <w14:solidFill>
              <w14:schemeClr w14:val="tx1"/>
            </w14:solidFill>
          </w14:textFill>
        </w:rPr>
        <w:t>达标后管输至</w:t>
      </w:r>
      <w:r>
        <w:rPr>
          <w:rFonts w:hint="eastAsia" w:ascii="Times New Roman" w:hAnsi="Times New Roman"/>
          <w:bCs/>
          <w:color w:val="000000" w:themeColor="text1"/>
          <w:kern w:val="2"/>
          <w:highlight w:val="none"/>
          <w:lang w:eastAsia="zh-CN"/>
          <w14:textFill>
            <w14:solidFill>
              <w14:schemeClr w14:val="tx1"/>
            </w14:solidFill>
          </w14:textFill>
        </w:rPr>
        <w:t>普光3井回注站回注，不外排。</w:t>
      </w:r>
    </w:p>
    <w:p>
      <w:pPr>
        <w:pStyle w:val="21"/>
        <w:adjustRightInd w:val="0"/>
        <w:snapToGrid w:val="0"/>
        <w:spacing w:before="0" w:line="360" w:lineRule="auto"/>
        <w:ind w:left="0" w:firstLine="480" w:firstLineChars="20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经调查，运输路线主要沿现有乡村道路、县道、国道等运输，现有道路路况较好，沿线环境保护目标主要为道路两侧居民及途经的地表水体，主要跨越</w:t>
      </w:r>
      <w:r>
        <w:rPr>
          <w:rFonts w:hint="eastAsia" w:cs="Times New Roman"/>
          <w:bCs/>
          <w:color w:val="000000" w:themeColor="text1"/>
          <w:highlight w:val="none"/>
          <w:lang w:val="en-US" w:eastAsia="zh-CN"/>
          <w14:textFill>
            <w14:solidFill>
              <w14:schemeClr w14:val="tx1"/>
            </w14:solidFill>
          </w14:textFill>
        </w:rPr>
        <w:t>州河</w:t>
      </w:r>
      <w:r>
        <w:rPr>
          <w:rFonts w:ascii="Times New Roman" w:hAnsi="Times New Roman"/>
          <w:bCs/>
          <w:color w:val="000000" w:themeColor="text1"/>
          <w:kern w:val="2"/>
          <w:highlight w:val="none"/>
          <w:lang w:eastAsia="zh-CN"/>
          <w14:textFill>
            <w14:solidFill>
              <w14:schemeClr w14:val="tx1"/>
            </w14:solidFill>
          </w14:textFill>
        </w:rPr>
        <w:t>，跨越点下游10km范围内均无集中式饮用水源取水口。运输单位应当根据物品危险特性采取相应的安全防护措施，并配备必要的防溢、防漏、防晒等防护用品和应急救援器材，转运时应避开大雾、暴雨等恶劣天气，在车辆行驶在乌江段旁边时，应减速慢行，观察并安全通过。</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本项目液体类物质转运采用罐体装载，固废采用密封袋装运输，罐体为钢板密封罐，发生翻车</w:t>
      </w:r>
      <w:r>
        <w:rPr>
          <w:rFonts w:hint="eastAsia" w:ascii="Times New Roman" w:hAnsi="Times New Roman"/>
          <w:bCs/>
          <w:color w:val="000000" w:themeColor="text1"/>
          <w:kern w:val="2"/>
          <w:highlight w:val="none"/>
          <w:lang w:eastAsia="zh-CN"/>
          <w14:textFill>
            <w14:solidFill>
              <w14:schemeClr w14:val="tx1"/>
            </w14:solidFill>
          </w14:textFill>
        </w:rPr>
        <w:t>泄漏</w:t>
      </w:r>
      <w:r>
        <w:rPr>
          <w:rFonts w:ascii="Times New Roman" w:hAnsi="Times New Roman"/>
          <w:bCs/>
          <w:color w:val="000000" w:themeColor="text1"/>
          <w:kern w:val="2"/>
          <w:highlight w:val="none"/>
          <w:lang w:eastAsia="zh-CN"/>
          <w14:textFill>
            <w14:solidFill>
              <w14:schemeClr w14:val="tx1"/>
            </w14:solidFill>
          </w14:textFill>
        </w:rPr>
        <w:t>的机率很小，且合格泥浆、返排液、钻井固废等无有毒有害物质，主要是含有机污染物，罐车输送的量约10t/车，一次运输量不大，不会产生严重后果。根据沿海对盐碱地改造的经验，一块盐碱地经2</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3次灌淡水浸泡后，便可种植水稻。达州地区自然降雨量大，受污染的植被、土壤、耕地经过几场雨后便可基本得到恢复。物质转运过程中发生事故污染的可能性极小，在环境所能接受的范围内。</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56" w:name="_Toc120173182"/>
      <w:r>
        <w:rPr>
          <w:color w:val="000000" w:themeColor="text1"/>
          <w:highlight w:val="none"/>
          <w:lang w:eastAsia="zh-CN"/>
          <w14:textFill>
            <w14:solidFill>
              <w14:schemeClr w14:val="tx1"/>
            </w14:solidFill>
          </w14:textFill>
        </w:rPr>
        <w:t>地下水及土壤环境风险影响分析</w:t>
      </w:r>
      <w:bookmarkEnd w:id="356"/>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（1）井漏事故影响分析</w:t>
      </w:r>
    </w:p>
    <w:p>
      <w:pPr>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井漏是钻井过程中遇到复杂地层，钻井液或其他介质（固井水泥浆等）漏入地层孔隙、裂缝等空间的现象。若漏失地层与含水层之间存在较多的断裂或裂隙，漏失的钻井液就有可能顺着岩层断裂、裂隙进入地下水，造成地下水污染。另外，钻井过程可能破坏含水层结构，影响地下水流场。</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本项目钻井过程中对钻井液漏失量进行监控，发现钻井液漏失时，及时堵塞固井，各开完钻后及时下套管水泥固井，能有效避免钻井液漏失对环境造成污染。同时本项目不涉及表层钻井，钻井深度大于</w:t>
      </w:r>
      <w:r>
        <w:rPr>
          <w:rFonts w:hint="eastAsia" w:ascii="Times New Roman" w:hAnsi="Times New Roman"/>
          <w:color w:val="000000" w:themeColor="text1"/>
          <w:highlight w:val="none"/>
          <w:lang w:val="en-US" w:eastAsia="zh-CN"/>
          <w14:textFill>
            <w14:solidFill>
              <w14:schemeClr w14:val="tx1"/>
            </w14:solidFill>
          </w14:textFill>
        </w:rPr>
        <w:t>2</w:t>
      </w:r>
      <w:r>
        <w:rPr>
          <w:rFonts w:ascii="Times New Roman" w:hAnsi="Times New Roman"/>
          <w:color w:val="000000" w:themeColor="text1"/>
          <w:highlight w:val="none"/>
          <w:lang w:eastAsia="zh-CN"/>
          <w14:textFill>
            <w14:solidFill>
              <w14:schemeClr w14:val="tx1"/>
            </w14:solidFill>
          </w14:textFill>
        </w:rPr>
        <w:t>000m，因此井漏事故情景下不会对地下水和土壤造成污染影响。同时采取了事故监控井措施，能及时发现和处理对地下水环境的不利影响，因此对周边地下水影响小。</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（2）柴油、废油、钻井液、钻井废水、压裂返排液、气田水等泄漏影响分析</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根据地下水环境影响分析章节预测结果，非正常工况，若放喷池发生渗漏或压裂施工井筒破裂压裂液漏失，污染物会大量进入地下水含水层，污染物扩散，但超标范围内居民水井分布</w:t>
      </w:r>
      <w:r>
        <w:rPr>
          <w:rFonts w:hint="eastAsia" w:ascii="Times New Roman" w:hAnsi="Times New Roman"/>
          <w:bCs/>
          <w:color w:val="000000" w:themeColor="text1"/>
          <w:kern w:val="2"/>
          <w:highlight w:val="none"/>
          <w:lang w:eastAsia="zh-CN"/>
          <w14:textFill>
            <w14:solidFill>
              <w14:schemeClr w14:val="tx1"/>
            </w14:solidFill>
          </w14:textFill>
        </w:rPr>
        <w:t>较少</w:t>
      </w:r>
      <w:r>
        <w:rPr>
          <w:rFonts w:ascii="Times New Roman" w:hAnsi="Times New Roman"/>
          <w:bCs/>
          <w:color w:val="000000" w:themeColor="text1"/>
          <w:kern w:val="2"/>
          <w:highlight w:val="none"/>
          <w:lang w:eastAsia="zh-CN"/>
          <w14:textFill>
            <w14:solidFill>
              <w14:schemeClr w14:val="tx1"/>
            </w14:solidFill>
          </w14:textFill>
        </w:rPr>
        <w:t>，因此对地下水环境影响较小。因此钻井平台施工阶段应加强场站内巡查，及时发现池、罐是否存在渗漏等异常，若发现罐体渗漏结合地下水污染超标和影响范围，建议以泄漏处两侧150m至下游划分为分散式水源禁止饮用带，同时设置地下水跟踪监测井，发现异常立即对下游邻近的居民水井进行取样监测，同时对居民进行告知。</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其他油类物质和钻井液、压裂返排液等均存在罐内，罐和基础地面进行了防渗处理，设置于地面基础上，四周设置了围堰，若发生泄漏能及时发现处理，污染物不会进入地下水或土壤环境，难以对地下水和土壤环境造成不利影响。同时若机械设备有少量油类物质泄漏于井场内，泄漏的柴油和废油在泄漏处呈点状分布，其在壤土中渗透能力不强，与水的</w:t>
      </w:r>
      <w:r>
        <w:rPr>
          <w:rFonts w:hint="eastAsia" w:ascii="Times New Roman" w:hAnsi="Times New Roman"/>
          <w:bCs/>
          <w:color w:val="000000" w:themeColor="text1"/>
          <w:kern w:val="2"/>
          <w:highlight w:val="none"/>
          <w:lang w:eastAsia="zh-CN"/>
          <w14:textFill>
            <w14:solidFill>
              <w14:schemeClr w14:val="tx1"/>
            </w14:solidFill>
          </w14:textFill>
        </w:rPr>
        <w:t>溶解度</w:t>
      </w:r>
      <w:r>
        <w:rPr>
          <w:rFonts w:ascii="Times New Roman" w:hAnsi="Times New Roman"/>
          <w:bCs/>
          <w:color w:val="000000" w:themeColor="text1"/>
          <w:kern w:val="2"/>
          <w:highlight w:val="none"/>
          <w:lang w:eastAsia="zh-CN"/>
          <w14:textFill>
            <w14:solidFill>
              <w14:schemeClr w14:val="tx1"/>
            </w14:solidFill>
          </w14:textFill>
        </w:rPr>
        <w:t>低，且易于发现。因此，泄漏的柴油、废油对当地地下水裂隙水水质影响较弱，对土壤污染仅限于接触油类物质少量井场内部分，污染有限。只要对泄漏的柴油、废油采取有效的回收措施，对浅层地下水和土壤环境不会产生明显影响。</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bookmarkStart w:id="357" w:name="_Hlk88498239"/>
      <w:r>
        <w:rPr>
          <w:rFonts w:ascii="Times New Roman" w:hAnsi="Times New Roman"/>
          <w:b/>
          <w:color w:val="000000" w:themeColor="text1"/>
          <w:kern w:val="2"/>
          <w:highlight w:val="none"/>
          <w:lang w:eastAsia="zh-CN"/>
          <w14:textFill>
            <w14:solidFill>
              <w14:schemeClr w14:val="tx1"/>
            </w14:solidFill>
          </w14:textFill>
        </w:rPr>
        <w:t>（3）套外返水风险影响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套管腐蚀损坏的机率很小，固井质量是产生套管内外返水的控制因素。一旦由于固井质量问题而出现套外返水，将对地下水、土壤产生影响。沿套管外形成的环状空隙带上窜，在水头压力差的作用下直接进入各含水层，并随地下水的流动和在弥散作用下，在含水层中扩散迁移，将引起盐污染。</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固井水泥返至地面，地层水通过水泥固封断产生的裂纹和缝隙带出地层水的量也不会太大，会对含水层产生一定影响，可能对附近农户水井（山泉）水质产生影响，通过目前较好的固井工艺，这种深层地层水窜入表层的机率很小，对地下水和土壤环境影响小。</w:t>
      </w:r>
      <w:bookmarkEnd w:id="357"/>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58" w:name="5.3.5环境风险防范措施及应急要求"/>
      <w:bookmarkEnd w:id="358"/>
      <w:bookmarkStart w:id="359" w:name="_Toc23935"/>
      <w:r>
        <w:rPr>
          <w:color w:val="000000" w:themeColor="text1"/>
          <w:highlight w:val="none"/>
          <w:lang w:eastAsia="zh-CN"/>
          <w14:textFill>
            <w14:solidFill>
              <w14:schemeClr w14:val="tx1"/>
            </w14:solidFill>
          </w14:textFill>
        </w:rPr>
        <w:t>环境风险防范措施</w:t>
      </w:r>
      <w:bookmarkEnd w:id="359"/>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0" w:name="_Toc120173184"/>
      <w:r>
        <w:rPr>
          <w:color w:val="000000" w:themeColor="text1"/>
          <w:highlight w:val="none"/>
          <w:lang w:eastAsia="zh-CN"/>
          <w14:textFill>
            <w14:solidFill>
              <w14:schemeClr w14:val="tx1"/>
            </w14:solidFill>
          </w14:textFill>
        </w:rPr>
        <w:t>钻井过程风险防范措施</w:t>
      </w:r>
      <w:bookmarkEnd w:id="360"/>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（1）施工设计中的防井喷措施</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1）选择合理的压井液。新井投产和试油、试气施工应参照钻穿油、气层时钻井泥浆性能，认真选择合理的压井液，避免因压井液性能达不到施工要求而造成井喷污染；</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2）选择合理的射孔方式；</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 xml:space="preserve">3）规定上提钻具的速度，井内下有大直径工具（工具外径超过油层套管内径80%以上）的井，严禁高速起钻，防止因高速起钻引起抽汲作用造成井喷污染； </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4）对防喷装置的配备要有明确要求；</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5）选择使用有利于防止和控制井喷的井下管柱和工具，以适应突发事故的处理和补救措施的需要。</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（2）钻井作业中的井喷防范措施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施工单位应</w:t>
      </w:r>
      <w:r>
        <w:rPr>
          <w:rFonts w:hint="eastAsia" w:cs="Times New Roman"/>
          <w:color w:val="000000" w:themeColor="text1"/>
          <w:highlight w:val="none"/>
          <w:lang w:eastAsia="zh-CN"/>
          <w14:textFill>
            <w14:solidFill>
              <w14:schemeClr w14:val="tx1"/>
            </w14:solidFill>
          </w14:textFill>
        </w:rPr>
        <w:t>按照</w:t>
      </w:r>
      <w:r>
        <w:rPr>
          <w:rFonts w:cs="Times New Roman"/>
          <w:color w:val="000000" w:themeColor="text1"/>
          <w:highlight w:val="none"/>
          <w14:textFill>
            <w14:solidFill>
              <w14:schemeClr w14:val="tx1"/>
            </w14:solidFill>
          </w14:textFill>
        </w:rPr>
        <w:t>《石油天然气钻井健康、安全与环境管理体系指南》（SY/T6283-1997）、中国石油天然气集团公司《石油天然气钻井作业健康、安全与环境管理导则》及相关的井控技术标准和规范中的有关规定执行，并针对本工程情况制定具体的可操作的实施方案，主要包括：</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1）开钻前向全队职工、钻井现场的所有工作人员进行地质、工程、钻井液和井控装备等方面的技术交底，并提出具体要求；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2）严格执行井控工作九项管理制度，落实溢流监测岗位、关井操作岗位和钻井队干部24h值班制度，井控准备工作及应急预案必须经验收合格后，方可钻开油气层；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3）井控装备及其它专用工具、消防器材、防爆电路系统配备齐全、运转正常；</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4）每次起钻前必须活动方钻杆上、下旋塞一次，以保证其正常可靠；</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5）气层钻进中，必须在近钻头位置安装钻具回压阀，同时钻台上配备一只与钻具尺寸相符的回压阀，且备有相应的抢接工具，在大门坡道上准备一根防喷单根（钻杆下部有与钻铤扣相符的配合接头）；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6）按班组进行防喷演习，并达到规定要求；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严格落实坐岗制度，无论钻井还是起下钻，或其它辅助作业，钻井班落实专人坐岗观察钻井液池液面变化和钻井液出口情况，录井人员除了在仪表上观察外，还对钻井液池液面变化和钻井液出口进行定时观察，定时测量进出口钻井液性能，两个岗都必须作好真实准确记录，值班干部必须对上述两个岗位工作情况进行定时和不定时检查，并当班签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8）认真搞好随钻地层压力的监测工作中，发现地层压力异常、溢流、井涌等情况，应及时关井并调整钻井液密度，同时上报有关部门；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9）严格控制起下钻速度，起钻必须按规定灌满钻井液；</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10）加强井场设备的运行、保养和检查，保证设备的正常运行，设备检修必须按有关规定执行；</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11）钻井中遇到钻速突然加快、放散、井漏、气测及油气水显示异常等情况，应立即停钻观察，如发生溢流要按规定及时发出报警信号，并按正确的关井程序及时关井，关井求压后迅速实施压井作业；</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12）发生溢流后，根据关井压力，尽快在井口、地层和套管安全条件下压井，待井内平稳后才恢复钻井；</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13）关井压力不得超过井口装置的工作压力、套管抗内压强度的80％和地层破裂压力三者中的最小值；</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14）强化员工的爱岗敬业教育，严格执</w:t>
      </w:r>
      <w:r>
        <w:rPr>
          <w:rFonts w:hint="eastAsia" w:cs="Times New Roman"/>
          <w:color w:val="000000" w:themeColor="text1"/>
          <w:highlight w:val="none"/>
          <w:lang w:eastAsia="zh-CN"/>
          <w14:textFill>
            <w14:solidFill>
              <w14:schemeClr w14:val="tx1"/>
            </w14:solidFill>
          </w14:textFill>
        </w:rPr>
        <w:t>行各</w:t>
      </w:r>
      <w:r>
        <w:rPr>
          <w:rFonts w:cs="Times New Roman"/>
          <w:color w:val="000000" w:themeColor="text1"/>
          <w:highlight w:val="none"/>
          <w14:textFill>
            <w14:solidFill>
              <w14:schemeClr w14:val="tx1"/>
            </w14:solidFill>
          </w14:textFill>
        </w:rPr>
        <w:t>项操作规程，确保钻井作业过程中不因操作失误导致井喷事故的发生。</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（3）防井喷装置</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1）以半封和全封防喷器为主体的防喷装置，包括高压闸门、自封、四通、套管头、过渡法兰等；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2）以节流管汇为主体的井控管汇，包括放喷管线、压井管线等；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3）井下管柱防喷工具，包括钻具、防喷单流阀等；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4）具有净化、加大密度、原料储备及自动调配、自动灌装等功能的压井液储备系统；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5）防止井喷失控的专用设备、设施，包括高压自封、不压井起下管柱装置等。</w:t>
      </w:r>
    </w:p>
    <w:p>
      <w:pPr>
        <w:ind w:firstLine="482"/>
        <w:rPr>
          <w:rFonts w:cs="Times New Roman"/>
          <w:b/>
          <w:bCs/>
          <w:color w:val="000000" w:themeColor="text1"/>
          <w:highlight w:val="none"/>
          <w14:textFill>
            <w14:solidFill>
              <w14:schemeClr w14:val="tx1"/>
            </w14:solidFill>
          </w14:textFill>
        </w:rPr>
      </w:pPr>
      <w:bookmarkStart w:id="361" w:name="_Hlk88499419"/>
      <w:r>
        <w:rPr>
          <w:rFonts w:cs="Times New Roman"/>
          <w:b/>
          <w:bCs/>
          <w:color w:val="000000" w:themeColor="text1"/>
          <w:highlight w:val="none"/>
          <w14:textFill>
            <w14:solidFill>
              <w14:schemeClr w14:val="tx1"/>
            </w14:solidFill>
          </w14:textFill>
        </w:rPr>
        <w:t>（4）井喷前期气侵、井涌防范措施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1）选择合理的压井液。新井投产和试油、试气施工应参照钻穿油、气层时钻井泥浆性能，认真选择合理的压井液，避免因压井液性能达不到施工要求而造成井喷污染；</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2）选择合理的射孔方式；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3）规定上提钻具的速度。井内下有大直径工具（工具外径超过油层套管内径80%以上）的井，严禁高速起钻，防止因高速起钻引起抽汲作用造成井喷污染；</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4）发生气侵时，及时检查调整钻井液密度，发现井涌时及时关泵压井。</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（5）钻开气层前验收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钻开气层时极容易发生井下事故从而导致环境污染事故。钻开气层前验收就是在钻开气层前对井队的安全和井控工作进行全面大检查，以消除事故隐患，实现安全生产和清洁生产。</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（6）钻井、完井防腐措施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应加强油管腐蚀监测，掌握气井腐蚀状况，按井下作业流程检查油管腐蚀情况，记录每口作业井的油管腐蚀情况，根据井油管腐蚀情况进行专门的更换油管修井，以避免油管腐蚀穿孔、断落。</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2" w:name="_Toc120173185"/>
      <w:r>
        <w:rPr>
          <w:color w:val="000000" w:themeColor="text1"/>
          <w:highlight w:val="none"/>
          <w:lang w:eastAsia="zh-CN"/>
          <w14:textFill>
            <w14:solidFill>
              <w14:schemeClr w14:val="tx1"/>
            </w14:solidFill>
          </w14:textFill>
        </w:rPr>
        <w:t>废水、油类外溢或</w:t>
      </w:r>
      <w:r>
        <w:rPr>
          <w:rFonts w:hint="eastAsia"/>
          <w:color w:val="000000" w:themeColor="text1"/>
          <w:highlight w:val="none"/>
          <w:lang w:eastAsia="zh-CN"/>
          <w14:textFill>
            <w14:solidFill>
              <w14:schemeClr w14:val="tx1"/>
            </w14:solidFill>
          </w14:textFill>
        </w:rPr>
        <w:t>泄漏</w:t>
      </w:r>
      <w:r>
        <w:rPr>
          <w:color w:val="000000" w:themeColor="text1"/>
          <w:highlight w:val="none"/>
          <w:lang w:eastAsia="zh-CN"/>
          <w14:textFill>
            <w14:solidFill>
              <w14:schemeClr w14:val="tx1"/>
            </w14:solidFill>
          </w14:textFill>
        </w:rPr>
        <w:t>等风险防范措施</w:t>
      </w:r>
      <w:bookmarkEnd w:id="362"/>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钻井期废水收集罐、试采期</w:t>
      </w:r>
      <w:r>
        <w:rPr>
          <w:rFonts w:hint="eastAsia" w:cs="Times New Roman"/>
          <w:color w:val="000000" w:themeColor="text1"/>
          <w:highlight w:val="none"/>
          <w:lang w:eastAsia="zh-CN"/>
          <w14:textFill>
            <w14:solidFill>
              <w14:schemeClr w14:val="tx1"/>
            </w14:solidFill>
          </w14:textFill>
        </w:rPr>
        <w:t>放空分液罐、采出水罐</w:t>
      </w:r>
      <w:r>
        <w:rPr>
          <w:rFonts w:cs="Times New Roman"/>
          <w:color w:val="000000" w:themeColor="text1"/>
          <w:highlight w:val="none"/>
          <w14:textFill>
            <w14:solidFill>
              <w14:schemeClr w14:val="tx1"/>
            </w14:solidFill>
          </w14:textFill>
        </w:rPr>
        <w:t>通过设置围堰和防渗，放喷池通过加固池壁和防渗，降低垮塌风险；对井场排污沟及时清扫，保证排污沟畅通；集污坑和泥浆不落地装置加强保护管理，泥浆不落地装置设计时向集污坑倾斜，避免少量集水因围堰垮塌外流。由于项目区域地势高差较大，考虑到暴雨等情况下排水问题，建议对集污坑和泥浆不落地装置内集水进行及时清理，及时清掏，适当加大集污坑规格或者适当扩大其容量，确保集污坑有足够的容量，能够对初期雨水及时收集；加大外环沟和集水坑规格，外排沟系统应与周边泄洪沟有效连接，确保雨水能正常排放，不至于淹没井场；建议对井场雨水排放口（集水坑）进行适当扩建，对正常雨水进行隔油沉淀后外排。加强平时管理，保证放喷池、泥浆不落地装置的储罐内有足够空余容积，水位达到池体80%时应外运处理，可有效防止水体污染事故。若池体发生垮塌事故，立即封堵内外环沟与自然沟渠连通处，及时清理池内及排污沟内废水，池底废水清理完后立即重新修建池壁，并进一步加固。</w:t>
      </w:r>
      <w:r>
        <w:rPr>
          <w:rFonts w:ascii="Times New Roman" w:hAnsi="Times New Roman"/>
          <w:color w:val="000000" w:themeColor="text1"/>
          <w:sz w:val="24"/>
          <w:highlight w:val="none"/>
          <w:lang w:eastAsia="zh-CN"/>
          <w14:textFill>
            <w14:solidFill>
              <w14:schemeClr w14:val="tx1"/>
            </w14:solidFill>
          </w14:textFill>
        </w:rPr>
        <w:t>试采期站内放空分液罐、采出水罐安装</w:t>
      </w:r>
      <w:r>
        <w:rPr>
          <w:rFonts w:hint="eastAsia"/>
          <w:color w:val="000000" w:themeColor="text1"/>
          <w:sz w:val="24"/>
          <w:highlight w:val="none"/>
          <w:lang w:eastAsia="zh-CN"/>
          <w14:textFill>
            <w14:solidFill>
              <w14:schemeClr w14:val="tx1"/>
            </w14:solidFill>
          </w14:textFill>
        </w:rPr>
        <w:t>外溢</w:t>
      </w:r>
      <w:r>
        <w:rPr>
          <w:rFonts w:ascii="Times New Roman" w:hAnsi="Times New Roman"/>
          <w:color w:val="000000" w:themeColor="text1"/>
          <w:sz w:val="24"/>
          <w:highlight w:val="none"/>
          <w:lang w:eastAsia="zh-CN"/>
          <w14:textFill>
            <w14:solidFill>
              <w14:schemeClr w14:val="tx1"/>
            </w14:solidFill>
          </w14:textFill>
        </w:rPr>
        <w:t>报警器，以便及时发现外溢情况。设置围堰，围堰容积不小于单个储罐的容积，且罐区架空设置，地面进行防渗处理。</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3" w:name="_Toc120173186"/>
      <w:r>
        <w:rPr>
          <w:color w:val="000000" w:themeColor="text1"/>
          <w:highlight w:val="none"/>
          <w:lang w:eastAsia="zh-CN"/>
          <w14:textFill>
            <w14:solidFill>
              <w14:schemeClr w14:val="tx1"/>
            </w14:solidFill>
          </w14:textFill>
        </w:rPr>
        <w:t>物质外运风险防范措施</w:t>
      </w:r>
      <w:bookmarkEnd w:id="363"/>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转运单位在开展运输工作前，应对运输人员进行相关安全环保知识培训，运输车辆、装卸工具必须符合安全环保要求，装卸过程中不得溢出和泄漏。严禁随意倾倒、排放或者向第三方转移废水。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2）运输前规划运输路线，废水、钻井固废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转运过程中应严格按照规定的路线运输到相应的目的地；运输过程中应尽量避开环境敏感区，遇环境敏感区需减速慢行，废水、钻井固废转运应建立交接三联单制度，确保废水运至相应的目的地。</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转运必须使用密闭的车辆运输，并确保运输车辆车况处于良好状态。</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4）尽量避免雨天和大雾天运转废水。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5）本工程废水、钻井固废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运输由专业单位负责实施，不得自行运输，也不得委托公司外其他单位运输。</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6）承包废水、钻井固废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转运的承包商实施车辆登记制度，为每台车辆安装GPS系统，并纳入建设方的GPS监控系统平台，以便随时掌握废水、钻井固废运输车辆位置和行驶路线，确保废水、钻井固废转运至相应的目的地。</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运输车辆严格执行签认制度。签认单保存期不得少于二年，以便备查。</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转运单位应做好应急管理工作，做好风险防范识别，编制生产废水、钻井固废运输应急预案，每次废水、钻井固废运输任务都应制定运输方案和应急措施，严禁超速超载，路过环境敏感区需</w:t>
      </w:r>
      <w:r>
        <w:rPr>
          <w:rFonts w:hint="eastAsia" w:cs="Times New Roman"/>
          <w:color w:val="000000" w:themeColor="text1"/>
          <w:highlight w:val="none"/>
          <w:lang w:eastAsia="zh-CN"/>
          <w14:textFill>
            <w14:solidFill>
              <w14:schemeClr w14:val="tx1"/>
            </w14:solidFill>
          </w14:textFill>
        </w:rPr>
        <w:t>减速慢行</w:t>
      </w:r>
      <w:r>
        <w:rPr>
          <w:rFonts w:cs="Times New Roman"/>
          <w:color w:val="000000" w:themeColor="text1"/>
          <w:highlight w:val="none"/>
          <w14:textFill>
            <w14:solidFill>
              <w14:schemeClr w14:val="tx1"/>
            </w14:solidFill>
          </w14:textFill>
        </w:rPr>
        <w:t>，安全驶离，强化运输过程的安全管理，防止因安全事故衍生成环保事故。</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9）废水、钻井固废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产生单位和废水、钻井固废转运单位应建立健全管理制度和办法，加强与地方相关部门的联系和协调。废水运输过程中，废水、钻井固废产生单位、承运单位应做好相关记录，建立相关台账。在发生事故后应及时通报当地环保部门，并积极配合环保部门抢险。确保安全通过，同时要注意清洁运输，防止废水、钻井固废</w:t>
      </w:r>
      <w:r>
        <w:rPr>
          <w:rFonts w:hint="eastAsia" w:cs="Times New Roman"/>
          <w:color w:val="000000" w:themeColor="text1"/>
          <w:highlight w:val="none"/>
          <w:lang w:val="en-US" w:eastAsia="zh-CN"/>
          <w14:textFill>
            <w14:solidFill>
              <w14:schemeClr w14:val="tx1"/>
            </w14:solidFill>
          </w14:textFill>
        </w:rPr>
        <w:t>等</w:t>
      </w:r>
      <w:r>
        <w:rPr>
          <w:rFonts w:cs="Times New Roman"/>
          <w:color w:val="000000" w:themeColor="text1"/>
          <w:highlight w:val="none"/>
          <w14:textFill>
            <w14:solidFill>
              <w14:schemeClr w14:val="tx1"/>
            </w14:solidFill>
          </w14:textFill>
        </w:rPr>
        <w:t>泄漏。</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4" w:name="_Toc120173187"/>
      <w:r>
        <w:rPr>
          <w:color w:val="000000" w:themeColor="text1"/>
          <w:highlight w:val="none"/>
          <w:lang w:eastAsia="zh-CN"/>
          <w14:textFill>
            <w14:solidFill>
              <w14:schemeClr w14:val="tx1"/>
            </w14:solidFill>
          </w14:textFill>
        </w:rPr>
        <w:t>井漏防范措施</w:t>
      </w:r>
      <w:bookmarkEnd w:id="364"/>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不涉及浅层钻井，钻井深度大于4000m，即使发生井漏事故后仍不会对浅层地下水造成污染影响。从钻井工艺上优化尽可能的减少井漏事故对当地地下水环境的影响，在钻遇地下溶洞等不良地质时，漏失仅引起地下水浊度等物理指标变化，且工程上会采取快速钻井快速下管的施工工艺，因此对地下水尤其是对地下水饮用水源或水井影响不大，尽管如此，仍提出如下预防和应急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井场井站项目在施工建设前应充分研究地质设计资料和钻井等，必要时应采取钻探等方法进行调查分析，查明项目所在地的地下水分布情况、埋藏深度及岩溶发育情况等，并在此基础上优化钻井施工工艺、泥浆体系等，对钻井过程中可能发生的泥浆漏失的情况，应有所预见。</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2）采用强钻方式快速钻穿漏失层达到固井层位，针对这种情况应选用合理泥浆密度，实现近平衡压力钻井，降低泥浆环空压耗，降低泥浆激动压力，从而降低井筒中泥浆动压力，减小泥浆漏失量。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3）对钻井体系进行实时监控，并配备足够的堵漏材料，一旦发现井漏，立即采取堵漏措施，在压裂过程亦需监控压裂液的漏失情况，以防止压裂液的扩散污染。</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4）若发现地下水受到污染，立即告知村民，定期进行监测，直至污染影响消失。</w:t>
      </w:r>
    </w:p>
    <w:bookmarkEnd w:id="361"/>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5" w:name="_Toc120173188"/>
      <w:r>
        <w:rPr>
          <w:color w:val="000000" w:themeColor="text1"/>
          <w:highlight w:val="none"/>
          <w:lang w:eastAsia="zh-CN"/>
          <w14:textFill>
            <w14:solidFill>
              <w14:schemeClr w14:val="tx1"/>
            </w14:solidFill>
          </w14:textFill>
        </w:rPr>
        <w:t>套外返水事故防范</w:t>
      </w:r>
      <w:bookmarkEnd w:id="365"/>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设计通过固井、水泥返至地面是防止套外返水的有效措施。固井质量的好坏是产生套管内外返水的控制因素。</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施工单位应严格按照钻井行业固井作业规范进行，确保固井质量，避免和减少出现固井裂纹、缝隙、窜槽。加强套管的防腐，防止在运输、下套管，作业时对外表面防护层的磨损及套管与钻柱之间的内磨损。套管是油气与地下水隔离的屏障，要防止腐蚀和破损。</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66" w:name="_Toc120173189"/>
      <w:r>
        <w:rPr>
          <w:color w:val="000000" w:themeColor="text1"/>
          <w:highlight w:val="none"/>
          <w:lang w:eastAsia="zh-CN"/>
          <w14:textFill>
            <w14:solidFill>
              <w14:schemeClr w14:val="tx1"/>
            </w14:solidFill>
          </w14:textFill>
        </w:rPr>
        <w:t>油类使用、储运过程中的风险防范措施</w:t>
      </w:r>
      <w:bookmarkEnd w:id="366"/>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（1）提高</w:t>
      </w:r>
      <w:r>
        <w:rPr>
          <w:rFonts w:hint="eastAsia" w:cs="Times New Roman"/>
          <w:color w:val="000000" w:themeColor="text1"/>
          <w:highlight w:val="none"/>
          <w:lang w:eastAsia="zh-CN"/>
          <w14:textFill>
            <w14:solidFill>
              <w14:schemeClr w14:val="tx1"/>
            </w14:solidFill>
          </w14:textFill>
        </w:rPr>
        <w:t>柴油</w:t>
      </w:r>
      <w:r>
        <w:rPr>
          <w:rFonts w:cs="Times New Roman"/>
          <w:color w:val="000000" w:themeColor="text1"/>
          <w:highlight w:val="none"/>
          <w14:textFill>
            <w14:solidFill>
              <w14:schemeClr w14:val="tx1"/>
            </w14:solidFill>
          </w14:textFill>
        </w:rPr>
        <w:t>危险性的认识。从</w:t>
      </w:r>
      <w:r>
        <w:rPr>
          <w:rFonts w:hint="eastAsia" w:cs="Times New Roman"/>
          <w:color w:val="000000" w:themeColor="text1"/>
          <w:highlight w:val="none"/>
          <w:lang w:eastAsia="zh-CN"/>
          <w14:textFill>
            <w14:solidFill>
              <w14:schemeClr w14:val="tx1"/>
            </w14:solidFill>
          </w14:textFill>
        </w:rPr>
        <w:t>柴油</w:t>
      </w:r>
      <w:r>
        <w:rPr>
          <w:rFonts w:cs="Times New Roman"/>
          <w:color w:val="000000" w:themeColor="text1"/>
          <w:highlight w:val="none"/>
          <w14:textFill>
            <w14:solidFill>
              <w14:schemeClr w14:val="tx1"/>
            </w14:solidFill>
          </w14:textFill>
        </w:rPr>
        <w:t>的燃烧爆炸危险性分析可以看出，正常条件下，如炎热干燥的天气、附近存在火源、工作中违章操作、油</w:t>
      </w:r>
      <w:r>
        <w:rPr>
          <w:rFonts w:hint="eastAsia" w:cs="Times New Roman"/>
          <w:color w:val="000000" w:themeColor="text1"/>
          <w:highlight w:val="none"/>
          <w:lang w:val="en-US" w:eastAsia="zh-CN"/>
          <w14:textFill>
            <w14:solidFill>
              <w14:schemeClr w14:val="tx1"/>
            </w14:solidFill>
          </w14:textFill>
        </w:rPr>
        <w:t>罐</w:t>
      </w:r>
      <w:r>
        <w:rPr>
          <w:rFonts w:cs="Times New Roman"/>
          <w:color w:val="000000" w:themeColor="text1"/>
          <w:highlight w:val="none"/>
          <w14:textFill>
            <w14:solidFill>
              <w14:schemeClr w14:val="tx1"/>
            </w14:solidFill>
          </w14:textFill>
        </w:rPr>
        <w:t>的安全设备、设施配备不合理或管理使用不当等，都有可能将</w:t>
      </w:r>
      <w:r>
        <w:rPr>
          <w:rFonts w:hint="eastAsia" w:cs="Times New Roman"/>
          <w:color w:val="000000" w:themeColor="text1"/>
          <w:highlight w:val="none"/>
          <w:lang w:eastAsia="zh-CN"/>
          <w14:textFill>
            <w14:solidFill>
              <w14:schemeClr w14:val="tx1"/>
            </w14:solidFill>
          </w14:textFill>
        </w:rPr>
        <w:t>柴油</w:t>
      </w:r>
      <w:r>
        <w:rPr>
          <w:rFonts w:cs="Times New Roman"/>
          <w:color w:val="000000" w:themeColor="text1"/>
          <w:highlight w:val="none"/>
          <w14:textFill>
            <w14:solidFill>
              <w14:schemeClr w14:val="tx1"/>
            </w14:solidFill>
          </w14:textFill>
        </w:rPr>
        <w:t>引燃、引爆。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（2）加强对</w:t>
      </w:r>
      <w:r>
        <w:rPr>
          <w:rFonts w:hint="eastAsia" w:cs="Times New Roman"/>
          <w:color w:val="000000" w:themeColor="text1"/>
          <w:highlight w:val="none"/>
          <w:lang w:val="en-US" w:eastAsia="zh-CN"/>
          <w14:textFill>
            <w14:solidFill>
              <w14:schemeClr w14:val="tx1"/>
            </w14:solidFill>
          </w14:textFill>
        </w:rPr>
        <w:t>施工期</w:t>
      </w:r>
      <w:r>
        <w:rPr>
          <w:rFonts w:cs="Times New Roman"/>
          <w:color w:val="000000" w:themeColor="text1"/>
          <w:highlight w:val="none"/>
          <w14:textFill>
            <w14:solidFill>
              <w14:schemeClr w14:val="tx1"/>
            </w14:solidFill>
          </w14:textFill>
        </w:rPr>
        <w:t>柴油和废油的储存管理，应采取减少油品蒸发、防止形成爆炸性油品混合物的一次防护措施。工程采用油罐对柴油进行储存，确保呼吸阀、测量孔、接地装置等附件完整可靠，防止油气的产生和积聚。油罐区均设置有围堰，可防止油罐破损</w:t>
      </w:r>
      <w:r>
        <w:rPr>
          <w:rFonts w:hint="eastAsia" w:cs="Times New Roman"/>
          <w:color w:val="000000" w:themeColor="text1"/>
          <w:highlight w:val="none"/>
          <w:lang w:eastAsia="zh-CN"/>
          <w14:textFill>
            <w14:solidFill>
              <w14:schemeClr w14:val="tx1"/>
            </w14:solidFill>
          </w14:textFill>
        </w:rPr>
        <w:t>泄漏</w:t>
      </w:r>
      <w:r>
        <w:rPr>
          <w:rFonts w:cs="Times New Roman"/>
          <w:color w:val="000000" w:themeColor="text1"/>
          <w:highlight w:val="none"/>
          <w14:textFill>
            <w14:solidFill>
              <w14:schemeClr w14:val="tx1"/>
            </w14:solidFill>
          </w14:textFill>
        </w:rPr>
        <w:t>的柴油污染地表土壤、地表水等。油罐区使用前底部及墙体内侧采用三油两布（沥青、玻璃纤维布）作防渗处理。油桶选择完好无损的油桶，置于防渗区，保持盖子紧盖，及时综合利用。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（3）按照危险物品贮存场地相关要求，对柴油和废油储存和使用场所设置标识标牌。</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柴油储存和使用场所内的通风、照明、通信、控制等电气设备的选型、安装、电力线路敷设等，必须符合现行国家标准《爆炸和火灾危险环境电力装置设计规范》的规定。加强油罐、油桶的管理及安全检查，防止发生结构安全事故引起重大泄</w:t>
      </w:r>
      <w:r>
        <w:rPr>
          <w:rFonts w:hint="eastAsia" w:cs="Times New Roman"/>
          <w:color w:val="000000" w:themeColor="text1"/>
          <w:highlight w:val="none"/>
          <w:lang w:eastAsia="zh-CN"/>
          <w14:textFill>
            <w14:solidFill>
              <w14:schemeClr w14:val="tx1"/>
            </w14:solidFill>
          </w14:textFill>
        </w:rPr>
        <w:t>漏</w:t>
      </w:r>
      <w:r>
        <w:rPr>
          <w:rFonts w:cs="Times New Roman"/>
          <w:color w:val="000000" w:themeColor="text1"/>
          <w:highlight w:val="none"/>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6</w:t>
      </w:r>
      <w:r>
        <w:rPr>
          <w:rFonts w:cs="Times New Roman"/>
          <w:color w:val="000000" w:themeColor="text1"/>
          <w:highlight w:val="none"/>
          <w14:textFill>
            <w14:solidFill>
              <w14:schemeClr w14:val="tx1"/>
            </w14:solidFill>
          </w14:textFill>
        </w:rPr>
        <w:t>）建设方将</w:t>
      </w:r>
      <w:r>
        <w:rPr>
          <w:rFonts w:hint="eastAsia" w:cs="Times New Roman"/>
          <w:color w:val="000000" w:themeColor="text1"/>
          <w:highlight w:val="none"/>
          <w:lang w:val="en-US" w:eastAsia="zh-CN"/>
          <w14:textFill>
            <w14:solidFill>
              <w14:schemeClr w14:val="tx1"/>
            </w14:solidFill>
          </w14:textFill>
        </w:rPr>
        <w:t>施工期</w:t>
      </w:r>
      <w:r>
        <w:rPr>
          <w:rFonts w:cs="Times New Roman"/>
          <w:color w:val="000000" w:themeColor="text1"/>
          <w:highlight w:val="none"/>
          <w14:textFill>
            <w14:solidFill>
              <w14:schemeClr w14:val="tx1"/>
            </w14:solidFill>
          </w14:textFill>
        </w:rPr>
        <w:t>柴油</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废油</w:t>
      </w:r>
      <w:r>
        <w:rPr>
          <w:rFonts w:hint="eastAsia" w:cs="Times New Roman"/>
          <w:color w:val="000000" w:themeColor="text1"/>
          <w:highlight w:val="none"/>
          <w14:textFill>
            <w14:solidFill>
              <w14:schemeClr w14:val="tx1"/>
            </w14:solidFill>
          </w14:textFill>
        </w:rPr>
        <w:t>、盐酸</w:t>
      </w:r>
      <w:r>
        <w:rPr>
          <w:rFonts w:cs="Times New Roman"/>
          <w:color w:val="000000" w:themeColor="text1"/>
          <w:highlight w:val="none"/>
          <w14:textFill>
            <w14:solidFill>
              <w14:schemeClr w14:val="tx1"/>
            </w14:solidFill>
          </w14:textFill>
        </w:rPr>
        <w:t>储存和运输列入环境事故应急处置预案，且应与当地政府的环境事故应急处置预案相衔接。</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7" w:name="_Toc120173190"/>
      <w:r>
        <w:rPr>
          <w:color w:val="000000" w:themeColor="text1"/>
          <w:highlight w:val="none"/>
          <w:lang w:eastAsia="zh-CN"/>
          <w14:textFill>
            <w14:solidFill>
              <w14:schemeClr w14:val="tx1"/>
            </w14:solidFill>
          </w14:textFill>
        </w:rPr>
        <w:t>试采工程风险防范措施</w:t>
      </w:r>
      <w:bookmarkEnd w:id="367"/>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（1）场站</w:t>
      </w:r>
      <w:r>
        <w:rPr>
          <w:rFonts w:hint="eastAsia"/>
          <w:color w:val="000000" w:themeColor="text1"/>
          <w:sz w:val="24"/>
          <w:highlight w:val="none"/>
          <w:lang w:eastAsia="zh-CN"/>
          <w14:textFill>
            <w14:solidFill>
              <w14:schemeClr w14:val="tx1"/>
            </w14:solidFill>
          </w14:textFill>
        </w:rPr>
        <w:t>应</w:t>
      </w:r>
      <w:r>
        <w:rPr>
          <w:rFonts w:ascii="Times New Roman" w:hAnsi="Times New Roman"/>
          <w:color w:val="000000" w:themeColor="text1"/>
          <w:sz w:val="24"/>
          <w:highlight w:val="none"/>
          <w:lang w:eastAsia="zh-CN"/>
          <w14:textFill>
            <w14:solidFill>
              <w14:schemeClr w14:val="tx1"/>
            </w14:solidFill>
          </w14:textFill>
        </w:rPr>
        <w:t>配备足够数量的正压式空气呼吸器及空气呼吸器气瓶压力相应的空气压缩机等。配备相应的安全设施，如井口安全系统、放散系统、灭火器、消防砂池、警示标志、逃生门、防雷和防静电措施、报警系统、风向标、高音喇叭等。</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（2）站场周围设置明显的安全警示标志，并告知附近居民可能性危险、危害及安全注意事项。调查附近居民分布情况，掌握有效的联系方式等。</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（3）设备和管线焊接和检验，应符合相关标准和规范要求。</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（4）场站的建设和布局，应严格按照设计规范要求进行设计，确保站场安全。</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（5）结合站场可能发生的事故类型，编制详细的应急救援预案，有针对性地进行宣传，并定期演练。</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6）加强污水运输车辆的管理，防止运输过程发生事故导致废水泄露，污染环境；定期对污水进行转运，避免由于储存过多导致其外溢污染环境；加强放空分液罐、采出水罐的维护保养工作，避免由于腐蚀等造成其泄露污染环境。</w:t>
      </w:r>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r>
        <w:rPr>
          <w:rFonts w:cs="Times New Roman"/>
          <w:color w:val="000000" w:themeColor="text1"/>
          <w:highlight w:val="none"/>
          <w14:textFill>
            <w14:solidFill>
              <w14:schemeClr w14:val="tx1"/>
            </w14:solidFill>
          </w14:textFill>
        </w:rPr>
        <w:t>（7）</w:t>
      </w:r>
      <w:r>
        <w:rPr>
          <w:rFonts w:ascii="Times New Roman" w:hAnsi="Times New Roman"/>
          <w:color w:val="000000" w:themeColor="text1"/>
          <w:sz w:val="24"/>
          <w:highlight w:val="none"/>
          <w:lang w:eastAsia="zh-CN"/>
          <w14:textFill>
            <w14:solidFill>
              <w14:schemeClr w14:val="tx1"/>
            </w14:solidFill>
          </w14:textFill>
        </w:rPr>
        <w:t>放空分液罐、采出水罐、设置防渗围堰，防止</w:t>
      </w:r>
      <w:r>
        <w:rPr>
          <w:rFonts w:hint="eastAsia"/>
          <w:color w:val="000000" w:themeColor="text1"/>
          <w:sz w:val="24"/>
          <w:highlight w:val="none"/>
          <w:lang w:eastAsia="zh-CN"/>
          <w14:textFill>
            <w14:solidFill>
              <w14:schemeClr w14:val="tx1"/>
            </w14:solidFill>
          </w14:textFill>
        </w:rPr>
        <w:t>泄漏</w:t>
      </w:r>
      <w:r>
        <w:rPr>
          <w:rFonts w:ascii="Times New Roman" w:hAnsi="Times New Roman"/>
          <w:color w:val="000000" w:themeColor="text1"/>
          <w:sz w:val="24"/>
          <w:highlight w:val="none"/>
          <w:lang w:eastAsia="zh-CN"/>
          <w14:textFill>
            <w14:solidFill>
              <w14:schemeClr w14:val="tx1"/>
            </w14:solidFill>
          </w14:textFill>
        </w:rPr>
        <w:t>废水。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（8）自动控制系统。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1）井场井站井口装置等相关工艺设施等实现自动控制、定期巡查；</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2）对本项目井场井站生产装置等全部工艺过程进行监视和控制，实现对整个试采区域的生产运行进行监控和调度管理；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3）场站可实现对下列数据的采集和传递：站场/工艺设施的工艺变量、站场/工艺设施的阀门状态、设备状态、井口温度、压力、流量信息/计量参数、管道防腐参数等；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4）可进行安全报警、装置气体泄漏检测；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5）对井场井站进行远程监视，实现紧急情况下30s内各切断阀自动截断关停。</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8" w:name="_Toc120173191"/>
      <w:r>
        <w:rPr>
          <w:color w:val="000000" w:themeColor="text1"/>
          <w:highlight w:val="none"/>
          <w:lang w:eastAsia="zh-CN"/>
          <w14:textFill>
            <w14:solidFill>
              <w14:schemeClr w14:val="tx1"/>
            </w14:solidFill>
          </w14:textFill>
        </w:rPr>
        <w:t>环境风险防范措施工程监理</w:t>
      </w:r>
      <w:bookmarkEnd w:id="368"/>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为确保工程环境风险防范措施合理有效地实施，可在钻采过程中引入工程监理制度，由监理单位负责环境风险防范措施的监理工作</w:t>
      </w:r>
      <w:r>
        <w:rPr>
          <w:rFonts w:cs="Times New Roman"/>
          <w:color w:val="000000" w:themeColor="text1"/>
          <w:highlight w:val="none"/>
          <w:lang w:eastAsia="zh-CN"/>
          <w14:textFill>
            <w14:solidFill>
              <w14:schemeClr w14:val="tx1"/>
            </w14:solidFill>
          </w14:textFill>
        </w:rPr>
        <w:t>，并将环境监理内容纳入工程监理中</w:t>
      </w:r>
      <w:r>
        <w:rPr>
          <w:rFonts w:cs="Times New Roman"/>
          <w:color w:val="000000" w:themeColor="text1"/>
          <w:highlight w:val="none"/>
          <w14:textFill>
            <w14:solidFill>
              <w14:schemeClr w14:val="tx1"/>
            </w14:solidFill>
          </w14:textFill>
        </w:rPr>
        <w:t>，确</w:t>
      </w:r>
      <w:r>
        <w:rPr>
          <w:rFonts w:hint="eastAsia" w:cs="Times New Roman"/>
          <w:color w:val="000000" w:themeColor="text1"/>
          <w:highlight w:val="none"/>
          <w:lang w:eastAsia="zh-CN"/>
          <w14:textFill>
            <w14:solidFill>
              <w14:schemeClr w14:val="tx1"/>
            </w14:solidFill>
          </w14:textFill>
        </w:rPr>
        <w:t>保各项</w:t>
      </w:r>
      <w:r>
        <w:rPr>
          <w:rFonts w:cs="Times New Roman"/>
          <w:color w:val="000000" w:themeColor="text1"/>
          <w:highlight w:val="none"/>
          <w14:textFill>
            <w14:solidFill>
              <w14:schemeClr w14:val="tx1"/>
            </w14:solidFill>
          </w14:textFill>
        </w:rPr>
        <w:t>措施得到合理有效的落实。</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69" w:name="_Toc120173192"/>
      <w:r>
        <w:rPr>
          <w:color w:val="000000" w:themeColor="text1"/>
          <w:highlight w:val="none"/>
          <w:lang w:eastAsia="zh-CN"/>
          <w14:textFill>
            <w14:solidFill>
              <w14:schemeClr w14:val="tx1"/>
            </w14:solidFill>
          </w14:textFill>
        </w:rPr>
        <w:t>其他环境风险防范措施</w:t>
      </w:r>
      <w:bookmarkEnd w:id="369"/>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（1）公众安全防护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按照本项目行业操作规范，需加强对井场附近居民宣传井喷的危害及相关知识。井队队长及安全员负责</w:t>
      </w:r>
      <w:r>
        <w:rPr>
          <w:rFonts w:hint="eastAsia" w:cs="Times New Roman"/>
          <w:color w:val="000000" w:themeColor="text1"/>
          <w:highlight w:val="none"/>
          <w:lang w:eastAsia="zh-CN"/>
          <w14:textFill>
            <w14:solidFill>
              <w14:schemeClr w14:val="tx1"/>
            </w14:solidFill>
          </w14:textFill>
        </w:rPr>
        <w:t>制定</w:t>
      </w:r>
      <w:r>
        <w:rPr>
          <w:rFonts w:cs="Times New Roman"/>
          <w:color w:val="000000" w:themeColor="text1"/>
          <w:highlight w:val="none"/>
          <w14:textFill>
            <w14:solidFill>
              <w14:schemeClr w14:val="tx1"/>
            </w14:solidFill>
          </w14:textFill>
        </w:rPr>
        <w:t>应急培训计划，定期对应急组织机构成员和应急保障系统、应急信息的有关人员进行综合性应急培训并作好培训记录。应急演练应每个月开展一次，进入气层后半个月开展一次，通过演练掌握应急人员在应急抢险中对预案的熟悉程度和能力，二是加强抢险应急设备的维护保养，检查是否备足所需应急材料。</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w:t>
      </w:r>
      <w:r>
        <w:rPr>
          <w:rFonts w:cs="Times New Roman"/>
          <w:color w:val="000000" w:themeColor="text1"/>
          <w:highlight w:val="none"/>
          <w14:textFill>
            <w14:solidFill>
              <w14:schemeClr w14:val="tx1"/>
            </w14:solidFill>
          </w14:textFill>
        </w:rPr>
        <w:t>照钻井行业环境风险应急预案规范要求，</w:t>
      </w:r>
      <w:r>
        <w:rPr>
          <w:rFonts w:hint="eastAsia" w:cs="Times New Roman"/>
          <w:color w:val="000000" w:themeColor="text1"/>
          <w:highlight w:val="none"/>
          <w:lang w:val="en-US" w:eastAsia="zh-CN"/>
          <w14:textFill>
            <w14:solidFill>
              <w14:schemeClr w14:val="tx1"/>
            </w14:solidFill>
          </w14:textFill>
        </w:rPr>
        <w:t>并结合中石化普光气田风险管控要求和</w:t>
      </w:r>
      <w:r>
        <w:rPr>
          <w:rFonts w:hint="eastAsia" w:cs="Times New Roman"/>
          <w:color w:val="000000" w:themeColor="text1"/>
          <w:highlight w:val="none"/>
          <w:lang w:eastAsia="zh-CN"/>
          <w14:textFill>
            <w14:solidFill>
              <w14:schemeClr w14:val="tx1"/>
            </w14:solidFill>
          </w14:textFill>
        </w:rPr>
        <w:t>《石油天然气井控技术规范》（GBT31033-2014）</w:t>
      </w:r>
      <w:r>
        <w:rPr>
          <w:rFonts w:hint="eastAsia" w:cs="Times New Roman"/>
          <w:color w:val="000000" w:themeColor="text1"/>
          <w:highlight w:val="none"/>
          <w:lang w:val="en-US" w:eastAsia="zh-CN"/>
          <w14:textFill>
            <w14:solidFill>
              <w14:schemeClr w14:val="tx1"/>
            </w14:solidFill>
          </w14:textFill>
        </w:rPr>
        <w:t>中井喷失控的处理要求，本次评价在</w:t>
      </w:r>
      <w:r>
        <w:rPr>
          <w:rFonts w:cs="Times New Roman"/>
          <w:color w:val="000000" w:themeColor="text1"/>
          <w:highlight w:val="none"/>
          <w14:textFill>
            <w14:solidFill>
              <w14:schemeClr w14:val="tx1"/>
            </w14:solidFill>
          </w14:textFill>
        </w:rPr>
        <w:t>发生井喷失控等风险事故时应及时撤离疏散井口周边0~</w:t>
      </w:r>
      <w:r>
        <w:rPr>
          <w:rFonts w:hint="eastAsia" w:cs="Times New Roman"/>
          <w:color w:val="000000" w:themeColor="text1"/>
          <w:highlight w:val="none"/>
          <w:lang w:val="en-US" w:eastAsia="zh-CN"/>
          <w14:textFill>
            <w14:solidFill>
              <w14:schemeClr w14:val="tx1"/>
            </w14:solidFill>
          </w14:textFill>
        </w:rPr>
        <w:t>5</w:t>
      </w:r>
      <w:r>
        <w:rPr>
          <w:rFonts w:cs="Times New Roman"/>
          <w:color w:val="000000" w:themeColor="text1"/>
          <w:highlight w:val="none"/>
          <w14:textFill>
            <w14:solidFill>
              <w14:schemeClr w14:val="tx1"/>
            </w14:solidFill>
          </w14:textFill>
        </w:rPr>
        <w:t>00m范围</w:t>
      </w:r>
      <w:r>
        <w:rPr>
          <w:rFonts w:hint="eastAsia"/>
          <w:color w:val="000000" w:themeColor="text1"/>
          <w:lang w:val="en-US" w:eastAsia="zh-CN"/>
          <w14:textFill>
            <w14:solidFill>
              <w14:schemeClr w14:val="tx1"/>
            </w14:solidFill>
          </w14:textFill>
        </w:rPr>
        <w:t>内</w:t>
      </w:r>
      <w:r>
        <w:rPr>
          <w:rFonts w:cs="Times New Roman"/>
          <w:color w:val="000000" w:themeColor="text1"/>
          <w:highlight w:val="none"/>
          <w14:textFill>
            <w14:solidFill>
              <w14:schemeClr w14:val="tx1"/>
            </w14:solidFill>
          </w14:textFill>
        </w:rPr>
        <w:t>居民和企业员工，保护周围居民生命安全和健康，同时井喷失控后，</w:t>
      </w:r>
      <w:r>
        <w:rPr>
          <w:rFonts w:hint="eastAsia" w:cs="Times New Roman"/>
          <w:color w:val="000000" w:themeColor="text1"/>
          <w:highlight w:val="none"/>
          <w14:textFill>
            <w14:solidFill>
              <w14:schemeClr w14:val="tx1"/>
            </w14:solidFill>
          </w14:textFill>
        </w:rPr>
        <w:t>应设置观察点</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定时取样</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测定井场各处天然气</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硫化氢和二氧化碳含量</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划分安全范围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并</w:t>
      </w:r>
      <w:r>
        <w:rPr>
          <w:rFonts w:hint="eastAsia" w:cs="Times New Roman"/>
          <w:color w:val="000000" w:themeColor="text1"/>
          <w:highlight w:val="none"/>
          <w14:textFill>
            <w14:solidFill>
              <w14:schemeClr w14:val="tx1"/>
            </w14:solidFill>
          </w14:textFill>
        </w:rPr>
        <w:t>根据监测情况决定是否扩大撤离范围。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（2）钻井、储层改造期间配备应急点火系统及点火时间、点火管理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钻井井控技术规程》（SY/T6426-2005），钻井现场仍按照含硫油气井配备自动、手动和高压高能电子点火三套独立点火系统，确保100%的点火成功率。钻井队在现场条件不能实施井控作业而决定放喷点火时，点火人员应佩戴防护器具，并在上风方向，离火口距离不得少于10m，用点火枪点火。</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（3）地质灾害防范</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对项目地周边开展详尽地质勘探工作，进而指导钻前施工和钻井施工，严防地质灾害环境影响诱发本项目环境风险。</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（4）夜间特别管理机制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由于钻井工程特点需要24小时连续作业，所以应特别警惕夜间风险事故的防范和应急。严格落实井喷失控15min内及时点火以及应急预案确定的周边居民事故状态下的撤离方案，至压井作业完成。井场配备高音喇叭、防爆灯具，以便夜间事故及时通知周边居民，防爆灯具应布置在井场内风向标处，以便井场人员和周边较近居民可判断风向，带领其他人员撤离。井场实行轮班制度，保证夜间各岗位有相应值班人员。对居民进行公众教育、培训中应强调夜间自救内容，要求居民夜间保持通讯设备的畅通，夜间不关手机等，在钻开气层前后及钻开过程中夜间保持一定的警惕性。</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（5）运输路由要求及风险防范</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废物、回用钻井液、钻井固废等运输均由有资质单位负责运输，不能利用的废油、含油抹布手套等危废由钻井队委托具有危废道路运输经营许可证单位运输。转运废物工作中要加强对车辆的监督和管理，采取转运联单制度，规范转运台账，避免私拉乱倒的现象发生。</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70" w:name="_Toc80793281"/>
      <w:bookmarkStart w:id="371" w:name="_Toc12506"/>
      <w:r>
        <w:rPr>
          <w:color w:val="000000" w:themeColor="text1"/>
          <w:highlight w:val="none"/>
          <w:lang w:eastAsia="zh-CN"/>
          <w14:textFill>
            <w14:solidFill>
              <w14:schemeClr w14:val="tx1"/>
            </w14:solidFill>
          </w14:textFill>
        </w:rPr>
        <w:t>应急</w:t>
      </w:r>
      <w:bookmarkEnd w:id="370"/>
      <w:r>
        <w:rPr>
          <w:color w:val="000000" w:themeColor="text1"/>
          <w:highlight w:val="none"/>
          <w:lang w:eastAsia="zh-CN"/>
          <w14:textFill>
            <w14:solidFill>
              <w14:schemeClr w14:val="tx1"/>
            </w14:solidFill>
          </w14:textFill>
        </w:rPr>
        <w:t>措施</w:t>
      </w:r>
      <w:bookmarkEnd w:id="371"/>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72" w:name="_Toc120173194"/>
      <w:r>
        <w:rPr>
          <w:color w:val="000000" w:themeColor="text1"/>
          <w:highlight w:val="none"/>
          <w:lang w:eastAsia="zh-CN"/>
          <w14:textFill>
            <w14:solidFill>
              <w14:schemeClr w14:val="tx1"/>
            </w14:solidFill>
          </w14:textFill>
        </w:rPr>
        <w:t>井喷及井喷失控应急处理预案</w:t>
      </w:r>
      <w:bookmarkEnd w:id="372"/>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根据事态发展变化情况，事故现场抢险指挥部根据应急领导小组的指令并充分考虑专家和有关意见的基础上，依法采取紧急措施，并注意做好以下工作：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（1）井喷失控后严防着火和爆炸。应立即停钻机、机房柴油机，切断井架、钻台、机泵房等处全部照明灯和用电设备的电源，熄灭一切火源，需要时打开专用探照灯，并组织警戒。</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（2）立即向当地政府报告，协助当地政府作好井口3</w:t>
      </w:r>
      <w:r>
        <w:rPr>
          <w:rFonts w:hint="eastAsia" w:cs="Times New Roman"/>
          <w:color w:val="000000" w:themeColor="text1"/>
          <w:highlight w:val="none"/>
          <w14:textFill>
            <w14:solidFill>
              <w14:schemeClr w14:val="tx1"/>
            </w14:solidFill>
          </w14:textFill>
        </w:rPr>
        <w:t>8</w:t>
      </w:r>
      <w:r>
        <w:rPr>
          <w:rFonts w:cs="Times New Roman"/>
          <w:color w:val="000000" w:themeColor="text1"/>
          <w:highlight w:val="none"/>
          <w14:textFill>
            <w14:solidFill>
              <w14:schemeClr w14:val="tx1"/>
            </w14:solidFill>
          </w14:textFill>
        </w:rPr>
        <w:t>0</w:t>
      </w:r>
      <w:r>
        <w:rPr>
          <w:rFonts w:hint="eastAsia" w:cs="Times New Roman"/>
          <w:color w:val="000000" w:themeColor="text1"/>
          <w:highlight w:val="none"/>
          <w14:textFill>
            <w14:solidFill>
              <w14:schemeClr w14:val="tx1"/>
            </w14:solidFill>
          </w14:textFill>
        </w:rPr>
        <w:t>0</w:t>
      </w:r>
      <w:r>
        <w:rPr>
          <w:rFonts w:cs="Times New Roman"/>
          <w:color w:val="000000" w:themeColor="text1"/>
          <w:highlight w:val="none"/>
          <w14:textFill>
            <w14:solidFill>
              <w14:schemeClr w14:val="tx1"/>
            </w14:solidFill>
          </w14:textFill>
        </w:rPr>
        <w:t>m范围内散居农户和企业员工，以及</w:t>
      </w:r>
      <w:r>
        <w:rPr>
          <w:rFonts w:hint="eastAsia" w:cs="Times New Roman"/>
          <w:color w:val="000000" w:themeColor="text1"/>
          <w:highlight w:val="none"/>
          <w14:textFill>
            <w14:solidFill>
              <w14:schemeClr w14:val="tx1"/>
            </w14:solidFill>
          </w14:textFill>
        </w:rPr>
        <w:t>周边</w:t>
      </w:r>
      <w:r>
        <w:rPr>
          <w:rFonts w:cs="Times New Roman"/>
          <w:color w:val="000000" w:themeColor="text1"/>
          <w:highlight w:val="none"/>
          <w14:textFill>
            <w14:solidFill>
              <w14:schemeClr w14:val="tx1"/>
            </w14:solidFill>
          </w14:textFill>
        </w:rPr>
        <w:t>场镇居民、学校、医院、企业等的疏散工作。此外，事故时应根据井喷的实际情况，确定扩大疏散范围。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设置观察点，定时取样，监测（大气/空气）中的天然气、硫化氢和二氧化碳含量等，划分安全范围，并根据对监测结果和井喷事故的严重程度及时进行研判，若井喷事故较为严重，监测（大气/空气）中的天然气、硫化氢和二氧化碳含量等浓度较高，可将撤离疏散距离扩大。</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（4）迅速成立现场抢险领导小组，根据失控状况制定抢险方案，统一指挥、组织和协调抢险工作。抢险方案</w:t>
      </w:r>
      <w:r>
        <w:rPr>
          <w:rFonts w:hint="eastAsia" w:cs="Times New Roman"/>
          <w:color w:val="000000" w:themeColor="text1"/>
          <w:highlight w:val="none"/>
          <w:lang w:eastAsia="zh-CN"/>
          <w14:textFill>
            <w14:solidFill>
              <w14:schemeClr w14:val="tx1"/>
            </w14:solidFill>
          </w14:textFill>
        </w:rPr>
        <w:t>制定</w:t>
      </w:r>
      <w:r>
        <w:rPr>
          <w:rFonts w:cs="Times New Roman"/>
          <w:color w:val="000000" w:themeColor="text1"/>
          <w:highlight w:val="none"/>
          <w14:textFill>
            <w14:solidFill>
              <w14:schemeClr w14:val="tx1"/>
            </w14:solidFill>
          </w14:textFill>
        </w:rPr>
        <w:t>及实施，要把环境保护同时考虑，同时实施，防止出现次生环境事故。</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（5）当井喷失控时，应立即通知并协助当地政府疏散井口</w:t>
      </w:r>
      <w:r>
        <w:rPr>
          <w:rFonts w:hint="eastAsia" w:cs="Times New Roman"/>
          <w:color w:val="000000" w:themeColor="text1"/>
          <w:highlight w:val="none"/>
          <w:lang w:val="en-US" w:eastAsia="zh-CN"/>
          <w14:textFill>
            <w14:solidFill>
              <w14:schemeClr w14:val="tx1"/>
            </w14:solidFill>
          </w14:textFill>
        </w:rPr>
        <w:t>5</w:t>
      </w:r>
      <w:r>
        <w:rPr>
          <w:rFonts w:cs="Times New Roman"/>
          <w:color w:val="000000" w:themeColor="text1"/>
          <w:highlight w:val="none"/>
          <w14:textFill>
            <w14:solidFill>
              <w14:schemeClr w14:val="tx1"/>
            </w14:solidFill>
          </w14:textFill>
        </w:rPr>
        <w:t>00m范围内的散居农户，以及场镇居民、学校、医院、企业等环境敏感点和社会关注点，根据检测情况，考虑风向、地形、人口密度、受污染程度等情况及时作出风险和危害程度评估，决定是否扩大撤离范围；关停生产设施；请求援助。</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（6）在确保人员安全的前提下，将氧气瓶、油罐等易燃易爆物品撤离危险区。</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（7）在进行处置井喷事故的同时，充分考虑到事故和次生事故对环境可能造成的威胁，要严密制定并采取保护措施，防止事态扩大和引发次生灾害。</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（8）在事故处理结束后，确认作业现场及其周边环境安全的情况下，和地方政府商定撤离群众的返回时间。</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73" w:name="_Toc120173195"/>
      <w:r>
        <w:rPr>
          <w:color w:val="000000" w:themeColor="text1"/>
          <w:highlight w:val="none"/>
          <w:lang w:eastAsia="zh-CN"/>
          <w14:textFill>
            <w14:solidFill>
              <w14:schemeClr w14:val="tx1"/>
            </w14:solidFill>
          </w14:textFill>
        </w:rPr>
        <w:t>井喷或场站</w:t>
      </w:r>
      <w:r>
        <w:rPr>
          <w:rFonts w:hint="eastAsia"/>
          <w:color w:val="000000" w:themeColor="text1"/>
          <w:highlight w:val="none"/>
          <w:lang w:eastAsia="zh-CN"/>
          <w14:textFill>
            <w14:solidFill>
              <w14:schemeClr w14:val="tx1"/>
            </w14:solidFill>
          </w14:textFill>
        </w:rPr>
        <w:t>泄漏</w:t>
      </w:r>
      <w:r>
        <w:rPr>
          <w:color w:val="000000" w:themeColor="text1"/>
          <w:highlight w:val="none"/>
          <w:lang w:eastAsia="zh-CN"/>
          <w14:textFill>
            <w14:solidFill>
              <w14:schemeClr w14:val="tx1"/>
            </w14:solidFill>
          </w14:textFill>
        </w:rPr>
        <w:t>应急疏散预案</w:t>
      </w:r>
      <w:bookmarkEnd w:id="373"/>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当井喷或天然气试采期间出现失控时，应立即通知并协助当地政府疏散井口</w:t>
      </w:r>
      <w:r>
        <w:rPr>
          <w:rFonts w:hint="eastAsia" w:cs="Times New Roman"/>
          <w:color w:val="000000" w:themeColor="text1"/>
          <w:highlight w:val="none"/>
          <w:lang w:val="en-US" w:eastAsia="zh-CN"/>
          <w14:textFill>
            <w14:solidFill>
              <w14:schemeClr w14:val="tx1"/>
            </w14:solidFill>
          </w14:textFill>
        </w:rPr>
        <w:t>5</w:t>
      </w:r>
      <w:r>
        <w:rPr>
          <w:rFonts w:cs="Times New Roman"/>
          <w:color w:val="000000" w:themeColor="text1"/>
          <w:highlight w:val="none"/>
          <w14:textFill>
            <w14:solidFill>
              <w14:schemeClr w14:val="tx1"/>
            </w14:solidFill>
          </w14:textFill>
        </w:rPr>
        <w:t>00m范围内的散居农户等，周边较近的场镇居民、学校师生、医院医护人员和病人等。根据监测情况，考虑风向、地形、人口密度、受污染程度等情况及时作出风险和危害程度评估，决定是否扩大撤离范围。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为了保障每位员工和井场周围群众的生命安全，应按正确的方法和方向撤离，每位接到撤离通知的员工和群众应按下列程序撤离：</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（1）群众由当地政府组织撤离，井队员工由井队组织撤离；</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逃生时要注意风向，一要沿上风（逆风）方向逃生，二要沿着地面上的高处跑。建议撤离时根据风向，根据所在地道路分布情况转移至高处安全集合点，同时建设单位应引导周边群众撤离。撤离路线应根据实际风险进行调整，原则就是往上风向撤离。项目撤离路线均不受周边地形限制，项目区域主导风为东北风，撤离路线不位于下风向，因此撤离路线是合理的。</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所在的普光气田区域5km范围内各村镇均已设置有应急高音喇叭，能够对区域范围内所有居民点进行覆盖，且主要村镇均已设置有应急安置点，各村镇联系人已在中原油田普光分公司应急指挥中心办公室存档，应急措施完善，能够确保发生风险事故后第一时间启动应急预案与撤离方案，具体方案见中原油田普光分公司编制有《中原油田普光分公司环境应急预案2021年4月》，项目所在区域路网及交通条件较好，能够确保</w:t>
      </w:r>
      <w:r>
        <w:rPr>
          <w:rFonts w:hint="eastAsia" w:cs="Times New Roman"/>
          <w:color w:val="000000" w:themeColor="text1"/>
          <w:highlight w:val="none"/>
          <w:lang w:val="en-US" w:eastAsia="zh-CN"/>
          <w14:textFill>
            <w14:solidFill>
              <w14:schemeClr w14:val="tx1"/>
            </w14:solidFill>
          </w14:textFill>
        </w:rPr>
        <w:t>50</w:t>
      </w:r>
      <w:r>
        <w:rPr>
          <w:rFonts w:cs="Times New Roman"/>
          <w:color w:val="000000" w:themeColor="text1"/>
          <w:highlight w:val="none"/>
          <w14:textFill>
            <w14:solidFill>
              <w14:schemeClr w14:val="tx1"/>
            </w14:solidFill>
          </w14:textFill>
        </w:rPr>
        <w:t>0m范围内的居民均能及时有效的撤离至安全的应急安置点。</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（3）时间就是生命，紧急逃生时，不要因收贵重物品等事宜延误时间，并且要轻装撤离逃生。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（4）当所处位置离井场很远时，则只要偏离风向往离井场越来越远的方向逃生即可。</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74" w:name="_Toc120173196"/>
      <w:r>
        <w:rPr>
          <w:color w:val="000000" w:themeColor="text1"/>
          <w:highlight w:val="none"/>
          <w:lang w:eastAsia="zh-CN"/>
          <w14:textFill>
            <w14:solidFill>
              <w14:schemeClr w14:val="tx1"/>
            </w14:solidFill>
          </w14:textFill>
        </w:rPr>
        <w:t>天然气窜层泄漏进入地表应急措施</w:t>
      </w:r>
      <w:bookmarkEnd w:id="374"/>
    </w:p>
    <w:p>
      <w:pPr>
        <w:adjustRightInd w:val="0"/>
        <w:snapToGrid w:val="0"/>
        <w:spacing w:line="360" w:lineRule="auto"/>
        <w:ind w:firstLine="480" w:firstLineChars="200"/>
        <w:jc w:val="both"/>
        <w:rPr>
          <w:rFonts w:ascii="Times New Roman" w:hAnsi="Times New Roman"/>
          <w:color w:val="000000" w:themeColor="text1"/>
          <w:sz w:val="24"/>
          <w:highlight w:val="none"/>
          <w:lang w:eastAsia="zh-CN"/>
          <w14:textFill>
            <w14:solidFill>
              <w14:schemeClr w14:val="tx1"/>
            </w14:solidFill>
          </w14:textFill>
        </w:rPr>
      </w:pPr>
      <w:bookmarkStart w:id="375" w:name="_Toc120173197"/>
      <w:r>
        <w:rPr>
          <w:rFonts w:ascii="Times New Roman" w:hAnsi="Times New Roman"/>
          <w:color w:val="000000" w:themeColor="text1"/>
          <w:sz w:val="24"/>
          <w:highlight w:val="none"/>
          <w:lang w:eastAsia="zh-CN"/>
          <w14:textFill>
            <w14:solidFill>
              <w14:schemeClr w14:val="tx1"/>
            </w14:solidFill>
          </w14:textFill>
        </w:rPr>
        <w:t>由于天然气窜层</w:t>
      </w:r>
      <w:r>
        <w:rPr>
          <w:rFonts w:hint="eastAsia"/>
          <w:color w:val="000000" w:themeColor="text1"/>
          <w:sz w:val="24"/>
          <w:highlight w:val="none"/>
          <w:lang w:eastAsia="zh-CN"/>
          <w14:textFill>
            <w14:solidFill>
              <w14:schemeClr w14:val="tx1"/>
            </w14:solidFill>
          </w14:textFill>
        </w:rPr>
        <w:t>泄漏</w:t>
      </w:r>
      <w:r>
        <w:rPr>
          <w:rFonts w:ascii="Times New Roman" w:hAnsi="Times New Roman"/>
          <w:color w:val="000000" w:themeColor="text1"/>
          <w:sz w:val="24"/>
          <w:highlight w:val="none"/>
          <w:lang w:eastAsia="zh-CN"/>
          <w14:textFill>
            <w14:solidFill>
              <w14:schemeClr w14:val="tx1"/>
            </w14:solidFill>
          </w14:textFill>
        </w:rPr>
        <w:t>时，压力小，速率低，不会出现井喷式的</w:t>
      </w:r>
      <w:r>
        <w:rPr>
          <w:rFonts w:hint="eastAsia"/>
          <w:color w:val="000000" w:themeColor="text1"/>
          <w:sz w:val="24"/>
          <w:highlight w:val="none"/>
          <w:lang w:eastAsia="zh-CN"/>
          <w14:textFill>
            <w14:solidFill>
              <w14:schemeClr w14:val="tx1"/>
            </w14:solidFill>
          </w14:textFill>
        </w:rPr>
        <w:t>泄漏</w:t>
      </w:r>
      <w:r>
        <w:rPr>
          <w:rFonts w:ascii="Times New Roman" w:hAnsi="Times New Roman"/>
          <w:color w:val="000000" w:themeColor="text1"/>
          <w:sz w:val="24"/>
          <w:highlight w:val="none"/>
          <w:lang w:eastAsia="zh-CN"/>
          <w14:textFill>
            <w14:solidFill>
              <w14:schemeClr w14:val="tx1"/>
            </w14:solidFill>
          </w14:textFill>
        </w:rPr>
        <w:t>，只要及时组织人员撤离，并及时采取事故应对措施一般情况下不会引起人员伤亡。应对此类事故措施主要是通过加强对钻井返空介质的监测来及时了解井下状况，采取措施避免井漏气窜的发生，钻前加强对周边500m居民的教育培训，遇到此类事故应立即撤离并远离泄露点。企业在泄露点周边设置便携监测仪确定浓度，根据浓度确定具体撤离范围。气窜发生时及应立即采取井下堵漏措施，并通过井口放喷管放喷燃烧泄压，减少周边地表泄露点</w:t>
      </w:r>
      <w:r>
        <w:rPr>
          <w:rFonts w:hint="eastAsia"/>
          <w:color w:val="000000" w:themeColor="text1"/>
          <w:sz w:val="24"/>
          <w:highlight w:val="none"/>
          <w:lang w:eastAsia="zh-CN"/>
          <w14:textFill>
            <w14:solidFill>
              <w14:schemeClr w14:val="tx1"/>
            </w14:solidFill>
          </w14:textFill>
        </w:rPr>
        <w:t>泄漏</w:t>
      </w:r>
      <w:r>
        <w:rPr>
          <w:rFonts w:ascii="Times New Roman" w:hAnsi="Times New Roman"/>
          <w:color w:val="000000" w:themeColor="text1"/>
          <w:sz w:val="24"/>
          <w:highlight w:val="none"/>
          <w:lang w:eastAsia="zh-CN"/>
          <w14:textFill>
            <w14:solidFill>
              <w14:schemeClr w14:val="tx1"/>
            </w14:solidFill>
          </w14:textFill>
        </w:rPr>
        <w:t>量，此类环境风险是可控的。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t>井漏环境风险事故应急措施</w:t>
      </w:r>
      <w:bookmarkEnd w:id="375"/>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发生井漏时必须利用各种堵漏材料，处理井漏的规定流程如下：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（1）分析井漏发生的原因，确定漏层位置、类型及漏失严重程度。</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（2）保质保量的配置堵漏泥浆。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（3）施工时如果能起钻，应尽可能采用光钻杆，下至漏层顶部。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（4）使用正确的堵剂注入方法，确保堵剂进入漏层近井筒处。</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（5）施工过程中要不停地活动钻具，避免卡钻。</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（6）凡采用桥堵剂堵漏，要卸掉循环管线及泵中的滤清器、筛网等，防止堵塞憋泵伤人。</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（7）憋压试漏时要缓慢进行，压力一般不能过大，避免造成新的诱导裂缝。</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（8）施工完成后，各种资料必须收集整理齐全、准确。</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76" w:name="_Toc120173198"/>
      <w:r>
        <w:rPr>
          <w:color w:val="000000" w:themeColor="text1"/>
          <w:highlight w:val="none"/>
          <w:lang w:eastAsia="zh-CN"/>
          <w14:textFill>
            <w14:solidFill>
              <w14:schemeClr w14:val="tx1"/>
            </w14:solidFill>
          </w14:textFill>
        </w:rPr>
        <w:t>废水、油类物质</w:t>
      </w:r>
      <w:r>
        <w:rPr>
          <w:rFonts w:hint="eastAsia"/>
          <w:color w:val="000000" w:themeColor="text1"/>
          <w:highlight w:val="none"/>
          <w:lang w:eastAsia="zh-CN"/>
          <w14:textFill>
            <w14:solidFill>
              <w14:schemeClr w14:val="tx1"/>
            </w14:solidFill>
          </w14:textFill>
        </w:rPr>
        <w:t>泄漏</w:t>
      </w:r>
      <w:r>
        <w:rPr>
          <w:color w:val="000000" w:themeColor="text1"/>
          <w:highlight w:val="none"/>
          <w:lang w:eastAsia="zh-CN"/>
          <w14:textFill>
            <w14:solidFill>
              <w14:schemeClr w14:val="tx1"/>
            </w14:solidFill>
          </w14:textFill>
        </w:rPr>
        <w:t>应急措施</w:t>
      </w:r>
      <w:bookmarkEnd w:id="376"/>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（1）当钻井废水或油类物质油外溢时，应及时围堵，并及时进行清理，确保废水、柴油不进入河流中。</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（2）对受泄露钻井废水或油污染的土壤进行清理和置换，确保农业生产不受影响，同时避免雨水冲刷进入河流中。</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77" w:name="_Toc120173199"/>
      <w:r>
        <w:rPr>
          <w:color w:val="000000" w:themeColor="text1"/>
          <w:highlight w:val="none"/>
          <w:lang w:eastAsia="zh-CN"/>
          <w14:textFill>
            <w14:solidFill>
              <w14:schemeClr w14:val="tx1"/>
            </w14:solidFill>
          </w14:textFill>
        </w:rPr>
        <w:t>外运过程应急措施</w:t>
      </w:r>
      <w:bookmarkEnd w:id="377"/>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废水外运均采用密闭罐车运输，固废采用密封袋装运输，罐体为钢板密封罐，发生翻车</w:t>
      </w:r>
      <w:r>
        <w:rPr>
          <w:rFonts w:hint="eastAsia" w:cs="Times New Roman"/>
          <w:color w:val="000000" w:themeColor="text1"/>
          <w:highlight w:val="none"/>
          <w:lang w:eastAsia="zh-CN"/>
          <w14:textFill>
            <w14:solidFill>
              <w14:schemeClr w14:val="tx1"/>
            </w14:solidFill>
          </w14:textFill>
        </w:rPr>
        <w:t>泄漏</w:t>
      </w:r>
      <w:r>
        <w:rPr>
          <w:rFonts w:cs="Times New Roman"/>
          <w:color w:val="000000" w:themeColor="text1"/>
          <w:highlight w:val="none"/>
          <w14:textFill>
            <w14:solidFill>
              <w14:schemeClr w14:val="tx1"/>
            </w14:solidFill>
          </w14:textFill>
        </w:rPr>
        <w:t>的机率很小，且合格泥浆、返排液、钻井固废等无有毒有害物质，主要是含有机污染物，罐车输送的量约10t/车，一次运输量不大，发生事故时对环境也不会造成重大环境影响。一旦发生事故，井场废水外溢造成环境污染时，现场人员应及时向上级汇报并视情况向当地生态环境局汇报，同时采取有力措施，防止污染扩大。应急抢险应以尽量减少泄</w:t>
      </w:r>
      <w:r>
        <w:rPr>
          <w:rFonts w:hint="eastAsia" w:cs="Times New Roman"/>
          <w:color w:val="000000" w:themeColor="text1"/>
          <w:highlight w:val="none"/>
          <w:lang w:eastAsia="zh-CN"/>
          <w14:textFill>
            <w14:solidFill>
              <w14:schemeClr w14:val="tx1"/>
            </w14:solidFill>
          </w14:textFill>
        </w:rPr>
        <w:t>漏</w:t>
      </w:r>
      <w:r>
        <w:rPr>
          <w:rFonts w:cs="Times New Roman"/>
          <w:color w:val="000000" w:themeColor="text1"/>
          <w:highlight w:val="none"/>
          <w14:textFill>
            <w14:solidFill>
              <w14:schemeClr w14:val="tx1"/>
            </w14:solidFill>
          </w14:textFill>
        </w:rPr>
        <w:t>量、控制废水扩散范围为基本原则。施工单位须制定出应急救援预案和与当地政府和有关部门建立相衔接的应急救援体系，并按规定程序报批后进行宣传和演练，加强信息交流，建立与相关方面的通讯联络系统。</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78" w:name="_Toc120173200"/>
      <w:r>
        <w:rPr>
          <w:color w:val="000000" w:themeColor="text1"/>
          <w:highlight w:val="none"/>
          <w:lang w:eastAsia="zh-CN"/>
          <w14:textFill>
            <w14:solidFill>
              <w14:schemeClr w14:val="tx1"/>
            </w14:solidFill>
          </w14:textFill>
        </w:rPr>
        <w:t>套外返水的应急措施</w:t>
      </w:r>
      <w:bookmarkEnd w:id="378"/>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套外返水若是固井质量问题应采用工程措施进行封堵、封隔，消除套外返水情况。对受盐污染地下水采用抽采方式减缓污染，加快恢复。</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79" w:name="_Toc120173201"/>
      <w:r>
        <w:rPr>
          <w:color w:val="000000" w:themeColor="text1"/>
          <w:highlight w:val="none"/>
          <w:lang w:eastAsia="zh-CN"/>
          <w14:textFill>
            <w14:solidFill>
              <w14:schemeClr w14:val="tx1"/>
            </w14:solidFill>
          </w14:textFill>
        </w:rPr>
        <w:t>事故发生后外环境污染物的消除方案</w:t>
      </w:r>
      <w:bookmarkEnd w:id="379"/>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当发生天然气扩散时，应及时进行井控，争取最短时间控制井喷源头，尽可能切断</w:t>
      </w:r>
      <w:r>
        <w:rPr>
          <w:rFonts w:cs="Times New Roman"/>
          <w:bCs/>
          <w:color w:val="000000" w:themeColor="text1"/>
          <w:highlight w:val="none"/>
          <w14:textFill>
            <w14:solidFill>
              <w14:schemeClr w14:val="tx1"/>
            </w14:solidFill>
          </w14:textFill>
        </w:rPr>
        <w:t>泄漏</w:t>
      </w:r>
      <w:r>
        <w:rPr>
          <w:rFonts w:cs="Times New Roman"/>
          <w:color w:val="000000" w:themeColor="text1"/>
          <w:highlight w:val="none"/>
          <w14:textFill>
            <w14:solidFill>
              <w14:schemeClr w14:val="tx1"/>
            </w14:solidFill>
          </w14:textFill>
        </w:rPr>
        <w:t>源。天然气扩散时间短，通过空气流动自然扩散降低空气中可燃气体浓度。井喷失控点燃后可通过空气流动自然扩散和自然降雨降低空气中污染物浓度。对洒水收集的废水经收集后单独处理达标排放。</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80" w:name="_Toc120173202"/>
      <w:r>
        <w:rPr>
          <w:color w:val="000000" w:themeColor="text1"/>
          <w:highlight w:val="none"/>
          <w:lang w:eastAsia="zh-CN"/>
          <w14:textFill>
            <w14:solidFill>
              <w14:schemeClr w14:val="tx1"/>
            </w14:solidFill>
          </w14:textFill>
        </w:rPr>
        <w:t>宣传、培训和演习</w:t>
      </w:r>
      <w:bookmarkEnd w:id="380"/>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公众信息交流。各级政府、天然气开采企业要按规定向公众和员工说明天然气开采的危险性及发生事故可能造成的危害，广泛宣传应急救援有关法律法规和天然气开采事故预防、避险、避灾、自救、互救的常识。</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培训。天然气开采有关应急救援队伍按照有关规定参加业务培训；天然气开发企业按照有关规定对员工进行应急培训；各级安全生产监督管理部门负责对应急救援培训情况进行监督检查。各级应急救援管理机构加强应急管理、救援人员的上岗前培训和常规性培训。</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（3）演习。普光分公司及所属单位每年至少组织一次环境事故应急的桌面演练或全面演习，并将演习总结报应急办公室。</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81" w:name="_Toc120173203"/>
      <w:r>
        <w:rPr>
          <w:color w:val="000000" w:themeColor="text1"/>
          <w:highlight w:val="none"/>
          <w:lang w:eastAsia="zh-CN"/>
          <w14:textFill>
            <w14:solidFill>
              <w14:schemeClr w14:val="tx1"/>
            </w14:solidFill>
          </w14:textFill>
        </w:rPr>
        <w:t>风险管理措施</w:t>
      </w:r>
      <w:bookmarkEnd w:id="381"/>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普光分公司成立专门的</w:t>
      </w:r>
      <w:r>
        <w:rPr>
          <w:rFonts w:hint="eastAsia" w:cs="Times New Roman"/>
          <w:color w:val="000000" w:themeColor="text1"/>
          <w:highlight w:val="none"/>
          <w:lang w:val="en-US" w:eastAsia="zh-CN"/>
          <w14:textFill>
            <w14:solidFill>
              <w14:schemeClr w14:val="tx1"/>
            </w14:solidFill>
          </w14:textFill>
        </w:rPr>
        <w:t>机构</w:t>
      </w:r>
      <w:r>
        <w:rPr>
          <w:rFonts w:cs="Times New Roman"/>
          <w:color w:val="000000" w:themeColor="text1"/>
          <w:highlight w:val="none"/>
          <w14:textFill>
            <w14:solidFill>
              <w14:schemeClr w14:val="tx1"/>
            </w14:solidFill>
          </w14:textFill>
        </w:rPr>
        <w:t>应对油气勘探、开发等生产经营过程中可能发生的重大突发事故，最大限度地保障人民群众生命和财产安全，减轻事故灾害。普光分公司建立了详细周密的应急救援体系，设立了三级应急救援网络。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普光分公司应急领导小组负责所属范围内所有重、特大事故的应急管理。定期组织、检查、审核等五个专业事故应急小组职责履行情况。发生重大事故，专业应急小组进行应急指挥、调度、抢险、施救、现场调查、恢复生产等工作，普光分公司应急领导小组协调有关工作。对特大事故，普光分公司应急领导小组直接负责事故现场指挥、调度、抢险、施救、恢复生产，并会同地方政府、股份公司开展事故调查等工作。</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82" w:name="_Toc120173204"/>
      <w:r>
        <w:rPr>
          <w:color w:val="000000" w:themeColor="text1"/>
          <w:highlight w:val="none"/>
          <w:lang w:eastAsia="zh-CN"/>
          <w14:textFill>
            <w14:solidFill>
              <w14:schemeClr w14:val="tx1"/>
            </w14:solidFill>
          </w14:textFill>
        </w:rPr>
        <w:t>应急联动</w:t>
      </w:r>
      <w:bookmarkEnd w:id="382"/>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（1）上层联动：本项目所在的达州市、宣汉县、</w:t>
      </w:r>
      <w:r>
        <w:rPr>
          <w:rFonts w:hint="eastAsia" w:cs="Times New Roman"/>
          <w:color w:val="000000" w:themeColor="text1"/>
          <w:highlight w:val="none"/>
          <w:lang w:eastAsia="zh-CN"/>
          <w14:textFill>
            <w14:solidFill>
              <w14:schemeClr w14:val="tx1"/>
            </w14:solidFill>
          </w14:textFill>
        </w:rPr>
        <w:t>老君乡、普光镇</w:t>
      </w:r>
      <w:r>
        <w:rPr>
          <w:rFonts w:cs="Times New Roman"/>
          <w:color w:val="000000" w:themeColor="text1"/>
          <w:highlight w:val="none"/>
          <w14:textFill>
            <w14:solidFill>
              <w14:schemeClr w14:val="tx1"/>
            </w14:solidFill>
          </w14:textFill>
        </w:rPr>
        <w:t>政府均设置有应急管理办公室，工程的建设和运行得到了当地各级政府的大力支持，因此，在企业自身建立并完善应急响应机制的前提下，与地方进一步强化应急联动，应急联动具有可行性。</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（2）下层联动：开展项目周边人居调查工作，结合项目周边人员分布情况，落实紧急情况下的应急联络人，确保有效组织环境风险事故下的应急撤离。</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383" w:name="_Toc120173205"/>
      <w:r>
        <w:rPr>
          <w:color w:val="000000" w:themeColor="text1"/>
          <w:highlight w:val="none"/>
          <w:lang w:eastAsia="zh-CN"/>
          <w14:textFill>
            <w14:solidFill>
              <w14:schemeClr w14:val="tx1"/>
            </w14:solidFill>
          </w14:textFill>
        </w:rPr>
        <w:t>普光分公司应急预案体系介绍</w:t>
      </w:r>
      <w:bookmarkEnd w:id="383"/>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（1）备案情况</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中原油田普光分公司编制有《中原油田普光分公司环境应急预案（2021年4月》，2021年6月22日，达州市环保局同意备案（备案号：511722-2021-012-L），详见附件。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（2）应急预案体系</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1）体系介绍</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普光分公司应急预案体系见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_Ref142923787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4133850" cy="26384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5"/>
                    <a:stretch>
                      <a:fillRect/>
                    </a:stretch>
                  </pic:blipFill>
                  <pic:spPr>
                    <a:xfrm>
                      <a:off x="0" y="0"/>
                      <a:ext cx="4133850" cy="2638425"/>
                    </a:xfrm>
                    <a:prstGeom prst="rect">
                      <a:avLst/>
                    </a:prstGeom>
                  </pic:spPr>
                </pic:pic>
              </a:graphicData>
            </a:graphic>
          </wp:inline>
        </w:drawing>
      </w:r>
    </w:p>
    <w:p>
      <w:pPr>
        <w:pStyle w:val="163"/>
        <w:rPr>
          <w:color w:val="000000" w:themeColor="text1"/>
          <w:highlight w:val="none"/>
          <w14:textFill>
            <w14:solidFill>
              <w14:schemeClr w14:val="tx1"/>
            </w14:solidFill>
          </w14:textFill>
        </w:rPr>
      </w:pPr>
      <w:bookmarkStart w:id="384" w:name="_Ref142923787"/>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38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普光分公司应急预案体系图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专项应急预案包括高含H</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S泄漏环境应急预案、火灾爆炸环境应急预案、水体环境污染应急预案、大气环境污染应急预案等。此外，普光分公司应急救援中心还编制了水体污染事件环境应急监测预案和H</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S泄漏应急监测预案。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2）普光分公司应急预案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普光分公司综合应急预案框架见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_Ref142923793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，普光分公司专项应急预案框架见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_Ref142923797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keepNext/>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274310" cy="5882640"/>
            <wp:effectExtent l="0" t="0" r="2540" b="3810"/>
            <wp:docPr id="28"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综合应急预案框架图.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274310" cy="5882640"/>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385" w:name="_Ref142923793"/>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38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普光分公司综合应急预案框架图</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4810125" cy="5380355"/>
            <wp:effectExtent l="0" t="0" r="9525" b="0"/>
            <wp:docPr id="3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应急预案结构图.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824575" cy="5396332"/>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386" w:name="_Ref142923797"/>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38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普光分公司专项应急预案框架图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（3）普光分公司应急组织机构</w:t>
      </w:r>
    </w:p>
    <w:p>
      <w:pPr>
        <w:pStyle w:val="93"/>
        <w:rPr>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274310" cy="420243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8"/>
                    <a:stretch>
                      <a:fillRect/>
                    </a:stretch>
                  </pic:blipFill>
                  <pic:spPr>
                    <a:xfrm>
                      <a:off x="0" y="0"/>
                      <a:ext cx="5274310" cy="4202430"/>
                    </a:xfrm>
                    <a:prstGeom prst="rect">
                      <a:avLst/>
                    </a:prstGeom>
                  </pic:spPr>
                </pic:pic>
              </a:graphicData>
            </a:graphic>
          </wp:inline>
        </w:drawing>
      </w:r>
      <w:r>
        <w:rPr>
          <w:rStyle w:val="164"/>
          <w:rFonts w:hint="eastAsia"/>
          <w:color w:val="000000" w:themeColor="text1"/>
          <w:highlight w:val="none"/>
          <w:lang w:eastAsia="zh-CN"/>
          <w14:textFill>
            <w14:solidFill>
              <w14:schemeClr w14:val="tx1"/>
            </w14:solidFill>
          </w14:textFill>
        </w:rPr>
        <w:t>图</w:t>
      </w:r>
      <w:r>
        <w:rPr>
          <w:rStyle w:val="164"/>
          <w:color w:val="000000" w:themeColor="text1"/>
          <w:highlight w:val="none"/>
          <w:lang w:eastAsia="zh-CN"/>
          <w14:textFill>
            <w14:solidFill>
              <w14:schemeClr w14:val="tx1"/>
            </w14:solidFill>
          </w14:textFill>
        </w:rPr>
        <w:fldChar w:fldCharType="begin"/>
      </w:r>
      <w:r>
        <w:rPr>
          <w:rStyle w:val="164"/>
          <w:color w:val="000000" w:themeColor="text1"/>
          <w:highlight w:val="none"/>
          <w:lang w:eastAsia="zh-CN"/>
          <w14:textFill>
            <w14:solidFill>
              <w14:schemeClr w14:val="tx1"/>
            </w14:solidFill>
          </w14:textFill>
        </w:rPr>
        <w:instrText xml:space="preserve"> </w:instrText>
      </w:r>
      <w:r>
        <w:rPr>
          <w:rStyle w:val="164"/>
          <w:rFonts w:hint="eastAsia"/>
          <w:color w:val="000000" w:themeColor="text1"/>
          <w:highlight w:val="none"/>
          <w:lang w:eastAsia="zh-CN"/>
          <w14:textFill>
            <w14:solidFill>
              <w14:schemeClr w14:val="tx1"/>
            </w14:solidFill>
          </w14:textFill>
        </w:rPr>
        <w:instrText xml:space="preserve">STYLEREF 2 \s</w:instrText>
      </w:r>
      <w:r>
        <w:rPr>
          <w:rStyle w:val="164"/>
          <w:color w:val="000000" w:themeColor="text1"/>
          <w:highlight w:val="none"/>
          <w:lang w:eastAsia="zh-CN"/>
          <w14:textFill>
            <w14:solidFill>
              <w14:schemeClr w14:val="tx1"/>
            </w14:solidFill>
          </w14:textFill>
        </w:rPr>
        <w:instrText xml:space="preserve"> </w:instrText>
      </w:r>
      <w:r>
        <w:rPr>
          <w:rStyle w:val="164"/>
          <w:color w:val="000000" w:themeColor="text1"/>
          <w:highlight w:val="none"/>
          <w:lang w:eastAsia="zh-CN"/>
          <w14:textFill>
            <w14:solidFill>
              <w14:schemeClr w14:val="tx1"/>
            </w14:solidFill>
          </w14:textFill>
        </w:rPr>
        <w:fldChar w:fldCharType="separate"/>
      </w:r>
      <w:r>
        <w:rPr>
          <w:rStyle w:val="164"/>
          <w:color w:val="000000" w:themeColor="text1"/>
          <w:highlight w:val="none"/>
          <w:lang w:eastAsia="zh-CN"/>
          <w14:textFill>
            <w14:solidFill>
              <w14:schemeClr w14:val="tx1"/>
            </w14:solidFill>
          </w14:textFill>
        </w:rPr>
        <w:t>6.6</w:t>
      </w:r>
      <w:r>
        <w:rPr>
          <w:rStyle w:val="164"/>
          <w:color w:val="000000" w:themeColor="text1"/>
          <w:highlight w:val="none"/>
          <w:lang w:eastAsia="zh-CN"/>
          <w14:textFill>
            <w14:solidFill>
              <w14:schemeClr w14:val="tx1"/>
            </w14:solidFill>
          </w14:textFill>
        </w:rPr>
        <w:fldChar w:fldCharType="end"/>
      </w:r>
      <w:r>
        <w:rPr>
          <w:rStyle w:val="164"/>
          <w:color w:val="000000" w:themeColor="text1"/>
          <w:highlight w:val="none"/>
          <w:lang w:eastAsia="zh-CN"/>
          <w14:textFill>
            <w14:solidFill>
              <w14:schemeClr w14:val="tx1"/>
            </w14:solidFill>
          </w14:textFill>
        </w:rPr>
        <w:noBreakHyphen/>
      </w:r>
      <w:r>
        <w:rPr>
          <w:rStyle w:val="164"/>
          <w:color w:val="000000" w:themeColor="text1"/>
          <w:highlight w:val="none"/>
          <w:lang w:eastAsia="zh-CN"/>
          <w14:textFill>
            <w14:solidFill>
              <w14:schemeClr w14:val="tx1"/>
            </w14:solidFill>
          </w14:textFill>
        </w:rPr>
        <w:fldChar w:fldCharType="begin"/>
      </w:r>
      <w:r>
        <w:rPr>
          <w:rStyle w:val="164"/>
          <w:color w:val="000000" w:themeColor="text1"/>
          <w:highlight w:val="none"/>
          <w:lang w:eastAsia="zh-CN"/>
          <w14:textFill>
            <w14:solidFill>
              <w14:schemeClr w14:val="tx1"/>
            </w14:solidFill>
          </w14:textFill>
        </w:rPr>
        <w:instrText xml:space="preserve"> </w:instrText>
      </w:r>
      <w:r>
        <w:rPr>
          <w:rStyle w:val="164"/>
          <w:rFonts w:hint="eastAsia"/>
          <w:color w:val="000000" w:themeColor="text1"/>
          <w:highlight w:val="none"/>
          <w:lang w:eastAsia="zh-CN"/>
          <w14:textFill>
            <w14:solidFill>
              <w14:schemeClr w14:val="tx1"/>
            </w14:solidFill>
          </w14:textFill>
        </w:rPr>
        <w:instrText xml:space="preserve">SEQ 图 \* ARABIC \s 2</w:instrText>
      </w:r>
      <w:r>
        <w:rPr>
          <w:rStyle w:val="164"/>
          <w:color w:val="000000" w:themeColor="text1"/>
          <w:highlight w:val="none"/>
          <w:lang w:eastAsia="zh-CN"/>
          <w14:textFill>
            <w14:solidFill>
              <w14:schemeClr w14:val="tx1"/>
            </w14:solidFill>
          </w14:textFill>
        </w:rPr>
        <w:instrText xml:space="preserve"> </w:instrText>
      </w:r>
      <w:r>
        <w:rPr>
          <w:rStyle w:val="164"/>
          <w:color w:val="000000" w:themeColor="text1"/>
          <w:highlight w:val="none"/>
          <w:lang w:eastAsia="zh-CN"/>
          <w14:textFill>
            <w14:solidFill>
              <w14:schemeClr w14:val="tx1"/>
            </w14:solidFill>
          </w14:textFill>
        </w:rPr>
        <w:fldChar w:fldCharType="separate"/>
      </w:r>
      <w:r>
        <w:rPr>
          <w:rStyle w:val="164"/>
          <w:rFonts w:hint="eastAsia"/>
          <w:color w:val="000000" w:themeColor="text1"/>
          <w:highlight w:val="none"/>
          <w:lang w:eastAsia="zh-CN"/>
          <w14:textFill>
            <w14:solidFill>
              <w14:schemeClr w14:val="tx1"/>
            </w14:solidFill>
          </w14:textFill>
        </w:rPr>
        <w:t>4</w:t>
      </w:r>
      <w:r>
        <w:rPr>
          <w:rStyle w:val="164"/>
          <w:color w:val="000000" w:themeColor="text1"/>
          <w:highlight w:val="none"/>
          <w:lang w:eastAsia="zh-CN"/>
          <w14:textFill>
            <w14:solidFill>
              <w14:schemeClr w14:val="tx1"/>
            </w14:solidFill>
          </w14:textFill>
        </w:rPr>
        <w:fldChar w:fldCharType="end"/>
      </w:r>
      <w:r>
        <w:rPr>
          <w:rStyle w:val="164"/>
          <w:color w:val="000000" w:themeColor="text1"/>
          <w:highlight w:val="none"/>
          <w:lang w:eastAsia="zh-CN"/>
          <w14:textFill>
            <w14:solidFill>
              <w14:schemeClr w14:val="tx1"/>
            </w14:solidFill>
          </w14:textFill>
        </w:rPr>
        <w:t xml:space="preserve"> </w:t>
      </w:r>
      <w:r>
        <w:rPr>
          <w:rStyle w:val="164"/>
          <w:rFonts w:hint="eastAsia"/>
          <w:color w:val="000000" w:themeColor="text1"/>
          <w:highlight w:val="none"/>
          <w:lang w:eastAsia="zh-CN"/>
          <w14:textFill>
            <w14:solidFill>
              <w14:schemeClr w14:val="tx1"/>
            </w14:solidFill>
          </w14:textFill>
        </w:rPr>
        <w:t>应急管理组织机构框图</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（4）应急响应</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1）分类与分级</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分类</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分公司各所属单位应根据应急事件的发生过程、性质和机理，按照工业生产事件、公共卫生事件、自然灾害事件和社会安全事件的类别，经危害识别、风险评估，确定单位内可能发生或易发生的应急事件。</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分级</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为了有效处置各类突发事件，按照突发事件的性质、危害程度、可控性、影响范围、人员伤亡和财产损失等因素，并依据机构设置情况，由高到低分为五个级别：Ⅰ（中国石化）级、Ⅱ（中原油田）级、Ⅲ（分公司）级、Ⅳ（厂）级、Ⅴ（车间、区）级等。</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2）响应程序</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应急启动条件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符合以下条件之一时，应启动本预案：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a）中原油田要求分公司启动应急预案时；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b）市、县级人民政府要求分公司启动应急预案时；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c）发生Ⅲ（分公司）级及Ⅲ级以上事件时；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d）所属单位请求时。</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应急指令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发生突发事件时，应急指令下达程序见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_Ref142923854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5</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color w:val="000000" w:themeColor="text1"/>
          <w:highlight w:val="none"/>
          <w:lang w:eastAsia="zh-CN"/>
          <w14:textFill>
            <w14:solidFill>
              <w14:schemeClr w14:val="tx1"/>
            </w14:solidFill>
          </w14:textFill>
        </w:rPr>
        <w:drawing>
          <wp:inline distT="0" distB="0" distL="0" distR="0">
            <wp:extent cx="5274310" cy="493141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9"/>
                    <a:stretch>
                      <a:fillRect/>
                    </a:stretch>
                  </pic:blipFill>
                  <pic:spPr>
                    <a:xfrm>
                      <a:off x="0" y="0"/>
                      <a:ext cx="5274310" cy="4931410"/>
                    </a:xfrm>
                    <a:prstGeom prst="rect">
                      <a:avLst/>
                    </a:prstGeom>
                  </pic:spPr>
                </pic:pic>
              </a:graphicData>
            </a:graphic>
          </wp:inline>
        </w:drawing>
      </w:r>
    </w:p>
    <w:p>
      <w:pPr>
        <w:pStyle w:val="163"/>
        <w:rPr>
          <w:color w:val="000000" w:themeColor="text1"/>
          <w:highlight w:val="none"/>
          <w14:textFill>
            <w14:solidFill>
              <w14:schemeClr w14:val="tx1"/>
            </w14:solidFill>
          </w14:textFill>
        </w:rPr>
      </w:pPr>
      <w:bookmarkStart w:id="387" w:name="_Ref142923854"/>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bookmarkEnd w:id="387"/>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普光分公司应急指令下达程序框图</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应急处置</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当符合应急预案启动条件时，分公司应急指挥中心应立即下达启动本预案的指令，并按照本预案中相应专项应急预案的要求实施应急处置。</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当事件难以控制时，分公司应急指挥中心应请求启动相应的应急预案，并向市级政府应急管理办公室报告，请求支援。</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（5）应急结束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经应急处置后，现场应急指挥部确认满足专项应急预案终止条件时，向分公司应急指挥中心报告，分公司应急指挥中心可下达应急终止指令。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（6）应急保障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1）应急队伍保障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w:t>
      </w:r>
      <w:r>
        <w:rPr>
          <w:rFonts w:hint="eastAsia" w:cs="Times New Roman"/>
          <w:color w:val="000000" w:themeColor="text1"/>
          <w:highlight w:val="none"/>
          <w:lang w:eastAsia="zh-CN"/>
          <w14:textFill>
            <w14:solidFill>
              <w14:schemeClr w14:val="tx1"/>
            </w14:solidFill>
          </w14:textFill>
        </w:rPr>
        <w:t>消防</w:t>
      </w:r>
      <w:r>
        <w:rPr>
          <w:rFonts w:cs="Times New Roman"/>
          <w:color w:val="000000" w:themeColor="text1"/>
          <w:highlight w:val="none"/>
          <w14:textFill>
            <w14:solidFill>
              <w14:schemeClr w14:val="tx1"/>
            </w14:solidFill>
          </w14:textFill>
        </w:rPr>
        <w:t>、医疗卫生、治安保卫、交通维护和运输等应急救援力量的保障。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2）财力保障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事件处置过程中的费用，由计划财务部门负责保障；事件应急处置结束后，各级应急指挥中心办公室对应急处置费用进行整理汇总，计划财务部给予核销。</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3）物资保障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4）通信保障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生产服务中心负责建立、完善应急通讯网络系统，在应急工作中确保应急通信畅通。</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5）技术保障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天然气技术管理部负责建立由各专业领域技术、经验丰富的人员组成技术专家组，结合事故发生厂所属技术力量，为事故的应急处置提供技术支持。</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6）基本生活保障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分公司应急指挥中心应会同事发地人民政府做好抢险队伍、受灾员工和疏散群众的基本生活保障工作。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7）人员防护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按照国家法律法规、标准、规范的要求，应急救援人员配备安全职业防护装备，严格按照救援程序开展应急救援工作，确保人员安全。在生产区域内岗位人员配备安全职业防护装备，建立紧急集合点。</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388" w:name="_Toc120173206"/>
      <w:r>
        <w:rPr>
          <w:color w:val="000000" w:themeColor="text1"/>
          <w:highlight w:val="none"/>
          <w:lang w:eastAsia="zh-CN"/>
          <w14:textFill>
            <w14:solidFill>
              <w14:schemeClr w14:val="tx1"/>
            </w14:solidFill>
          </w14:textFill>
        </w:rPr>
        <w:t>本项目环境风险应急预案</w:t>
      </w:r>
      <w:bookmarkEnd w:id="388"/>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（1）钻井</w:t>
      </w:r>
      <w:bookmarkStart w:id="389" w:name="OLE_LINK363"/>
      <w:bookmarkStart w:id="390" w:name="OLE_LINK364"/>
      <w:r>
        <w:rPr>
          <w:rFonts w:cs="Times New Roman"/>
          <w:b/>
          <w:color w:val="000000" w:themeColor="text1"/>
          <w:highlight w:val="none"/>
          <w14:textFill>
            <w14:solidFill>
              <w14:schemeClr w14:val="tx1"/>
            </w14:solidFill>
          </w14:textFill>
        </w:rPr>
        <w:t>过程</w:t>
      </w:r>
      <w:bookmarkEnd w:id="389"/>
      <w:bookmarkEnd w:id="390"/>
      <w:r>
        <w:rPr>
          <w:rFonts w:cs="Times New Roman"/>
          <w:b/>
          <w:color w:val="000000" w:themeColor="text1"/>
          <w:highlight w:val="none"/>
          <w14:textFill>
            <w14:solidFill>
              <w14:schemeClr w14:val="tx1"/>
            </w14:solidFill>
          </w14:textFill>
        </w:rPr>
        <w:t>风险应急预案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环评要求建设单位在钻井工程施工前编制</w:t>
      </w:r>
      <w:r>
        <w:rPr>
          <w:rFonts w:hint="eastAsia" w:cs="Times New Roman"/>
          <w:color w:val="000000" w:themeColor="text1"/>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钻井工程专项应急预案，并在地方生态环境主管部门进行备案。根据前述环境风险事故分析，本次评价将针对本项目钻井作业的特点，结合企业制定的应急预案，提出环境风险事故应急预案编制要求，供企业及有关部门参考。</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1）应急预案编制内容及要求</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根据前述环境风险事故分析，本</w:t>
      </w:r>
      <w:r>
        <w:rPr>
          <w:rFonts w:hint="eastAsia" w:cs="Times New Roman"/>
          <w:color w:val="000000" w:themeColor="text1"/>
          <w:highlight w:val="none"/>
          <w14:textFill>
            <w14:solidFill>
              <w14:schemeClr w14:val="tx1"/>
            </w14:solidFill>
          </w14:textFill>
        </w:rPr>
        <w:t>项目</w:t>
      </w:r>
      <w:r>
        <w:rPr>
          <w:rFonts w:cs="Times New Roman"/>
          <w:color w:val="000000" w:themeColor="text1"/>
          <w:highlight w:val="none"/>
          <w14:textFill>
            <w14:solidFill>
              <w14:schemeClr w14:val="tx1"/>
            </w14:solidFill>
          </w14:textFill>
        </w:rPr>
        <w:t>环境风险事故应急预案编制要求见</w:t>
      </w:r>
      <w:r>
        <w:rPr>
          <w:rFonts w:cs="Times New Roman"/>
          <w:color w:val="000000" w:themeColor="text1"/>
          <w:highlight w:val="none"/>
          <w14:textFill>
            <w14:solidFill>
              <w14:schemeClr w14:val="tx1"/>
            </w14:solidFill>
          </w14:textFill>
        </w:rPr>
        <w:fldChar w:fldCharType="begin"/>
      </w:r>
      <w:r>
        <w:rPr>
          <w:rFonts w:cs="Times New Roman"/>
          <w:color w:val="000000" w:themeColor="text1"/>
          <w:highlight w:val="none"/>
          <w14:textFill>
            <w14:solidFill>
              <w14:schemeClr w14:val="tx1"/>
            </w14:solidFill>
          </w14:textFill>
        </w:rPr>
        <w:instrText xml:space="preserve"> REF _Ref142859473 \h  \* MERGEFORMAT </w:instrText>
      </w:r>
      <w:r>
        <w:rPr>
          <w:rFonts w:cs="Times New Roman"/>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highlight w:val="none"/>
          <w14:textFill>
            <w14:solidFill>
              <w14:schemeClr w14:val="tx1"/>
            </w14:solidFill>
          </w14:textFill>
        </w:rPr>
        <w:fldChar w:fldCharType="end"/>
      </w:r>
      <w:r>
        <w:rPr>
          <w:rFonts w:cs="Times New Roman"/>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391" w:name="_Ref14285947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391"/>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应急预案主要内容一览表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38"/>
        <w:gridCol w:w="1079"/>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tblHeader/>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序号</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项目</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应急计划区</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危险目标：钻井地层</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环境保护目标：测试放喷时，井口周边0～500m为紧急撤离范围。当发生井喷失控时，一般撤离范围可根据监测情况决定。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应急组织机构、人员</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组织机构为中原油田普光分公司，钻井队及其管理单位、当地政府。</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关键依靠钻井队、当地政府。</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充分、重点发挥地方镇乡、村级政府的组织能力，纳入应急组织机构中。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预案分级</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响应条件</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规定预案的级别及分级响应程序：</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把重大环境污染事故定为三级，定性为一般，涉及组织单位为中原油田普光分公司、钻井队和当地环保部门。</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井喷及井喷失控定为一级。涉及组织单位为中原油田普光分公司、钻井队及其管理单位、当地政府。响应程度依次增强。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4</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应急救援</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保障</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应急设施，设备与器材等：</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井场配备H</w:t>
            </w:r>
            <w:r>
              <w:rPr>
                <w:rFonts w:hint="default"/>
                <w:color w:val="000000" w:themeColor="text1"/>
                <w:sz w:val="21"/>
                <w:szCs w:val="21"/>
                <w:highlight w:val="none"/>
                <w:vertAlign w:val="subscript"/>
                <w14:textFill>
                  <w14:solidFill>
                    <w14:schemeClr w14:val="tx1"/>
                  </w14:solidFill>
                </w14:textFill>
              </w:rPr>
              <w:t>2</w:t>
            </w:r>
            <w:r>
              <w:rPr>
                <w:rFonts w:hint="default"/>
                <w:color w:val="000000" w:themeColor="text1"/>
                <w:sz w:val="21"/>
                <w:szCs w:val="21"/>
                <w:highlight w:val="none"/>
                <w14:textFill>
                  <w14:solidFill>
                    <w14:schemeClr w14:val="tx1"/>
                  </w14:solidFill>
                </w14:textFill>
              </w:rPr>
              <w:t>S测试、防毒、医疗、消防、疏散等应急设施。</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钻开气层前通知当地医院、消防队等方面救援保障力量以及钻井队主管部门、普光分公司的应急救援单位。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5</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报警、通讯联络方式</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规定应急状态下的报警通讯方式、通知方式和交通保障、管制：</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协调井队通过广播系统和电话通知。至少在1个小组设2个电话联络点。小组通知人员应指定4人负责通知本小组内的居民。并电话通知当地交警队负责交通保障、管制，不允许非救援车辆进入危险井口周边区域。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6</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应急环境监测、抢险、救援及控制</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措施</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环境应急监测可组织协调当地环境监测中心站。</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抢险、救援组织协调当地消防队、医院和钻井主管部门及普光分公司的应急队伍。</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控制措施主要由钻井队和其管理部门、普光分公司等部门共同协商控制。</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井喷失控的关键控制措施：应立即组织撤离井口周边500m的居民。同时保证井喷失控在15min内点火，燃烧泄漏天然气。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7</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应急检测、防护措施、清除泄漏措施和器材</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应急检测、防护采用井队配备的设备和消防队伍的设备，必要可增加普光分公司、钻井队主管部门的检测防护设备。清除泄漏必要时可通过消防车喷雾状水溶解将大气污染物转化为地表水污染物。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8</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人员紧急撤离、疏散，应急剂量控制、撤离组织计划</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紧急撤离区：井口外500m范围为紧急撤离区。撤离路线应根据钻井井场风向标，沿发生事故时的上风向方向或侧风向远离事故源方向撤离。通过高音喇叭、广播、电话及时通知周边各户居民，保证全部及时通知撤离。</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2个联络点。小组负责人指定4人负责通知小组内的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9</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事故应急救援关闭程序与恢复措施</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规定应急状态终止程序事故现场善后处理，恢复措施邻近区域解除事故警戒及善后恢复措施</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（1）井喷失控得到控制，伤亡人员得到全部救援和安置，危险区域的居民全部撤离。</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（2）恢复措施：对事故伤亡情况进行统计，应做好详细的记录并存档。行政领导组应尽快协调各</w:t>
            </w:r>
            <w:r>
              <w:rPr>
                <w:rFonts w:hint="eastAsia"/>
                <w:color w:val="000000" w:themeColor="text1"/>
                <w:sz w:val="21"/>
                <w:szCs w:val="21"/>
                <w:highlight w:val="none"/>
                <w:lang w:eastAsia="zh-CN"/>
                <w14:textFill>
                  <w14:solidFill>
                    <w14:schemeClr w14:val="tx1"/>
                  </w14:solidFill>
                </w14:textFill>
              </w:rPr>
              <w:t>部门</w:t>
            </w:r>
            <w:r>
              <w:rPr>
                <w:rFonts w:hint="default"/>
                <w:color w:val="000000" w:themeColor="text1"/>
                <w:sz w:val="21"/>
                <w:szCs w:val="21"/>
                <w:highlight w:val="none"/>
                <w14:textFill>
                  <w14:solidFill>
                    <w14:schemeClr w14:val="tx1"/>
                  </w14:solidFill>
                </w14:textFill>
              </w:rPr>
              <w:t>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四不放过”的原则进行事故处理；做出事故调查报告，同时总结事件教训，实行安全事故的教育培训，杜绝类似事件的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应急培训</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计划</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应急计划制定后，平时安排人员培训与演练：</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着重在钻含气层前的演练，把井口周边500m范围内居民纳入培训、演练队伍。井队安全监督要对井队全体员工进行应急救援培训，提高员工的应急救援能力。加强对组织人员向井场附近居民宣传H</w:t>
            </w:r>
            <w:r>
              <w:rPr>
                <w:rFonts w:hint="default"/>
                <w:color w:val="000000" w:themeColor="text1"/>
                <w:sz w:val="21"/>
                <w:szCs w:val="21"/>
                <w:highlight w:val="none"/>
                <w:vertAlign w:val="subscript"/>
                <w14:textFill>
                  <w14:solidFill>
                    <w14:schemeClr w14:val="tx1"/>
                  </w14:solidFill>
                </w14:textFill>
              </w:rPr>
              <w:t>2</w:t>
            </w:r>
            <w:r>
              <w:rPr>
                <w:rFonts w:hint="default"/>
                <w:color w:val="000000" w:themeColor="text1"/>
                <w:sz w:val="21"/>
                <w:szCs w:val="21"/>
                <w:highlight w:val="none"/>
                <w14:textFill>
                  <w14:solidFill>
                    <w14:schemeClr w14:val="tx1"/>
                  </w14:solidFill>
                </w14:textFill>
              </w:rPr>
              <w:t>S和井喷的危害及相关知识。井队队长及安全员负责</w:t>
            </w:r>
            <w:r>
              <w:rPr>
                <w:rFonts w:hint="eastAsia"/>
                <w:color w:val="000000" w:themeColor="text1"/>
                <w:sz w:val="21"/>
                <w:szCs w:val="21"/>
                <w:highlight w:val="none"/>
                <w:lang w:eastAsia="zh-CN"/>
                <w14:textFill>
                  <w14:solidFill>
                    <w14:schemeClr w14:val="tx1"/>
                  </w14:solidFill>
                </w14:textFill>
              </w:rPr>
              <w:t>制定</w:t>
            </w:r>
            <w:r>
              <w:rPr>
                <w:rFonts w:hint="default"/>
                <w:color w:val="000000" w:themeColor="text1"/>
                <w:sz w:val="21"/>
                <w:szCs w:val="21"/>
                <w:highlight w:val="none"/>
                <w14:textFill>
                  <w14:solidFill>
                    <w14:schemeClr w14:val="tx1"/>
                  </w14:solidFill>
                </w14:textFill>
              </w:rPr>
              <w:t>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11</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公众教育和信息</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bookmarkStart w:id="392" w:name="OLE_LINK418"/>
            <w:bookmarkStart w:id="393" w:name="OLE_LINK417"/>
            <w:r>
              <w:rPr>
                <w:rFonts w:hint="default"/>
                <w:color w:val="000000" w:themeColor="text1"/>
                <w:sz w:val="21"/>
                <w:szCs w:val="21"/>
                <w:highlight w:val="none"/>
                <w14:textFill>
                  <w14:solidFill>
                    <w14:schemeClr w14:val="tx1"/>
                  </w14:solidFill>
                </w14:textFill>
              </w:rPr>
              <w:t>对井场邻近地区开展公众教育、培训和发布有关信息：</w:t>
            </w:r>
            <w:bookmarkEnd w:id="392"/>
            <w:bookmarkEnd w:id="393"/>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安全距离内居民进行公众教育，发宣传册。钻井工程前，要向可能危及居民安全范围内进行H</w:t>
            </w:r>
            <w:r>
              <w:rPr>
                <w:rFonts w:hint="default"/>
                <w:color w:val="000000" w:themeColor="text1"/>
                <w:sz w:val="21"/>
                <w:szCs w:val="21"/>
                <w:highlight w:val="none"/>
                <w:vertAlign w:val="subscript"/>
                <w14:textFill>
                  <w14:solidFill>
                    <w14:schemeClr w14:val="tx1"/>
                  </w14:solidFill>
                </w14:textFill>
              </w:rPr>
              <w:t>2</w:t>
            </w:r>
            <w:r>
              <w:rPr>
                <w:rFonts w:hint="default"/>
                <w:color w:val="000000" w:themeColor="text1"/>
                <w:sz w:val="21"/>
                <w:szCs w:val="21"/>
                <w:highlight w:val="none"/>
                <w14:textFill>
                  <w14:solidFill>
                    <w14:schemeClr w14:val="tx1"/>
                  </w14:solidFill>
                </w14:textFill>
              </w:rPr>
              <w:t>S安全知识和遇紧急情况时的应急预案教育，提出紧急情况下的安全撤离要求。</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单位应主动联系当地政府，对紧急撤离区范围内的居民通过发放宣传册普及安全知识，内容应有危害程度、防范应急救护措施。同时应在进入含硫气层前对500m范围内的居民进行应急演练一次。对一般撤离区范围居民发放宣传册普及安全知识，内容应有危害程度、防范应急救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12</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夜间特别管理机制</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井场配备高音喇叭、防爆灯具，以便夜间事故及时通知周边较近距离的居民，防爆灯具应布置在井场内风向标处，以便井场人员和周边较近居民可判断风向，带领其他人员撤离。</w:t>
            </w:r>
          </w:p>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538"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13</w:t>
            </w:r>
          </w:p>
        </w:tc>
        <w:tc>
          <w:tcPr>
            <w:tcW w:w="1079"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备案</w:t>
            </w:r>
          </w:p>
        </w:tc>
        <w:tc>
          <w:tcPr>
            <w:tcW w:w="6603" w:type="dxa"/>
            <w:vAlign w:val="center"/>
          </w:tcPr>
          <w:p>
            <w:pPr>
              <w:pStyle w:val="25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将本项目钻井工程应急预案报送地方环保部门备案。</w:t>
            </w:r>
          </w:p>
        </w:tc>
      </w:tr>
    </w:tbl>
    <w:p>
      <w:pPr>
        <w:spacing w:before="120" w:beforeLines="50"/>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2）宣传、培训和演习</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公众信息交流：各级政府、各陆上石油天然气开采企业要按规定向公众和员工说明陆上石油天然气开采的危险性及发生事故可能造成的危害，广泛宣传应急救援有关法律法规和陆上石油天然气开采事故预防、避险、避灾、自救、互救的常识。</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培训：陆上石油天然气开采有关应急救援队伍按照有关规定参加业务培训；陆上石油天然气开采企业按照有关规定对员工进行应急培训；各级安全生产监督管理部门负责对应急救援培训情况进行监督检查。各级应急救援管理机构加强应急管理、救援人员的上岗前培训和常规性培训。</w:t>
      </w:r>
    </w:p>
    <w:p>
      <w:pPr>
        <w:ind w:firstLine="480"/>
        <w:rPr>
          <w:rFonts w:cs="Times New Roman"/>
          <w:color w:val="000000" w:themeColor="text1"/>
          <w:highlight w:val="none"/>
          <w14:textFill>
            <w14:solidFill>
              <w14:schemeClr w14:val="tx1"/>
            </w14:solidFill>
          </w14:textFill>
        </w:rPr>
      </w:pPr>
      <w:bookmarkStart w:id="394" w:name="OLE_LINK185"/>
      <w:bookmarkStart w:id="395" w:name="OLE_LINK186"/>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演习：陆上石油天然气开采企业按有关规定定期组织应急救援演习；中石化有关专业应急机构和地方人民政府根据自身实际情况定期组织陆上石油天然气开采事故应急救援演习，并于演习结束后向安全监管总局提交书面总结。应急指挥中心每年会同有关部门和地方政府组织一次应急演习。</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普光分公司及所属单位每年至少组织一次井喷失控事故应急演习，并将演习总结报应急指挥中心办公室。</w:t>
      </w:r>
    </w:p>
    <w:bookmarkEnd w:id="394"/>
    <w:bookmarkEnd w:id="395"/>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3）</w:t>
      </w:r>
      <w:r>
        <w:rPr>
          <w:rFonts w:hint="eastAsia" w:cs="Times New Roman"/>
          <w:b/>
          <w:color w:val="000000" w:themeColor="text1"/>
          <w:highlight w:val="none"/>
          <w14:textFill>
            <w14:solidFill>
              <w14:schemeClr w14:val="tx1"/>
            </w14:solidFill>
          </w14:textFill>
        </w:rPr>
        <w:t>放喷</w:t>
      </w:r>
      <w:r>
        <w:rPr>
          <w:rFonts w:cs="Times New Roman"/>
          <w:b/>
          <w:color w:val="000000" w:themeColor="text1"/>
          <w:highlight w:val="none"/>
          <w14:textFill>
            <w14:solidFill>
              <w14:schemeClr w14:val="tx1"/>
            </w14:solidFill>
          </w14:textFill>
        </w:rPr>
        <w:t>池垮塌、污染物外溢的应急预案</w:t>
      </w:r>
    </w:p>
    <w:p>
      <w:pPr>
        <w:ind w:firstLine="480"/>
        <w:rPr>
          <w:rFonts w:cs="Times New Roman"/>
          <w:color w:val="000000" w:themeColor="text1"/>
          <w:highlight w:val="none"/>
          <w14:textFill>
            <w14:solidFill>
              <w14:schemeClr w14:val="tx1"/>
            </w14:solidFill>
          </w14:textFill>
        </w:rPr>
      </w:pPr>
      <w:bookmarkStart w:id="396" w:name="OLE_LINK191"/>
      <w:bookmarkStart w:id="397" w:name="OLE_LINK192"/>
      <w:r>
        <w:rPr>
          <w:rFonts w:cs="Times New Roman"/>
          <w:color w:val="000000" w:themeColor="text1"/>
          <w:highlight w:val="none"/>
          <w14:textFill>
            <w14:solidFill>
              <w14:schemeClr w14:val="tx1"/>
            </w14:solidFill>
          </w14:textFill>
        </w:rPr>
        <w:t>因山洪等发生污水池垮塌、污染物外溢事故时，现场工作人员应立即向现场应急领导小组组长报告；组长应立即安排人员采取堵塞沟渠或筑隔离带，拦截外溢的泥浆污染物，用泵、人工回收等方法及时清理回收废泥浆，防止污染继续扩大，同时修复</w:t>
      </w:r>
      <w:r>
        <w:rPr>
          <w:rFonts w:hint="eastAsia" w:cs="Times New Roman"/>
          <w:color w:val="000000" w:themeColor="text1"/>
          <w:highlight w:val="none"/>
          <w14:textFill>
            <w14:solidFill>
              <w14:schemeClr w14:val="tx1"/>
            </w14:solidFill>
          </w14:textFill>
        </w:rPr>
        <w:t>放喷</w:t>
      </w:r>
      <w:r>
        <w:rPr>
          <w:rFonts w:cs="Times New Roman"/>
          <w:color w:val="000000" w:themeColor="text1"/>
          <w:highlight w:val="none"/>
          <w14:textFill>
            <w14:solidFill>
              <w14:schemeClr w14:val="tx1"/>
            </w14:solidFill>
          </w14:textFill>
        </w:rPr>
        <w:t>池，彻底消除污染事故隐患。</w:t>
      </w:r>
      <w:bookmarkEnd w:id="396"/>
      <w:bookmarkEnd w:id="397"/>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对于受污染的居民饮用水井，现场应急领导小组组长安排人员在井口处设</w:t>
      </w:r>
      <w:r>
        <w:rPr>
          <w:rFonts w:ascii="宋体" w:hAnsi="宋体" w:cs="Times New Roman"/>
          <w:color w:val="000000" w:themeColor="text1"/>
          <w:highlight w:val="none"/>
          <w14:textFill>
            <w14:solidFill>
              <w14:schemeClr w14:val="tx1"/>
            </w14:solidFill>
          </w14:textFill>
        </w:rPr>
        <w:t>置“不准饮用”</w:t>
      </w:r>
      <w:r>
        <w:rPr>
          <w:rFonts w:cs="Times New Roman"/>
          <w:color w:val="000000" w:themeColor="text1"/>
          <w:highlight w:val="none"/>
          <w14:textFill>
            <w14:solidFill>
              <w14:schemeClr w14:val="tx1"/>
            </w14:solidFill>
          </w14:textFill>
        </w:rPr>
        <w:t>警示牌。派人通知各饮用水住户，告知井水被污染的情况和不准饮用的信息。用水泵抽尽井内受污染的水源</w:t>
      </w:r>
      <w:r>
        <w:rPr>
          <w:rFonts w:ascii="宋体" w:hAnsi="宋体" w:cs="Times New Roman"/>
          <w:color w:val="000000" w:themeColor="text1"/>
          <w:highlight w:val="none"/>
          <w14:textFill>
            <w14:solidFill>
              <w14:schemeClr w14:val="tx1"/>
            </w14:solidFill>
          </w14:textFill>
        </w:rPr>
        <w:t>。通知监测机构对新井水取样检测，确认没有污染后，经地方生态环境局确认后，移走“不准饮用”的警示牌，告知当地饮用水住户可饮用的信息</w:t>
      </w:r>
      <w:r>
        <w:rPr>
          <w:rFonts w:cs="Times New Roman"/>
          <w:color w:val="000000" w:themeColor="text1"/>
          <w:highlight w:val="none"/>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如果污染控制措施失败，污染继续扩大，钻井队已无能力继续控制时，则报当地政府及生态环境局，请求立即给予应急救援。同时配合上级有关人员对污染事故进行处理。</w:t>
      </w:r>
    </w:p>
    <w:p>
      <w:pPr>
        <w:ind w:firstLine="482"/>
        <w:rPr>
          <w:rFonts w:cs="Times New Roman"/>
          <w:color w:val="000000" w:themeColor="text1"/>
          <w:highlight w:val="none"/>
          <w14:textFill>
            <w14:solidFill>
              <w14:schemeClr w14:val="tx1"/>
            </w14:solidFill>
          </w14:textFill>
        </w:rPr>
      </w:pPr>
      <w:bookmarkStart w:id="398" w:name="OLE_LINK195"/>
      <w:bookmarkStart w:id="399" w:name="OLE_LINK196"/>
      <w:r>
        <w:rPr>
          <w:rFonts w:cs="Times New Roman"/>
          <w:b/>
          <w:color w:val="000000" w:themeColor="text1"/>
          <w:highlight w:val="none"/>
          <w14:textFill>
            <w14:solidFill>
              <w14:schemeClr w14:val="tx1"/>
            </w14:solidFill>
          </w14:textFill>
        </w:rPr>
        <w:t>4）发生火灾、爆炸的应急预</w:t>
      </w:r>
      <w:bookmarkEnd w:id="398"/>
      <w:bookmarkEnd w:id="399"/>
      <w:r>
        <w:rPr>
          <w:rFonts w:cs="Times New Roman"/>
          <w:b/>
          <w:color w:val="000000" w:themeColor="text1"/>
          <w:highlight w:val="none"/>
          <w14:textFill>
            <w14:solidFill>
              <w14:schemeClr w14:val="tx1"/>
            </w14:solidFill>
          </w14:textFill>
        </w:rPr>
        <w:t>案</w:t>
      </w:r>
    </w:p>
    <w:p>
      <w:pPr>
        <w:ind w:firstLine="480"/>
        <w:rPr>
          <w:rFonts w:cs="Times New Roman"/>
          <w:color w:val="000000" w:themeColor="text1"/>
          <w:highlight w:val="none"/>
          <w14:textFill>
            <w14:solidFill>
              <w14:schemeClr w14:val="tx1"/>
            </w14:solidFill>
          </w14:textFill>
        </w:rPr>
      </w:pPr>
      <w:bookmarkStart w:id="400" w:name="OLE_LINK201"/>
      <w:bookmarkStart w:id="401" w:name="OLE_LINK202"/>
      <w:r>
        <w:rPr>
          <w:rFonts w:cs="Times New Roman"/>
          <w:color w:val="000000" w:themeColor="text1"/>
          <w:highlight w:val="none"/>
          <w14:textFill>
            <w14:solidFill>
              <w14:schemeClr w14:val="tx1"/>
            </w14:solidFill>
          </w14:textFill>
        </w:rPr>
        <w:t>当施工期间发生火灾、爆炸事故时应马上关井转入抢险救援工作。</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放喷燃烧筒等设备发生火灾爆炸，设备设施破坏，现场指挥应立即指挥各工段岗位紧急停车，按紧急停车操作规程执行。</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因爆炸损坏井场液体装置发生泄漏，当班班长立即组织人员用雾状水喷淋泄漏源，岗位当班操作人员开关设备的相关阀门等措施处理事故。</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初期火灾应采取现场灭火器材和消防车结合扑救方式消除，严重火灾、爆炸事故要立即通知地方公安消防部门。</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轻症烧、灼伤、机械挫伤、中毒、触电和其他轻伤人员由现场医护人员医治处理、重症人员由专车、专业医护人员陪护送就近县级以上医院医治。</w:t>
      </w:r>
    </w:p>
    <w:bookmarkEnd w:id="400"/>
    <w:bookmarkEnd w:id="401"/>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5）井喷及井喷失控应急处理预案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井喷时立即启动应急预案，根据事态发展变化情况，事故现场抢险指挥部根据应急领导小组的指令并充分考虑专家和有关意见的基础上，依法采取紧急措施，并注意做好以下工作：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a</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井喷失控后严防着火和爆炸。应立即停钻机、机房柴油机，切断井架、钻台、机泵房等处全部照明灯和用电设备的电源，熄灭一切火源，需要时打开专用探照灯，并组织警戒。</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b</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立即向当地政府报告，协助当地政府作好井口</w:t>
      </w:r>
      <w:r>
        <w:rPr>
          <w:rFonts w:hint="eastAsia" w:cs="Times New Roman"/>
          <w:color w:val="000000" w:themeColor="text1"/>
          <w:highlight w:val="none"/>
          <w:lang w:val="en-US" w:eastAsia="zh-CN"/>
          <w14:textFill>
            <w14:solidFill>
              <w14:schemeClr w14:val="tx1"/>
            </w14:solidFill>
          </w14:textFill>
        </w:rPr>
        <w:t>5</w:t>
      </w:r>
      <w:r>
        <w:rPr>
          <w:rFonts w:cs="Times New Roman"/>
          <w:color w:val="000000" w:themeColor="text1"/>
          <w:highlight w:val="none"/>
          <w14:textFill>
            <w14:solidFill>
              <w14:schemeClr w14:val="tx1"/>
            </w14:solidFill>
          </w14:textFill>
        </w:rPr>
        <w:t>00m范围内居民的疏散工作，同时通报普光分公司应急指挥中心办公室。</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c</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设置观察点，定时取样，监测（大气/空气）中的（天然气、H</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S和二氧化碳含量/有毒有害气体（如H</w:t>
      </w:r>
      <w:r>
        <w:rPr>
          <w:rFonts w:cs="Times New Roman"/>
          <w:color w:val="000000" w:themeColor="text1"/>
          <w:highlight w:val="none"/>
          <w:vertAlign w:val="subscript"/>
          <w14:textFill>
            <w14:solidFill>
              <w14:schemeClr w14:val="tx1"/>
            </w14:solidFill>
          </w14:textFill>
        </w:rPr>
        <w:t>2</w:t>
      </w:r>
      <w:r>
        <w:rPr>
          <w:rFonts w:cs="Times New Roman"/>
          <w:color w:val="000000" w:themeColor="text1"/>
          <w:highlight w:val="none"/>
          <w14:textFill>
            <w14:solidFill>
              <w14:schemeClr w14:val="tx1"/>
            </w14:solidFill>
          </w14:textFill>
        </w:rPr>
        <w:t>S）的浓度），划分安全范围。</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d</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迅速成立现场抢险领导小组，根据失控状况制定抢险方案，统一指挥、组织和协调抢险工作。抢险方案</w:t>
      </w:r>
      <w:r>
        <w:rPr>
          <w:rFonts w:hint="eastAsia" w:cs="Times New Roman"/>
          <w:color w:val="000000" w:themeColor="text1"/>
          <w:highlight w:val="none"/>
          <w:lang w:eastAsia="zh-CN"/>
          <w14:textFill>
            <w14:solidFill>
              <w14:schemeClr w14:val="tx1"/>
            </w14:solidFill>
          </w14:textFill>
        </w:rPr>
        <w:t>制定</w:t>
      </w:r>
      <w:r>
        <w:rPr>
          <w:rFonts w:cs="Times New Roman"/>
          <w:color w:val="000000" w:themeColor="text1"/>
          <w:highlight w:val="none"/>
          <w14:textFill>
            <w14:solidFill>
              <w14:schemeClr w14:val="tx1"/>
            </w14:solidFill>
          </w14:textFill>
        </w:rPr>
        <w:t>及实施，要把环境保护同时考虑，同时实施，防止出现次生环境事故。</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e</w:t>
      </w:r>
      <w:r>
        <w:rPr>
          <w:rFonts w:hint="eastAsia" w:cs="Times New Roman"/>
          <w:color w:val="000000" w:themeColor="text1"/>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继续监测污染区有毒有害气体的浓度，根据监测情况决定是否扩大撤离范围。</w:t>
      </w:r>
    </w:p>
    <w:p>
      <w:pPr>
        <w:ind w:firstLine="482"/>
        <w:rPr>
          <w:rFonts w:cs="Times New Roman"/>
          <w:b/>
          <w:color w:val="000000" w:themeColor="text1"/>
          <w:highlight w:val="none"/>
          <w14:textFill>
            <w14:solidFill>
              <w14:schemeClr w14:val="tx1"/>
            </w14:solidFill>
          </w14:textFill>
        </w:rPr>
      </w:pPr>
      <w:r>
        <w:rPr>
          <w:rFonts w:hint="eastAsia" w:cs="Times New Roman"/>
          <w:b/>
          <w:color w:val="000000" w:themeColor="text1"/>
          <w:highlight w:val="none"/>
          <w:lang w:val="en-US" w:eastAsia="zh-CN"/>
          <w14:textFill>
            <w14:solidFill>
              <w14:schemeClr w14:val="tx1"/>
            </w14:solidFill>
          </w14:textFill>
        </w:rPr>
        <w:t>6</w:t>
      </w:r>
      <w:r>
        <w:rPr>
          <w:rFonts w:cs="Times New Roman"/>
          <w:b/>
          <w:color w:val="000000" w:themeColor="text1"/>
          <w:highlight w:val="none"/>
          <w14:textFill>
            <w14:solidFill>
              <w14:schemeClr w14:val="tx1"/>
            </w14:solidFill>
          </w14:textFill>
        </w:rPr>
        <w:t>）废水转运事故应急预案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为防止环境污染，建设单位应制定废水转运事故应急预案。</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发生废水泄漏或者交通事故等导致废水外泄时，现场拉运工作人员和驾驶员在向主管部门报告的同时，应立即采取有效措施，切断废水与河流、农田等之间的泄漏途径，防止废水进入河流或者农田，阻止事态扩大。</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建设单位应立即组织人员赶赴现场指挥应急抢险，了解掌握事故动态，采取有效措施，组织实施抢救，防止事态扩大；严格保护事故现场，维护现场秩序，收集相关证据；及时将污染情况和应急工作情况上报。</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结合废水转运应急预案，建设单位定期组织进行应急预案演习和培训，提高废水罐车司机和拉运工作人员对突发环境事件的应急处置能力。</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发生事故后，应由当地专业环境监测队伍负责对事故现场进行环境监测，对事故性质、参数与后果进行评估。监测方案可参照《突发环境事件应急监测技术规范》（HJ 589-2010）制定。</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（2）试采过程风险应急预案</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根据前述环境风险事故分析，本次评价将针对本项目试采作业的特点，结合企业制定的应急预案，提出试采期环境风险事故应急预案编制要求，供企业及有关部门参考。</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1）通讯联络方式</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报告方式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通常方式有：捎口信、固定电话、移动电话、传真和网络。</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作业区向分公司报告，除非特别紧急的情况采用电话报告外，其它一律书面报告（电传）。</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作业区向当地镇、县、市级政府及其职能部门报告事故时，采用先电话告之，后附书面报告。</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作业区向村社报告事故时，采用电话或口头报告形式。</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报警方式，作业区确认事故后，对社会公众报警的方式为：电告当地市、区、镇人民政府和所属村社。</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电告110、119。</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电告社会团体或企事业单位。</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用高音喇叭通知社会居民或采用口信，一传十，十传百的方式。借助天然气救险车的扩音设备，巡回告之。</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2）应急响应</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险情发生后，应急指挥启动应急预案；</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应急小组立即形成，由应急指挥组组长统一发布应急指挥命令；</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生产抢修组负责现场流程的切换，协调、配合抢险单位实施应急抢险工作，以及在应急情况下现场人员的疏散（考虑该工程</w:t>
      </w:r>
      <w:r>
        <w:rPr>
          <w:rFonts w:hint="eastAsia" w:cs="Times New Roman"/>
          <w:color w:val="000000" w:themeColor="text1"/>
          <w:highlight w:val="none"/>
          <w14:textFill>
            <w14:solidFill>
              <w14:schemeClr w14:val="tx1"/>
            </w14:solidFill>
          </w14:textFill>
        </w:rPr>
        <w:t>距离</w:t>
      </w:r>
      <w:r>
        <w:rPr>
          <w:rFonts w:cs="Times New Roman"/>
          <w:color w:val="000000" w:themeColor="text1"/>
          <w:highlight w:val="none"/>
          <w14:textFill>
            <w14:solidFill>
              <w14:schemeClr w14:val="tx1"/>
            </w14:solidFill>
          </w14:textFill>
        </w:rPr>
        <w:t>居民房屋近的特点，还应组织附近居民的疏散）；</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安全监护组负责现场可燃气体的检测，安全警戒线的设置，并配合相关单位实施应急救援；</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⑤</w:t>
      </w:r>
      <w:r>
        <w:rPr>
          <w:rFonts w:cs="Times New Roman"/>
          <w:color w:val="000000" w:themeColor="text1"/>
          <w:highlight w:val="none"/>
          <w14:textFill>
            <w14:solidFill>
              <w14:schemeClr w14:val="tx1"/>
            </w14:solidFill>
          </w14:textFill>
        </w:rPr>
        <w:t>通讯联络组负责建立抢险单位、救援单位及地方政府有关部门的联络；</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⑥</w:t>
      </w:r>
      <w:r>
        <w:rPr>
          <w:rFonts w:cs="Times New Roman"/>
          <w:color w:val="000000" w:themeColor="text1"/>
          <w:highlight w:val="none"/>
          <w14:textFill>
            <w14:solidFill>
              <w14:schemeClr w14:val="tx1"/>
            </w14:solidFill>
          </w14:textFill>
        </w:rPr>
        <w:t>后勤保障组负责抢险物资组织，后勤、车辆的保障；</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⑦</w:t>
      </w:r>
      <w:r>
        <w:rPr>
          <w:rFonts w:cs="Times New Roman"/>
          <w:color w:val="000000" w:themeColor="text1"/>
          <w:highlight w:val="none"/>
          <w14:textFill>
            <w14:solidFill>
              <w14:schemeClr w14:val="tx1"/>
            </w14:solidFill>
          </w14:textFill>
        </w:rPr>
        <w:t>站场发生异常情况（大面积泄漏、火灾、爆炸）；</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⑧</w:t>
      </w:r>
      <w:r>
        <w:rPr>
          <w:rFonts w:cs="Times New Roman"/>
          <w:color w:val="000000" w:themeColor="text1"/>
          <w:highlight w:val="none"/>
          <w14:textFill>
            <w14:solidFill>
              <w14:schemeClr w14:val="tx1"/>
            </w14:solidFill>
          </w14:textFill>
        </w:rPr>
        <w:t>集气站值班人员在站控室按下装置ESD按钮，实行全站ESD紧急关断，生产系统闭式放空，同时即向应急指挥汇报起火部位、情况；</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⑨</w:t>
      </w:r>
      <w:r>
        <w:rPr>
          <w:rFonts w:cs="Times New Roman"/>
          <w:color w:val="000000" w:themeColor="text1"/>
          <w:highlight w:val="none"/>
          <w14:textFill>
            <w14:solidFill>
              <w14:schemeClr w14:val="tx1"/>
            </w14:solidFill>
          </w14:textFill>
        </w:rPr>
        <w:t>应急指挥下令启动事故应急预案，在控制室向现场下达应急指令；</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⑩</w:t>
      </w:r>
      <w:r>
        <w:rPr>
          <w:rFonts w:cs="Times New Roman"/>
          <w:color w:val="000000" w:themeColor="text1"/>
          <w:highlight w:val="none"/>
          <w14:textFill>
            <w14:solidFill>
              <w14:schemeClr w14:val="tx1"/>
            </w14:solidFill>
          </w14:textFill>
        </w:rPr>
        <w:t>通讯联络组迅速打电话报警，向中原油田普光分公司、中国石油化工股份有限公司汇报现场情况，并联系抢险单位实施紧急抢险工作，同时向有关地方政府机构通报情况，请求救援；</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⑪</w:t>
      </w:r>
      <w:r>
        <w:rPr>
          <w:rFonts w:cs="Times New Roman"/>
          <w:color w:val="000000" w:themeColor="text1"/>
          <w:highlight w:val="none"/>
          <w14:textFill>
            <w14:solidFill>
              <w14:schemeClr w14:val="tx1"/>
            </w14:solidFill>
          </w14:textFill>
        </w:rPr>
        <w:t>生产抢修组人员立即切断生产现场电源，并对现场流程切断情况进行确认；</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⑫</w:t>
      </w:r>
      <w:r>
        <w:rPr>
          <w:rFonts w:cs="Times New Roman"/>
          <w:color w:val="000000" w:themeColor="text1"/>
          <w:highlight w:val="none"/>
          <w14:textFill>
            <w14:solidFill>
              <w14:schemeClr w14:val="tx1"/>
            </w14:solidFill>
          </w14:textFill>
        </w:rPr>
        <w:t>如现场存在火情，现场抢修组使用固定式消防系统和移动式灭火器进行灭火；</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⑬</w:t>
      </w:r>
      <w:r>
        <w:rPr>
          <w:rFonts w:cs="Times New Roman"/>
          <w:color w:val="000000" w:themeColor="text1"/>
          <w:highlight w:val="none"/>
          <w14:textFill>
            <w14:solidFill>
              <w14:schemeClr w14:val="tx1"/>
            </w14:solidFill>
          </w14:textFill>
        </w:rPr>
        <w:t>安全监护组负责在现场进行检测，在影响距离外设置警戒线，进行安全监护；</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⑭</w:t>
      </w:r>
      <w:r>
        <w:rPr>
          <w:rFonts w:cs="Times New Roman"/>
          <w:color w:val="000000" w:themeColor="text1"/>
          <w:highlight w:val="none"/>
          <w14:textFill>
            <w14:solidFill>
              <w14:schemeClr w14:val="tx1"/>
            </w14:solidFill>
          </w14:textFill>
        </w:rPr>
        <w:t>抢修现场严禁使用非防爆用具，车辆一律熄火站外停放，确因工作需要进入现场的车辆必须</w:t>
      </w:r>
      <w:r>
        <w:rPr>
          <w:rFonts w:hint="eastAsia" w:cs="Times New Roman"/>
          <w:color w:val="000000" w:themeColor="text1"/>
          <w:highlight w:val="none"/>
          <w:lang w:eastAsia="zh-CN"/>
          <w14:textFill>
            <w14:solidFill>
              <w14:schemeClr w14:val="tx1"/>
            </w14:solidFill>
          </w14:textFill>
        </w:rPr>
        <w:t>佩戴</w:t>
      </w:r>
      <w:r>
        <w:rPr>
          <w:rFonts w:cs="Times New Roman"/>
          <w:color w:val="000000" w:themeColor="text1"/>
          <w:highlight w:val="none"/>
          <w14:textFill>
            <w14:solidFill>
              <w14:schemeClr w14:val="tx1"/>
            </w14:solidFill>
          </w14:textFill>
        </w:rPr>
        <w:t>防火帽，经安全监护组确认安全后，按指定路线行进；</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⑮</w:t>
      </w:r>
      <w:r>
        <w:rPr>
          <w:rFonts w:cs="Times New Roman"/>
          <w:color w:val="000000" w:themeColor="text1"/>
          <w:highlight w:val="none"/>
          <w14:textFill>
            <w14:solidFill>
              <w14:schemeClr w14:val="tx1"/>
            </w14:solidFill>
          </w14:textFill>
        </w:rPr>
        <w:t>后勤保障组负责组织相关的应急抢险物资；</w:t>
      </w:r>
    </w:p>
    <w:p>
      <w:pPr>
        <w:ind w:firstLine="480"/>
        <w:rPr>
          <w:rFonts w:cs="Times New Roman"/>
          <w:color w:val="000000" w:themeColor="text1"/>
          <w:highlight w:val="none"/>
          <w14:textFill>
            <w14:solidFill>
              <w14:schemeClr w14:val="tx1"/>
            </w14:solidFill>
          </w14:textFill>
        </w:rPr>
      </w:pPr>
      <w:r>
        <w:rPr>
          <w:rFonts w:ascii="Cambria Math" w:hAnsi="Cambria Math" w:cs="Cambria Math"/>
          <w:color w:val="000000" w:themeColor="text1"/>
          <w:highlight w:val="none"/>
          <w14:textFill>
            <w14:solidFill>
              <w14:schemeClr w14:val="tx1"/>
            </w14:solidFill>
          </w14:textFill>
        </w:rPr>
        <w:t>⑯</w:t>
      </w:r>
      <w:r>
        <w:rPr>
          <w:rFonts w:cs="Times New Roman"/>
          <w:color w:val="000000" w:themeColor="text1"/>
          <w:highlight w:val="none"/>
          <w14:textFill>
            <w14:solidFill>
              <w14:schemeClr w14:val="tx1"/>
            </w14:solidFill>
          </w14:textFill>
        </w:rPr>
        <w:t>若现场情况无法控制，现场抢修组组织现场人员进行撤离。</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3）事故应急处理措施</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当项目天然气发生泄漏时，项目总负责人或其指定人员应向当地政府报告，协助当地政府立即疏散管线周围的居民，并立即组织对项目周边社会关注点的撤离。</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4）应急监测</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按照《中国石油化工股份有限公司中原油田普光分公司环境突发环境事故应急预案》要求开展应急监测。</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5）事故后的恢复程序</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当恢复生产后，善后工作由现场人员负责具体落实，主要包括以下内容：</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对现场进行清理，撤除所有的机具设备。</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恢复地貌、植被；疏通河道、交通。</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根据事故破坏情况，进行评估，按照相关法律，进行赔偿。</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做好各项记录，进行归档整理。</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6）应急培训与演练</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应急培训和演练是培养和提高各岗位操作人员以及其他人员的日常应急处理能力的重要手段。按照《中国石油化工股份有限公司中原油田普光分公司环境突发环境事故应急预案》要求执行应急培训与演练。</w:t>
      </w:r>
    </w:p>
    <w:p>
      <w:pPr>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根据调查了解，本项目所在的</w:t>
      </w:r>
      <w:r>
        <w:rPr>
          <w:rFonts w:hint="eastAsia" w:cs="Times New Roman"/>
          <w:color w:val="000000" w:themeColor="text1"/>
          <w:highlight w:val="none"/>
          <w:lang w:val="en-US" w:eastAsia="zh-CN"/>
          <w14:textFill>
            <w14:solidFill>
              <w14:schemeClr w14:val="tx1"/>
            </w14:solidFill>
          </w14:textFill>
        </w:rPr>
        <w:t>普光气田自</w:t>
      </w:r>
      <w:r>
        <w:rPr>
          <w:rFonts w:hint="eastAsia" w:cs="Times New Roman"/>
          <w:color w:val="000000" w:themeColor="text1"/>
          <w:highlight w:val="none"/>
          <w14:textFill>
            <w14:solidFill>
              <w14:schemeClr w14:val="tx1"/>
            </w14:solidFill>
          </w14:textFill>
        </w:rPr>
        <w:t>勘探开发以来未发生过井喷或废水、固废泄露导致周边河流、地下水与土壤污染的事故发生，因此本项目拟采取的环境风险防范措施有效可行。</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02" w:name="5.3.7分析结论"/>
      <w:bookmarkEnd w:id="402"/>
      <w:bookmarkStart w:id="403" w:name="_Toc11472"/>
      <w:r>
        <w:rPr>
          <w:color w:val="000000" w:themeColor="text1"/>
          <w:highlight w:val="none"/>
          <w:lang w:eastAsia="zh-CN"/>
          <w14:textFill>
            <w14:solidFill>
              <w14:schemeClr w14:val="tx1"/>
            </w14:solidFill>
          </w14:textFill>
        </w:rPr>
        <w:t>分析结论</w:t>
      </w:r>
      <w:bookmarkEnd w:id="403"/>
    </w:p>
    <w:p>
      <w:pPr>
        <w:ind w:firstLine="480"/>
        <w:rPr>
          <w:rFonts w:cs="Times New Roman"/>
          <w:color w:val="000000" w:themeColor="text1"/>
          <w:szCs w:val="26"/>
          <w:highlight w:val="none"/>
          <w14:textFill>
            <w14:solidFill>
              <w14:schemeClr w14:val="tx1"/>
            </w14:solidFill>
          </w14:textFill>
        </w:rPr>
      </w:pPr>
      <w:r>
        <w:rPr>
          <w:rFonts w:cs="Times New Roman"/>
          <w:color w:val="000000" w:themeColor="text1"/>
          <w:szCs w:val="26"/>
          <w:highlight w:val="none"/>
          <w14:textFill>
            <w14:solidFill>
              <w14:schemeClr w14:val="tx1"/>
            </w14:solidFill>
          </w14:textFill>
        </w:rPr>
        <w:t>本工程地质条件、钻井深度、地层压力、天然气含量等综合试采条件在行业的试采井中属于中等不利，环境风险大小处于</w:t>
      </w:r>
      <w:r>
        <w:rPr>
          <w:rFonts w:hint="eastAsia" w:ascii="宋体" w:hAnsi="宋体" w:eastAsia="宋体" w:cs="宋体"/>
          <w:color w:val="000000" w:themeColor="text1"/>
          <w:szCs w:val="26"/>
          <w:highlight w:val="none"/>
          <w14:textFill>
            <w14:solidFill>
              <w14:schemeClr w14:val="tx1"/>
            </w14:solidFill>
          </w14:textFill>
        </w:rPr>
        <w:t>“引入风险削减措施”级</w:t>
      </w:r>
      <w:r>
        <w:rPr>
          <w:rFonts w:cs="Times New Roman"/>
          <w:color w:val="000000" w:themeColor="text1"/>
          <w:szCs w:val="26"/>
          <w:highlight w:val="none"/>
          <w14:textFill>
            <w14:solidFill>
              <w14:schemeClr w14:val="tx1"/>
            </w14:solidFill>
          </w14:textFill>
        </w:rPr>
        <w:t>别，与工程地层情况类似的相邻井在钻井中未发生井喷失控事故，发生可能诱发井喷失控的不良现象很少，仅表现为井漏，未出现井喷情况。废水、固废、油类物质等设置于罐内或池内，井场分区分级防渗，发生</w:t>
      </w:r>
      <w:r>
        <w:rPr>
          <w:rFonts w:cs="Times New Roman"/>
          <w:bCs/>
          <w:color w:val="000000" w:themeColor="text1"/>
          <w:szCs w:val="26"/>
          <w:highlight w:val="none"/>
          <w14:textFill>
            <w14:solidFill>
              <w14:schemeClr w14:val="tx1"/>
            </w14:solidFill>
          </w14:textFill>
        </w:rPr>
        <w:t>泄漏</w:t>
      </w:r>
      <w:r>
        <w:rPr>
          <w:rFonts w:cs="Times New Roman"/>
          <w:color w:val="000000" w:themeColor="text1"/>
          <w:szCs w:val="26"/>
          <w:highlight w:val="none"/>
          <w14:textFill>
            <w14:solidFill>
              <w14:schemeClr w14:val="tx1"/>
            </w14:solidFill>
          </w14:textFill>
        </w:rPr>
        <w:t>可能性低且有完善应急处置措施。项目发生风险事故的机率小，风险事故对人身安全、健康、环境的后果影响小，但是要尽量采取风险防范措施尽量避免事故发生，同时完善环境风险应急措施，组织编制、学习、演练应急预案以便在事故发生后将影响降低到最小程度，在采取以上措施后，可将工程环境风险控制在可接受范围内，本项目环境风险可接受。</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建设项目环境风险简单分析内容表</w:t>
      </w:r>
    </w:p>
    <w:tbl>
      <w:tblPr>
        <w:tblStyle w:val="5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265"/>
        <w:gridCol w:w="2291"/>
        <w:gridCol w:w="1079"/>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建设项目名称</w:t>
            </w:r>
          </w:p>
        </w:tc>
        <w:tc>
          <w:tcPr>
            <w:tcW w:w="3888" w:type="pct"/>
            <w:gridSpan w:val="4"/>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普光气田雷页1井组试验项目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建设地点</w:t>
            </w:r>
          </w:p>
        </w:tc>
        <w:tc>
          <w:tcPr>
            <w:tcW w:w="3888" w:type="pct"/>
            <w:gridSpan w:val="4"/>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宣汉县***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地理坐标</w:t>
            </w:r>
          </w:p>
        </w:tc>
        <w:tc>
          <w:tcPr>
            <w:tcW w:w="74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经度</w:t>
            </w:r>
          </w:p>
        </w:tc>
        <w:tc>
          <w:tcPr>
            <w:tcW w:w="1344"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107.60971740</w:t>
            </w:r>
            <w:r>
              <w:rPr>
                <w:rFonts w:hint="default"/>
                <w:color w:val="000000" w:themeColor="text1"/>
                <w:szCs w:val="20"/>
                <w:highlight w:val="none"/>
                <w14:textFill>
                  <w14:solidFill>
                    <w14:schemeClr w14:val="tx1"/>
                  </w14:solidFill>
                </w14:textFill>
              </w:rPr>
              <w:t>°东</w:t>
            </w:r>
          </w:p>
        </w:tc>
        <w:tc>
          <w:tcPr>
            <w:tcW w:w="633"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纬度</w:t>
            </w:r>
          </w:p>
        </w:tc>
        <w:tc>
          <w:tcPr>
            <w:tcW w:w="1169"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31.33034049</w:t>
            </w:r>
            <w:r>
              <w:rPr>
                <w:rFonts w:hint="default"/>
                <w:color w:val="000000" w:themeColor="text1"/>
                <w:szCs w:val="20"/>
                <w:highlight w:val="none"/>
                <w14:textFill>
                  <w14:solidFill>
                    <w14:schemeClr w14:val="tx1"/>
                  </w14:solidFill>
                </w14:textFill>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主要危险物质及分布</w:t>
            </w:r>
          </w:p>
        </w:tc>
        <w:tc>
          <w:tcPr>
            <w:tcW w:w="6628"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1、施工期：柴油、白油及废油，总量为</w:t>
            </w:r>
            <w:r>
              <w:rPr>
                <w:rFonts w:hint="eastAsia"/>
                <w:color w:val="000000" w:themeColor="text1"/>
                <w:szCs w:val="20"/>
                <w:highlight w:val="none"/>
                <w:lang w:val="en-US" w:eastAsia="zh-CN"/>
                <w14:textFill>
                  <w14:solidFill>
                    <w14:schemeClr w14:val="tx1"/>
                  </w14:solidFill>
                </w14:textFill>
              </w:rPr>
              <w:t>5</w:t>
            </w:r>
            <w:r>
              <w:rPr>
                <w:rFonts w:hint="default"/>
                <w:color w:val="000000" w:themeColor="text1"/>
                <w:szCs w:val="20"/>
                <w:highlight w:val="none"/>
                <w:lang w:val="en-US" w:eastAsia="zh-CN"/>
                <w14:textFill>
                  <w14:solidFill>
                    <w14:schemeClr w14:val="tx1"/>
                  </w14:solidFill>
                </w14:textFill>
              </w:rPr>
              <w:t>6.085t，油罐暂存井场防渗区内，白油暂存</w:t>
            </w:r>
            <w:r>
              <w:rPr>
                <w:rFonts w:hint="eastAsia"/>
                <w:color w:val="000000" w:themeColor="text1"/>
                <w:szCs w:val="20"/>
                <w:highlight w:val="none"/>
                <w:lang w:val="en-US" w:eastAsia="zh-CN"/>
                <w14:textFill>
                  <w14:solidFill>
                    <w14:schemeClr w14:val="tx1"/>
                  </w14:solidFill>
                </w14:textFill>
              </w:rPr>
              <w:t>于油桶</w:t>
            </w:r>
            <w:r>
              <w:rPr>
                <w:rFonts w:hint="default"/>
                <w:color w:val="000000" w:themeColor="text1"/>
                <w:szCs w:val="20"/>
                <w:highlight w:val="none"/>
                <w:lang w:val="en-US" w:eastAsia="zh-CN"/>
                <w14:textFill>
                  <w14:solidFill>
                    <w14:schemeClr w14:val="tx1"/>
                  </w14:solidFill>
                </w14:textFill>
              </w:rPr>
              <w:t>区，废油</w:t>
            </w:r>
            <w:r>
              <w:rPr>
                <w:rFonts w:hint="eastAsia"/>
                <w:color w:val="000000" w:themeColor="text1"/>
                <w:szCs w:val="20"/>
                <w:highlight w:val="none"/>
                <w:lang w:val="en-US" w:eastAsia="zh-CN"/>
                <w14:textFill>
                  <w14:solidFill>
                    <w14:schemeClr w14:val="tx1"/>
                  </w14:solidFill>
                </w14:textFill>
              </w:rPr>
              <w:t>及废含油抹布手套</w:t>
            </w:r>
            <w:r>
              <w:rPr>
                <w:rFonts w:hint="default"/>
                <w:color w:val="000000" w:themeColor="text1"/>
                <w:szCs w:val="20"/>
                <w:highlight w:val="none"/>
                <w:lang w:val="en-US" w:eastAsia="zh-CN"/>
                <w14:textFill>
                  <w14:solidFill>
                    <w14:schemeClr w14:val="tx1"/>
                  </w14:solidFill>
                </w14:textFill>
              </w:rPr>
              <w:t>设置废油桶集中收集暂存于泥浆不落地装置区临时堆放区内，钻井队综合利用或交由有资质的单位处理；甲烷井喷失控</w:t>
            </w:r>
            <w:r>
              <w:rPr>
                <w:rFonts w:hint="eastAsia"/>
                <w:color w:val="000000" w:themeColor="text1"/>
                <w:szCs w:val="20"/>
                <w:highlight w:val="none"/>
                <w:lang w:val="en-US" w:eastAsia="zh-CN"/>
                <w14:textFill>
                  <w14:solidFill>
                    <w14:schemeClr w14:val="tx1"/>
                  </w14:solidFill>
                </w14:textFill>
              </w:rPr>
              <w:t>泄漏</w:t>
            </w:r>
            <w:r>
              <w:rPr>
                <w:rFonts w:hint="default"/>
                <w:color w:val="000000" w:themeColor="text1"/>
                <w:szCs w:val="20"/>
                <w:highlight w:val="none"/>
                <w:lang w:val="en-US" w:eastAsia="zh-CN"/>
                <w14:textFill>
                  <w14:solidFill>
                    <w14:schemeClr w14:val="tx1"/>
                  </w14:solidFill>
                </w14:textFill>
              </w:rPr>
              <w:t>量为</w:t>
            </w:r>
            <w:r>
              <w:rPr>
                <w:rFonts w:hint="eastAsia"/>
                <w:color w:val="000000" w:themeColor="text1"/>
                <w:szCs w:val="20"/>
                <w:highlight w:val="none"/>
                <w:lang w:val="en-US" w:eastAsia="zh-CN"/>
                <w14:textFill>
                  <w14:solidFill>
                    <w14:schemeClr w14:val="tx1"/>
                  </w14:solidFill>
                </w14:textFill>
              </w:rPr>
              <w:t>2.78；储层改造阶段柴油约16t暂存于油罐区，盐酸折算后约4.5t临时存于罐车内</w:t>
            </w:r>
            <w:r>
              <w:rPr>
                <w:rFonts w:hint="default"/>
                <w:color w:val="000000" w:themeColor="text1"/>
                <w:szCs w:val="20"/>
                <w:highlight w:val="none"/>
                <w:lang w:val="en-US" w:eastAsia="zh-CN"/>
                <w14:textFill>
                  <w14:solidFill>
                    <w14:schemeClr w14:val="tx1"/>
                  </w14:solidFill>
                </w14:textFill>
              </w:rPr>
              <w:t>。</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2、试采期站内：甲烷设备在线量为0.</w:t>
            </w:r>
            <w:r>
              <w:rPr>
                <w:rFonts w:hint="eastAsia"/>
                <w:color w:val="000000" w:themeColor="text1"/>
                <w:szCs w:val="20"/>
                <w:highlight w:val="none"/>
                <w:lang w:val="en-US" w:eastAsia="zh-CN"/>
                <w14:textFill>
                  <w14:solidFill>
                    <w14:schemeClr w14:val="tx1"/>
                  </w14:solidFill>
                </w14:textFill>
              </w:rPr>
              <w:t>29</w:t>
            </w:r>
            <w:r>
              <w:rPr>
                <w:rFonts w:hint="default"/>
                <w:color w:val="000000" w:themeColor="text1"/>
                <w:szCs w:val="20"/>
                <w:highlight w:val="none"/>
                <w:lang w:val="en-US" w:eastAsia="zh-CN"/>
                <w14:textFill>
                  <w14:solidFill>
                    <w14:schemeClr w14:val="tx1"/>
                  </w14:solidFill>
                </w14:textFill>
              </w:rPr>
              <w:t>t；气田水暂存于放空分液罐</w:t>
            </w:r>
            <w:r>
              <w:rPr>
                <w:rFonts w:hint="eastAsia"/>
                <w:color w:val="000000" w:themeColor="text1"/>
                <w:szCs w:val="20"/>
                <w:highlight w:val="none"/>
                <w:lang w:val="en-US" w:eastAsia="zh-CN"/>
                <w14:textFill>
                  <w14:solidFill>
                    <w14:schemeClr w14:val="tx1"/>
                  </w14:solidFill>
                </w14:textFill>
              </w:rPr>
              <w:t>和</w:t>
            </w:r>
            <w:r>
              <w:rPr>
                <w:rFonts w:hint="default"/>
                <w:color w:val="000000" w:themeColor="text1"/>
                <w:szCs w:val="20"/>
                <w:highlight w:val="none"/>
                <w:lang w:val="en-US" w:eastAsia="zh-CN"/>
                <w14:textFill>
                  <w14:solidFill>
                    <w14:schemeClr w14:val="tx1"/>
                  </w14:solidFill>
                </w14:textFill>
              </w:rPr>
              <w:t>采出水罐内。</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3、试采期</w:t>
            </w:r>
            <w:r>
              <w:rPr>
                <w:rFonts w:hint="eastAsia"/>
                <w:color w:val="000000" w:themeColor="text1"/>
                <w:szCs w:val="20"/>
                <w:highlight w:val="none"/>
                <w:lang w:val="en-US" w:eastAsia="zh-CN"/>
                <w14:textFill>
                  <w14:solidFill>
                    <w14:schemeClr w14:val="tx1"/>
                  </w14:solidFill>
                </w14:textFill>
              </w:rPr>
              <w:t>外输</w:t>
            </w:r>
            <w:r>
              <w:rPr>
                <w:rFonts w:hint="default"/>
                <w:color w:val="000000" w:themeColor="text1"/>
                <w:szCs w:val="20"/>
                <w:highlight w:val="none"/>
                <w:lang w:val="en-US" w:eastAsia="zh-CN"/>
                <w14:textFill>
                  <w14:solidFill>
                    <w14:schemeClr w14:val="tx1"/>
                  </w14:solidFill>
                </w14:textFill>
              </w:rPr>
              <w:t>管线甲烷在线量为</w:t>
            </w:r>
            <w:r>
              <w:rPr>
                <w:rFonts w:hint="eastAsia"/>
                <w:color w:val="000000" w:themeColor="text1"/>
                <w:szCs w:val="20"/>
                <w:highlight w:val="none"/>
                <w:lang w:val="en-US" w:eastAsia="zh-CN"/>
                <w14:textFill>
                  <w14:solidFill>
                    <w14:schemeClr w14:val="tx1"/>
                  </w14:solidFill>
                </w14:textFill>
              </w:rPr>
              <w:t>0.19</w:t>
            </w:r>
            <w:r>
              <w:rPr>
                <w:rFonts w:hint="default"/>
                <w:color w:val="000000" w:themeColor="text1"/>
                <w:szCs w:val="20"/>
                <w:highlight w:val="none"/>
                <w:lang w:val="en-US" w:eastAsia="zh-CN"/>
                <w14:textFill>
                  <w14:solidFill>
                    <w14:schemeClr w14:val="tx1"/>
                  </w14:solidFill>
                </w14:textFill>
              </w:rPr>
              <w:t>t</w:t>
            </w:r>
            <w:r>
              <w:rPr>
                <w:rFonts w:hint="eastAsia"/>
                <w:color w:val="000000" w:themeColor="text1"/>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环境影响途径及危害后果</w:t>
            </w:r>
          </w:p>
        </w:tc>
        <w:tc>
          <w:tcPr>
            <w:tcW w:w="6628"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油类危害途径及危害后果为：柴油、白油在使用、储运过程中的风险主要来自于柴油罐、白油罐、自身缺陷、人员误操作、老化等造成的泄漏以及外部破坏产生的事故以及柴油、白油拉运至井场</w:t>
            </w:r>
            <w:r>
              <w:rPr>
                <w:rFonts w:hint="eastAsia"/>
                <w:color w:val="000000" w:themeColor="text1"/>
                <w:szCs w:val="20"/>
                <w:highlight w:val="none"/>
                <w:lang w:val="en-US" w:eastAsia="zh-CN"/>
                <w14:textFill>
                  <w14:solidFill>
                    <w14:schemeClr w14:val="tx1"/>
                  </w14:solidFill>
                </w14:textFill>
              </w:rPr>
              <w:t>及</w:t>
            </w:r>
            <w:r>
              <w:rPr>
                <w:rFonts w:hint="default"/>
                <w:color w:val="000000" w:themeColor="text1"/>
                <w:szCs w:val="20"/>
                <w:highlight w:val="none"/>
                <w:lang w:val="en-US" w:eastAsia="zh-CN"/>
                <w14:textFill>
                  <w14:solidFill>
                    <w14:schemeClr w14:val="tx1"/>
                  </w14:solidFill>
                </w14:textFill>
              </w:rPr>
              <w:t>外运过程中出现交通事故可能引起柴油、白油泄漏污染水体、土壤；</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甲烷危害途径及危害后果为：当钻进气层后，遇到高压气流，因各种原因使井内压力不能平衡地层压力时而造成井喷和井喷失控事故；其中可能造成最大危害的是井喷失控喷射出的天然气扩散中毒影响环境空气及破坏植被，天然气遇火燃烧爆炸造成冲击波和热辐射伤人、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1112" w:type="pc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风险防范措施要求</w:t>
            </w:r>
          </w:p>
        </w:tc>
        <w:tc>
          <w:tcPr>
            <w:tcW w:w="6628" w:type="dxa"/>
            <w:gridSpan w:val="4"/>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①</w:t>
            </w:r>
            <w:r>
              <w:rPr>
                <w:rFonts w:hint="default"/>
                <w:color w:val="000000" w:themeColor="text1"/>
                <w:szCs w:val="20"/>
                <w:highlight w:val="none"/>
                <w:lang w:val="en-US" w:eastAsia="zh-CN"/>
                <w14:textFill>
                  <w14:solidFill>
                    <w14:schemeClr w14:val="tx1"/>
                  </w14:solidFill>
                </w14:textFill>
              </w:rPr>
              <w:t>制定应急救援预案并定期演练；</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②</w:t>
            </w:r>
            <w:r>
              <w:rPr>
                <w:rFonts w:hint="default"/>
                <w:color w:val="000000" w:themeColor="text1"/>
                <w:szCs w:val="20"/>
                <w:highlight w:val="none"/>
                <w:lang w:val="en-US" w:eastAsia="zh-CN"/>
                <w14:textFill>
                  <w14:solidFill>
                    <w14:schemeClr w14:val="tx1"/>
                  </w14:solidFill>
                </w14:textFill>
              </w:rPr>
              <w:t>配备完善的放空系统、安全截断系统、可燃气体报警系统；</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③</w:t>
            </w:r>
            <w:r>
              <w:rPr>
                <w:rFonts w:hint="default"/>
                <w:color w:val="000000" w:themeColor="text1"/>
                <w:szCs w:val="20"/>
                <w:highlight w:val="none"/>
                <w:lang w:val="en-US" w:eastAsia="zh-CN"/>
                <w14:textFill>
                  <w14:solidFill>
                    <w14:schemeClr w14:val="tx1"/>
                  </w14:solidFill>
                </w14:textFill>
              </w:rPr>
              <w:t>按照相关规范进行了防爆、防雷、防静电设计；</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④</w:t>
            </w:r>
            <w:r>
              <w:rPr>
                <w:rFonts w:hint="default"/>
                <w:color w:val="000000" w:themeColor="text1"/>
                <w:szCs w:val="20"/>
                <w:highlight w:val="none"/>
                <w:lang w:val="en-US" w:eastAsia="zh-CN"/>
                <w14:textFill>
                  <w14:solidFill>
                    <w14:schemeClr w14:val="tx1"/>
                  </w14:solidFill>
                </w14:textFill>
              </w:rPr>
              <w:t>与站场周边的居民和当地村委会建立联络沟通机制，完善应急监控能力；</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⑤</w:t>
            </w:r>
            <w:r>
              <w:rPr>
                <w:rFonts w:hint="default"/>
                <w:color w:val="000000" w:themeColor="text1"/>
                <w:szCs w:val="20"/>
                <w:highlight w:val="none"/>
                <w:lang w:val="en-US" w:eastAsia="zh-CN"/>
                <w14:textFill>
                  <w14:solidFill>
                    <w14:schemeClr w14:val="tx1"/>
                  </w14:solidFill>
                </w14:textFill>
              </w:rPr>
              <w:t>定期对站场设备及管线进行巡检，检查设备及管线有无漏点，确保其设备完好，无泄漏发生；</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⑥</w:t>
            </w:r>
            <w:r>
              <w:rPr>
                <w:rFonts w:hint="default"/>
                <w:color w:val="000000" w:themeColor="text1"/>
                <w:szCs w:val="20"/>
                <w:highlight w:val="none"/>
                <w:lang w:val="en-US" w:eastAsia="zh-CN"/>
                <w14:textFill>
                  <w14:solidFill>
                    <w14:schemeClr w14:val="tx1"/>
                  </w14:solidFill>
                </w14:textFill>
              </w:rPr>
              <w:t>钻井期做好分区分级防渗，设置围堰，试采期对放空分液罐、采出水罐等进行地面硬化、防渗，做好防雨、防晒措施；修建围堰，防止油类泄漏进入周围环境。</w:t>
            </w:r>
          </w:p>
        </w:tc>
      </w:tr>
    </w:tbl>
    <w:p>
      <w:pPr>
        <w:ind w:firstLine="480"/>
        <w:jc w:val="center"/>
        <w:rPr>
          <w:rFonts w:cs="Times New Roman"/>
          <w:color w:val="000000" w:themeColor="text1"/>
          <w:szCs w:val="24"/>
          <w:highlight w:val="none"/>
          <w14:textFill>
            <w14:solidFill>
              <w14:schemeClr w14:val="tx1"/>
            </w14:solidFill>
          </w14:textFill>
        </w:rPr>
      </w:pP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br w:type="page"/>
      </w:r>
    </w:p>
    <w:p>
      <w:pPr>
        <w:ind w:left="0" w:leftChars="0" w:firstLine="0" w:firstLineChars="0"/>
        <w:rPr>
          <w:color w:val="000000" w:themeColor="text1"/>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
        <w:rPr>
          <w:color w:val="000000" w:themeColor="text1"/>
          <w:highlight w:val="none"/>
          <w:lang w:eastAsia="zh-CN"/>
          <w14:textFill>
            <w14:solidFill>
              <w14:schemeClr w14:val="tx1"/>
            </w14:solidFill>
          </w14:textFill>
        </w:rPr>
      </w:pPr>
      <w:bookmarkStart w:id="404" w:name="_Toc20365"/>
      <w:r>
        <w:rPr>
          <w:color w:val="000000" w:themeColor="text1"/>
          <w:highlight w:val="none"/>
          <w:lang w:eastAsia="zh-CN"/>
          <w14:textFill>
            <w14:solidFill>
              <w14:schemeClr w14:val="tx1"/>
            </w14:solidFill>
          </w14:textFill>
        </w:rPr>
        <w:t>环境保护措施及其可行性论证</w:t>
      </w:r>
      <w:bookmarkEnd w:id="404"/>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05" w:name="6.1施工期环境保护措施及可行性分析"/>
      <w:bookmarkEnd w:id="405"/>
      <w:bookmarkStart w:id="406" w:name="_bookmark32"/>
      <w:bookmarkEnd w:id="406"/>
      <w:bookmarkStart w:id="407" w:name="_Toc31087"/>
      <w:r>
        <w:rPr>
          <w:color w:val="000000" w:themeColor="text1"/>
          <w:highlight w:val="none"/>
          <w:lang w:eastAsia="zh-CN"/>
          <w14:textFill>
            <w14:solidFill>
              <w14:schemeClr w14:val="tx1"/>
            </w14:solidFill>
          </w14:textFill>
        </w:rPr>
        <w:t>施工期环境保护措施及可行性分析</w:t>
      </w:r>
      <w:bookmarkEnd w:id="40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08" w:name="6.1.1施工废气防治措施及可行性分析"/>
      <w:bookmarkEnd w:id="408"/>
      <w:bookmarkStart w:id="409" w:name="_Toc120173210"/>
      <w:r>
        <w:rPr>
          <w:color w:val="000000" w:themeColor="text1"/>
          <w:highlight w:val="none"/>
          <w:lang w:eastAsia="zh-CN"/>
          <w14:textFill>
            <w14:solidFill>
              <w14:schemeClr w14:val="tx1"/>
            </w14:solidFill>
          </w14:textFill>
        </w:rPr>
        <w:t>施工期生态环境保护措施及可行性分析</w:t>
      </w:r>
      <w:bookmarkEnd w:id="409"/>
    </w:p>
    <w:p>
      <w:pPr>
        <w:ind w:firstLine="480"/>
        <w:rPr>
          <w:color w:val="000000" w:themeColor="text1"/>
          <w:highlight w:val="none"/>
          <w14:textFill>
            <w14:solidFill>
              <w14:schemeClr w14:val="tx1"/>
            </w14:solidFill>
          </w14:textFill>
        </w:rPr>
      </w:pPr>
      <w:r>
        <w:rPr>
          <w:color w:val="000000" w:themeColor="text1"/>
          <w:highlight w:val="none"/>
          <w:lang w:bidi="ar"/>
          <w14:textFill>
            <w14:solidFill>
              <w14:schemeClr w14:val="tx1"/>
            </w14:solidFill>
          </w14:textFill>
        </w:rPr>
        <w:t>坚持尊重自然、顺应自然、保护自然的理念，采取自然的恢复措施或绿色修复工艺，避免生态保护措施自身的不利影响。</w:t>
      </w:r>
    </w:p>
    <w:p>
      <w:pPr>
        <w:ind w:firstLine="480"/>
        <w:rPr>
          <w:color w:val="000000" w:themeColor="text1"/>
          <w:highlight w:val="none"/>
          <w:lang w:bidi="ar"/>
          <w14:textFill>
            <w14:solidFill>
              <w14:schemeClr w14:val="tx1"/>
            </w14:solidFill>
          </w14:textFill>
        </w:rPr>
      </w:pPr>
      <w:r>
        <w:rPr>
          <w:color w:val="000000" w:themeColor="text1"/>
          <w:highlight w:val="none"/>
          <w14:textFill>
            <w14:solidFill>
              <w14:schemeClr w14:val="tx1"/>
            </w14:solidFill>
          </w14:textFill>
        </w:rPr>
        <w:t>本工程建设过程中，将不可避免地对施工区的植被、动植物、景观和周围环境产生一定影响。</w:t>
      </w:r>
      <w:r>
        <w:rPr>
          <w:rFonts w:hint="eastAsia"/>
          <w:color w:val="000000" w:themeColor="text1"/>
          <w:highlight w:val="none"/>
          <w14:textFill>
            <w14:solidFill>
              <w14:schemeClr w14:val="tx1"/>
            </w14:solidFill>
          </w14:textFill>
        </w:rPr>
        <w:t>这些</w:t>
      </w:r>
      <w:r>
        <w:rPr>
          <w:color w:val="000000" w:themeColor="text1"/>
          <w:highlight w:val="none"/>
          <w14:textFill>
            <w14:solidFill>
              <w14:schemeClr w14:val="tx1"/>
            </w14:solidFill>
          </w14:textFill>
        </w:rPr>
        <w:t>影响是暂时性的，可通过采取自然或人工辅助措施的方法加以恢复，通过采取人工措施的方法提高占</w:t>
      </w:r>
      <w:r>
        <w:rPr>
          <w:rFonts w:hint="eastAsia"/>
          <w:color w:val="000000" w:themeColor="text1"/>
          <w:highlight w:val="none"/>
          <w:lang w:val="en-US" w:eastAsia="zh-CN"/>
          <w14:textFill>
            <w14:solidFill>
              <w14:schemeClr w14:val="tx1"/>
            </w14:solidFill>
          </w14:textFill>
        </w:rPr>
        <w:t>用</w:t>
      </w:r>
      <w:r>
        <w:rPr>
          <w:color w:val="000000" w:themeColor="text1"/>
          <w:highlight w:val="none"/>
          <w14:textFill>
            <w14:solidFill>
              <w14:schemeClr w14:val="tx1"/>
            </w14:solidFill>
          </w14:textFill>
        </w:rPr>
        <w:t>地区植被覆盖率，使区域生态系统的结构和功能整体得到逐步改善，完全恢复，乃至更</w:t>
      </w:r>
      <w:r>
        <w:rPr>
          <w:color w:val="000000" w:themeColor="text1"/>
          <w:highlight w:val="none"/>
          <w:lang w:bidi="ar"/>
          <w14:textFill>
            <w14:solidFill>
              <w14:schemeClr w14:val="tx1"/>
            </w14:solidFill>
          </w14:textFill>
        </w:rPr>
        <w:t>为高效。</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生态保护的宣传</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在施工期需认真做好生态保护的宣传和监督工作，如印发宣传册、制作宣传栏、定期开展宣传活动等。绝不能超计划占用耕地、林地、草地及其他用地；施工过程中，注意加强对施工人员的管理和宣传教育，提高他们保护环境、保护野生动物的意识和觉悟，严令禁止偷猎和捕杀野生动物，禁止乱砍滥伐，做到文明施工。施工期间若遇到野生动物，应注意对其即刻采取适当的保护措施，必要时进行临时人工饲养或上报上级部门处理，不使其受到捕杀和伤害等在内的各种威胁。</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避让、减缓措施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（1）土地与植被保护措施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施工期间为充分的保护评价范围现有土地和植被，可采取如下保护措施：</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优先采用生态友好的工程建设技术、工艺及材料。</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根据施工总体平面布置，严格规范施工范围，确定施工用地范围，进行标桩划界，禁止施工人员进入非施工占地区，严禁任意越界破坏周围植被。</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 xml:space="preserve">做好环卫工作，废弃物应合理堆放，及时处置，禁止乱丢垃圾和废弃物，严禁场内污水进入外环沟，确保周边环境不被污染。 </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在项目建设过程中，强化临时占地的及时复耕复垦，对可以恢复的临时占地及时进行植被恢复。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（2）水土流失的防治对策措施</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在施工过程中合理安排施工进度，施工尽量避开雨天和大风天；分段施工，减少风蚀导致的水土流失。</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严格按照有关项目施工规范进行施工，划定施工作业范围和路线，不得扩大施工作业范围，尽可能减少对土壤和植被的破坏以及由此引发的水土流失。</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bCs/>
          <w:color w:val="000000" w:themeColor="text1"/>
          <w:highlight w:val="none"/>
          <w14:textFill>
            <w14:solidFill>
              <w14:schemeClr w14:val="tx1"/>
            </w14:solidFill>
          </w14:textFill>
        </w:rPr>
        <w:t>在井场站场施工，设置一定围挡，减少施工过程中水土流失量</w:t>
      </w:r>
      <w:r>
        <w:rPr>
          <w:rFonts w:hint="eastAsia"/>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弃土场先挡后弃，表土堆场做好遮盖及围挡措施</w:t>
      </w:r>
      <w:r>
        <w:rPr>
          <w:rFonts w:hint="eastAsia"/>
          <w:bCs/>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用塑料薄膜或草席覆盖，</w:t>
      </w:r>
      <w:r>
        <w:rPr>
          <w:rFonts w:hint="eastAsia"/>
          <w:color w:val="000000" w:themeColor="text1"/>
          <w:highlight w:val="none"/>
          <w14:textFill>
            <w14:solidFill>
              <w14:schemeClr w14:val="tx1"/>
            </w14:solidFill>
          </w14:textFill>
        </w:rPr>
        <w:t>同时设置挡土墙和排水沟，</w:t>
      </w:r>
      <w:r>
        <w:rPr>
          <w:color w:val="000000" w:themeColor="text1"/>
          <w:highlight w:val="none"/>
          <w14:textFill>
            <w14:solidFill>
              <w14:schemeClr w14:val="tx1"/>
            </w14:solidFill>
          </w14:textFill>
        </w:rPr>
        <w:t>以防止雨水冲刷和风扬。</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施工中合理安排施项目顺序，分段施工，在先期施工完成后必须立即做好护坡、护脚、边沟、排水沟等防护项目及排水设施建设，做好坡面水保和植被恢复措施，对于坡面项目应及时采取临时防护措施或植物措施加以防护以减少水土流失。</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⑤</w:t>
      </w:r>
      <w:r>
        <w:rPr>
          <w:color w:val="000000" w:themeColor="text1"/>
          <w:highlight w:val="none"/>
          <w14:textFill>
            <w14:solidFill>
              <w14:schemeClr w14:val="tx1"/>
            </w14:solidFill>
          </w14:textFill>
        </w:rPr>
        <w:t>在降雨排水相对困难的区域，应加大边沟，将排水集中于边沟排除或蒸发，有条件的施工区域将降雨排水引至附近河道或排水渠中。</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⑥</w:t>
      </w:r>
      <w:r>
        <w:rPr>
          <w:color w:val="000000" w:themeColor="text1"/>
          <w:highlight w:val="none"/>
          <w14:textFill>
            <w14:solidFill>
              <w14:schemeClr w14:val="tx1"/>
            </w14:solidFill>
          </w14:textFill>
        </w:rPr>
        <w:t>妥善处理施工中产生的废弃物及清洗设备的废水及生活污水，严禁直接排入周边，对于施工过程中产生的不能利用的废弃土石不得将任意裸露弃置，做到随挖随填，以免遇强降雨引起严重的水土流失。</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⑦</w:t>
      </w:r>
      <w:r>
        <w:rPr>
          <w:color w:val="000000" w:themeColor="text1"/>
          <w:highlight w:val="none"/>
          <w14:textFill>
            <w14:solidFill>
              <w14:schemeClr w14:val="tx1"/>
            </w14:solidFill>
          </w14:textFill>
        </w:rPr>
        <w:t>在所有工作面完工后，应立即进行裸露区的植被恢复，包括开挖的坡面。恢复时根据其实际情况，因地制宜地对各类施工迹地进行绿化恢复，尽量减少项目区内的施工痕迹。施工迹地的绿化恢复过程中尽量采用当地树种、草种，最好是利用原自然植被的建群种进行恢复。建群种在整个植被中盖度最大，生物量最大，占有空间也最大，并在建造群落、改造环境以及物质与能量交换中作用最突出。具体可采取人工栽植幼苗的方式，遵循夹杂混合种植、密度适宜、杜绝纯林的原则。</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（3）对陆生野生动物保护措施</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加强宣传野生动物保护法规，打击捕杀野生动物的行为</w:t>
      </w:r>
    </w:p>
    <w:p>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增强</w:t>
      </w:r>
      <w:r>
        <w:rPr>
          <w:color w:val="000000" w:themeColor="text1"/>
          <w:highlight w:val="none"/>
          <w14:textFill>
            <w14:solidFill>
              <w14:schemeClr w14:val="tx1"/>
            </w14:solidFill>
          </w14:textFill>
        </w:rPr>
        <w:t>施工人员的保护意识，施工人员必须遵守《中华人民共和国野生动物保护法》，严禁捕猎保护动物，特别是重点保护野生动物。</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防止动物生境污染</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类活动的增加，会给环境污染带来新的隐患。从保护生态与环境的角度出发，建议本工程开工之前，尽量做好施工规划前期工作，做好工程完工后生态环境的恢复工作，以尽量减少植被破坏对动物栖息地的不利影响。</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杜绝夜间施工，以保证自然生态系统和野生动物栖息地的稳定。</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对野生动物具体保护方案</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鸟类：</w:t>
      </w: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尽量减少施工对植被的破坏，保证施工后植被的恢复。</w:t>
      </w: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增强人们的环境保护意识，加强对重点保护野生动物的保护，严禁非法猎捕保护鸟类及对人类有益的鸟类。</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兽类：保护好现有的植被，使兽类有一个稳定的栖息地。为将项目建设对兽类栖息地的影响减少到最低限度，应在所有可能的地区采用可能的方法恢复植被；对工程废物和施工人员的生活垃圾进行快速处理，尽量避免废物为鼠类等疫源性兽类提供生活环境，同时也可减少工程对动物栖息地的破坏。</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）外来入侵植物防范措施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目前防止外来物种入侵的方法主要有植物检疫、人工方法防治、化学方法防治、生物防治等。结合工程特点，要求加大宣传力度，对外来物种的危害以及传播途径向施工人员进行宣传；对现有的外来种，利用工程施工的机会，对有种子的植物要现场烧毁，以防种子扩散，在临时占地的地方要及时绿化等。</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在施工占地区或裸地绿化应采取相应的防范措施，在选择绿化树种和水土保持植物中不使用外来入侵植物，尽可能使用乡土树种。</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恢复和补偿措施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陆生植物</w:t>
      </w:r>
      <w:r>
        <w:rPr>
          <w:color w:val="000000" w:themeColor="text1"/>
          <w:highlight w:val="none"/>
          <w:lang w:bidi="ar"/>
          <w14:textFill>
            <w14:solidFill>
              <w14:schemeClr w14:val="tx1"/>
            </w14:solidFill>
          </w14:textFill>
        </w:rPr>
        <w:t>恢复原则是优先使用原生表土和选用乡土物种，防止外来生物入侵，构建与周边生态环境相协调的植物群落，最终形成可自我维持的生态系统。生态修复的目标主要包括：恢复植被和土壤，保证一定的植被覆盖度和土壤肥力；维持物种种类和组成，保护生物多样性；实现生物群落的恢复，提高生态系统的生产力和自我维持力；维持生境的连通性等。</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（1）表土剥离及堆存</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建设过程伴随着土石方开挖、回填活动，不可避免地对林地和草地造成破坏，毁坏地表植被、挖损和埋压土地、破坏地表土壤等，不仅降低了土壤抗蚀能力，加剧了评价区水土流失。根据区域环境的特点，需针对性地开展表土剥离和堆存，尽可能的减少水土流失。</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剥离区域</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施工结束后需要复绿的区域都应列为表土剥离区域，但在实际设计中应根据具体情况分析确定，如根据施工区域土层厚度、肥沃程度及后续植物措施搭配等确定。</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对于</w:t>
      </w:r>
      <w:r>
        <w:rPr>
          <w:rFonts w:hint="eastAsia"/>
          <w:color w:val="000000" w:themeColor="text1"/>
          <w:highlight w:val="none"/>
          <w14:textFill>
            <w14:solidFill>
              <w14:schemeClr w14:val="tx1"/>
            </w14:solidFill>
          </w14:textFill>
        </w:rPr>
        <w:t>新增</w:t>
      </w:r>
      <w:r>
        <w:rPr>
          <w:color w:val="000000" w:themeColor="text1"/>
          <w:highlight w:val="none"/>
          <w14:textFill>
            <w14:solidFill>
              <w14:schemeClr w14:val="tx1"/>
            </w14:solidFill>
          </w14:textFill>
        </w:rPr>
        <w:t>占地区，在开工前，应首先剥离表层土，将其暂时堆放在表土堆存场，用塑料薄膜或草席覆盖，以防止雨水冲刷和风扬，作为项目完工后覆土造地或绿化的回填表土之用。</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剥离厚度</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现场调查，剥离区表层土的厚度平均为20cm，厚的可达30cm，但在具体的设计中应根据剥离区域土壤耕植层厚度及后期复绿所需回填量来确定剥离厚度。由于区域内表土厚度存在差异，对土层深厚、肥沃的地方可适当深剥，对土层较薄、肥力不高的地方可适当浅剥，在总量控制（用多少剥多少）的前提下应尽量将剥离区域内最肥沃的部分土壤剥离出来。</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占地区的草地表土厚度一般在30cm以内，表土剥离中应控制剥离厚度，剥离厚度过大，否则给保存带来不便，下部生土如混进表土，致使土地生产力下降。</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保存及保护</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a）表土临时堆存应尽量占用场内空闲地，如场内无适合堆处则应另行征地，表土保存过程中应设有临时防护措施。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b）根据剥离量和堆放条件，先用塑料彩条布或薄膜覆盖即可，四周用编制土袋临时挡护，编织袋外0.5m</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1.0m处设临时排水沟，堆积形成后可利用铲车或推土机对顶部和边坡稍作压实，顶部应向外侧做成一定坡度，便于排水。</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c）如保存期较长，超过1个生长季，可撒播草籽临时绿化，草种应该选择有培肥地力的（豆科）牧草。如堆放在渣场，一般应集中堆放在渣场下游或者两侧地势平缓处，避开低洼及水流汇集处。</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回填利用</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a）为提高草皮成活率，植草皮前应先覆土，覆土应控制厚度，一般为3cm</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5cm，覆土时应适当压实，增加与边坡粘合力，避免剥落或因含水量增加与草皮一起顺坡向下滑移，如采用框格植草护坡，也应在框格内覆土。</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b）表土回填及整地过程中应地面与周边地形相协调，应避免出现中间低四周高，以避免雨天造成洼地积水。</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c）临时占地利用完毕后应先铲除地表泥结石层，然后回填表土进行全面整地，全面整地后地面高度应与周边相一致，以利于复绿。</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（2）恢复措施与技术</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植被恢复措施与技术</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a）对因施工期间破坏的草地植被和生境、临时占用的草地植被及各种施工迹地，工程结束后应该尽量通过实施生态恢复措施使其逐步得到恢复。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b）在植被恢复或其他生态恢复活动中，应该依照适地适树、原生性、特有性、实用性的基本科学原则，种植当地生态系统中原有的重要的各种植物种类，乔、灌、草植物有机搭配。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c）在采集种子或繁殖体时，要根据不同树种和植物，注意选择具有生长正常、健壮、结实率高等优良性状的种源。</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d）不能营造单一树种的单优群落，要营造为混交林，以最大限度保证群落丰富及生物多样性。</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e）尽量利用自然更新的方式恢复植被，并且注意恢复过程中的环境保护，同时加强管护，要通过围栏等措施防止人、畜破坏。</w:t>
      </w:r>
    </w:p>
    <w:p>
      <w:pPr>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植物资源恢复措施及技术</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a）对各施工区发现的重要植物要认真清查登记、备案。以便在今后植物资源的恢复中作为选择植物种类的依据。</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b）种植原生种，杜绝外来种。在植被恢复或其他生态恢复活动中，避免外来种可能对当地的生态系统造成无可挽回的破坏。</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c）多种植当地的特有植物。</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d）注意采种时间、种源选择，以及造林时间。造林时，严格执行苗木检验，做好苗木保护，提高造林质量，保证成活率。加强抚育管理和管护，使植被尽快恢复。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e）植物种类选择</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进行植被恢复时，根据适地适树、原生性、特有性、观赏性等原则，应该采用有生态价值或经济价值的当地特有的原生植物，尤其是那些被项目建设破坏的重要物种。第一，可以恢复和增加当地植物多样性；第二，可以使植被恢复和绿化具有地方特色；第三，就地取材，可以降低绿化成本；第四，选择有一定经济价值的原生种类，可以增加一定的经济收入。</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（3）资金保障</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设立生态补偿专项经费，将野生动植物的保护和监测费用、工程地形地貌恢复费用纳入生态补偿费，确保生态恢复资金足额到位。</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（4）项目占地恢复及复垦要求</w:t>
      </w:r>
    </w:p>
    <w:p>
      <w:pPr>
        <w:snapToGrid/>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施工期占地内容为井场及边坡，进场道路，放喷池，放喷管线及施工便道，集输管线，表土堆场，生活营地占地，</w:t>
      </w:r>
      <w:r>
        <w:rPr>
          <w:rFonts w:cs="Times New Roman"/>
          <w:bCs/>
          <w:color w:val="000000" w:themeColor="text1"/>
          <w:szCs w:val="24"/>
          <w:highlight w:val="none"/>
          <w14:textFill>
            <w14:solidFill>
              <w14:schemeClr w14:val="tx1"/>
            </w14:solidFill>
          </w14:textFill>
        </w:rPr>
        <w:t>占地主要以</w:t>
      </w:r>
      <w:r>
        <w:rPr>
          <w:rFonts w:cs="Times New Roman"/>
          <w:bCs/>
          <w:color w:val="000000" w:themeColor="text1"/>
          <w:kern w:val="0"/>
          <w:szCs w:val="24"/>
          <w:highlight w:val="none"/>
          <w14:textFill>
            <w14:solidFill>
              <w14:schemeClr w14:val="tx1"/>
            </w14:solidFill>
          </w14:textFill>
        </w:rPr>
        <w:t>新建井场及</w:t>
      </w:r>
      <w:r>
        <w:rPr>
          <w:rFonts w:hint="eastAsia" w:cs="Times New Roman"/>
          <w:bCs/>
          <w:color w:val="000000" w:themeColor="text1"/>
          <w:kern w:val="0"/>
          <w:szCs w:val="24"/>
          <w:highlight w:val="none"/>
          <w:lang w:val="en-US" w:eastAsia="zh-CN"/>
          <w14:textFill>
            <w14:solidFill>
              <w14:schemeClr w14:val="tx1"/>
            </w14:solidFill>
          </w14:textFill>
        </w:rPr>
        <w:t>管线临时占地</w:t>
      </w:r>
      <w:r>
        <w:rPr>
          <w:rFonts w:cs="Times New Roman"/>
          <w:bCs/>
          <w:color w:val="000000" w:themeColor="text1"/>
          <w:szCs w:val="24"/>
          <w:highlight w:val="none"/>
          <w14:textFill>
            <w14:solidFill>
              <w14:schemeClr w14:val="tx1"/>
            </w14:solidFill>
          </w14:textFill>
        </w:rPr>
        <w:t>为主，占地类型以旱地植被</w:t>
      </w:r>
      <w:r>
        <w:rPr>
          <w:rFonts w:hint="eastAsia" w:cs="Times New Roman"/>
          <w:bCs/>
          <w:color w:val="000000" w:themeColor="text1"/>
          <w:szCs w:val="24"/>
          <w:highlight w:val="none"/>
          <w:lang w:val="en-US" w:eastAsia="zh-CN"/>
          <w14:textFill>
            <w14:solidFill>
              <w14:schemeClr w14:val="tx1"/>
            </w14:solidFill>
          </w14:textFill>
        </w:rPr>
        <w:t>和</w:t>
      </w:r>
      <w:r>
        <w:rPr>
          <w:rFonts w:cs="Times New Roman"/>
          <w:bCs/>
          <w:color w:val="000000" w:themeColor="text1"/>
          <w:szCs w:val="24"/>
          <w:highlight w:val="none"/>
          <w14:textFill>
            <w14:solidFill>
              <w14:schemeClr w14:val="tx1"/>
            </w14:solidFill>
          </w14:textFill>
        </w:rPr>
        <w:t>乔木林地为主。</w:t>
      </w:r>
    </w:p>
    <w:p>
      <w:pPr>
        <w:ind w:firstLine="480"/>
        <w:rPr>
          <w:rFonts w:cs="Times New Roman"/>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退役后，在相关设施拆除后，需在占地区进行植被复绿，复绿采用乔、灌、草植物有机搭配方式，择具有生长正常、健壮、结实率高等优良性状的种源，树种主要采用本地青冈、麻栎、栓皮栎、马尾松为主的乔木树种，结合马桑、黄荆、火棘、荚蒾、芒、白茅、芒萁等相关灌草丛，严控外来物种的入侵，对复绿植被做好生态监测，加强管护，保证成效，使植被尽快恢复</w:t>
      </w:r>
      <w:r>
        <w:rPr>
          <w:rFonts w:cs="Times New Roman"/>
          <w:color w:val="000000" w:themeColor="text1"/>
          <w:szCs w:val="24"/>
          <w:highlight w:val="none"/>
          <w14:textFill>
            <w14:solidFill>
              <w14:schemeClr w14:val="tx1"/>
            </w14:solidFill>
          </w14:textFill>
        </w:rPr>
        <w:t>。</w:t>
      </w:r>
    </w:p>
    <w:p>
      <w:pPr>
        <w:pStyle w:val="5"/>
        <w:spacing w:before="0" w:beforeLines="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基本农田复垦</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本项目严格缴纳复垦保证金，根据《土地复垦条例实施办法》有关规定办理土地复垦费用预存手续</w:t>
      </w:r>
      <w:r>
        <w:rPr>
          <w:rFonts w:hint="eastAsia" w:cs="Times New Roman"/>
          <w:bCs/>
          <w:color w:val="000000" w:themeColor="text1"/>
          <w:highlight w:val="none"/>
          <w14:textFill>
            <w14:solidFill>
              <w14:schemeClr w14:val="tx1"/>
            </w14:solidFill>
          </w14:textFill>
        </w:rPr>
        <w:t>。并及时编制土地复垦方案，复垦方案需要求基本农田在用地手续到期后及时开展复垦，并要求恢复至不低于现有土壤环境质量现状。</w:t>
      </w:r>
    </w:p>
    <w:p>
      <w:pPr>
        <w:pStyle w:val="5"/>
        <w:spacing w:before="0" w:beforeLines="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临时用地复垦</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项目开工建设前需编制</w:t>
      </w:r>
      <w:r>
        <w:rPr>
          <w:color w:val="000000" w:themeColor="text1"/>
          <w:highlight w:val="none"/>
          <w14:textFill>
            <w14:solidFill>
              <w14:schemeClr w14:val="tx1"/>
            </w14:solidFill>
          </w14:textFill>
        </w:rPr>
        <w:t>临时用地土地复垦方案报告书</w:t>
      </w:r>
      <w:r>
        <w:rPr>
          <w:rFonts w:hint="eastAsia"/>
          <w:color w:val="000000" w:themeColor="text1"/>
          <w:highlight w:val="none"/>
          <w14:textFill>
            <w14:solidFill>
              <w14:schemeClr w14:val="tx1"/>
            </w14:solidFill>
          </w14:textFill>
        </w:rPr>
        <w:t>，并按照</w:t>
      </w:r>
      <w:r>
        <w:rPr>
          <w:color w:val="000000" w:themeColor="text1"/>
          <w:highlight w:val="none"/>
          <w14:textFill>
            <w14:solidFill>
              <w14:schemeClr w14:val="tx1"/>
            </w14:solidFill>
          </w14:textFill>
        </w:rPr>
        <w:t>复垦方案报告书</w:t>
      </w:r>
      <w:r>
        <w:rPr>
          <w:rFonts w:hint="eastAsia"/>
          <w:color w:val="000000" w:themeColor="text1"/>
          <w:highlight w:val="none"/>
          <w14:textFill>
            <w14:solidFill>
              <w14:schemeClr w14:val="tx1"/>
            </w14:solidFill>
          </w14:textFill>
        </w:rPr>
        <w:t>要求及时开展复垦，主要复垦流程如下：</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（1）</w:t>
      </w:r>
      <w:r>
        <w:rPr>
          <w:rFonts w:cs="Times New Roman"/>
          <w:bCs/>
          <w:color w:val="000000" w:themeColor="text1"/>
          <w:highlight w:val="none"/>
          <w14:textFill>
            <w14:solidFill>
              <w14:schemeClr w14:val="tx1"/>
            </w14:solidFill>
          </w14:textFill>
        </w:rPr>
        <w:t>表土剥离工程</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主体工程开始前一个月，根据项目区各临时用地地块实地勘测和土壤剖面观察，对项目范围内除表土堆放区的区域进行表土剥离，对水田剥离30cm，旱地剥离40cm，林地剥离30cm，其他地类表土达不到复耕表土要求，剥离意义不大，不进行剥离。将剥离的表土有序堆放至表土堆放区，对于放喷池表土层下层进行挖方，将挖方产生的土块、碎石有序堆放至表土堆放区，与剥离的表土进行分层堆放。最后要对表土堆放区撒播草籽和无纺布遮盖，并挖边沟以防止水土和土壤肥力流失</w:t>
      </w:r>
      <w:r>
        <w:rPr>
          <w:rFonts w:hint="eastAsia" w:cs="Times New Roman"/>
          <w:bCs/>
          <w:color w:val="000000" w:themeColor="text1"/>
          <w:highlight w:val="none"/>
          <w14:textFill>
            <w14:solidFill>
              <w14:schemeClr w14:val="tx1"/>
            </w14:solidFill>
          </w14:textFill>
        </w:rPr>
        <w:t>。</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（2）拆除工程</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工程建设完成后拆除无后续开发利用计划的场地内的建筑和构筑物，利用拆除的废渣填充放喷池及清水池的深挖坑（若放喷池及清水池有后续开发计划则保留并按要求办理临时用地续征手续）；拆除后对场地废弃物进行清理，清理厚度取1</w:t>
      </w:r>
      <w:r>
        <w:rPr>
          <w:rFonts w:cs="Times New Roman"/>
          <w:bCs/>
          <w:color w:val="000000" w:themeColor="text1"/>
          <w:highlight w:val="none"/>
          <w14:textFill>
            <w14:solidFill>
              <w14:schemeClr w14:val="tx1"/>
            </w14:solidFill>
          </w14:textFill>
        </w:rPr>
        <w:t>0</w:t>
      </w:r>
      <w:r>
        <w:rPr>
          <w:rFonts w:hint="eastAsia" w:cs="Times New Roman"/>
          <w:bCs/>
          <w:color w:val="000000" w:themeColor="text1"/>
          <w:highlight w:val="none"/>
          <w14:textFill>
            <w14:solidFill>
              <w14:schemeClr w14:val="tx1"/>
            </w14:solidFill>
          </w14:textFill>
        </w:rPr>
        <w:t>cm。</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（3）土壤重构工程</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工程建设完成后，先将表土堆放区内由放喷池表土层下层挖方而产生的土块、碎石回填至放喷池及清水池，再将表土堆放区的耕作土回填，表土堆放区复垦为旱地，其土壤耕作层厚度达到旱地耕作要求的最小土壤厚度时，项目区未回填的地块不用表土堆放区的表土进行回填，用外买表土回填。回填厚度设计为：复垦永久基本农田区域的水田回填60cm，旱地回填50cm；一般耕地的区域旱地回填40cm，林地回填30cm。</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耕作层土壤覆土后采用平地机和人工平地相结合的方式进行土地平整，修建田埂并进行深翻和土壤改良。复垦区由于机械和人工作业的缘故，土壤一般比较紧实，可采用耙、深松翻等措施，调高土壤空隙度，改良土壤结构。项目区内土地面积比较小，复垦单元之间有一定距离和坡度等差异，所以设计多个地块，分别通过清理、平整、覆土等工程措施，平整翻耕，并填平补齐地面，保证地面复垦为水田的土地坡度小于15°，旱地的土地坡度小于25°，将拟损毁的土地复垦为可供农业利用的土地。</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生态景观影响减缓措施</w:t>
      </w:r>
    </w:p>
    <w:p>
      <w:pPr>
        <w:ind w:firstLine="480"/>
        <w:rPr>
          <w:rFonts w:cs="Times New Roman"/>
          <w:color w:val="000000" w:themeColor="text1"/>
          <w:highlight w:val="none"/>
          <w14:textFill>
            <w14:solidFill>
              <w14:schemeClr w14:val="tx1"/>
            </w14:solidFill>
          </w14:textFill>
        </w:rPr>
      </w:pPr>
      <w:bookmarkStart w:id="410" w:name="_Hlk89361264"/>
      <w:r>
        <w:rPr>
          <w:rFonts w:cs="Times New Roman"/>
          <w:color w:val="000000" w:themeColor="text1"/>
          <w:highlight w:val="none"/>
          <w14:textFill>
            <w14:solidFill>
              <w14:schemeClr w14:val="tx1"/>
            </w14:solidFill>
          </w14:textFill>
        </w:rPr>
        <w:t>本项目在施工期采取如下生态景观减缓措施。</w:t>
      </w:r>
    </w:p>
    <w:bookmarkEnd w:id="410"/>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（1）对施工弃土进行严格管理，做到随挖随填；</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（2）进一步做好环卫工作，废弃物应合理堆放，及时处置，禁止乱丢垃圾和废弃物，严禁场内污水进入外环沟，确保周边环境不被污染；</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（3）施工人员应严格按照设计路线和场地范围活动，减少对道路和井场周围植被的破坏；</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（4）建议合理安排项目施工时间，尽量选择项目所在地处于荒芜期间（冬季）进行施工，大大减少对植被破坏，降低项目对生态景观的影响；</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（5）在项目建设过程中，对可以恢复的临时占地及时恢复，项目完成后应及时和规划部门和当地居民或村委会协商临时用地恢复使用恢复要求，及时对项目临时占地进行恢复，力求提高当地生态景观观感。</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永久基本农田、公益林保护方案</w:t>
      </w:r>
    </w:p>
    <w:p>
      <w:pPr>
        <w:ind w:firstLine="480"/>
        <w:rPr>
          <w:rFonts w:hint="eastAsia" w:eastAsia="宋体" w:cs="Times New Roman"/>
          <w:color w:val="000000" w:themeColor="text1"/>
          <w:highlight w:val="none"/>
          <w:lang w:eastAsia="zh-CN"/>
          <w14:textFill>
            <w14:solidFill>
              <w14:schemeClr w14:val="tx1"/>
            </w14:solidFill>
          </w14:textFill>
        </w:rPr>
      </w:pPr>
      <w:r>
        <w:rPr>
          <w:rFonts w:cs="Times New Roman"/>
          <w:color w:val="000000" w:themeColor="text1"/>
          <w:highlight w:val="none"/>
          <w14:textFill>
            <w14:solidFill>
              <w14:schemeClr w14:val="tx1"/>
            </w14:solidFill>
          </w14:textFill>
        </w:rPr>
        <w:t>在项目建设中应当尽可能减少对土地</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林地</w:t>
      </w:r>
      <w:r>
        <w:rPr>
          <w:rFonts w:cs="Times New Roman"/>
          <w:color w:val="000000" w:themeColor="text1"/>
          <w:highlight w:val="none"/>
          <w14:textFill>
            <w14:solidFill>
              <w14:schemeClr w14:val="tx1"/>
            </w14:solidFill>
          </w14:textFill>
        </w:rPr>
        <w:t>的占用，严格在征地红线范围内施工，最大限度节约土地资源</w:t>
      </w:r>
      <w:r>
        <w:rPr>
          <w:rFonts w:hint="eastAsia" w:cs="Times New Roman"/>
          <w:color w:val="000000" w:themeColor="text1"/>
          <w:highlight w:val="none"/>
          <w:lang w:eastAsia="zh-CN"/>
          <w14:textFill>
            <w14:solidFill>
              <w14:schemeClr w14:val="tx1"/>
            </w14:solidFill>
          </w14:textFill>
        </w:rPr>
        <w:t>。</w:t>
      </w:r>
    </w:p>
    <w:p>
      <w:pPr>
        <w:ind w:firstLine="480"/>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管线</w:t>
      </w:r>
      <w:r>
        <w:rPr>
          <w:rFonts w:hint="eastAsia"/>
          <w:color w:val="000000" w:themeColor="text1"/>
          <w:highlight w:val="none"/>
          <w14:textFill>
            <w14:solidFill>
              <w14:schemeClr w14:val="tx1"/>
            </w14:solidFill>
          </w14:textFill>
        </w:rPr>
        <w:t>施工前，</w:t>
      </w:r>
      <w:r>
        <w:rPr>
          <w:rFonts w:hint="eastAsia"/>
          <w:color w:val="000000" w:themeColor="text1"/>
          <w:highlight w:val="none"/>
          <w:lang w:val="en-US" w:eastAsia="zh-CN"/>
          <w14:textFill>
            <w14:solidFill>
              <w14:schemeClr w14:val="tx1"/>
            </w14:solidFill>
          </w14:textFill>
        </w:rPr>
        <w:t>建设单位应针对管线占用公益林，制定相关保护方案，具体要求如下：</w:t>
      </w:r>
      <w:r>
        <w:rPr>
          <w:rFonts w:hint="eastAsia" w:ascii="宋体" w:hAnsi="宋体" w:cs="宋体"/>
          <w:color w:val="000000" w:themeColor="text1"/>
          <w:highlight w:val="none"/>
          <w14:textFill>
            <w14:solidFill>
              <w14:schemeClr w14:val="tx1"/>
            </w14:solidFill>
          </w14:textFill>
        </w:rPr>
        <w:t>①</w:t>
      </w:r>
      <w:r>
        <w:rPr>
          <w:color w:val="000000" w:themeColor="text1"/>
          <w:szCs w:val="24"/>
          <w:highlight w:val="none"/>
          <w14:textFill>
            <w14:solidFill>
              <w14:schemeClr w14:val="tx1"/>
            </w14:solidFill>
          </w14:textFill>
        </w:rPr>
        <w:t>优化施工方案，严格控制施工作业面，必须避免超挖破坏周边</w:t>
      </w:r>
      <w:r>
        <w:rPr>
          <w:rFonts w:hint="eastAsia"/>
          <w:color w:val="000000" w:themeColor="text1"/>
          <w:szCs w:val="24"/>
          <w:highlight w:val="none"/>
          <w14:textFill>
            <w14:solidFill>
              <w14:schemeClr w14:val="tx1"/>
            </w14:solidFill>
          </w14:textFill>
        </w:rPr>
        <w:t>天然林</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公益林</w:t>
      </w:r>
      <w:r>
        <w:rPr>
          <w:color w:val="000000" w:themeColor="text1"/>
          <w:szCs w:val="24"/>
          <w:highlight w:val="none"/>
          <w14:textFill>
            <w14:solidFill>
              <w14:schemeClr w14:val="tx1"/>
            </w14:solidFill>
          </w14:textFill>
        </w:rPr>
        <w:t>植被。</w:t>
      </w:r>
      <w:r>
        <w:rPr>
          <w:rFonts w:hint="eastAsia" w:ascii="宋体" w:hAnsi="宋体" w:cs="宋体"/>
          <w:color w:val="000000" w:themeColor="text1"/>
          <w:szCs w:val="24"/>
          <w:highlight w:val="none"/>
          <w14:textFill>
            <w14:solidFill>
              <w14:schemeClr w14:val="tx1"/>
            </w14:solidFill>
          </w14:textFill>
        </w:rPr>
        <w:t>②</w:t>
      </w:r>
      <w:r>
        <w:rPr>
          <w:color w:val="000000" w:themeColor="text1"/>
          <w:szCs w:val="24"/>
          <w:highlight w:val="none"/>
          <w14:textFill>
            <w14:solidFill>
              <w14:schemeClr w14:val="tx1"/>
            </w14:solidFill>
          </w14:textFill>
        </w:rPr>
        <w:t>严格按照施工方案要求将弃土、弃渣等运往指定场地，禁止在非施工区任何位置随意堆放。</w:t>
      </w:r>
      <w:r>
        <w:rPr>
          <w:rFonts w:hint="eastAsia" w:ascii="宋体" w:hAnsi="宋体" w:cs="宋体"/>
          <w:color w:val="000000" w:themeColor="text1"/>
          <w:szCs w:val="24"/>
          <w:highlight w:val="none"/>
          <w14:textFill>
            <w14:solidFill>
              <w14:schemeClr w14:val="tx1"/>
            </w14:solidFill>
          </w14:textFill>
        </w:rPr>
        <w:t>③</w:t>
      </w:r>
      <w:r>
        <w:rPr>
          <w:color w:val="000000" w:themeColor="text1"/>
          <w:szCs w:val="24"/>
          <w:highlight w:val="none"/>
          <w14:textFill>
            <w14:solidFill>
              <w14:schemeClr w14:val="tx1"/>
            </w14:solidFill>
          </w14:textFill>
        </w:rPr>
        <w:t>施工过程中，施工单位应加强防火知识宣传教育，增强员工和附近居民的防火意识，杜绝火灾的发生。</w:t>
      </w:r>
      <w:r>
        <w:rPr>
          <w:rFonts w:hint="eastAsia" w:ascii="宋体" w:hAnsi="宋体" w:cs="宋体"/>
          <w:color w:val="000000" w:themeColor="text1"/>
          <w:szCs w:val="24"/>
          <w:highlight w:val="none"/>
          <w14:textFill>
            <w14:solidFill>
              <w14:schemeClr w14:val="tx1"/>
            </w14:solidFill>
          </w14:textFill>
        </w:rPr>
        <w:t>④</w:t>
      </w:r>
      <w:r>
        <w:rPr>
          <w:color w:val="000000" w:themeColor="text1"/>
          <w:szCs w:val="24"/>
          <w:highlight w:val="none"/>
          <w14:textFill>
            <w14:solidFill>
              <w14:schemeClr w14:val="tx1"/>
            </w14:solidFill>
          </w14:textFill>
        </w:rPr>
        <w:t>应按照</w:t>
      </w:r>
      <w:r>
        <w:rPr>
          <w:rFonts w:hint="eastAsia"/>
          <w:b w:val="0"/>
          <w:bCs w:val="0"/>
          <w:color w:val="000000" w:themeColor="text1"/>
          <w:highlight w:val="none"/>
          <w:vertAlign w:val="baseline"/>
          <w:lang w:val="en-US" w:eastAsia="zh-CN"/>
          <w14:textFill>
            <w14:solidFill>
              <w14:schemeClr w14:val="tx1"/>
            </w14:solidFill>
          </w14:textFill>
        </w:rPr>
        <w:t>《国家级公益林管理办法》（林资发〔2017〕34号）、《四川省林地保护管理办法》（川林发〔2010〕33号）</w:t>
      </w:r>
      <w:r>
        <w:rPr>
          <w:color w:val="000000" w:themeColor="text1"/>
          <w:szCs w:val="24"/>
          <w:highlight w:val="none"/>
          <w14:textFill>
            <w14:solidFill>
              <w14:schemeClr w14:val="tx1"/>
            </w14:solidFill>
          </w14:textFill>
        </w:rPr>
        <w:t>相关</w:t>
      </w:r>
      <w:r>
        <w:rPr>
          <w:rFonts w:hint="eastAsia"/>
          <w:color w:val="000000" w:themeColor="text1"/>
          <w:szCs w:val="24"/>
          <w:highlight w:val="none"/>
          <w14:textFill>
            <w14:solidFill>
              <w14:schemeClr w14:val="tx1"/>
            </w14:solidFill>
          </w14:textFill>
        </w:rPr>
        <w:t>林地审批</w:t>
      </w:r>
      <w:r>
        <w:rPr>
          <w:color w:val="000000" w:themeColor="text1"/>
          <w:szCs w:val="24"/>
          <w:highlight w:val="none"/>
          <w14:textFill>
            <w14:solidFill>
              <w14:schemeClr w14:val="tx1"/>
            </w14:solidFill>
          </w14:textFill>
        </w:rPr>
        <w:t>手续办理</w:t>
      </w:r>
      <w:r>
        <w:rPr>
          <w:rFonts w:hint="eastAsia"/>
          <w:color w:val="000000" w:themeColor="text1"/>
          <w:szCs w:val="24"/>
          <w:highlight w:val="none"/>
          <w14:textFill>
            <w14:solidFill>
              <w14:schemeClr w14:val="tx1"/>
            </w14:solidFill>
          </w14:textFill>
        </w:rPr>
        <w:t>使用林地</w:t>
      </w:r>
      <w:r>
        <w:rPr>
          <w:rFonts w:hint="eastAsia"/>
          <w:bCs/>
          <w:color w:val="000000" w:themeColor="text1"/>
          <w:highlight w:val="none"/>
          <w14:textFill>
            <w14:solidFill>
              <w14:schemeClr w14:val="tx1"/>
            </w14:solidFill>
          </w14:textFill>
        </w:rPr>
        <w:t>审批</w:t>
      </w:r>
      <w:r>
        <w:rPr>
          <w:bCs/>
          <w:color w:val="000000" w:themeColor="text1"/>
          <w:highlight w:val="none"/>
          <w14:textFill>
            <w14:solidFill>
              <w14:schemeClr w14:val="tx1"/>
            </w14:solidFill>
          </w14:textFill>
        </w:rPr>
        <w:t>手续并获得相应批文后方可实质性施工</w:t>
      </w:r>
      <w:r>
        <w:rPr>
          <w:rFonts w:hint="eastAsia"/>
          <w:bCs/>
          <w:color w:val="000000" w:themeColor="text1"/>
          <w:highlight w:val="none"/>
          <w14:textFill>
            <w14:solidFill>
              <w14:schemeClr w14:val="tx1"/>
            </w14:solidFill>
          </w14:textFill>
        </w:rPr>
        <w:t>，严禁违法使用</w:t>
      </w:r>
      <w:r>
        <w:rPr>
          <w:rFonts w:hint="eastAsia"/>
          <w:bCs/>
          <w:color w:val="000000" w:themeColor="text1"/>
          <w:highlight w:val="none"/>
          <w:lang w:val="en-US" w:eastAsia="zh-CN"/>
          <w14:textFill>
            <w14:solidFill>
              <w14:schemeClr w14:val="tx1"/>
            </w14:solidFill>
          </w14:textFill>
        </w:rPr>
        <w:t>公益林</w:t>
      </w:r>
      <w:r>
        <w:rPr>
          <w:rFonts w:hint="eastAsia"/>
          <w:bCs/>
          <w:color w:val="000000" w:themeColor="text1"/>
          <w:highlight w:val="none"/>
          <w14:textFill>
            <w14:solidFill>
              <w14:schemeClr w14:val="tx1"/>
            </w14:solidFill>
          </w14:textFill>
        </w:rPr>
        <w:t>地</w:t>
      </w:r>
      <w:r>
        <w:rPr>
          <w:bCs/>
          <w:color w:val="000000" w:themeColor="text1"/>
          <w:highlight w:val="none"/>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项目施工前，</w:t>
      </w:r>
      <w:r>
        <w:rPr>
          <w:rFonts w:hint="eastAsia"/>
          <w:color w:val="000000" w:themeColor="text1"/>
          <w:highlight w:val="none"/>
          <w:lang w:val="en-US" w:eastAsia="zh-CN"/>
          <w14:textFill>
            <w14:solidFill>
              <w14:schemeClr w14:val="tx1"/>
            </w14:solidFill>
          </w14:textFill>
        </w:rPr>
        <w:t>建设单位应针对占用永久基本农田，制定相关保护方案，具体要求如下：</w:t>
      </w:r>
      <w:r>
        <w:rPr>
          <w:rFonts w:hint="eastAsia" w:ascii="宋体" w:hAnsi="宋体" w:cs="宋体"/>
          <w:color w:val="000000" w:themeColor="text1"/>
          <w:highlight w:val="none"/>
          <w14:textFill>
            <w14:solidFill>
              <w14:schemeClr w14:val="tx1"/>
            </w14:solidFill>
          </w14:textFill>
        </w:rPr>
        <w:t>①</w:t>
      </w:r>
      <w:r>
        <w:rPr>
          <w:color w:val="000000" w:themeColor="text1"/>
          <w:szCs w:val="24"/>
          <w:highlight w:val="none"/>
          <w14:textFill>
            <w14:solidFill>
              <w14:schemeClr w14:val="tx1"/>
            </w14:solidFill>
          </w14:textFill>
        </w:rPr>
        <w:t>优化施工方案，严格控制施工作业面，必须避免超挖破坏周边</w:t>
      </w:r>
      <w:r>
        <w:rPr>
          <w:rFonts w:hint="eastAsia"/>
          <w:color w:val="000000" w:themeColor="text1"/>
          <w:szCs w:val="24"/>
          <w:highlight w:val="none"/>
          <w:lang w:val="en-US" w:eastAsia="zh-CN"/>
          <w14:textFill>
            <w14:solidFill>
              <w14:schemeClr w14:val="tx1"/>
            </w14:solidFill>
          </w14:textFill>
        </w:rPr>
        <w:t>永久基本农田</w:t>
      </w:r>
      <w:r>
        <w:rPr>
          <w:color w:val="000000" w:themeColor="text1"/>
          <w:szCs w:val="24"/>
          <w:highlight w:val="none"/>
          <w14:textFill>
            <w14:solidFill>
              <w14:schemeClr w14:val="tx1"/>
            </w14:solidFill>
          </w14:textFill>
        </w:rPr>
        <w:t>。</w:t>
      </w:r>
      <w:r>
        <w:rPr>
          <w:rFonts w:hint="eastAsia" w:ascii="宋体" w:hAnsi="宋体" w:cs="宋体"/>
          <w:color w:val="000000" w:themeColor="text1"/>
          <w:szCs w:val="24"/>
          <w:highlight w:val="none"/>
          <w14:textFill>
            <w14:solidFill>
              <w14:schemeClr w14:val="tx1"/>
            </w14:solidFill>
          </w14:textFill>
        </w:rPr>
        <w:t>②</w:t>
      </w:r>
      <w:r>
        <w:rPr>
          <w:color w:val="000000" w:themeColor="text1"/>
          <w:szCs w:val="24"/>
          <w:highlight w:val="none"/>
          <w14:textFill>
            <w14:solidFill>
              <w14:schemeClr w14:val="tx1"/>
            </w14:solidFill>
          </w14:textFill>
        </w:rPr>
        <w:t>严格按照施工方案要求将弃土、弃渣等运往指定场地，禁止在非施工区任何位置随意堆放。</w:t>
      </w:r>
      <w:r>
        <w:rPr>
          <w:rFonts w:hint="eastAsia"/>
          <w:color w:val="000000" w:themeColor="text1"/>
          <w:szCs w:val="24"/>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在施工结束后，对开挖破坏段耕地质量的恢复，除补偿因临时占地对农田产量的直接损失外，还将考虑施工结束后因土壤结构破坏、养分流失而造成的影响，对农作物产量的间接损失以及土壤恢复进行补偿，以用于耕作层土恢复。</w:t>
      </w:r>
      <w:r>
        <w:rPr>
          <w:rFonts w:hint="eastAsia"/>
          <w:color w:val="000000" w:themeColor="text1"/>
          <w:highlight w:val="none"/>
          <w:lang w:val="en-US" w:eastAsia="zh-CN"/>
          <w14:textFill>
            <w14:solidFill>
              <w14:schemeClr w14:val="tx1"/>
            </w14:solidFill>
          </w14:textFill>
        </w:rPr>
        <w:t>④</w:t>
      </w:r>
      <w:r>
        <w:rPr>
          <w:rFonts w:cs="Times New Roman"/>
          <w:bCs/>
          <w:color w:val="000000" w:themeColor="text1"/>
          <w:highlight w:val="none"/>
          <w14:textFill>
            <w14:solidFill>
              <w14:schemeClr w14:val="tx1"/>
            </w14:solidFill>
          </w14:textFill>
        </w:rPr>
        <w:t>本项目严格缴纳复垦保证金，根据《土地复垦条例实施办法》有关规定办理土地复垦费用预存手续</w:t>
      </w:r>
      <w:r>
        <w:rPr>
          <w:rFonts w:hint="eastAsia" w:cs="Times New Roman"/>
          <w:bCs/>
          <w:color w:val="000000" w:themeColor="text1"/>
          <w:highlight w:val="none"/>
          <w14:textFill>
            <w14:solidFill>
              <w14:schemeClr w14:val="tx1"/>
            </w14:solidFill>
          </w14:textFill>
        </w:rPr>
        <w:t>。并及时编制土地复垦方案，复垦方案需要求基本农田在用地手续到期后及时开展复垦，并要求恢复至不低于现有土壤环境质量现状。</w:t>
      </w:r>
    </w:p>
    <w:p>
      <w:pPr>
        <w:pStyle w:val="5"/>
        <w:keepNext/>
        <w:keepLines/>
        <w:pageBreakBefore w:val="0"/>
        <w:widowControl w:val="0"/>
        <w:kinsoku/>
        <w:wordWrap/>
        <w:overflowPunct/>
        <w:topLinePunct w:val="0"/>
        <w:autoSpaceDE/>
        <w:autoSpaceDN/>
        <w:bidi w:val="0"/>
        <w:adjustRightInd w:val="0"/>
        <w:snapToGrid w:val="0"/>
        <w:spacing w:before="0" w:beforeLines="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水土流失预防措施</w:t>
      </w:r>
    </w:p>
    <w:p>
      <w:pPr>
        <w:ind w:firstLine="480"/>
        <w:rPr>
          <w:rFonts w:cs="Times New Roman"/>
          <w:color w:val="000000" w:themeColor="text1"/>
          <w:highlight w:val="none"/>
          <w14:textFill>
            <w14:solidFill>
              <w14:schemeClr w14:val="tx1"/>
            </w14:solidFill>
          </w14:textFill>
        </w:rPr>
      </w:pPr>
      <w:bookmarkStart w:id="411" w:name="_Hlk89361285"/>
      <w:r>
        <w:rPr>
          <w:rFonts w:cs="Times New Roman"/>
          <w:color w:val="000000" w:themeColor="text1"/>
          <w:highlight w:val="none"/>
          <w14:textFill>
            <w14:solidFill>
              <w14:schemeClr w14:val="tx1"/>
            </w14:solidFill>
          </w14:textFill>
        </w:rPr>
        <w:t>根据《中华人民共和国长江保护法》（2021年3月1日实施）第六十一条：</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长江流域水土流失重点预防区和重点治理区的县级以上地方人民政府应当采取措施，防治水土流失。生态保护红线范围内的水土流失地块，以自然恢复为主，按照规定有计划地实施退耕还林还草还湿；划入自然保护地核心保护区的永久基本农田，依法有序退出并予以补划。</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禁止在长江流域水土流失严重、生态脆弱的区域开展可能造成水土流失的生产建设活动。确因国家发展战略和国计民生需要建设的，应当经科学论证，并依法办理审批手续。</w:t>
      </w:r>
    </w:p>
    <w:p>
      <w:pPr>
        <w:ind w:firstLine="480"/>
        <w:rPr>
          <w:rFonts w:cs="Times New Roman"/>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长江流域县级以上地方人民政府应当对石漠化的土地因地制宜采取综合治理措施，修复生态系统，防止土地石漠化蔓延。</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本项目位于长江流域水土流失重点治理区，本项目未位于生态红线范围内，本项目新增用地</w:t>
      </w:r>
      <w:r>
        <w:rPr>
          <w:rFonts w:hint="eastAsia" w:cs="Times New Roman"/>
          <w:color w:val="000000" w:themeColor="text1"/>
          <w:highlight w:val="none"/>
          <w14:textFill>
            <w14:solidFill>
              <w14:schemeClr w14:val="tx1"/>
            </w14:solidFill>
          </w14:textFill>
        </w:rPr>
        <w:t>面积小</w:t>
      </w:r>
      <w:r>
        <w:rPr>
          <w:rFonts w:cs="Times New Roman"/>
          <w:color w:val="000000" w:themeColor="text1"/>
          <w:highlight w:val="none"/>
          <w14:textFill>
            <w14:solidFill>
              <w14:schemeClr w14:val="tx1"/>
            </w14:solidFill>
          </w14:textFill>
        </w:rPr>
        <w:t>，本项目为天然气钻井与试采项目，且将依法办理审批手续。本项目所在地植被茂盛，周边树林分布广泛，水土流失现象不明显，不涉及石漠化等。综上所述，本项目与《中华人民共和国长江保护法》相符。</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本项目在施工期拟采取如下水保措施</w:t>
      </w:r>
      <w:bookmarkEnd w:id="411"/>
      <w:r>
        <w:rPr>
          <w:rFonts w:cs="Times New Roman"/>
          <w:color w:val="000000" w:themeColor="text1"/>
          <w:highlight w:val="none"/>
          <w14:textFill>
            <w14:solidFill>
              <w14:schemeClr w14:val="tx1"/>
            </w14:solidFill>
          </w14:textFill>
        </w:rPr>
        <w:t>：</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（1）在施工过程中合理安排施工进度，施工尽量避开雨天和大风天；分段施工，未留疏松地面，减少风蚀导致的水土流失。</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（2）划定施工作业范围和路线，不得扩大施工作业范围，尽可能减少对土壤和农作物的破坏以及由此引发的水土流失。</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（3）在施工中破坏植被的地段，施工结束后，必须及时进行植被恢复工作，减轻水土流失。</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（4）在井场站场施工，设置一定围挡，减少施工过程中水土流失量。</w:t>
      </w:r>
    </w:p>
    <w:p>
      <w:pPr>
        <w:ind w:firstLine="480"/>
        <w:rPr>
          <w:rFonts w:cs="Times New Roman"/>
          <w:bCs/>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w:t>
      </w:r>
      <w:r>
        <w:rPr>
          <w:rFonts w:cs="Times New Roman"/>
          <w:bCs/>
          <w:color w:val="000000" w:themeColor="text1"/>
          <w:highlight w:val="none"/>
          <w14:textFill>
            <w14:solidFill>
              <w14:schemeClr w14:val="tx1"/>
            </w14:solidFill>
          </w14:textFill>
        </w:rPr>
        <w:t>加强对水土流失的综合治理，严格按照水土保持方案做好水土保持工作。</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（6）在施工过程中及时将土石方回填、夯实，避免长时间堆放，同时尽量减少堆放坡度；</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（7）表土堆场采用编织袋装土压边作为临时拦挡。在表土堆场底端截排水沟交汇处设置临时沉沙池，场地内的雨水汇集后经沉沙池沉淀后排放。</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（8）挖方在边坡未修整前，如遇中到大雨或暴雨，应立即用花胶布覆盖边坡，以免被雨水浸泡和冲刷。开挖的土方在未进行填实和进行地表恢复前，在遇大风或大雨，应用</w:t>
      </w:r>
      <w:r>
        <w:rPr>
          <w:rFonts w:hint="eastAsia" w:cs="Times New Roman"/>
          <w:bCs/>
          <w:color w:val="000000" w:themeColor="text1"/>
          <w:highlight w:val="none"/>
          <w:lang w:eastAsia="zh-CN"/>
          <w14:textFill>
            <w14:solidFill>
              <w14:schemeClr w14:val="tx1"/>
            </w14:solidFill>
          </w14:textFill>
        </w:rPr>
        <w:t>篷布</w:t>
      </w:r>
      <w:r>
        <w:rPr>
          <w:rFonts w:hint="eastAsia" w:cs="Times New Roman"/>
          <w:bCs/>
          <w:color w:val="000000" w:themeColor="text1"/>
          <w:highlight w:val="none"/>
          <w14:textFill>
            <w14:solidFill>
              <w14:schemeClr w14:val="tx1"/>
            </w14:solidFill>
          </w14:textFill>
        </w:rPr>
        <w:t>遮盖，以减少水蚀和风蚀量。</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（9）工程场地建设时，严格控制施工区域，严禁超挖。</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（10）在施工时应特别注意边坡坡度，边坡坡度应严格符合设计边坡坡度的要求，不得使挖方边坡陡于设计边坡坡度，否则边坡既不稳定，又增加了挖方量，容易造成余土。</w:t>
      </w:r>
    </w:p>
    <w:p>
      <w:pPr>
        <w:ind w:firstLine="480"/>
        <w:rPr>
          <w:rFonts w:cs="Times New Roman"/>
          <w:bCs/>
          <w:color w:val="000000" w:themeColor="text1"/>
          <w:highlight w:val="none"/>
          <w14:textFill>
            <w14:solidFill>
              <w14:schemeClr w14:val="tx1"/>
            </w14:solidFill>
          </w14:textFill>
        </w:rPr>
      </w:pPr>
      <w:r>
        <w:rPr>
          <w:rFonts w:hint="eastAsia" w:cs="Times New Roman"/>
          <w:bCs/>
          <w:color w:val="000000" w:themeColor="text1"/>
          <w:highlight w:val="none"/>
          <w14:textFill>
            <w14:solidFill>
              <w14:schemeClr w14:val="tx1"/>
            </w14:solidFill>
          </w14:textFill>
        </w:rPr>
        <w:t>（11）道路工程用条石护基，并修建排水沟，路面采用碎石铺垫，防止雨水冲刷。井场周围设置挡土、水墙，井场内设施基础采用水泥砼，其余地面均为碎石铺垫。井场内外设置排水、截水沟，减少雨水对施工场地冲刷，排水沟两侧及沟底均为水泥砂浆抹面。</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以上生态保护措施为川东北地区钻采工程常见措施，成熟可靠，能有效降低项目建设对区域生态环境的影响。</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12" w:name="_Toc120173211"/>
      <w:r>
        <w:rPr>
          <w:color w:val="000000" w:themeColor="text1"/>
          <w:highlight w:val="none"/>
          <w:lang w:eastAsia="zh-CN"/>
          <w14:textFill>
            <w14:solidFill>
              <w14:schemeClr w14:val="tx1"/>
            </w14:solidFill>
          </w14:textFill>
        </w:rPr>
        <w:t>施工期大气污染防治措施及可行性分析</w:t>
      </w:r>
      <w:bookmarkEnd w:id="412"/>
    </w:p>
    <w:p>
      <w:pPr>
        <w:ind w:firstLine="480"/>
        <w:rPr>
          <w:rFonts w:hint="eastAsia"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1、钻前工程</w:t>
      </w:r>
    </w:p>
    <w:p>
      <w:pPr>
        <w:ind w:firstLine="480"/>
        <w:rPr>
          <w:rFonts w:hint="eastAsia"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针对钻前工程产生的施工扬尘，</w:t>
      </w:r>
      <w:r>
        <w:rPr>
          <w:rFonts w:hint="default" w:ascii="Times New Roman" w:hAnsi="Times New Roman" w:cs="Times New Roman"/>
          <w:color w:val="000000" w:themeColor="text1"/>
          <w:szCs w:val="24"/>
          <w:highlight w:val="none"/>
          <w14:textFill>
            <w14:solidFill>
              <w14:schemeClr w14:val="tx1"/>
            </w14:solidFill>
          </w14:textFill>
        </w:rPr>
        <w:t>施工单位</w:t>
      </w:r>
      <w:r>
        <w:rPr>
          <w:rFonts w:hint="eastAsia" w:ascii="Times New Roman" w:hAnsi="Times New Roman" w:cs="Times New Roman"/>
          <w:color w:val="000000" w:themeColor="text1"/>
          <w:szCs w:val="24"/>
          <w:highlight w:val="none"/>
          <w:lang w:val="en-US" w:eastAsia="zh-CN"/>
          <w14:textFill>
            <w14:solidFill>
              <w14:schemeClr w14:val="tx1"/>
            </w14:solidFill>
          </w14:textFill>
        </w:rPr>
        <w:t>拟</w:t>
      </w:r>
      <w:r>
        <w:rPr>
          <w:rFonts w:hint="default" w:ascii="Times New Roman" w:hAnsi="Times New Roman" w:cs="Times New Roman"/>
          <w:color w:val="000000" w:themeColor="text1"/>
          <w:szCs w:val="24"/>
          <w:highlight w:val="none"/>
          <w14:textFill>
            <w14:solidFill>
              <w14:schemeClr w14:val="tx1"/>
            </w14:solidFill>
          </w14:textFill>
        </w:rPr>
        <w:t>采取硬化进出口、冲洗、洒水等措施控制扬尘。对露天堆放河沙、石粉、水泥、灰浆、灰膏等易扬撒的物料予以覆盖，对开挖施工作业面（点）洒水降尘，临时表土堆场洒水、覆盖降尘，密闭运输渣土、砂石等易撒漏扬散物质</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针对施工机械废气，施工单位拟采取</w:t>
      </w:r>
      <w:r>
        <w:rPr>
          <w:rFonts w:hint="default" w:ascii="Times New Roman" w:hAnsi="Times New Roman" w:cs="Times New Roman"/>
          <w:color w:val="000000" w:themeColor="text1"/>
          <w:szCs w:val="24"/>
          <w:highlight w:val="none"/>
          <w14:textFill>
            <w14:solidFill>
              <w14:schemeClr w14:val="tx1"/>
            </w14:solidFill>
          </w14:textFill>
        </w:rPr>
        <w:t>选用尾气排放达标机械车辆，加强保养维护</w:t>
      </w:r>
      <w:r>
        <w:rPr>
          <w:rFonts w:hint="eastAsia" w:ascii="Times New Roman" w:hAnsi="Times New Roman" w:cs="Times New Roman"/>
          <w:color w:val="000000" w:themeColor="text1"/>
          <w:szCs w:val="24"/>
          <w:highlight w:val="none"/>
          <w:lang w:val="en-US" w:eastAsia="zh-CN"/>
          <w14:textFill>
            <w14:solidFill>
              <w14:schemeClr w14:val="tx1"/>
            </w14:solidFill>
          </w14:textFill>
        </w:rPr>
        <w:t>等措施来减少废气的排放量。</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由于钻前工程施工工时不长，施工人员不多，不会对当地环境空气造成明显不利影响，对周围环境影响是可接受的</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且上述措施为施工扬尘抑制及减少施工机械废气产生所采取的常用措施，能够有效减少钻前施工阶段的废气影响，措施可行</w:t>
      </w:r>
      <w:r>
        <w:rPr>
          <w:rFonts w:hint="eastAsia" w:cs="Times New Roman"/>
          <w:color w:val="000000" w:themeColor="text1"/>
          <w:szCs w:val="24"/>
          <w:highlight w:val="none"/>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2、钻井工程</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
          <w:bCs/>
          <w:color w:val="000000" w:themeColor="text1"/>
          <w:szCs w:val="24"/>
          <w:highlight w:val="none"/>
          <w14:textFill>
            <w14:solidFill>
              <w14:schemeClr w14:val="tx1"/>
            </w14:solidFill>
          </w14:textFill>
        </w:rPr>
      </w:pPr>
      <w:r>
        <w:rPr>
          <w:rFonts w:hint="eastAsia" w:ascii="Times New Roman" w:hAnsi="Times New Roman" w:cs="Times New Roman"/>
          <w:b/>
          <w:bCs/>
          <w:color w:val="000000" w:themeColor="text1"/>
          <w:szCs w:val="24"/>
          <w:highlight w:val="none"/>
          <w:lang w:eastAsia="zh-CN"/>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4"/>
          <w:highlight w:val="none"/>
          <w14:textFill>
            <w14:solidFill>
              <w14:schemeClr w14:val="tx1"/>
            </w14:solidFill>
          </w14:textFill>
        </w:rPr>
        <w:t>备用柴油发电机废气减缓措施</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钻井过程中备用柴油机燃油废气，可以通过采用节能环保型柴油动力系统设备（自带消烟除尘装置），并适当提高排气筒高度（6m以上），减少污染物排放量与大气环境影响，其影响为临时性，将随网电的正常使用和钻井工程的结束而消除，污染减缓措施可行。</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b/>
          <w:bCs/>
          <w:color w:val="000000" w:themeColor="text1"/>
          <w:szCs w:val="24"/>
          <w:highlight w:val="none"/>
          <w14:textFill>
            <w14:solidFill>
              <w14:schemeClr w14:val="tx1"/>
            </w14:solidFill>
          </w14:textFill>
        </w:rPr>
      </w:pPr>
      <w:r>
        <w:rPr>
          <w:rFonts w:hint="eastAsia" w:ascii="Times New Roman" w:hAnsi="Times New Roman" w:cs="Times New Roman"/>
          <w:b/>
          <w:bCs/>
          <w:color w:val="000000" w:themeColor="text1"/>
          <w:szCs w:val="24"/>
          <w:highlight w:val="none"/>
          <w:lang w:eastAsia="zh-CN"/>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Cs w:val="24"/>
          <w:highlight w:val="none"/>
          <w14:textFill>
            <w14:solidFill>
              <w14:schemeClr w14:val="tx1"/>
            </w14:solidFill>
          </w14:textFill>
        </w:rPr>
        <w:t>无组织挥发性废气减缓措施</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为天然气钻井及试采工程，因此，除燃油机械使用过程中产生的少量无组织挥发性有机物排放外，还有少量钻井施工过程中无组织排放源。因此，本项目无组织挥发性有机物排放量小，通过自然扩散可有效降低其影响，污染减缓措施可行。</w:t>
      </w:r>
    </w:p>
    <w:p>
      <w:pPr>
        <w:ind w:firstLine="480"/>
        <w:rPr>
          <w:rFonts w:hint="default" w:ascii="Times New Roman" w:hAnsi="Times New Roman"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4"/>
          <w:highlight w:val="none"/>
          <w:lang w:eastAsia="zh-CN"/>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3）事故放喷</w:t>
      </w:r>
      <w:r>
        <w:rPr>
          <w:rFonts w:hint="default" w:ascii="Times New Roman" w:hAnsi="Times New Roman" w:cs="Times New Roman"/>
          <w:b/>
          <w:bCs/>
          <w:color w:val="000000" w:themeColor="text1"/>
          <w:szCs w:val="24"/>
          <w:highlight w:val="none"/>
          <w14:textFill>
            <w14:solidFill>
              <w14:schemeClr w14:val="tx1"/>
            </w14:solidFill>
          </w14:textFill>
        </w:rPr>
        <w:t>废气减缓措施</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事故放喷是由于地层高压异常导致的，在石油天然气行业是低概率事件。事故放喷主产物是</w:t>
      </w:r>
      <w:r>
        <w:rPr>
          <w:rFonts w:hint="eastAsia" w:ascii="Times New Roman" w:hAnsi="Times New Roman" w:cs="Times New Roman"/>
          <w:color w:val="000000" w:themeColor="text1"/>
          <w:highlight w:val="none"/>
          <w:lang w:val="en-US" w:eastAsia="zh-CN"/>
          <w14:textFill>
            <w14:solidFill>
              <w14:schemeClr w14:val="tx1"/>
            </w14:solidFill>
          </w14:textFill>
        </w:rPr>
        <w:t>不</w:t>
      </w:r>
      <w:r>
        <w:rPr>
          <w:rFonts w:hint="default" w:ascii="Times New Roman" w:hAnsi="Times New Roman" w:cs="Times New Roman"/>
          <w:color w:val="000000" w:themeColor="text1"/>
          <w:highlight w:val="none"/>
          <w14:textFill>
            <w14:solidFill>
              <w14:schemeClr w14:val="tx1"/>
            </w14:solidFill>
          </w14:textFill>
        </w:rPr>
        <w:t>含硫天然气燃烧后产生的CO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事故放喷时间持续较短，且通过专用的放喷管线将天然气引至放喷池进行点火放喷，事故放喷时间短，属临时排放，且建设单位在发生事故放喷时制定了紧急预案，对周边居民实施临时疏散，因此事故放喷对周边人群健康基本无影响。该措施满足《陆上石油天然气开采工业大气污染物排放标准》（GB39728-2020）相关要求，措施有效可行。</w:t>
      </w:r>
    </w:p>
    <w:p>
      <w:pPr>
        <w:ind w:firstLine="480"/>
        <w:rPr>
          <w:rFonts w:hint="default" w:ascii="Times New Roman" w:hAnsi="Times New Roman" w:eastAsia="黑体" w:cs="Times New Roman"/>
          <w:color w:val="000000" w:themeColor="text1"/>
          <w:szCs w:val="24"/>
          <w:highlight w:val="none"/>
          <w14:textFill>
            <w14:solidFill>
              <w14:schemeClr w14:val="tx1"/>
            </w14:solidFill>
          </w14:textFill>
        </w:rPr>
      </w:pPr>
      <w:r>
        <w:rPr>
          <w:rFonts w:hint="default" w:ascii="Times New Roman" w:hAnsi="Times New Roman" w:eastAsia="黑体" w:cs="Times New Roman"/>
          <w:color w:val="000000" w:themeColor="text1"/>
          <w:szCs w:val="24"/>
          <w:highlight w:val="none"/>
          <w14:textFill>
            <w14:solidFill>
              <w14:schemeClr w14:val="tx1"/>
            </w14:solidFill>
          </w14:textFill>
        </w:rPr>
        <w:t>3、</w:t>
      </w:r>
      <w:r>
        <w:rPr>
          <w:rFonts w:hint="eastAsia" w:eastAsia="黑体" w:cs="Times New Roman"/>
          <w:color w:val="000000" w:themeColor="text1"/>
          <w:szCs w:val="24"/>
          <w:highlight w:val="none"/>
          <w:lang w:val="en-US" w:eastAsia="zh-CN"/>
          <w14:textFill>
            <w14:solidFill>
              <w14:schemeClr w14:val="tx1"/>
            </w14:solidFill>
          </w14:textFill>
        </w:rPr>
        <w:t>储层改造工程废气</w:t>
      </w:r>
      <w:r>
        <w:rPr>
          <w:rFonts w:hint="default" w:ascii="Times New Roman" w:hAnsi="Times New Roman" w:eastAsia="黑体" w:cs="Times New Roman"/>
          <w:color w:val="000000" w:themeColor="text1"/>
          <w:szCs w:val="24"/>
          <w:highlight w:val="none"/>
          <w14:textFill>
            <w14:solidFill>
              <w14:schemeClr w14:val="tx1"/>
            </w14:solidFill>
          </w14:textFill>
        </w:rPr>
        <w:t>减缓措施</w:t>
      </w:r>
    </w:p>
    <w:p>
      <w:pPr>
        <w:ind w:firstLine="480"/>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cs="Times New Roman"/>
          <w:b/>
          <w:bCs/>
          <w:color w:val="000000" w:themeColor="text1"/>
          <w:szCs w:val="24"/>
          <w:highlight w:val="none"/>
          <w:lang w:eastAsia="zh-CN"/>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1）压裂作业废气减缓措施</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为减缓压裂期间机械、车辆尾气造成的环境空气污染，施工单位应定期对运输车辆进行维护和保养，尽量使用清洁燃料，保证发动机正常运行，使汽车燃料充分燃烧，能有效减少尾气中污染物排放，污染减缓措施可行。</w:t>
      </w:r>
    </w:p>
    <w:p>
      <w:pPr>
        <w:ind w:firstLine="480"/>
        <w:rPr>
          <w:rFonts w:hint="default" w:cs="Times New Roman"/>
          <w:b/>
          <w:bCs/>
          <w:color w:val="000000" w:themeColor="text1"/>
          <w:szCs w:val="24"/>
          <w:highlight w:val="none"/>
          <w:lang w:eastAsia="zh-CN"/>
          <w14:textFill>
            <w14:solidFill>
              <w14:schemeClr w14:val="tx1"/>
            </w14:solidFill>
          </w14:textFill>
        </w:rPr>
      </w:pPr>
      <w:r>
        <w:rPr>
          <w:rFonts w:hint="eastAsia" w:cs="Times New Roman"/>
          <w:b/>
          <w:bCs/>
          <w:color w:val="000000" w:themeColor="text1"/>
          <w:szCs w:val="24"/>
          <w:highlight w:val="none"/>
          <w:lang w:eastAsia="zh-CN"/>
          <w14:textFill>
            <w14:solidFill>
              <w14:schemeClr w14:val="tx1"/>
            </w14:solidFill>
          </w14:textFill>
        </w:rPr>
        <w:t>（</w:t>
      </w:r>
      <w:r>
        <w:rPr>
          <w:rFonts w:hint="eastAsia" w:cs="Times New Roman"/>
          <w:b/>
          <w:bCs/>
          <w:color w:val="000000" w:themeColor="text1"/>
          <w:szCs w:val="24"/>
          <w:highlight w:val="none"/>
          <w:lang w:val="en-US" w:eastAsia="zh-CN"/>
          <w14:textFill>
            <w14:solidFill>
              <w14:schemeClr w14:val="tx1"/>
            </w14:solidFill>
          </w14:textFill>
        </w:rPr>
        <w:t>2）</w:t>
      </w:r>
      <w:r>
        <w:rPr>
          <w:rFonts w:hint="default" w:cs="Times New Roman"/>
          <w:b/>
          <w:bCs/>
          <w:color w:val="000000" w:themeColor="text1"/>
          <w:szCs w:val="24"/>
          <w:highlight w:val="none"/>
          <w:lang w:eastAsia="zh-CN"/>
          <w14:textFill>
            <w14:solidFill>
              <w14:schemeClr w14:val="tx1"/>
            </w14:solidFill>
          </w14:textFill>
        </w:rPr>
        <w:t>完井测试废气减缓措施</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本项目测试放喷的天然气经专用放喷管线引至放喷池后点火燃烧，放喷管口高为1m，采用短火焰灼烧器，修建放喷池及挡墙</w:t>
      </w:r>
      <w:r>
        <w:rPr>
          <w:rFonts w:hint="default" w:ascii="Times New Roman" w:hAnsi="Times New Roman" w:cs="Times New Roman"/>
          <w:color w:val="000000" w:themeColor="text1"/>
          <w:szCs w:val="24"/>
          <w:highlight w:val="none"/>
          <w:lang w:eastAsia="zh-CN"/>
          <w14:textFill>
            <w14:solidFill>
              <w14:schemeClr w14:val="tx1"/>
            </w14:solidFill>
          </w14:textFill>
        </w:rPr>
        <w:t>减少</w:t>
      </w:r>
      <w:r>
        <w:rPr>
          <w:rFonts w:hint="default" w:ascii="Times New Roman" w:hAnsi="Times New Roman" w:cs="Times New Roman"/>
          <w:color w:val="000000" w:themeColor="text1"/>
          <w:szCs w:val="24"/>
          <w:highlight w:val="none"/>
          <w14:textFill>
            <w14:solidFill>
              <w14:schemeClr w14:val="tx1"/>
            </w14:solidFill>
          </w14:textFill>
        </w:rPr>
        <w:t>辐射影响。正对燃烧筒的墙高5.3m，下部厚0.5m，上部墙厚0.24m，两侧墙高4.3m，厚0.5m；内层均采用耐火砖修建。放喷池地势较为空旷，并清除周边25m范围内的杂草、杂树，放喷池内储存约1.0m深的清水，有利于燃烧废气的扩散和减少热辐射污染。本项目气井</w:t>
      </w:r>
      <w:r>
        <w:rPr>
          <w:rFonts w:hint="eastAsia" w:cs="Times New Roman"/>
          <w:color w:val="000000" w:themeColor="text1"/>
          <w:szCs w:val="24"/>
          <w:highlight w:val="none"/>
          <w:lang w:eastAsia="zh-CN"/>
          <w14:textFill>
            <w14:solidFill>
              <w14:schemeClr w14:val="tx1"/>
            </w14:solidFill>
          </w14:textFill>
        </w:rPr>
        <w:t>为不含硫</w:t>
      </w:r>
      <w:r>
        <w:rPr>
          <w:rFonts w:hint="default" w:ascii="Times New Roman" w:hAnsi="Times New Roman" w:cs="Times New Roman"/>
          <w:color w:val="000000" w:themeColor="text1"/>
          <w:szCs w:val="24"/>
          <w:highlight w:val="none"/>
          <w14:textFill>
            <w14:solidFill>
              <w14:schemeClr w14:val="tx1"/>
            </w14:solidFill>
          </w14:textFill>
        </w:rPr>
        <w:t>化氢天然气井，其燃烧主要产物为CO</w:t>
      </w:r>
      <w:r>
        <w:rPr>
          <w:rFonts w:hint="default" w:ascii="Times New Roman" w:hAnsi="Times New Roman" w:cs="Times New Roman"/>
          <w:color w:val="000000" w:themeColor="text1"/>
          <w:szCs w:val="24"/>
          <w:highlight w:val="none"/>
          <w:vertAlign w:val="sub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水蒸气、NOx、颗粒物等。针对测试放喷废气主要采用地面灼烧处理，同时应对测试放喷时周边居民进行临时疏散。除了必要的放喷测试放空外，建议建设单位采取先建内外部集输管网的方式及时将井下天然气接管外输，减少天然气放空量。该措施满足《陆上石油天然气开采工业大气污染物排放标准》（GB39728-2020）相关要求，措施有效可行。</w:t>
      </w:r>
    </w:p>
    <w:p>
      <w:pPr>
        <w:pStyle w:val="50"/>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outlineLvl w:val="9"/>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eastAsia" w:eastAsia="黑体" w:cs="Times New Roman"/>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w:t>
      </w:r>
      <w:r>
        <w:rPr>
          <w:rFonts w:hint="eastAsia" w:eastAsia="黑体" w:cs="Times New Roman"/>
          <w:color w:val="000000" w:themeColor="text1"/>
          <w:kern w:val="2"/>
          <w:sz w:val="24"/>
          <w:szCs w:val="24"/>
          <w:highlight w:val="none"/>
          <w:lang w:val="en-US" w:eastAsia="zh-CN" w:bidi="ar-SA"/>
          <w14:textFill>
            <w14:solidFill>
              <w14:schemeClr w14:val="tx1"/>
            </w14:solidFill>
          </w14:textFill>
        </w:rPr>
        <w:t>油气集输</w:t>
      </w: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工程</w:t>
      </w:r>
    </w:p>
    <w:p>
      <w:pPr>
        <w:ind w:firstLine="48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油气集输工程在进行试采井站和外输管线建设时产生的废气主要为</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施工扬尘</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及</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施工机械和运输车辆尾气</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，其污染特性与处置方式与钻前工程类似，主要通过</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定期洒水抑尘</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及</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选用尾气排放达标机械车辆，加强保养维护</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等减少废气影响，该措施能够满足项目废气处置要求。</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少量焊接烟尘</w:t>
      </w:r>
      <w:r>
        <w:rPr>
          <w:rFonts w:hint="eastAsia" w:cs="Times New Roman"/>
          <w:bCs/>
          <w:color w:val="000000" w:themeColor="text1"/>
          <w:highlight w:val="none"/>
          <w:lang w:val="en-US" w:eastAsia="zh-CN"/>
          <w14:textFill>
            <w14:solidFill>
              <w14:schemeClr w14:val="tx1"/>
            </w14:solidFill>
          </w14:textFill>
        </w:rPr>
        <w:t>采用自带焊烟净化器处理后排放，防腐废气自然扩散</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，措施可行</w:t>
      </w:r>
      <w:r>
        <w:rPr>
          <w:rFonts w:hint="eastAsia" w:cs="Times New Roman"/>
          <w:bCs/>
          <w:color w:val="000000" w:themeColor="text1"/>
          <w:highlight w:val="none"/>
          <w:lang w:val="en-US" w:eastAsia="zh-CN"/>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综上所述，本项目施工期各类废气处置措施在川东北地区钻采工程中已实施多年，具有较好的借鉴经验。</w:t>
      </w:r>
      <w:r>
        <w:rPr>
          <w:rFonts w:hint="eastAsia" w:cs="Times New Roman"/>
          <w:color w:val="000000" w:themeColor="text1"/>
          <w:szCs w:val="24"/>
          <w:highlight w:val="none"/>
          <w14:textFill>
            <w14:solidFill>
              <w14:schemeClr w14:val="tx1"/>
            </w14:solidFill>
          </w14:textFill>
        </w:rPr>
        <w:t>本项目周边</w:t>
      </w:r>
      <w:r>
        <w:rPr>
          <w:rFonts w:cs="Times New Roman"/>
          <w:color w:val="000000" w:themeColor="text1"/>
          <w:szCs w:val="24"/>
          <w:highlight w:val="none"/>
          <w14:textFill>
            <w14:solidFill>
              <w14:schemeClr w14:val="tx1"/>
            </w14:solidFill>
          </w14:textFill>
        </w:rPr>
        <w:t>中石化川东北地区钻采工程采用相同废气处理措施，到目前为止，中原油田普光分公司未收到废气污染的环保投诉。因此，本项目施工期废气治理措施从经济和环保角度分析是合理、可行的。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13" w:name="_Toc120173212"/>
      <w:r>
        <w:rPr>
          <w:color w:val="000000" w:themeColor="text1"/>
          <w:highlight w:val="none"/>
          <w:lang w:eastAsia="zh-CN"/>
          <w14:textFill>
            <w14:solidFill>
              <w14:schemeClr w14:val="tx1"/>
            </w14:solidFill>
          </w14:textFill>
        </w:rPr>
        <w:t>施工期废水污染防治措施及可行性分析</w:t>
      </w:r>
      <w:bookmarkEnd w:id="413"/>
    </w:p>
    <w:p>
      <w:pPr>
        <w:ind w:firstLine="480"/>
        <w:rPr>
          <w:rFonts w:hint="default" w:ascii="Times New Roman" w:hAnsi="Times New Roman"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1、钻前工程</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钻前工程废水由施工废水和生活污水两部分组成。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（1）施工废水经沉淀处理后循环使用，不外排。</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（2）生活污水来自施工人员，施工期间生活污水产生量小，钻前工程人员生活污水依托周边农户已建设施处理。</w:t>
      </w:r>
    </w:p>
    <w:p>
      <w:pPr>
        <w:ind w:firstLine="480"/>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上述措施为钻前施工阶段常用的废水处理措施，能够有效处置钻前施工阶段产生的生活污水和施工废水，做到</w:t>
      </w:r>
      <w:r>
        <w:rPr>
          <w:rFonts w:hint="default" w:ascii="Times New Roman" w:hAnsi="Times New Roman" w:cs="Times New Roman"/>
          <w:color w:val="000000" w:themeColor="text1"/>
          <w:szCs w:val="24"/>
          <w:highlight w:val="none"/>
          <w14:textFill>
            <w14:solidFill>
              <w14:schemeClr w14:val="tx1"/>
            </w14:solidFill>
          </w14:textFill>
        </w:rPr>
        <w:t>现场无生活污水排放，不会对井场周边地表水产生影响</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措施可行。</w:t>
      </w:r>
    </w:p>
    <w:p>
      <w:pPr>
        <w:ind w:firstLine="480"/>
        <w:rPr>
          <w:rFonts w:hint="default"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2、钻井工程</w:t>
      </w:r>
    </w:p>
    <w:p>
      <w:pPr>
        <w:ind w:firstLine="480"/>
        <w:rPr>
          <w:rFonts w:hint="default" w:ascii="Times New Roman" w:hAnsi="Times New Roman"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lang w:eastAsia="zh-CN"/>
          <w14:textFill>
            <w14:solidFill>
              <w14:schemeClr w14:val="tx1"/>
            </w14:solidFill>
          </w14:textFill>
        </w:rPr>
        <w:t>（</w:t>
      </w:r>
      <w:r>
        <w:rPr>
          <w:rFonts w:hint="eastAsia" w:eastAsia="黑体" w:cs="Times New Roman"/>
          <w:color w:val="000000" w:themeColor="text1"/>
          <w:szCs w:val="24"/>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szCs w:val="24"/>
          <w:highlight w:val="none"/>
          <w14:textFill>
            <w14:solidFill>
              <w14:schemeClr w14:val="tx1"/>
            </w14:solidFill>
          </w14:textFill>
        </w:rPr>
        <w:t>治理措施</w:t>
      </w:r>
    </w:p>
    <w:p>
      <w:pPr>
        <w:ind w:firstLine="482"/>
        <w:rPr>
          <w:rFonts w:hint="default" w:ascii="Times New Roman" w:hAnsi="Times New Roman" w:cs="Times New Roman"/>
          <w:b w:val="0"/>
          <w:bCs w:val="0"/>
          <w:color w:val="000000" w:themeColor="text1"/>
          <w:szCs w:val="24"/>
          <w:highlight w:val="none"/>
          <w14:textFill>
            <w14:solidFill>
              <w14:schemeClr w14:val="tx1"/>
            </w14:solidFill>
          </w14:textFill>
        </w:rPr>
      </w:pPr>
      <w:r>
        <w:rPr>
          <w:rFonts w:hint="default" w:ascii="Times New Roman" w:hAnsi="Times New Roman" w:cs="Times New Roman"/>
          <w:b w:val="0"/>
          <w:bCs w:val="0"/>
          <w:color w:val="000000" w:themeColor="text1"/>
          <w:szCs w:val="24"/>
          <w:highlight w:val="none"/>
          <w14:textFill>
            <w14:solidFill>
              <w14:schemeClr w14:val="tx1"/>
            </w14:solidFill>
          </w14:textFill>
        </w:rPr>
        <w:t>1）钻井废水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井泥浆大多数回用于项目本身，先经固控设备固液分离后，合格泥浆直接进入泥浆循环罐回用，不合格泥浆和设备冲洗废水、洗井废水等经泥浆不落地处理后的钻井废水约90%回用于钻井过程，约10%暂存于泥浆不落地装置内，定期用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不外排；固体为钻井固废用密闭罐车及时就近交给依法取得生态环境部门关于利用和处置相关工业固体废物项目环评批复、具有处理处置相应固体废物能力并配套建设有废气、废水、固废等污染物治理设施的单位进行资源化利用。</w:t>
      </w:r>
      <w:r>
        <w:rPr>
          <w:rFonts w:cs="Times New Roman"/>
          <w:color w:val="000000" w:themeColor="text1"/>
          <w:highlight w:val="none"/>
          <w14:textFill>
            <w14:solidFill>
              <w14:schemeClr w14:val="tx1"/>
            </w14:solidFill>
          </w14:textFill>
        </w:rPr>
        <w:t>项目钻井期间钻井废水、洗井废水回收及处置措施工艺流程如下。</w:t>
      </w:r>
      <w:bookmarkStart w:id="414" w:name="_Hlk107247128"/>
    </w:p>
    <w:p>
      <w:pPr>
        <w:pStyle w:val="93"/>
        <w:rPr>
          <w:color w:val="000000" w:themeColor="text1"/>
          <w:highlight w:val="none"/>
          <w:lang w:eastAsia="zh-CN"/>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3194050</wp:posOffset>
                </wp:positionH>
                <wp:positionV relativeFrom="paragraph">
                  <wp:posOffset>774065</wp:posOffset>
                </wp:positionV>
                <wp:extent cx="381000" cy="341630"/>
                <wp:effectExtent l="4445" t="4445" r="14605" b="15875"/>
                <wp:wrapNone/>
                <wp:docPr id="81" name="文本框 81"/>
                <wp:cNvGraphicFramePr/>
                <a:graphic xmlns:a="http://schemas.openxmlformats.org/drawingml/2006/main">
                  <a:graphicData uri="http://schemas.microsoft.com/office/word/2010/wordprocessingShape">
                    <wps:wsp>
                      <wps:cNvSpPr txBox="1"/>
                      <wps:spPr>
                        <a:xfrm>
                          <a:off x="4337050" y="3188970"/>
                          <a:ext cx="381000" cy="34163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15"/>
                                <w:szCs w:val="15"/>
                                <w:lang w:val="en-US" w:eastAsia="zh-CN"/>
                              </w:rPr>
                            </w:pPr>
                            <w:r>
                              <w:rPr>
                                <w:rFonts w:hint="eastAsia"/>
                                <w:sz w:val="15"/>
                                <w:szCs w:val="15"/>
                                <w:lang w:val="en-US" w:eastAsia="zh-CN"/>
                              </w:rPr>
                              <w:t>罐装</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51.5pt;margin-top:60.95pt;height:26.9pt;width:30pt;z-index:251679744;v-text-anchor:middle;mso-width-relative:page;mso-height-relative:page;" fillcolor="#FFFFFF" filled="t" stroked="t" coordsize="21600,21600" o:gfxdata="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Lom77XAAAACwEAAA8AAAAAAAAAAQAgAAAAIgAAAGRycy9kb3ducmV2Lnht&#10;bFBLAQIUABQAAAAIAIdO4kDQohDebAIAANoEAAAOAAAAAAAAAAEAIAAAACYBAABkcnMvZTJvRG9j&#10;LnhtbFBLBQYAAAAABgAGAFkBAAAEBg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sz w:val="15"/>
                          <w:szCs w:val="15"/>
                          <w:lang w:val="en-US" w:eastAsia="zh-CN"/>
                        </w:rPr>
                      </w:pPr>
                      <w:r>
                        <w:rPr>
                          <w:rFonts w:hint="eastAsia"/>
                          <w:sz w:val="15"/>
                          <w:szCs w:val="15"/>
                          <w:lang w:val="en-US" w:eastAsia="zh-CN"/>
                        </w:rPr>
                        <w:t>罐装</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4699000</wp:posOffset>
                </wp:positionH>
                <wp:positionV relativeFrom="paragraph">
                  <wp:posOffset>833755</wp:posOffset>
                </wp:positionV>
                <wp:extent cx="391795" cy="243205"/>
                <wp:effectExtent l="4445" t="4445" r="22860" b="19050"/>
                <wp:wrapNone/>
                <wp:docPr id="76" name="文本框 76"/>
                <wp:cNvGraphicFramePr/>
                <a:graphic xmlns:a="http://schemas.openxmlformats.org/drawingml/2006/main">
                  <a:graphicData uri="http://schemas.microsoft.com/office/word/2010/wordprocessingShape">
                    <wps:wsp>
                      <wps:cNvSpPr txBox="1"/>
                      <wps:spPr>
                        <a:xfrm>
                          <a:off x="0" y="0"/>
                          <a:ext cx="391795" cy="24320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4"/>
                                <w:szCs w:val="14"/>
                                <w:lang w:val="en-US" w:eastAsia="zh-CN"/>
                              </w:rPr>
                            </w:pPr>
                            <w:r>
                              <w:rPr>
                                <w:rFonts w:hint="eastAsia"/>
                                <w:sz w:val="14"/>
                                <w:szCs w:val="14"/>
                                <w:lang w:val="en-US" w:eastAsia="zh-CN"/>
                              </w:rPr>
                              <w:t>普光3井回注</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70pt;margin-top:65.65pt;height:19.15pt;width:30.85pt;z-index:251676672;v-text-anchor:middle;mso-width-relative:page;mso-height-relative:page;" fillcolor="#FFFFFF" filled="t" stroked="t" coordsize="21600,21600" o:gfxdata="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mopezYAAAACwEAAA8AAAAAAAAAAQAgAAAAIgAAAGRycy9kb3ducmV2LnhtbFBLAQIUABQAAAAI&#10;AIdO4kCN49iZXwIAAM4EAAAOAAAAAAAAAAEAIAAAACcBAABkcnMvZTJvRG9jLnhtbFBLBQYAAAAA&#10;BgAGAFkBAAD4BQ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4"/>
                          <w:szCs w:val="14"/>
                          <w:lang w:val="en-US" w:eastAsia="zh-CN"/>
                        </w:rPr>
                      </w:pPr>
                      <w:r>
                        <w:rPr>
                          <w:rFonts w:hint="eastAsia"/>
                          <w:sz w:val="14"/>
                          <w:szCs w:val="14"/>
                          <w:lang w:val="en-US" w:eastAsia="zh-CN"/>
                        </w:rPr>
                        <w:t>普光3井回注</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4000500</wp:posOffset>
                </wp:positionH>
                <wp:positionV relativeFrom="paragraph">
                  <wp:posOffset>823595</wp:posOffset>
                </wp:positionV>
                <wp:extent cx="391795" cy="243205"/>
                <wp:effectExtent l="4445" t="4445" r="22860" b="19050"/>
                <wp:wrapNone/>
                <wp:docPr id="12" name="文本框 12"/>
                <wp:cNvGraphicFramePr/>
                <a:graphic xmlns:a="http://schemas.openxmlformats.org/drawingml/2006/main">
                  <a:graphicData uri="http://schemas.microsoft.com/office/word/2010/wordprocessingShape">
                    <wps:wsp>
                      <wps:cNvSpPr txBox="1"/>
                      <wps:spPr>
                        <a:xfrm>
                          <a:off x="5143500" y="3220085"/>
                          <a:ext cx="391795" cy="24320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4"/>
                                <w:szCs w:val="14"/>
                                <w:lang w:val="en-US" w:eastAsia="zh-CN"/>
                              </w:rPr>
                            </w:pPr>
                            <w:r>
                              <w:rPr>
                                <w:rFonts w:hint="eastAsia"/>
                                <w:sz w:val="14"/>
                                <w:szCs w:val="14"/>
                                <w:lang w:val="en-US" w:eastAsia="zh-CN"/>
                              </w:rPr>
                              <w:t>赵家坝污水处理站</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15pt;margin-top:64.85pt;height:19.15pt;width:30.85pt;z-index:251675648;v-text-anchor:middle;mso-width-relative:page;mso-height-relative:page;" fillcolor="#FFFFFF" filled="t" stroked="t" coordsize="21600,21600" o:gfxdata="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MX5Hp2AAAAAsBAAAPAAAAAAAAAAEAIAAAACIAAABkcnMvZG93bnJldi54&#10;bWxQSwECFAAUAAAACACHTuJAWlhyvGwCAADaBAAADgAAAAAAAAABACAAAAAnAQAAZHJzL2Uyb0Rv&#10;Yy54bWxQSwUGAAAAAAYABgBZAQAABQY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4"/>
                          <w:szCs w:val="14"/>
                          <w:lang w:val="en-US" w:eastAsia="zh-CN"/>
                        </w:rPr>
                      </w:pPr>
                      <w:r>
                        <w:rPr>
                          <w:rFonts w:hint="eastAsia"/>
                          <w:sz w:val="14"/>
                          <w:szCs w:val="14"/>
                          <w:lang w:val="en-US" w:eastAsia="zh-CN"/>
                        </w:rPr>
                        <w:t>赵家坝污水处理站</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2837180</wp:posOffset>
                </wp:positionH>
                <wp:positionV relativeFrom="paragraph">
                  <wp:posOffset>1162050</wp:posOffset>
                </wp:positionV>
                <wp:extent cx="2186305" cy="600710"/>
                <wp:effectExtent l="0" t="0" r="8255" b="8890"/>
                <wp:wrapNone/>
                <wp:docPr id="62" name="文本框 62"/>
                <wp:cNvGraphicFramePr/>
                <a:graphic xmlns:a="http://schemas.openxmlformats.org/drawingml/2006/main">
                  <a:graphicData uri="http://schemas.microsoft.com/office/word/2010/wordprocessingShape">
                    <wps:wsp>
                      <wps:cNvSpPr txBox="1"/>
                      <wps:spPr>
                        <a:xfrm>
                          <a:off x="4018280" y="3558540"/>
                          <a:ext cx="2186305" cy="600710"/>
                        </a:xfrm>
                        <a:prstGeom prst="rect">
                          <a:avLst/>
                        </a:prstGeom>
                        <a:solidFill>
                          <a:srgbClr val="FFFFFF"/>
                        </a:solid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sz w:val="16"/>
                                <w:szCs w:val="16"/>
                                <w:lang w:val="en-US" w:eastAsia="zh-CN"/>
                              </w:rPr>
                            </w:pPr>
                            <w:r>
                              <w:rPr>
                                <w:rFonts w:hint="eastAsia"/>
                                <w:sz w:val="16"/>
                                <w:szCs w:val="16"/>
                                <w:lang w:val="en-US" w:eastAsia="zh-CN"/>
                              </w:rPr>
                              <w:t>就</w:t>
                            </w:r>
                            <w:r>
                              <w:rPr>
                                <w:rFonts w:hint="default"/>
                                <w:sz w:val="16"/>
                                <w:szCs w:val="16"/>
                                <w:lang w:val="en-US" w:eastAsia="zh-CN"/>
                              </w:rPr>
                              <w:t>近交给依法取得生态环境部门关于利用和处置相关工业固体废物项目环评批复、具有处理处置相应固体废物能力并配套建设有废气、废水、固废等污染物治理设施的单位进行资源化利用</w:t>
                            </w:r>
                          </w:p>
                          <w:p>
                            <w:pPr>
                              <w:rPr>
                                <w:rFonts w:hint="eastAsia" w:eastAsia="宋体"/>
                                <w:lang w:val="en-US" w:eastAsia="zh-CN"/>
                              </w:rPr>
                            </w:pP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23.4pt;margin-top:91.5pt;height:47.3pt;width:172.15pt;z-index:251670528;mso-width-relative:page;mso-height-relative:page;" fillcolor="#FFFFFF" filled="t" stroked="f" coordsize="21600,21600" o:gfxdata="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FEAC2gAAAAsBAAAPAAAAAAAAAAEAIAAAACIAAABkcnMvZG93bnJldi54&#10;bWxQSwECFAAUAAAACACHTuJAJhWB82oCAACwBAAADgAAAAAAAAABACAAAAApAQAAZHJzL2Uyb0Rv&#10;Yy54bWxQSwUGAAAAAAYABgBZAQAABQYAAAAA&#10;">
                <v:fill on="t" focussize="0,0"/>
                <v:stroke on="f"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sz w:val="16"/>
                          <w:szCs w:val="16"/>
                          <w:lang w:val="en-US" w:eastAsia="zh-CN"/>
                        </w:rPr>
                      </w:pPr>
                      <w:r>
                        <w:rPr>
                          <w:rFonts w:hint="eastAsia"/>
                          <w:sz w:val="16"/>
                          <w:szCs w:val="16"/>
                          <w:lang w:val="en-US" w:eastAsia="zh-CN"/>
                        </w:rPr>
                        <w:t>就</w:t>
                      </w:r>
                      <w:r>
                        <w:rPr>
                          <w:rFonts w:hint="default"/>
                          <w:sz w:val="16"/>
                          <w:szCs w:val="16"/>
                          <w:lang w:val="en-US" w:eastAsia="zh-CN"/>
                        </w:rPr>
                        <w:t>近交给依法取得生态环境部门关于利用和处置相关工业固体废物项目环评批复、具有处理处置相应固体废物能力并配套建设有废气、废水、固废等污染物治理设施的单位进行资源化利用</w:t>
                      </w:r>
                    </w:p>
                    <w:p>
                      <w:pPr>
                        <w:rPr>
                          <w:rFonts w:hint="eastAsia" w:eastAsia="宋体"/>
                          <w:lang w:val="en-US" w:eastAsia="zh-CN"/>
                        </w:rPr>
                      </w:pPr>
                    </w:p>
                  </w:txbxContent>
                </v:textbox>
              </v:shape>
            </w:pict>
          </mc:Fallback>
        </mc:AlternateContent>
      </w:r>
      <w:r>
        <w:rPr>
          <w:color w:val="000000" w:themeColor="text1"/>
          <w:highlight w:val="none"/>
          <w:lang w:eastAsia="zh-CN"/>
          <w14:textFill>
            <w14:solidFill>
              <w14:schemeClr w14:val="tx1"/>
            </w14:solidFill>
          </w14:textFill>
        </w:rPr>
        <w:drawing>
          <wp:inline distT="0" distB="0" distL="0" distR="0">
            <wp:extent cx="5039995" cy="1850390"/>
            <wp:effectExtent l="0" t="0" r="8255" b="16510"/>
            <wp:docPr id="11468217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1783" name="图片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039995" cy="1850390"/>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项目钻井废水与洗井废水回收利用工艺流程图</w:t>
      </w:r>
    </w:p>
    <w:bookmarkEnd w:id="414"/>
    <w:p>
      <w:pPr>
        <w:ind w:firstLine="482"/>
        <w:rPr>
          <w:rFonts w:cs="Times New Roman"/>
          <w:b w:val="0"/>
          <w:bCs w:val="0"/>
          <w:color w:val="000000" w:themeColor="text1"/>
          <w:szCs w:val="24"/>
          <w:highlight w:val="none"/>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2</w:t>
      </w:r>
      <w:r>
        <w:rPr>
          <w:rFonts w:cs="Times New Roman"/>
          <w:b w:val="0"/>
          <w:bCs w:val="0"/>
          <w:color w:val="000000" w:themeColor="text1"/>
          <w:szCs w:val="24"/>
          <w:highlight w:val="none"/>
          <w14:textFill>
            <w14:solidFill>
              <w14:schemeClr w14:val="tx1"/>
            </w14:solidFill>
          </w14:textFill>
        </w:rPr>
        <w:t>）生活污水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钻井期间</w:t>
      </w:r>
      <w:r>
        <w:rPr>
          <w:rFonts w:cs="Times New Roman"/>
          <w:bCs/>
          <w:color w:val="000000" w:themeColor="text1"/>
          <w:szCs w:val="24"/>
          <w:highlight w:val="none"/>
          <w14:textFill>
            <w14:solidFill>
              <w14:schemeClr w14:val="tx1"/>
            </w14:solidFill>
          </w14:textFill>
        </w:rPr>
        <w:t>生活污水</w:t>
      </w:r>
      <w:r>
        <w:rPr>
          <w:rFonts w:cs="Times New Roman"/>
          <w:color w:val="000000" w:themeColor="text1"/>
          <w:szCs w:val="24"/>
          <w:highlight w:val="none"/>
          <w14:textFill>
            <w14:solidFill>
              <w14:schemeClr w14:val="tx1"/>
            </w14:solidFill>
          </w14:textFill>
        </w:rPr>
        <w:t>经生态厕所收集后定期由密闭罐车拉运至周边生活污水处理厂处理。</w:t>
      </w:r>
    </w:p>
    <w:p>
      <w:pPr>
        <w:ind w:firstLine="482"/>
        <w:rPr>
          <w:rFonts w:cs="Times New Roman"/>
          <w:b w:val="0"/>
          <w:bCs w:val="0"/>
          <w:color w:val="000000" w:themeColor="text1"/>
          <w:szCs w:val="24"/>
          <w:highlight w:val="none"/>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3</w:t>
      </w:r>
      <w:r>
        <w:rPr>
          <w:rFonts w:cs="Times New Roman"/>
          <w:b w:val="0"/>
          <w:bCs w:val="0"/>
          <w:color w:val="000000" w:themeColor="text1"/>
          <w:szCs w:val="24"/>
          <w:highlight w:val="none"/>
          <w14:textFill>
            <w14:solidFill>
              <w14:schemeClr w14:val="tx1"/>
            </w14:solidFill>
          </w14:textFill>
        </w:rPr>
        <w:t>）初期雨水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采用清污分流，井场四周设置排水沟，并设置集水坑，初期雨水收集进入泥浆不落地装置区与钻井废水合并处理，后期雨水依靠井站设置的地面坡度和内外环沟的阀门控制，就地散排至排水沟，排出场外。若场内雨水被污染流入外环沟，则需封闭外环沟由作业队伍从集水坑抽汲至泥浆不落地装置区或放喷池。</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泥浆不落地装置和放喷池均比地面高且有遮雨篷遮盖，可防止周边雨水汇入；井场周围设置雨水沟，井场周边雨水均不会进入井场内，井场内的雨水则顺着地势而排入四周的雨水沟；泥浆不落地装置上方配备了防雨棚，这样可避免因雨水进入泥浆不落地装置而增加废水量。</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由于项目拟建地周围有冲沟与河流，为了进一步做好对附近河流的保护工作，建议建设单位做好以下应急环保工作：</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①</w:t>
      </w:r>
      <w:r>
        <w:rPr>
          <w:rFonts w:cs="Times New Roman"/>
          <w:bCs/>
          <w:color w:val="000000" w:themeColor="text1"/>
          <w:szCs w:val="24"/>
          <w:highlight w:val="none"/>
          <w14:textFill>
            <w14:solidFill>
              <w14:schemeClr w14:val="tx1"/>
            </w14:solidFill>
          </w14:textFill>
        </w:rPr>
        <w:t>在钻井过程中应加强废水管理，尤其雨季时加强监管内外排水沟，确保污水不流出井场。</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②</w:t>
      </w:r>
      <w:r>
        <w:rPr>
          <w:rFonts w:cs="Times New Roman"/>
          <w:bCs/>
          <w:color w:val="000000" w:themeColor="text1"/>
          <w:szCs w:val="24"/>
          <w:highlight w:val="none"/>
          <w14:textFill>
            <w14:solidFill>
              <w14:schemeClr w14:val="tx1"/>
            </w14:solidFill>
          </w14:textFill>
        </w:rPr>
        <w:t>在做好泥浆不落地装置区水罐和放喷池的清运工作同时，对集水坑进行及时清掏，做好防渗。</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③</w:t>
      </w:r>
      <w:r>
        <w:rPr>
          <w:rFonts w:cs="Times New Roman"/>
          <w:bCs/>
          <w:color w:val="000000" w:themeColor="text1"/>
          <w:szCs w:val="24"/>
          <w:highlight w:val="none"/>
          <w14:textFill>
            <w14:solidFill>
              <w14:schemeClr w14:val="tx1"/>
            </w14:solidFill>
          </w14:textFill>
        </w:rPr>
        <w:t>废水在拉运过程中经过河渠与冲沟附近时，应减缓车速，平稳通过。</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④</w:t>
      </w:r>
      <w:r>
        <w:rPr>
          <w:rFonts w:cs="Times New Roman"/>
          <w:color w:val="000000" w:themeColor="text1"/>
          <w:szCs w:val="24"/>
          <w:highlight w:val="none"/>
          <w14:textFill>
            <w14:solidFill>
              <w14:schemeClr w14:val="tx1"/>
            </w14:solidFill>
          </w14:textFill>
        </w:rPr>
        <w:t>本次环评要求构建的地表水</w:t>
      </w:r>
      <w:r>
        <w:rPr>
          <w:rFonts w:ascii="宋体" w:hAnsi="宋体" w:cs="Times New Roman"/>
          <w:color w:val="000000" w:themeColor="text1"/>
          <w:szCs w:val="24"/>
          <w:highlight w:val="none"/>
          <w14:textFill>
            <w14:solidFill>
              <w14:schemeClr w14:val="tx1"/>
            </w14:solidFill>
          </w14:textFill>
        </w:rPr>
        <w:t>“三级”</w:t>
      </w:r>
      <w:r>
        <w:rPr>
          <w:rFonts w:cs="Times New Roman"/>
          <w:color w:val="000000" w:themeColor="text1"/>
          <w:szCs w:val="24"/>
          <w:highlight w:val="none"/>
          <w14:textFill>
            <w14:solidFill>
              <w14:schemeClr w14:val="tx1"/>
            </w14:solidFill>
          </w14:textFill>
        </w:rPr>
        <w:t>防控体系：具体如下：</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第一级防控措施是对存放废水和原料的罐、池定期检查，确认罐、池容量不超过设计容量，并及时清空，确保废水暂存容量足够；</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第二级防控措施是通过对可能发生废水泄露的罐、池区以及作业区等区域修建围堰，避免</w:t>
      </w:r>
      <w:r>
        <w:rPr>
          <w:rFonts w:hint="eastAsia" w:cs="Times New Roman"/>
          <w:color w:val="000000" w:themeColor="text1"/>
          <w:szCs w:val="24"/>
          <w:highlight w:val="none"/>
          <w:lang w:eastAsia="zh-CN"/>
          <w14:textFill>
            <w14:solidFill>
              <w14:schemeClr w14:val="tx1"/>
            </w14:solidFill>
          </w14:textFill>
        </w:rPr>
        <w:t>泄漏</w:t>
      </w:r>
      <w:r>
        <w:rPr>
          <w:rFonts w:cs="Times New Roman"/>
          <w:color w:val="000000" w:themeColor="text1"/>
          <w:szCs w:val="24"/>
          <w:highlight w:val="none"/>
          <w14:textFill>
            <w14:solidFill>
              <w14:schemeClr w14:val="tx1"/>
            </w14:solidFill>
          </w14:textFill>
        </w:rPr>
        <w:t>废水散排进入井场其他区域；</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第三级防控措施是内环沟集污坑、方井、井场四周集水坑等废水汇集处低进高出，同时设置水泵，将废水抽至泥浆不落地系统废水罐或放喷池，拦截可能流出井场外的废水，保持内环沟、集污坑、方井、放喷池等常空，有足够容积。</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在废水外溢事故发生，集水坑拦截失效时，在集水坑附近等低洼区域以及外溢口处采用沙包、装土编织袋等拦截措施阻止废水进入外环境，同时保持放喷池常空，有足够容积，在沙包、装土编织袋等拦截措施失效时，通过泵将井场场内外溢废水引流至泥浆不落地区废水罐、污水池、放喷池并及时处理转运。</w:t>
      </w:r>
    </w:p>
    <w:p>
      <w:pPr>
        <w:ind w:firstLine="480"/>
        <w:rPr>
          <w:rFonts w:hint="eastAsia"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（2）治理措施可行性分析</w:t>
      </w:r>
    </w:p>
    <w:p>
      <w:pPr>
        <w:ind w:firstLine="482"/>
        <w:rPr>
          <w:rFonts w:hint="default" w:ascii="Times New Roman" w:hAnsi="Times New Roman" w:cs="Times New Roman"/>
          <w:color w:val="000000" w:themeColor="text1"/>
          <w:szCs w:val="24"/>
          <w:highlight w:val="none"/>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污水收集处理设施可行性分析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钻井过程中废水由泥浆不落地装置收集，泥浆不落地装置内放置有现场配备40m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废水罐4个（位于清洁化操作平台废水处理区，分为1个隔油罐、2个沉淀罐、1个回用罐）</w:t>
      </w:r>
      <w:r>
        <w:rPr>
          <w:rFonts w:hint="eastAsia" w:cs="Times New Roman"/>
          <w:color w:val="000000" w:themeColor="text1"/>
          <w:szCs w:val="24"/>
          <w:highlight w:val="none"/>
          <w14:textFill>
            <w14:solidFill>
              <w14:schemeClr w14:val="tx1"/>
            </w14:solidFill>
          </w14:textFill>
        </w:rPr>
        <w:t>，本项目</w:t>
      </w:r>
      <w:r>
        <w:rPr>
          <w:rFonts w:cs="Times New Roman"/>
          <w:color w:val="000000" w:themeColor="text1"/>
          <w:szCs w:val="24"/>
          <w:highlight w:val="none"/>
          <w14:textFill>
            <w14:solidFill>
              <w14:schemeClr w14:val="tx1"/>
            </w14:solidFill>
          </w14:textFill>
        </w:rPr>
        <w:t>废水临时存放能力达到</w:t>
      </w:r>
      <w:r>
        <w:rPr>
          <w:rFonts w:hint="eastAsia" w:cs="Times New Roman"/>
          <w:color w:val="000000" w:themeColor="text1"/>
          <w:szCs w:val="24"/>
          <w:highlight w:val="none"/>
          <w:lang w:val="en-US" w:eastAsia="zh-CN"/>
          <w14:textFill>
            <w14:solidFill>
              <w14:schemeClr w14:val="tx1"/>
            </w14:solidFill>
          </w14:textFill>
        </w:rPr>
        <w:t>4</w:t>
      </w:r>
      <w:r>
        <w:rPr>
          <w:rFonts w:cs="Times New Roman"/>
          <w:color w:val="000000" w:themeColor="text1"/>
          <w:szCs w:val="24"/>
          <w:highlight w:val="none"/>
          <w14:textFill>
            <w14:solidFill>
              <w14:schemeClr w14:val="tx1"/>
            </w14:solidFill>
          </w14:textFill>
        </w:rPr>
        <w:t>60m</w:t>
      </w:r>
      <w:r>
        <w:rPr>
          <w:rFonts w:cs="Times New Roman"/>
          <w:color w:val="000000" w:themeColor="text1"/>
          <w:szCs w:val="24"/>
          <w:highlight w:val="none"/>
          <w:vertAlign w:val="superscript"/>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（4个废水罐共计160</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1</w:t>
      </w:r>
      <w:r>
        <w:rPr>
          <w:rFonts w:hint="eastAsia" w:cs="Times New Roman"/>
          <w:color w:val="000000" w:themeColor="text1"/>
          <w:szCs w:val="24"/>
          <w:highlight w:val="none"/>
          <w14:textFill>
            <w14:solidFill>
              <w14:schemeClr w14:val="tx1"/>
            </w14:solidFill>
          </w14:textFill>
        </w:rPr>
        <w:t>个放喷池</w:t>
      </w:r>
      <w:r>
        <w:rPr>
          <w:rFonts w:hint="eastAsia" w:cs="Times New Roman"/>
          <w:color w:val="000000" w:themeColor="text1"/>
          <w:szCs w:val="24"/>
          <w:highlight w:val="none"/>
          <w:lang w:val="en-US" w:eastAsia="zh-CN"/>
          <w14:textFill>
            <w14:solidFill>
              <w14:schemeClr w14:val="tx1"/>
            </w14:solidFill>
          </w14:textFill>
        </w:rPr>
        <w:t>3</w:t>
      </w:r>
      <w:r>
        <w:rPr>
          <w:rFonts w:cs="Times New Roman"/>
          <w:color w:val="000000" w:themeColor="text1"/>
          <w:szCs w:val="24"/>
          <w:highlight w:val="none"/>
          <w14:textFill>
            <w14:solidFill>
              <w14:schemeClr w14:val="tx1"/>
            </w14:solidFill>
          </w14:textFill>
        </w:rPr>
        <w:t>00</w:t>
      </w:r>
      <w:r>
        <w:rPr>
          <w:rFonts w:hint="eastAsia"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。本项目钻井期间污水经固控设备固液分离后，钻井废水</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，井站设立污水定期拉运机制</w:t>
      </w:r>
      <w:r>
        <w:rPr>
          <w:rFonts w:hint="eastAsia" w:cs="Times New Roman"/>
          <w:color w:val="000000" w:themeColor="text1"/>
          <w:szCs w:val="24"/>
          <w:highlight w:val="none"/>
          <w14:textFill>
            <w14:solidFill>
              <w14:schemeClr w14:val="tx1"/>
            </w14:solidFill>
          </w14:textFill>
        </w:rPr>
        <w:t>，通过定期拉运，能使现场废水最大存量保持在始终低于</w:t>
      </w:r>
      <w:r>
        <w:rPr>
          <w:rFonts w:hint="eastAsia" w:cs="Times New Roman"/>
          <w:color w:val="000000" w:themeColor="text1"/>
          <w:szCs w:val="24"/>
          <w:highlight w:val="none"/>
          <w:lang w:val="en-US" w:eastAsia="zh-CN"/>
          <w14:textFill>
            <w14:solidFill>
              <w14:schemeClr w14:val="tx1"/>
            </w14:solidFill>
          </w14:textFill>
        </w:rPr>
        <w:t>4</w:t>
      </w:r>
      <w:r>
        <w:rPr>
          <w:rFonts w:cs="Times New Roman"/>
          <w:color w:val="000000" w:themeColor="text1"/>
          <w:szCs w:val="24"/>
          <w:highlight w:val="none"/>
          <w14:textFill>
            <w14:solidFill>
              <w14:schemeClr w14:val="tx1"/>
            </w14:solidFill>
          </w14:textFill>
        </w:rPr>
        <w:t>6</w:t>
      </w:r>
      <w:r>
        <w:rPr>
          <w:rFonts w:hint="eastAsia" w:cs="Times New Roman"/>
          <w:color w:val="000000" w:themeColor="text1"/>
          <w:szCs w:val="24"/>
          <w:highlight w:val="none"/>
          <w14:textFill>
            <w14:solidFill>
              <w14:schemeClr w14:val="tx1"/>
            </w14:solidFill>
          </w14:textFill>
        </w:rPr>
        <w:t>0</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的水平</w:t>
      </w:r>
      <w:r>
        <w:rPr>
          <w:rFonts w:cs="Times New Roman"/>
          <w:color w:val="000000" w:themeColor="text1"/>
          <w:szCs w:val="24"/>
          <w:highlight w:val="none"/>
          <w14:textFill>
            <w14:solidFill>
              <w14:schemeClr w14:val="tx1"/>
            </w14:solidFill>
          </w14:textFill>
        </w:rPr>
        <w:t>，井场的泥浆不落地装置与</w:t>
      </w:r>
      <w:r>
        <w:rPr>
          <w:rFonts w:hint="eastAsia" w:cs="Times New Roman"/>
          <w:color w:val="000000" w:themeColor="text1"/>
          <w:szCs w:val="24"/>
          <w:highlight w:val="none"/>
          <w14:textFill>
            <w14:solidFill>
              <w14:schemeClr w14:val="tx1"/>
            </w14:solidFill>
          </w14:textFill>
        </w:rPr>
        <w:t>放喷</w:t>
      </w:r>
      <w:r>
        <w:rPr>
          <w:rFonts w:cs="Times New Roman"/>
          <w:color w:val="000000" w:themeColor="text1"/>
          <w:szCs w:val="24"/>
          <w:highlight w:val="none"/>
          <w14:textFill>
            <w14:solidFill>
              <w14:schemeClr w14:val="tx1"/>
            </w14:solidFill>
          </w14:textFill>
        </w:rPr>
        <w:t>池的容量能满足井场整个钻井期的生产需求。</w:t>
      </w:r>
    </w:p>
    <w:p>
      <w:pPr>
        <w:ind w:firstLine="480"/>
        <w:rPr>
          <w:rFonts w:cs="Times New Roman"/>
          <w:color w:val="000000" w:themeColor="text1"/>
          <w:szCs w:val="24"/>
          <w:highlight w:val="none"/>
          <w14:textFill>
            <w14:solidFill>
              <w14:schemeClr w14:val="tx1"/>
            </w14:solidFill>
          </w14:textFill>
        </w:rPr>
      </w:pPr>
      <w:bookmarkStart w:id="415" w:name="_Hlk89361389"/>
      <w:r>
        <w:rPr>
          <w:rFonts w:cs="Times New Roman"/>
          <w:color w:val="000000" w:themeColor="text1"/>
          <w:szCs w:val="24"/>
          <w:highlight w:val="none"/>
          <w14:textFill>
            <w14:solidFill>
              <w14:schemeClr w14:val="tx1"/>
            </w14:solidFill>
          </w14:textFill>
        </w:rPr>
        <w:t>经固控设备固液分离后洗井废水产生量最大为</w:t>
      </w:r>
      <w:r>
        <w:rPr>
          <w:rFonts w:hint="eastAsia" w:cs="Times New Roman"/>
          <w:color w:val="000000" w:themeColor="text1"/>
          <w:szCs w:val="24"/>
          <w:highlight w:val="none"/>
          <w:lang w:val="en-US" w:eastAsia="zh-CN"/>
          <w14:textFill>
            <w14:solidFill>
              <w14:schemeClr w14:val="tx1"/>
            </w14:solidFill>
          </w14:textFill>
        </w:rPr>
        <w:t>2</w:t>
      </w:r>
      <w:r>
        <w:rPr>
          <w:rFonts w:cs="Times New Roman"/>
          <w:color w:val="000000" w:themeColor="text1"/>
          <w:szCs w:val="24"/>
          <w:highlight w:val="none"/>
          <w14:textFill>
            <w14:solidFill>
              <w14:schemeClr w14:val="tx1"/>
            </w14:solidFill>
          </w14:textFill>
        </w:rPr>
        <w:t>00m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，洗井废水边处理边拉运回用，井场的泥浆不落地装置与污水池的容量能满足井场洗井期的生产需求。</w:t>
      </w:r>
      <w:bookmarkEnd w:id="415"/>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为防止在暴雨或连续降雨等极端天气条件下发生废水泄露，对初期雨水进行收集，</w:t>
      </w:r>
      <w:bookmarkStart w:id="416" w:name="_Hlk89363083"/>
      <w:r>
        <w:rPr>
          <w:rFonts w:cs="Times New Roman"/>
          <w:color w:val="000000" w:themeColor="text1"/>
          <w:szCs w:val="24"/>
          <w:highlight w:val="none"/>
          <w14:textFill>
            <w14:solidFill>
              <w14:schemeClr w14:val="tx1"/>
            </w14:solidFill>
          </w14:textFill>
        </w:rPr>
        <w:t>本项</w:t>
      </w:r>
      <w:r>
        <w:rPr>
          <w:rFonts w:ascii="宋体" w:hAnsi="宋体" w:cs="Times New Roman"/>
          <w:color w:val="000000" w:themeColor="text1"/>
          <w:szCs w:val="24"/>
          <w:highlight w:val="none"/>
          <w14:textFill>
            <w14:solidFill>
              <w14:schemeClr w14:val="tx1"/>
            </w14:solidFill>
          </w14:textFill>
        </w:rPr>
        <w:t>目“不落地”</w:t>
      </w:r>
      <w:r>
        <w:rPr>
          <w:rFonts w:cs="Times New Roman"/>
          <w:color w:val="000000" w:themeColor="text1"/>
          <w:szCs w:val="24"/>
          <w:highlight w:val="none"/>
          <w14:textFill>
            <w14:solidFill>
              <w14:schemeClr w14:val="tx1"/>
            </w14:solidFill>
          </w14:textFill>
        </w:rPr>
        <w:t>处理装置与</w:t>
      </w:r>
      <w:r>
        <w:rPr>
          <w:rFonts w:hint="eastAsia" w:cs="Times New Roman"/>
          <w:color w:val="000000" w:themeColor="text1"/>
          <w:szCs w:val="24"/>
          <w:highlight w:val="none"/>
          <w14:textFill>
            <w14:solidFill>
              <w14:schemeClr w14:val="tx1"/>
            </w14:solidFill>
          </w14:textFill>
        </w:rPr>
        <w:t>放喷</w:t>
      </w:r>
      <w:r>
        <w:rPr>
          <w:rFonts w:cs="Times New Roman"/>
          <w:color w:val="000000" w:themeColor="text1"/>
          <w:szCs w:val="24"/>
          <w:highlight w:val="none"/>
          <w14:textFill>
            <w14:solidFill>
              <w14:schemeClr w14:val="tx1"/>
            </w14:solidFill>
          </w14:textFill>
        </w:rPr>
        <w:t>池有效容积达到</w:t>
      </w:r>
      <w:r>
        <w:rPr>
          <w:rFonts w:hint="eastAsia" w:cs="Times New Roman"/>
          <w:color w:val="000000" w:themeColor="text1"/>
          <w:szCs w:val="24"/>
          <w:highlight w:val="none"/>
          <w:lang w:val="en-US" w:eastAsia="zh-CN"/>
          <w14:textFill>
            <w14:solidFill>
              <w14:schemeClr w14:val="tx1"/>
            </w14:solidFill>
          </w14:textFill>
        </w:rPr>
        <w:t>4</w:t>
      </w:r>
      <w:r>
        <w:rPr>
          <w:rFonts w:cs="Times New Roman"/>
          <w:color w:val="000000" w:themeColor="text1"/>
          <w:szCs w:val="24"/>
          <w:highlight w:val="none"/>
          <w14:textFill>
            <w14:solidFill>
              <w14:schemeClr w14:val="tx1"/>
            </w14:solidFill>
          </w14:textFill>
        </w:rPr>
        <w:t>60m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w:t>
      </w:r>
      <w:bookmarkEnd w:id="416"/>
      <w:r>
        <w:rPr>
          <w:rFonts w:cs="Times New Roman"/>
          <w:color w:val="000000" w:themeColor="text1"/>
          <w:szCs w:val="24"/>
          <w:highlight w:val="none"/>
          <w14:textFill>
            <w14:solidFill>
              <w14:schemeClr w14:val="tx1"/>
            </w14:solidFill>
          </w14:textFill>
        </w:rPr>
        <w:t>能满足本项目应对暴雨或连续降雨等极端天气条件下初期雨水的收集需要（初期雨水量</w:t>
      </w:r>
      <w:r>
        <w:rPr>
          <w:rFonts w:hint="eastAsia" w:cs="Times New Roman"/>
          <w:color w:val="000000" w:themeColor="text1"/>
          <w:szCs w:val="24"/>
          <w:highlight w:val="none"/>
          <w:lang w:eastAsia="zh-CN"/>
          <w14:textFill>
            <w14:solidFill>
              <w14:schemeClr w14:val="tx1"/>
            </w14:solidFill>
          </w14:textFill>
        </w:rPr>
        <w:t>202.1</w:t>
      </w:r>
      <w:r>
        <w:rPr>
          <w:rFonts w:cs="Times New Roman"/>
          <w:color w:val="000000" w:themeColor="text1"/>
          <w:szCs w:val="24"/>
          <w:highlight w:val="none"/>
          <w14:textFill>
            <w14:solidFill>
              <w14:schemeClr w14:val="tx1"/>
            </w14:solidFill>
          </w14:textFill>
        </w:rPr>
        <w:t>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），杜绝废水外溢污染事故。</w:t>
      </w:r>
    </w:p>
    <w:p>
      <w:pPr>
        <w:ind w:firstLine="480"/>
        <w:rPr>
          <w:rFonts w:cs="Times New Roman"/>
          <w:color w:val="000000" w:themeColor="text1"/>
          <w:szCs w:val="24"/>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钻井期生活污水经生态厕所收集后定期由密闭罐车拉运至周边生活污水处理厂处理</w:t>
      </w:r>
      <w:r>
        <w:rPr>
          <w:rFonts w:cs="Times New Roman"/>
          <w:color w:val="000000" w:themeColor="text1"/>
          <w:szCs w:val="24"/>
          <w:highlight w:val="none"/>
          <w14:textFill>
            <w14:solidFill>
              <w14:schemeClr w14:val="tx1"/>
            </w14:solidFill>
          </w14:textFill>
        </w:rPr>
        <w:t>，钻井期生态厕所能满足50人</w:t>
      </w:r>
      <w:r>
        <w:rPr>
          <w:rFonts w:hint="eastAsia" w:cs="Times New Roman"/>
          <w:color w:val="000000" w:themeColor="text1"/>
          <w:szCs w:val="24"/>
          <w:highlight w:val="none"/>
          <w:lang w:eastAsia="zh-CN"/>
          <w14:textFill>
            <w14:solidFill>
              <w14:schemeClr w14:val="tx1"/>
            </w14:solidFill>
          </w14:textFill>
        </w:rPr>
        <w:t>如厕</w:t>
      </w:r>
      <w:r>
        <w:rPr>
          <w:rFonts w:cs="Times New Roman"/>
          <w:color w:val="000000" w:themeColor="text1"/>
          <w:szCs w:val="24"/>
          <w:highlight w:val="none"/>
          <w14:textFill>
            <w14:solidFill>
              <w14:schemeClr w14:val="tx1"/>
            </w14:solidFill>
          </w14:textFill>
        </w:rPr>
        <w:t>需求，本项目钻井期最多人员为45人，且加强管理，定期拉运后，生态厕所满足使用需求。</w:t>
      </w:r>
    </w:p>
    <w:p>
      <w:pPr>
        <w:ind w:firstLine="480"/>
        <w:rPr>
          <w:rFonts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2</w:t>
      </w:r>
      <w:r>
        <w:rPr>
          <w:rFonts w:hint="eastAsia" w:ascii="宋体" w:hAnsi="宋体" w:eastAsia="宋体" w:cs="宋体"/>
          <w:color w:val="000000" w:themeColor="text1"/>
          <w:szCs w:val="24"/>
          <w:highlight w:val="none"/>
          <w:lang w:val="en-US" w:eastAsia="zh-CN"/>
          <w14:textFill>
            <w14:solidFill>
              <w14:schemeClr w14:val="tx1"/>
            </w14:solidFill>
          </w14:textFill>
        </w:rPr>
        <w:t>）</w:t>
      </w:r>
      <w:r>
        <w:rPr>
          <w:rFonts w:hint="eastAsia" w:ascii="宋体" w:hAnsi="宋体" w:eastAsia="宋体" w:cs="宋体"/>
          <w:color w:val="000000" w:themeColor="text1"/>
          <w:szCs w:val="24"/>
          <w:highlight w:val="none"/>
          <w14:textFill>
            <w14:solidFill>
              <w14:schemeClr w14:val="tx1"/>
            </w14:solidFill>
          </w14:textFill>
        </w:rPr>
        <w:t>泥浆不落地工艺可行性分析</w:t>
      </w:r>
    </w:p>
    <w:p>
      <w:pPr>
        <w:ind w:firstLine="480"/>
        <w:rPr>
          <w:rFonts w:cs="Times New Roman"/>
          <w:color w:val="000000" w:themeColor="text1"/>
          <w:szCs w:val="24"/>
          <w:highlight w:val="none"/>
          <w14:textFill>
            <w14:solidFill>
              <w14:schemeClr w14:val="tx1"/>
            </w14:solidFill>
          </w14:textFill>
        </w:rPr>
      </w:pPr>
      <w:bookmarkStart w:id="417" w:name="_Hlk89363132"/>
      <w:r>
        <w:rPr>
          <w:rFonts w:cs="Times New Roman"/>
          <w:color w:val="000000" w:themeColor="text1"/>
          <w:szCs w:val="24"/>
          <w:highlight w:val="none"/>
          <w14:textFill>
            <w14:solidFill>
              <w14:schemeClr w14:val="tx1"/>
            </w14:solidFill>
          </w14:textFill>
        </w:rPr>
        <w:t>随钻泥浆不落地能做到泥浆、岩屑“不落地”，对钻井过程中产生的污染物实行随钻处理，增大了废水利用率，同时降低道路运输风险。随钻处理污染物技术成熟、可靠，资源化处置得到的泥饼体积减小，固化后泥饼含水率约60%，运输方便，分离出液体大部分能回用钻井作业，在减少废物排放的同时节约了成本。尤为重要的是项目对污染物实现了综合利用，符合当前环保管理减量化、无害化、资源化的要求，属</w:t>
      </w:r>
      <w:r>
        <w:rPr>
          <w:rFonts w:hint="eastAsia" w:ascii="宋体" w:hAnsi="宋体" w:eastAsia="宋体" w:cs="宋体"/>
          <w:color w:val="000000" w:themeColor="text1"/>
          <w:szCs w:val="24"/>
          <w:highlight w:val="none"/>
          <w14:textFill>
            <w14:solidFill>
              <w14:schemeClr w14:val="tx1"/>
            </w14:solidFill>
          </w14:textFill>
        </w:rPr>
        <w:t>“三废”</w:t>
      </w:r>
      <w:r>
        <w:rPr>
          <w:rFonts w:cs="Times New Roman"/>
          <w:color w:val="000000" w:themeColor="text1"/>
          <w:szCs w:val="24"/>
          <w:highlight w:val="none"/>
          <w14:textFill>
            <w14:solidFill>
              <w14:schemeClr w14:val="tx1"/>
            </w14:solidFill>
          </w14:textFill>
        </w:rPr>
        <w:t>综合利用及治理工程，泥浆不落地工艺的实施，将大大提高废水回用率和降低固废产生量，降低环保风险，确保中原油田普光分公司清洁生产、绿色开发和可持续发展。根据川东北地区配套的泥浆不落地系统处理经验，系统内正常运行设置40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废水罐4个，20m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岩屑固化罐4个，3m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岩屑收集罐8个，化学品存放区1处和1套固废处理设备就能满足川东北地区单井泥浆不落地处理能力要求。本项目按照上述进行了设置，同时本项目</w:t>
      </w:r>
      <w:r>
        <w:rPr>
          <w:rFonts w:hint="eastAsia" w:cs="Times New Roman"/>
          <w:color w:val="000000" w:themeColor="text1"/>
          <w:szCs w:val="24"/>
          <w:highlight w:val="none"/>
          <w14:textFill>
            <w14:solidFill>
              <w14:schemeClr w14:val="tx1"/>
            </w14:solidFill>
          </w14:textFill>
        </w:rPr>
        <w:t>仅有1口钻井</w:t>
      </w:r>
      <w:r>
        <w:rPr>
          <w:rFonts w:cs="Times New Roman"/>
          <w:color w:val="000000" w:themeColor="text1"/>
          <w:szCs w:val="24"/>
          <w:highlight w:val="none"/>
          <w14:textFill>
            <w14:solidFill>
              <w14:schemeClr w14:val="tx1"/>
            </w14:solidFill>
          </w14:textFill>
        </w:rPr>
        <w:t>，故泥浆不落地装置处理能力满足本项目需求。因此，本项目采用随钻泥浆不落地工艺是可行的。</w:t>
      </w:r>
    </w:p>
    <w:bookmarkEnd w:id="417"/>
    <w:p>
      <w:pPr>
        <w:keepNext w:val="0"/>
        <w:keepLines w:val="0"/>
        <w:pageBreakBefore w:val="0"/>
        <w:widowControl w:val="0"/>
        <w:kinsoku/>
        <w:wordWrap/>
        <w:overflowPunct/>
        <w:topLinePunct w:val="0"/>
        <w:autoSpaceDE/>
        <w:autoSpaceDN/>
        <w:bidi w:val="0"/>
        <w:adjustRightInd w:val="0"/>
        <w:snapToGrid w:val="0"/>
        <w:ind w:firstLine="480"/>
        <w:textAlignment w:val="auto"/>
        <w:rPr>
          <w:rFonts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w:t>
      </w:r>
      <w:r>
        <w:rPr>
          <w:rFonts w:hint="eastAsia" w:ascii="宋体" w:hAnsi="宋体" w:eastAsia="宋体" w:cs="宋体"/>
          <w:color w:val="000000" w:themeColor="text1"/>
          <w:szCs w:val="24"/>
          <w:highlight w:val="none"/>
          <w14:textFill>
            <w14:solidFill>
              <w14:schemeClr w14:val="tx1"/>
            </w14:solidFill>
          </w14:textFill>
        </w:rPr>
        <w:t>钻井废水回用可行性分析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经泥浆不落地处理后的钻井废水水质简单，悬浮物和油含量低，</w:t>
      </w:r>
      <w:r>
        <w:rPr>
          <w:rFonts w:hint="eastAsia" w:cs="Times New Roman"/>
          <w:color w:val="000000" w:themeColor="text1"/>
          <w:szCs w:val="24"/>
          <w:highlight w:val="none"/>
          <w:lang w:val="en-US" w:eastAsia="zh-CN"/>
          <w14:textFill>
            <w14:solidFill>
              <w14:schemeClr w14:val="tx1"/>
            </w14:solidFill>
          </w14:textFill>
        </w:rPr>
        <w:t>将钻井废水</w:t>
      </w:r>
      <w:r>
        <w:rPr>
          <w:rFonts w:hint="default" w:ascii="Times New Roman" w:hAnsi="Times New Roman" w:cs="Times New Roman"/>
          <w:color w:val="000000" w:themeColor="text1"/>
          <w:szCs w:val="24"/>
          <w:highlight w:val="none"/>
          <w14:textFill>
            <w14:solidFill>
              <w14:schemeClr w14:val="tx1"/>
            </w14:solidFill>
          </w14:textFill>
        </w:rPr>
        <w:t>经简单预处理即符合配置</w:t>
      </w:r>
      <w:r>
        <w:rPr>
          <w:rFonts w:hint="eastAsia" w:cs="Times New Roman"/>
          <w:color w:val="000000" w:themeColor="text1"/>
          <w:szCs w:val="24"/>
          <w:highlight w:val="none"/>
          <w:lang w:val="en-US" w:eastAsia="zh-CN"/>
          <w14:textFill>
            <w14:solidFill>
              <w14:schemeClr w14:val="tx1"/>
            </w14:solidFill>
          </w14:textFill>
        </w:rPr>
        <w:t>钻井液的</w:t>
      </w:r>
      <w:r>
        <w:rPr>
          <w:rFonts w:hint="default" w:ascii="Times New Roman" w:hAnsi="Times New Roman" w:cs="Times New Roman"/>
          <w:color w:val="000000" w:themeColor="text1"/>
          <w:szCs w:val="24"/>
          <w:highlight w:val="none"/>
          <w14:textFill>
            <w14:solidFill>
              <w14:schemeClr w14:val="tx1"/>
            </w14:solidFill>
          </w14:textFill>
        </w:rPr>
        <w:t>要求。将钻井废水重复</w:t>
      </w:r>
      <w:r>
        <w:rPr>
          <w:rFonts w:hint="eastAsia" w:cs="Times New Roman"/>
          <w:color w:val="000000" w:themeColor="text1"/>
          <w:szCs w:val="24"/>
          <w:highlight w:val="none"/>
          <w:lang w:val="en-US" w:eastAsia="zh-CN"/>
          <w14:textFill>
            <w14:solidFill>
              <w14:schemeClr w14:val="tx1"/>
            </w14:solidFill>
          </w14:textFill>
        </w:rPr>
        <w:t>使用</w:t>
      </w:r>
      <w:r>
        <w:rPr>
          <w:rFonts w:hint="default" w:ascii="Times New Roman" w:hAnsi="Times New Roman" w:cs="Times New Roman"/>
          <w:color w:val="000000" w:themeColor="text1"/>
          <w:szCs w:val="24"/>
          <w:highlight w:val="none"/>
          <w14:textFill>
            <w14:solidFill>
              <w14:schemeClr w14:val="tx1"/>
            </w14:solidFill>
          </w14:textFill>
        </w:rPr>
        <w:t>，已经属成熟工艺，在</w:t>
      </w:r>
      <w:r>
        <w:rPr>
          <w:rFonts w:hint="eastAsia" w:cs="Times New Roman"/>
          <w:color w:val="000000" w:themeColor="text1"/>
          <w:szCs w:val="24"/>
          <w:highlight w:val="none"/>
          <w:lang w:val="en-US" w:eastAsia="zh-CN"/>
          <w14:textFill>
            <w14:solidFill>
              <w14:schemeClr w14:val="tx1"/>
            </w14:solidFill>
          </w14:textFill>
        </w:rPr>
        <w:t>钻井</w:t>
      </w:r>
      <w:r>
        <w:rPr>
          <w:rFonts w:hint="default" w:ascii="Times New Roman" w:hAnsi="Times New Roman" w:cs="Times New Roman"/>
          <w:color w:val="000000" w:themeColor="text1"/>
          <w:szCs w:val="24"/>
          <w:highlight w:val="none"/>
          <w14:textFill>
            <w14:solidFill>
              <w14:schemeClr w14:val="tx1"/>
            </w14:solidFill>
          </w14:textFill>
        </w:rPr>
        <w:t>施工中广泛使用。因此将钻井废水重复</w:t>
      </w:r>
      <w:r>
        <w:rPr>
          <w:rFonts w:hint="eastAsia" w:cs="Times New Roman"/>
          <w:color w:val="000000" w:themeColor="text1"/>
          <w:szCs w:val="24"/>
          <w:highlight w:val="none"/>
          <w:lang w:val="en-US" w:eastAsia="zh-CN"/>
          <w14:textFill>
            <w14:solidFill>
              <w14:schemeClr w14:val="tx1"/>
            </w14:solidFill>
          </w14:textFill>
        </w:rPr>
        <w:t>配置钻井</w:t>
      </w:r>
      <w:r>
        <w:rPr>
          <w:rFonts w:hint="default" w:ascii="Times New Roman" w:hAnsi="Times New Roman" w:cs="Times New Roman"/>
          <w:color w:val="000000" w:themeColor="text1"/>
          <w:szCs w:val="24"/>
          <w:highlight w:val="none"/>
          <w14:textFill>
            <w14:solidFill>
              <w14:schemeClr w14:val="tx1"/>
            </w14:solidFill>
          </w14:textFill>
        </w:rPr>
        <w:t>液是可行的。可以满足钻井作业废水的处置需求，符合《石油天然气开采业污染防治技术政策》中“在钻井和井下作业过程中，鼓励污油、污水进入生产流程循环利用”的要求，属清洁生产措施，已在钻井工程中得到广泛采用，技术较成熟，该措施技术有效、可行。</w:t>
      </w:r>
    </w:p>
    <w:p>
      <w:pPr>
        <w:ind w:firstLine="480"/>
        <w:rPr>
          <w:rFonts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4）</w:t>
      </w:r>
      <w:r>
        <w:rPr>
          <w:rFonts w:hint="eastAsia" w:cs="Times New Roman"/>
          <w:color w:val="000000" w:themeColor="text1"/>
          <w:szCs w:val="24"/>
          <w:highlight w:val="none"/>
          <w:lang w:val="en-US" w:eastAsia="zh-CN"/>
          <w14:textFill>
            <w14:solidFill>
              <w14:schemeClr w14:val="tx1"/>
            </w14:solidFill>
          </w14:textFill>
        </w:rPr>
        <w:t>剩余钻井废水</w:t>
      </w:r>
      <w:r>
        <w:rPr>
          <w:rFonts w:hint="eastAsia" w:ascii="宋体" w:hAnsi="宋体" w:eastAsia="宋体" w:cs="宋体"/>
          <w:color w:val="000000" w:themeColor="text1"/>
          <w:szCs w:val="24"/>
          <w:highlight w:val="none"/>
          <w14:textFill>
            <w14:solidFill>
              <w14:schemeClr w14:val="tx1"/>
            </w14:solidFill>
          </w14:textFill>
        </w:rPr>
        <w:t>转运预处理和回注可行性分析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不可回用钻井废水用密闭罐车拉运至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回注，不外排。</w:t>
      </w:r>
    </w:p>
    <w:p>
      <w:pPr>
        <w:pStyle w:val="250"/>
        <w:keepNext w:val="0"/>
        <w:keepLines w:val="0"/>
        <w:pageBreakBefore w:val="0"/>
        <w:widowControl w:val="0"/>
        <w:kinsoku/>
        <w:wordWrap/>
        <w:overflowPunct/>
        <w:topLinePunct w:val="0"/>
        <w:autoSpaceDE/>
        <w:autoSpaceDN/>
        <w:bidi w:val="0"/>
        <w:adjustRightInd w:val="0"/>
        <w:snapToGrid w:val="0"/>
        <w:spacing w:before="164" w:beforeLines="50"/>
        <w:ind w:firstLine="482"/>
        <w:textAlignment w:val="auto"/>
        <w:rPr>
          <w:rFonts w:hint="eastAsia" w:eastAsia="宋体"/>
          <w:b w:val="0"/>
          <w:bCs/>
          <w:color w:val="000000" w:themeColor="text1"/>
          <w:highlight w:val="none"/>
          <w:lang w:eastAsia="zh-CN"/>
          <w14:textFill>
            <w14:solidFill>
              <w14:schemeClr w14:val="tx1"/>
            </w14:solidFill>
          </w14:textFill>
        </w:rPr>
      </w:pPr>
      <w:r>
        <w:rPr>
          <w:rFonts w:hint="eastAsia"/>
          <w:b w:val="0"/>
          <w:bCs/>
          <w:color w:val="000000" w:themeColor="text1"/>
          <w:szCs w:val="24"/>
          <w:highlight w:val="none"/>
          <w:lang w:val="en-US" w:eastAsia="zh-CN"/>
          <w14:textFill>
            <w14:solidFill>
              <w14:schemeClr w14:val="tx1"/>
            </w14:solidFill>
          </w14:textFill>
        </w:rPr>
        <w:t>①</w:t>
      </w:r>
      <w:r>
        <w:rPr>
          <w:rFonts w:hint="eastAsia"/>
          <w:b w:val="0"/>
          <w:bCs/>
          <w:color w:val="000000" w:themeColor="text1"/>
          <w:szCs w:val="24"/>
          <w:highlight w:val="none"/>
          <w:lang w:eastAsia="zh-CN"/>
          <w14:textFill>
            <w14:solidFill>
              <w14:schemeClr w14:val="tx1"/>
            </w14:solidFill>
          </w14:textFill>
        </w:rPr>
        <w:t>赵家坝污水处理站</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赵家坝污水处理站位于天然气净化厂内，属于普光主体工程，赵家坝污水处理站设计处理能力800m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/d，目前实际处理污水量为350m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/d，处理后的污水进入普光</w:t>
      </w:r>
      <w:r>
        <w:rPr>
          <w:rFonts w:cs="Times New Roman"/>
          <w:bCs/>
          <w:color w:val="000000" w:themeColor="text1"/>
          <w:szCs w:val="24"/>
          <w:highlight w:val="none"/>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井回注，污水处理系统采用“</w:t>
      </w:r>
      <w:r>
        <w:rPr>
          <w:rFonts w:hint="eastAsia" w:cs="Times New Roman"/>
          <w:bCs/>
          <w:color w:val="000000" w:themeColor="text1"/>
          <w:szCs w:val="24"/>
          <w:highlight w:val="none"/>
          <w:lang w:val="en-US" w:eastAsia="zh-CN"/>
          <w14:textFill>
            <w14:solidFill>
              <w14:schemeClr w14:val="tx1"/>
            </w14:solidFill>
          </w14:textFill>
        </w:rPr>
        <w:t>气浮</w:t>
      </w: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絮凝</w:t>
      </w:r>
      <w:r>
        <w:rPr>
          <w:rFonts w:hint="eastAsia" w:cs="Times New Roman"/>
          <w:bCs/>
          <w:color w:val="000000" w:themeColor="text1"/>
          <w:szCs w:val="24"/>
          <w:highlight w:val="none"/>
          <w14:textFill>
            <w14:solidFill>
              <w14:schemeClr w14:val="tx1"/>
            </w14:solidFill>
          </w14:textFill>
        </w:rPr>
        <w:t>沉降+</w:t>
      </w:r>
      <w:r>
        <w:rPr>
          <w:rFonts w:hint="eastAsia" w:cs="Times New Roman"/>
          <w:bCs/>
          <w:color w:val="000000" w:themeColor="text1"/>
          <w:szCs w:val="24"/>
          <w:highlight w:val="none"/>
          <w:lang w:val="en-US" w:eastAsia="zh-CN"/>
          <w14:textFill>
            <w14:solidFill>
              <w14:schemeClr w14:val="tx1"/>
            </w14:solidFill>
          </w14:textFill>
        </w:rPr>
        <w:t>压力接收（沉降）+双滤料</w:t>
      </w:r>
      <w:r>
        <w:rPr>
          <w:rFonts w:hint="eastAsia" w:cs="Times New Roman"/>
          <w:bCs/>
          <w:color w:val="000000" w:themeColor="text1"/>
          <w:szCs w:val="24"/>
          <w:highlight w:val="none"/>
          <w14:textFill>
            <w14:solidFill>
              <w14:schemeClr w14:val="tx1"/>
            </w14:solidFill>
          </w14:textFill>
        </w:rPr>
        <w:t>过滤”工艺，出水水质能够满足《气田水回注方法》（SY/T6596-2004）表1中标准。</w:t>
      </w:r>
    </w:p>
    <w:p>
      <w:pPr>
        <w:ind w:firstLine="480"/>
        <w:rPr>
          <w:color w:val="000000" w:themeColor="text1"/>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赵家坝污水处理站目前剩余处理能力为450m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ascii="Times New Roman" w:hAnsi="Times New Roman" w:eastAsia="宋体" w:cs="Times New Roman"/>
          <w:bCs/>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施工期</w:t>
      </w:r>
      <w:r>
        <w:rPr>
          <w:rFonts w:ascii="Times New Roman" w:hAnsi="Times New Roman" w:eastAsia="宋体" w:cs="Times New Roman"/>
          <w:bCs/>
          <w:color w:val="000000" w:themeColor="text1"/>
          <w:sz w:val="24"/>
          <w:szCs w:val="24"/>
          <w:highlight w:val="none"/>
          <w14:textFill>
            <w14:solidFill>
              <w14:schemeClr w14:val="tx1"/>
            </w14:solidFill>
          </w14:textFill>
        </w:rPr>
        <w:t>未能回用的作业废水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施工</w:t>
      </w:r>
      <w:r>
        <w:rPr>
          <w:rFonts w:ascii="Times New Roman" w:hAnsi="Times New Roman" w:eastAsia="宋体" w:cs="Times New Roman"/>
          <w:bCs/>
          <w:color w:val="000000" w:themeColor="text1"/>
          <w:sz w:val="24"/>
          <w:szCs w:val="24"/>
          <w:highlight w:val="none"/>
          <w14:textFill>
            <w14:solidFill>
              <w14:schemeClr w14:val="tx1"/>
            </w14:solidFill>
          </w14:textFill>
        </w:rPr>
        <w:t>期日运输量不超过</w:t>
      </w:r>
      <w:r>
        <w:rPr>
          <w:rFonts w:hint="eastAsia" w:cs="Times New Roman"/>
          <w:bCs/>
          <w:color w:val="000000" w:themeColor="text1"/>
          <w:sz w:val="24"/>
          <w:szCs w:val="24"/>
          <w:highlight w:val="none"/>
          <w:lang w:val="en-US" w:eastAsia="zh-CN"/>
          <w14:textFill>
            <w14:solidFill>
              <w14:schemeClr w14:val="tx1"/>
            </w14:solidFill>
          </w14:textFill>
        </w:rPr>
        <w:t>5</w:t>
      </w:r>
      <w:r>
        <w:rPr>
          <w:rFonts w:ascii="Times New Roman" w:hAnsi="Times New Roman" w:eastAsia="宋体" w:cs="Times New Roman"/>
          <w:bCs/>
          <w:color w:val="000000" w:themeColor="text1"/>
          <w:sz w:val="24"/>
          <w:szCs w:val="24"/>
          <w:highlight w:val="none"/>
          <w14:textFill>
            <w14:solidFill>
              <w14:schemeClr w14:val="tx1"/>
            </w14:solidFill>
          </w14:textFill>
        </w:rPr>
        <w:t>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/d，在</w:t>
      </w:r>
      <w:r>
        <w:rPr>
          <w:rFonts w:hint="eastAsia" w:cs="Times New Roman"/>
          <w:bCs/>
          <w:color w:val="000000" w:themeColor="text1"/>
          <w:szCs w:val="24"/>
          <w:highlight w:val="none"/>
          <w14:textFill>
            <w14:solidFill>
              <w14:schemeClr w14:val="tx1"/>
            </w14:solidFill>
          </w14:textFill>
        </w:rPr>
        <w:t>赵家坝污水处理站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处理本项目废水期间，</w:t>
      </w:r>
      <w:r>
        <w:rPr>
          <w:rFonts w:hint="eastAsia" w:cs="Times New Roman"/>
          <w:bCs/>
          <w:color w:val="000000" w:themeColor="text1"/>
          <w:sz w:val="24"/>
          <w:szCs w:val="24"/>
          <w:highlight w:val="none"/>
          <w:lang w:val="en-US" w:eastAsia="zh-CN"/>
          <w14:textFill>
            <w14:solidFill>
              <w14:schemeClr w14:val="tx1"/>
            </w14:solidFill>
          </w14:textFill>
        </w:rPr>
        <w:t>中石化普光气田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和</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Cs w:val="24"/>
          <w:highlight w:val="none"/>
          <w:lang w:val="en-US" w:eastAsia="zh-CN"/>
          <w14:textFill>
            <w14:solidFill>
              <w14:schemeClr w14:val="tx1"/>
            </w14:solidFill>
          </w14:textFill>
        </w:rPr>
        <w:t>加强沟通，</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同时运输过来的废水</w:t>
      </w:r>
      <w:r>
        <w:rPr>
          <w:rFonts w:ascii="Times New Roman" w:hAnsi="Times New Roman" w:eastAsia="宋体" w:cs="Times New Roman"/>
          <w:bCs/>
          <w:color w:val="000000" w:themeColor="text1"/>
          <w:sz w:val="24"/>
          <w:szCs w:val="24"/>
          <w:highlight w:val="none"/>
          <w14:textFill>
            <w14:solidFill>
              <w14:schemeClr w14:val="tx1"/>
            </w14:solidFill>
          </w14:textFill>
        </w:rPr>
        <w:t>处理量</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Cs w:val="24"/>
          <w:highlight w:val="none"/>
          <w:lang w:val="en-US" w:eastAsia="zh-CN"/>
          <w14:textFill>
            <w14:solidFill>
              <w14:schemeClr w14:val="tx1"/>
            </w14:solidFill>
          </w14:textFill>
        </w:rPr>
        <w:t>实际剩余处理能力整体调配，预计控制在</w:t>
      </w:r>
      <w:r>
        <w:rPr>
          <w:rFonts w:hint="eastAsia" w:cs="Times New Roman"/>
          <w:bCs/>
          <w:color w:val="000000" w:themeColor="text1"/>
          <w:sz w:val="24"/>
          <w:szCs w:val="24"/>
          <w:highlight w:val="none"/>
          <w:lang w:val="en-US" w:eastAsia="zh-CN"/>
          <w14:textFill>
            <w14:solidFill>
              <w14:schemeClr w14:val="tx1"/>
            </w14:solidFill>
          </w14:textFill>
        </w:rPr>
        <w:t>40</w:t>
      </w:r>
      <w:r>
        <w:rPr>
          <w:rFonts w:ascii="Times New Roman" w:hAnsi="Times New Roman" w:eastAsia="宋体" w:cs="Times New Roman"/>
          <w:bCs/>
          <w:color w:val="000000" w:themeColor="text1"/>
          <w:sz w:val="24"/>
          <w:szCs w:val="24"/>
          <w:highlight w:val="none"/>
          <w14:textFill>
            <w14:solidFill>
              <w14:schemeClr w14:val="tx1"/>
            </w14:solidFill>
          </w14:textFill>
        </w:rPr>
        <w:t>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左右</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能确保本项目施工期和试采期废水得到有效收集处置，</w:t>
      </w:r>
      <w:r>
        <w:rPr>
          <w:rFonts w:hint="eastAsia" w:cs="Times New Roman"/>
          <w:bCs/>
          <w:color w:val="000000" w:themeColor="text1"/>
          <w:szCs w:val="24"/>
          <w:highlight w:val="none"/>
          <w14:textFill>
            <w14:solidFill>
              <w14:schemeClr w14:val="tx1"/>
            </w14:solidFill>
          </w14:textFill>
        </w:rPr>
        <w:t>故赵家坝污水处理站完全有能力处理本项目产生的</w:t>
      </w:r>
      <w:r>
        <w:rPr>
          <w:rFonts w:hint="eastAsia" w:cs="Times New Roman"/>
          <w:bCs/>
          <w:color w:val="000000" w:themeColor="text1"/>
          <w:szCs w:val="24"/>
          <w:highlight w:val="none"/>
          <w:lang w:val="en-US" w:eastAsia="zh-CN"/>
          <w14:textFill>
            <w14:solidFill>
              <w14:schemeClr w14:val="tx1"/>
            </w14:solidFill>
          </w14:textFill>
        </w:rPr>
        <w:t>废</w:t>
      </w:r>
      <w:r>
        <w:rPr>
          <w:rFonts w:hint="eastAsia" w:cs="Times New Roman"/>
          <w:bCs/>
          <w:color w:val="000000" w:themeColor="text1"/>
          <w:szCs w:val="24"/>
          <w:highlight w:val="none"/>
          <w14:textFill>
            <w14:solidFill>
              <w14:schemeClr w14:val="tx1"/>
            </w14:solidFill>
          </w14:textFill>
        </w:rPr>
        <w:t>水</w:t>
      </w:r>
      <w:r>
        <w:rPr>
          <w:color w:val="000000" w:themeColor="text1"/>
          <w:highlight w:val="none"/>
          <w14:textFill>
            <w14:solidFill>
              <w14:schemeClr w14:val="tx1"/>
            </w14:solidFill>
          </w14:textFill>
        </w:rPr>
        <w:t>。</w:t>
      </w:r>
    </w:p>
    <w:p>
      <w:pPr>
        <w:pStyle w:val="250"/>
        <w:ind w:firstLine="482"/>
        <w:rPr>
          <w:b w:val="0"/>
          <w:bCs w:val="0"/>
          <w:color w:val="000000" w:themeColor="text1"/>
          <w:highlight w:val="none"/>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②</w:t>
      </w:r>
      <w:r>
        <w:rPr>
          <w:rFonts w:hint="eastAsia" w:cs="Times New Roman"/>
          <w:b w:val="0"/>
          <w:bCs w:val="0"/>
          <w:color w:val="000000" w:themeColor="text1"/>
          <w:szCs w:val="21"/>
          <w:highlight w:val="none"/>
          <w:lang w:eastAsia="zh-CN"/>
          <w14:textFill>
            <w14:solidFill>
              <w14:schemeClr w14:val="tx1"/>
            </w14:solidFill>
          </w14:textFill>
        </w:rPr>
        <w:t>普光3井回注站</w:t>
      </w:r>
    </w:p>
    <w:p>
      <w:pPr>
        <w:ind w:firstLine="480"/>
        <w:rPr>
          <w:rFonts w:hint="eastAsia" w:cs="Times New Roman"/>
          <w:bCs/>
          <w:color w:val="000000" w:themeColor="text1"/>
          <w:szCs w:val="24"/>
          <w:highlight w:val="none"/>
          <w:lang w:val="en-US" w:eastAsia="zh-CN"/>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本项目经赵家坝污水处理站处理后的作业废水经处理达标后均通过普光3井回注地层。普光3井回注站位于达州市宣汉县黄金镇斑竹村3组，该井站回注层位为飞仙关组飞一段~飞二段、飞二段~飞三段，注水深度为5</w:t>
      </w:r>
      <w:r>
        <w:rPr>
          <w:rFonts w:cs="Times New Roman"/>
          <w:bCs/>
          <w:color w:val="000000" w:themeColor="text1"/>
          <w:szCs w:val="24"/>
          <w:highlight w:val="none"/>
          <w14:textFill>
            <w14:solidFill>
              <w14:schemeClr w14:val="tx1"/>
            </w14:solidFill>
          </w14:textFill>
        </w:rPr>
        <w:t>423.6</w:t>
      </w:r>
      <w:r>
        <w:rPr>
          <w:rFonts w:hint="eastAsia"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14:textFill>
            <w14:solidFill>
              <w14:schemeClr w14:val="tx1"/>
            </w14:solidFill>
          </w14:textFill>
        </w:rPr>
        <w:t>~5476.0</w:t>
      </w:r>
      <w:r>
        <w:rPr>
          <w:rFonts w:hint="eastAsia" w:cs="Times New Roman"/>
          <w:bCs/>
          <w:color w:val="000000" w:themeColor="text1"/>
          <w:szCs w:val="24"/>
          <w:highlight w:val="none"/>
          <w14:textFill>
            <w14:solidFill>
              <w14:schemeClr w14:val="tx1"/>
            </w14:solidFill>
          </w14:textFill>
        </w:rPr>
        <w:t>m，回注储集空间1</w:t>
      </w:r>
      <w:r>
        <w:rPr>
          <w:rFonts w:cs="Times New Roman"/>
          <w:bCs/>
          <w:color w:val="000000" w:themeColor="text1"/>
          <w:szCs w:val="24"/>
          <w:highlight w:val="none"/>
          <w14:textFill>
            <w14:solidFill>
              <w14:schemeClr w14:val="tx1"/>
            </w14:solidFill>
          </w14:textFill>
        </w:rPr>
        <w:t>91</w:t>
      </w:r>
      <w:r>
        <w:rPr>
          <w:rFonts w:hint="eastAsia" w:cs="Times New Roman"/>
          <w:bCs/>
          <w:color w:val="000000" w:themeColor="text1"/>
          <w:szCs w:val="24"/>
          <w:highlight w:val="none"/>
          <w14:textFill>
            <w14:solidFill>
              <w14:schemeClr w14:val="tx1"/>
            </w14:solidFill>
          </w14:textFill>
        </w:rPr>
        <w:t>×</w:t>
      </w:r>
      <w:r>
        <w:rPr>
          <w:rFonts w:cs="Times New Roman"/>
          <w:bCs/>
          <w:color w:val="000000" w:themeColor="text1"/>
          <w:szCs w:val="24"/>
          <w:highlight w:val="none"/>
          <w14:textFill>
            <w14:solidFill>
              <w14:schemeClr w14:val="tx1"/>
            </w14:solidFill>
          </w14:textFill>
        </w:rPr>
        <w:t>10</w:t>
      </w:r>
      <w:r>
        <w:rPr>
          <w:rFonts w:cs="Times New Roman"/>
          <w:bCs/>
          <w:color w:val="000000" w:themeColor="text1"/>
          <w:szCs w:val="24"/>
          <w:highlight w:val="none"/>
          <w:vertAlign w:val="superscript"/>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m</w:t>
      </w:r>
      <w:r>
        <w:rPr>
          <w:rFonts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，注水压力约为</w:t>
      </w:r>
      <w:r>
        <w:rPr>
          <w:rFonts w:cs="Times New Roman"/>
          <w:bCs/>
          <w:color w:val="000000" w:themeColor="text1"/>
          <w:szCs w:val="24"/>
          <w:highlight w:val="none"/>
          <w14:textFill>
            <w14:solidFill>
              <w14:schemeClr w14:val="tx1"/>
            </w14:solidFill>
          </w14:textFill>
        </w:rPr>
        <w:t>35</w:t>
      </w:r>
      <w:r>
        <w:rPr>
          <w:rFonts w:hint="eastAsia" w:cs="Times New Roman"/>
          <w:bCs/>
          <w:color w:val="000000" w:themeColor="text1"/>
          <w:szCs w:val="24"/>
          <w:highlight w:val="none"/>
          <w14:textFill>
            <w14:solidFill>
              <w14:schemeClr w14:val="tx1"/>
            </w14:solidFill>
          </w14:textFill>
        </w:rPr>
        <w:t>MPa，污水回注设计规模为</w:t>
      </w:r>
      <w:r>
        <w:rPr>
          <w:rFonts w:cs="Times New Roman"/>
          <w:bCs/>
          <w:color w:val="000000" w:themeColor="text1"/>
          <w:szCs w:val="24"/>
          <w:highlight w:val="none"/>
          <w14:textFill>
            <w14:solidFill>
              <w14:schemeClr w14:val="tx1"/>
            </w14:solidFill>
          </w14:textFill>
        </w:rPr>
        <w:t>30</w:t>
      </w:r>
      <w:r>
        <w:rPr>
          <w:rFonts w:hint="eastAsia" w:cs="Times New Roman"/>
          <w:bCs/>
          <w:color w:val="000000" w:themeColor="text1"/>
          <w:szCs w:val="24"/>
          <w:highlight w:val="none"/>
          <w14:textFill>
            <w14:solidFill>
              <w14:schemeClr w14:val="tx1"/>
            </w14:solidFill>
          </w14:textFill>
        </w:rPr>
        <w:t>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/d，目前回注量为</w:t>
      </w:r>
      <w:r>
        <w:rPr>
          <w:rFonts w:cs="Times New Roman"/>
          <w:bCs/>
          <w:color w:val="000000" w:themeColor="text1"/>
          <w:szCs w:val="24"/>
          <w:highlight w:val="none"/>
          <w14:textFill>
            <w14:solidFill>
              <w14:schemeClr w14:val="tx1"/>
            </w14:solidFill>
          </w14:textFill>
        </w:rPr>
        <w:t>9</w:t>
      </w:r>
      <w:r>
        <w:rPr>
          <w:rFonts w:hint="eastAsia" w:cs="Times New Roman"/>
          <w:bCs/>
          <w:color w:val="000000" w:themeColor="text1"/>
          <w:szCs w:val="24"/>
          <w:highlight w:val="none"/>
          <w14:textFill>
            <w14:solidFill>
              <w14:schemeClr w14:val="tx1"/>
            </w14:solidFill>
          </w14:textFill>
        </w:rPr>
        <w:t>0~</w:t>
      </w:r>
      <w:r>
        <w:rPr>
          <w:rFonts w:cs="Times New Roman"/>
          <w:bCs/>
          <w:color w:val="000000" w:themeColor="text1"/>
          <w:szCs w:val="24"/>
          <w:highlight w:val="none"/>
          <w14:textFill>
            <w14:solidFill>
              <w14:schemeClr w14:val="tx1"/>
            </w14:solidFill>
          </w14:textFill>
        </w:rPr>
        <w:t>13</w:t>
      </w:r>
      <w:r>
        <w:rPr>
          <w:rFonts w:hint="eastAsia" w:cs="Times New Roman"/>
          <w:bCs/>
          <w:color w:val="000000" w:themeColor="text1"/>
          <w:szCs w:val="24"/>
          <w:highlight w:val="none"/>
          <w14:textFill>
            <w14:solidFill>
              <w14:schemeClr w14:val="tx1"/>
            </w14:solidFill>
          </w14:textFill>
        </w:rPr>
        <w:t>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val="en-US" w:eastAsia="zh-CN"/>
          <w14:textFill>
            <w14:solidFill>
              <w14:schemeClr w14:val="tx1"/>
            </w14:solidFill>
          </w14:textFill>
        </w:rPr>
        <w:t>剩余回注能力170~210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已回注总量为</w:t>
      </w:r>
      <w:r>
        <w:rPr>
          <w:rFonts w:cs="Times New Roman"/>
          <w:bCs/>
          <w:color w:val="000000" w:themeColor="text1"/>
          <w:szCs w:val="24"/>
          <w:highlight w:val="none"/>
          <w14:textFill>
            <w14:solidFill>
              <w14:schemeClr w14:val="tx1"/>
            </w14:solidFill>
          </w14:textFill>
        </w:rPr>
        <w:t>90.33</w:t>
      </w:r>
      <w:r>
        <w:rPr>
          <w:rFonts w:hint="eastAsia" w:cs="Times New Roman"/>
          <w:bCs/>
          <w:color w:val="000000" w:themeColor="text1"/>
          <w:szCs w:val="24"/>
          <w:highlight w:val="none"/>
          <w14:textFill>
            <w14:solidFill>
              <w14:schemeClr w14:val="tx1"/>
            </w14:solidFill>
          </w14:textFill>
        </w:rPr>
        <w:t>×10</w:t>
      </w:r>
      <w:r>
        <w:rPr>
          <w:rFonts w:hint="eastAsia" w:cs="Times New Roman"/>
          <w:bCs/>
          <w:color w:val="000000" w:themeColor="text1"/>
          <w:szCs w:val="24"/>
          <w:highlight w:val="none"/>
          <w:vertAlign w:val="superscript"/>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，剩余</w:t>
      </w:r>
      <w:r>
        <w:rPr>
          <w:rFonts w:cs="Times New Roman"/>
          <w:bCs/>
          <w:color w:val="000000" w:themeColor="text1"/>
          <w:szCs w:val="24"/>
          <w:highlight w:val="none"/>
          <w14:textFill>
            <w14:solidFill>
              <w14:schemeClr w14:val="tx1"/>
            </w14:solidFill>
          </w14:textFill>
        </w:rPr>
        <w:t>100.6</w:t>
      </w:r>
      <w:r>
        <w:rPr>
          <w:rFonts w:hint="eastAsia" w:cs="Times New Roman"/>
          <w:bCs/>
          <w:color w:val="000000" w:themeColor="text1"/>
          <w:szCs w:val="24"/>
          <w:highlight w:val="none"/>
          <w14:textFill>
            <w14:solidFill>
              <w14:schemeClr w14:val="tx1"/>
            </w14:solidFill>
          </w14:textFill>
        </w:rPr>
        <w:t>7×10</w:t>
      </w:r>
      <w:r>
        <w:rPr>
          <w:rFonts w:hint="eastAsia" w:cs="Times New Roman"/>
          <w:bCs/>
          <w:color w:val="000000" w:themeColor="text1"/>
          <w:szCs w:val="24"/>
          <w:highlight w:val="none"/>
          <w:vertAlign w:val="superscript"/>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lang w:eastAsia="zh-CN"/>
          <w14:textFill>
            <w14:solidFill>
              <w14:schemeClr w14:val="tx1"/>
            </w14:solidFill>
          </w14:textFill>
        </w:rPr>
        <w:t>。</w:t>
      </w:r>
      <w:r>
        <w:rPr>
          <w:rFonts w:ascii="Times New Roman" w:hAnsi="Times New Roman" w:eastAsia="宋体" w:cs="Times New Roman"/>
          <w:bCs/>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施工期</w:t>
      </w:r>
      <w:r>
        <w:rPr>
          <w:rFonts w:ascii="Times New Roman" w:hAnsi="Times New Roman" w:eastAsia="宋体" w:cs="Times New Roman"/>
          <w:bCs/>
          <w:color w:val="000000" w:themeColor="text1"/>
          <w:sz w:val="24"/>
          <w:szCs w:val="24"/>
          <w:highlight w:val="none"/>
          <w14:textFill>
            <w14:solidFill>
              <w14:schemeClr w14:val="tx1"/>
            </w14:solidFill>
          </w14:textFill>
        </w:rPr>
        <w:t>未能回用的作业废水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施工</w:t>
      </w:r>
      <w:r>
        <w:rPr>
          <w:rFonts w:ascii="Times New Roman" w:hAnsi="Times New Roman" w:eastAsia="宋体" w:cs="Times New Roman"/>
          <w:bCs/>
          <w:color w:val="000000" w:themeColor="text1"/>
          <w:sz w:val="24"/>
          <w:szCs w:val="24"/>
          <w:highlight w:val="none"/>
          <w14:textFill>
            <w14:solidFill>
              <w14:schemeClr w14:val="tx1"/>
            </w14:solidFill>
          </w14:textFill>
        </w:rPr>
        <w:t>期日运输量不超过50m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本项目废水和其他项目废水在</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 w:val="24"/>
          <w:szCs w:val="24"/>
          <w:highlight w:val="none"/>
          <w:lang w:val="en-US" w:eastAsia="zh-CN"/>
          <w14:textFill>
            <w14:solidFill>
              <w14:schemeClr w14:val="tx1"/>
            </w14:solidFill>
          </w14:textFill>
        </w:rPr>
        <w:t>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根据普光3井回注站实际剩余回注能力进行整体调配，</w:t>
      </w:r>
      <w:r>
        <w:rPr>
          <w:rFonts w:hint="eastAsia" w:cs="Times New Roman"/>
          <w:bCs/>
          <w:color w:val="000000" w:themeColor="text1"/>
          <w:szCs w:val="24"/>
          <w:highlight w:val="none"/>
          <w:lang w:val="en-US" w:eastAsia="zh-CN"/>
          <w14:textFill>
            <w14:solidFill>
              <w14:schemeClr w14:val="tx1"/>
            </w14:solidFill>
          </w14:textFill>
        </w:rPr>
        <w:t>其他项目废水进入普光3井回注站回注的废水预计控制在</w:t>
      </w:r>
      <w:r>
        <w:rPr>
          <w:rFonts w:hint="eastAsia" w:cs="Times New Roman"/>
          <w:bCs/>
          <w:color w:val="000000" w:themeColor="text1"/>
          <w:sz w:val="24"/>
          <w:szCs w:val="24"/>
          <w:highlight w:val="none"/>
          <w:lang w:val="en-US" w:eastAsia="zh-CN"/>
          <w14:textFill>
            <w14:solidFill>
              <w14:schemeClr w14:val="tx1"/>
            </w14:solidFill>
          </w14:textFill>
        </w:rPr>
        <w:t>12</w:t>
      </w:r>
      <w:r>
        <w:rPr>
          <w:rFonts w:ascii="Times New Roman" w:hAnsi="Times New Roman" w:eastAsia="宋体" w:cs="Times New Roman"/>
          <w:bCs/>
          <w:color w:val="000000" w:themeColor="text1"/>
          <w:sz w:val="24"/>
          <w:szCs w:val="24"/>
          <w:highlight w:val="none"/>
          <w14:textFill>
            <w14:solidFill>
              <w14:schemeClr w14:val="tx1"/>
            </w14:solidFill>
          </w14:textFill>
        </w:rPr>
        <w:t>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左右</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因此本项目废水能进入普光3井回注站回注</w:t>
      </w:r>
      <w:r>
        <w:rPr>
          <w:rFonts w:hint="eastAsia" w:cs="Times New Roman"/>
          <w:bCs/>
          <w:color w:val="000000" w:themeColor="text1"/>
          <w:szCs w:val="24"/>
          <w:highlight w:val="none"/>
          <w:lang w:val="en-US" w:eastAsia="zh-CN"/>
          <w14:textFill>
            <w14:solidFill>
              <w14:schemeClr w14:val="tx1"/>
            </w14:solidFill>
          </w14:textFill>
        </w:rPr>
        <w:t>，确保本项目废水最终得到有效处置。</w:t>
      </w:r>
    </w:p>
    <w:p>
      <w:pPr>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赵家坝污水处理站运行多年，工艺成熟稳定，水质能长期稳定达标，满足作业废水预处理要求；</w:t>
      </w:r>
      <w:r>
        <w:rPr>
          <w:rFonts w:hint="eastAsia" w:cs="Times New Roman"/>
          <w:bCs/>
          <w:color w:val="000000" w:themeColor="text1"/>
          <w:szCs w:val="24"/>
          <w:highlight w:val="none"/>
          <w14:textFill>
            <w14:solidFill>
              <w14:schemeClr w14:val="tx1"/>
            </w14:solidFill>
          </w14:textFill>
        </w:rPr>
        <w:t>普光3井已稳定运行多年，地下空间结构稳定，运行期间未检测到地下空间发生结构变化，剩余总回注量远大于本项目试采废水产生量，剩余储集空间较大，满足回注要求</w:t>
      </w:r>
      <w:r>
        <w:rPr>
          <w:rFonts w:cs="Times New Roman"/>
          <w:bCs/>
          <w:color w:val="000000" w:themeColor="text1"/>
          <w:szCs w:val="24"/>
          <w:highlight w:val="none"/>
          <w14:textFill>
            <w14:solidFill>
              <w14:schemeClr w14:val="tx1"/>
            </w14:solidFill>
          </w14:textFill>
        </w:rPr>
        <w:t>。</w:t>
      </w:r>
    </w:p>
    <w:p>
      <w:pPr>
        <w:ind w:firstLine="480"/>
        <w:rPr>
          <w:rFonts w:hint="default"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val="en-US" w:eastAsia="zh-CN"/>
          <w14:textFill>
            <w14:solidFill>
              <w14:schemeClr w14:val="tx1"/>
            </w14:solidFill>
          </w14:textFill>
        </w:rPr>
        <w:t>3、储层改造工程</w:t>
      </w:r>
    </w:p>
    <w:p>
      <w:pPr>
        <w:ind w:firstLine="480"/>
        <w:rPr>
          <w:rFonts w:hint="default" w:ascii="Times New Roman" w:hAnsi="Times New Roman"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lang w:eastAsia="zh-CN"/>
          <w14:textFill>
            <w14:solidFill>
              <w14:schemeClr w14:val="tx1"/>
            </w14:solidFill>
          </w14:textFill>
        </w:rPr>
        <w:t>（</w:t>
      </w:r>
      <w:r>
        <w:rPr>
          <w:rFonts w:hint="eastAsia" w:eastAsia="黑体" w:cs="Times New Roman"/>
          <w:color w:val="000000" w:themeColor="text1"/>
          <w:szCs w:val="24"/>
          <w:highlight w:val="none"/>
          <w:lang w:val="en-US" w:eastAsia="zh-CN"/>
          <w14:textFill>
            <w14:solidFill>
              <w14:schemeClr w14:val="tx1"/>
            </w14:solidFill>
          </w14:textFill>
        </w:rPr>
        <w:t>1）</w:t>
      </w:r>
      <w:r>
        <w:rPr>
          <w:rFonts w:hint="default" w:ascii="Times New Roman" w:hAnsi="Times New Roman" w:eastAsia="黑体" w:cs="Times New Roman"/>
          <w:color w:val="000000" w:themeColor="text1"/>
          <w:szCs w:val="24"/>
          <w:highlight w:val="none"/>
          <w14:textFill>
            <w14:solidFill>
              <w14:schemeClr w14:val="tx1"/>
            </w14:solidFill>
          </w14:textFill>
        </w:rPr>
        <w:t>治理措施</w:t>
      </w:r>
    </w:p>
    <w:p>
      <w:pPr>
        <w:ind w:firstLine="482"/>
        <w:rPr>
          <w:rFonts w:hint="default" w:ascii="Times New Roman" w:hAnsi="Times New Roman" w:eastAsia="宋体" w:cs="Times New Roman"/>
          <w:b w:val="0"/>
          <w:bCs/>
          <w:color w:val="000000" w:themeColor="text1"/>
          <w:szCs w:val="24"/>
          <w:highlight w:val="none"/>
          <w:lang w:val="en-US" w:eastAsia="zh-CN"/>
          <w14:textFill>
            <w14:solidFill>
              <w14:schemeClr w14:val="tx1"/>
            </w14:solidFill>
          </w14:textFill>
        </w:rPr>
      </w:pPr>
      <w:r>
        <w:rPr>
          <w:rFonts w:hint="eastAsia" w:cs="Times New Roman"/>
          <w:b w:val="0"/>
          <w:bCs/>
          <w:color w:val="000000" w:themeColor="text1"/>
          <w:szCs w:val="24"/>
          <w:highlight w:val="none"/>
          <w:lang w:val="en-US" w:eastAsia="zh-CN"/>
          <w14:textFill>
            <w14:solidFill>
              <w14:schemeClr w14:val="tx1"/>
            </w14:solidFill>
          </w14:textFill>
        </w:rPr>
        <w:t>1</w:t>
      </w:r>
      <w:r>
        <w:rPr>
          <w:rFonts w:hint="default" w:ascii="Times New Roman" w:hAnsi="Times New Roman" w:cs="Times New Roman"/>
          <w:b w:val="0"/>
          <w:bCs/>
          <w:color w:val="000000" w:themeColor="text1"/>
          <w:szCs w:val="24"/>
          <w:highlight w:val="none"/>
          <w14:textFill>
            <w14:solidFill>
              <w14:schemeClr w14:val="tx1"/>
            </w14:solidFill>
          </w14:textFill>
        </w:rPr>
        <w:t>）压裂返排液</w:t>
      </w:r>
      <w:r>
        <w:rPr>
          <w:rFonts w:hint="eastAsia" w:cs="Times New Roman"/>
          <w:b w:val="0"/>
          <w:bCs/>
          <w:color w:val="000000" w:themeColor="text1"/>
          <w:szCs w:val="24"/>
          <w:highlight w:val="none"/>
          <w:lang w:val="en-US" w:eastAsia="zh-CN"/>
          <w14:textFill>
            <w14:solidFill>
              <w14:schemeClr w14:val="tx1"/>
            </w14:solidFill>
          </w14:textFill>
        </w:rPr>
        <w:t>及洗井废水</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完井阶段产生的洗井废水与</w:t>
      </w:r>
      <w:r>
        <w:rPr>
          <w:rFonts w:hint="default" w:ascii="Times New Roman" w:hAnsi="Times New Roman" w:cs="Times New Roman"/>
          <w:bCs/>
          <w:color w:val="000000" w:themeColor="text1"/>
          <w:szCs w:val="24"/>
          <w:highlight w:val="none"/>
          <w14:textFill>
            <w14:solidFill>
              <w14:schemeClr w14:val="tx1"/>
            </w14:solidFill>
          </w14:textFill>
        </w:rPr>
        <w:t>压裂返排液</w:t>
      </w:r>
      <w:r>
        <w:rPr>
          <w:rFonts w:hint="eastAsia" w:cs="Times New Roman"/>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Cs w:val="24"/>
          <w:highlight w:val="none"/>
          <w14:textFill>
            <w14:solidFill>
              <w14:schemeClr w14:val="tx1"/>
            </w14:solidFill>
          </w14:textFill>
        </w:rPr>
        <w:t>放喷时</w:t>
      </w:r>
      <w:r>
        <w:rPr>
          <w:rFonts w:hint="eastAsia" w:cs="Times New Roman"/>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Cs w:val="24"/>
          <w:highlight w:val="none"/>
          <w14:textFill>
            <w14:solidFill>
              <w14:schemeClr w14:val="tx1"/>
            </w14:solidFill>
          </w14:textFill>
        </w:rPr>
        <w:t>由放喷管排入压裂液储罐或放喷池，</w:t>
      </w:r>
      <w:r>
        <w:rPr>
          <w:rFonts w:ascii="Times New Roman" w:hAnsi="Times New Roman"/>
          <w:color w:val="000000" w:themeColor="text1"/>
          <w:sz w:val="24"/>
          <w:highlight w:val="none"/>
          <w:lang w:eastAsia="zh-CN"/>
          <w14:textFill>
            <w14:solidFill>
              <w14:schemeClr w14:val="tx1"/>
            </w14:solidFill>
          </w14:textFill>
        </w:rPr>
        <w:t>在返排期间可控制返排速率，若放喷池（300m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）、压裂液罐（1600m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）无多余容积</w:t>
      </w:r>
      <w:r>
        <w:rPr>
          <w:rFonts w:hint="eastAsia"/>
          <w:color w:val="000000" w:themeColor="text1"/>
          <w:sz w:val="24"/>
          <w:highlight w:val="none"/>
          <w:lang w:val="en-US" w:eastAsia="zh-CN"/>
          <w14:textFill>
            <w14:solidFill>
              <w14:schemeClr w14:val="tx1"/>
            </w14:solidFill>
          </w14:textFill>
        </w:rPr>
        <w:t>或周边井场暂时无法回用、</w:t>
      </w:r>
      <w:r>
        <w:rPr>
          <w:rFonts w:hint="eastAsia" w:cs="Times New Roman"/>
          <w:color w:val="000000" w:themeColor="text1"/>
          <w:highlight w:val="none"/>
          <w:lang w:eastAsia="zh-CN"/>
          <w14:textFill>
            <w14:solidFill>
              <w14:schemeClr w14:val="tx1"/>
            </w14:solidFill>
          </w14:textFill>
        </w:rPr>
        <w:t>赵家坝污水处理站</w:t>
      </w:r>
      <w:r>
        <w:rPr>
          <w:rFonts w:hint="eastAsia" w:cs="Times New Roman"/>
          <w:color w:val="000000" w:themeColor="text1"/>
          <w:highlight w:val="none"/>
          <w:lang w:val="en-US" w:eastAsia="zh-CN"/>
          <w14:textFill>
            <w14:solidFill>
              <w14:schemeClr w14:val="tx1"/>
            </w14:solidFill>
          </w14:textFill>
        </w:rPr>
        <w:t>暂时无法接收处理</w:t>
      </w:r>
      <w:r>
        <w:rPr>
          <w:rFonts w:ascii="Times New Roman" w:hAnsi="Times New Roman"/>
          <w:color w:val="000000" w:themeColor="text1"/>
          <w:sz w:val="24"/>
          <w:highlight w:val="none"/>
          <w:lang w:eastAsia="zh-CN"/>
          <w14:textFill>
            <w14:solidFill>
              <w14:schemeClr w14:val="tx1"/>
            </w14:solidFill>
          </w14:textFill>
        </w:rPr>
        <w:t>时可</w:t>
      </w:r>
      <w:r>
        <w:rPr>
          <w:rFonts w:hint="eastAsia"/>
          <w:color w:val="000000" w:themeColor="text1"/>
          <w:sz w:val="24"/>
          <w:highlight w:val="none"/>
          <w:lang w:val="en-US" w:eastAsia="zh-CN"/>
          <w14:textFill>
            <w14:solidFill>
              <w14:schemeClr w14:val="tx1"/>
            </w14:solidFill>
          </w14:textFill>
        </w:rPr>
        <w:t>临时转运至周边中石化场站设置的防渗完好、环保满足要求的储罐或水池暂存，或暂停压裂、</w:t>
      </w:r>
      <w:r>
        <w:rPr>
          <w:rFonts w:ascii="Times New Roman" w:hAnsi="Times New Roman"/>
          <w:color w:val="000000" w:themeColor="text1"/>
          <w:sz w:val="24"/>
          <w:highlight w:val="none"/>
          <w:lang w:eastAsia="zh-CN"/>
          <w14:textFill>
            <w14:solidFill>
              <w14:schemeClr w14:val="tx1"/>
            </w14:solidFill>
          </w14:textFill>
        </w:rPr>
        <w:t>返排</w:t>
      </w:r>
      <w:r>
        <w:rPr>
          <w:rFonts w:hint="eastAsia"/>
          <w:color w:val="000000" w:themeColor="text1"/>
          <w:sz w:val="24"/>
          <w:highlight w:val="none"/>
          <w:lang w:val="en-US" w:eastAsia="zh-CN"/>
          <w14:textFill>
            <w14:solidFill>
              <w14:schemeClr w14:val="tx1"/>
            </w14:solidFill>
          </w14:textFill>
        </w:rPr>
        <w:t>等</w:t>
      </w:r>
      <w:r>
        <w:rPr>
          <w:rFonts w:ascii="Times New Roman" w:hAnsi="Times New Roman"/>
          <w:color w:val="000000" w:themeColor="text1"/>
          <w:sz w:val="24"/>
          <w:highlight w:val="none"/>
          <w:lang w:eastAsia="zh-CN"/>
          <w14:textFill>
            <w14:solidFill>
              <w14:schemeClr w14:val="tx1"/>
            </w14:solidFill>
          </w14:textFill>
        </w:rPr>
        <w:t>，待放喷池、压裂液罐中压裂返排液</w:t>
      </w:r>
      <w:r>
        <w:rPr>
          <w:rFonts w:hint="eastAsia" w:ascii="Times New Roman" w:hAnsi="Times New Roman"/>
          <w:color w:val="000000" w:themeColor="text1"/>
          <w:sz w:val="24"/>
          <w:highlight w:val="none"/>
          <w:lang w:val="en-US" w:eastAsia="zh-CN"/>
          <w14:textFill>
            <w14:solidFill>
              <w14:schemeClr w14:val="tx1"/>
            </w14:solidFill>
          </w14:textFill>
        </w:rPr>
        <w:t>转运回用或回注</w:t>
      </w:r>
      <w:r>
        <w:rPr>
          <w:rFonts w:ascii="Times New Roman" w:hAnsi="Times New Roman"/>
          <w:color w:val="000000" w:themeColor="text1"/>
          <w:sz w:val="24"/>
          <w:highlight w:val="none"/>
          <w:lang w:eastAsia="zh-CN"/>
          <w14:textFill>
            <w14:solidFill>
              <w14:schemeClr w14:val="tx1"/>
            </w14:solidFill>
          </w14:textFill>
        </w:rPr>
        <w:t>后</w:t>
      </w:r>
      <w:r>
        <w:rPr>
          <w:rFonts w:hint="eastAsia"/>
          <w:color w:val="000000" w:themeColor="text1"/>
          <w:sz w:val="24"/>
          <w:highlight w:val="none"/>
          <w:lang w:val="en-US" w:eastAsia="zh-CN"/>
          <w14:textFill>
            <w14:solidFill>
              <w14:schemeClr w14:val="tx1"/>
            </w14:solidFill>
          </w14:textFill>
        </w:rPr>
        <w:t>有足够容积空间后方</w:t>
      </w:r>
      <w:r>
        <w:rPr>
          <w:rFonts w:ascii="Times New Roman" w:hAnsi="Times New Roman"/>
          <w:color w:val="000000" w:themeColor="text1"/>
          <w:sz w:val="24"/>
          <w:highlight w:val="none"/>
          <w:lang w:eastAsia="zh-CN"/>
          <w14:textFill>
            <w14:solidFill>
              <w14:schemeClr w14:val="tx1"/>
            </w14:solidFill>
          </w14:textFill>
        </w:rPr>
        <w:t>可继续</w:t>
      </w:r>
      <w:r>
        <w:rPr>
          <w:rFonts w:hint="eastAsia"/>
          <w:color w:val="000000" w:themeColor="text1"/>
          <w:sz w:val="24"/>
          <w:highlight w:val="none"/>
          <w:lang w:val="en-US" w:eastAsia="zh-CN"/>
          <w14:textFill>
            <w14:solidFill>
              <w14:schemeClr w14:val="tx1"/>
            </w14:solidFill>
          </w14:textFill>
        </w:rPr>
        <w:t>压裂、</w:t>
      </w:r>
      <w:r>
        <w:rPr>
          <w:rFonts w:ascii="Times New Roman" w:hAnsi="Times New Roman"/>
          <w:color w:val="000000" w:themeColor="text1"/>
          <w:sz w:val="24"/>
          <w:highlight w:val="none"/>
          <w:lang w:eastAsia="zh-CN"/>
          <w14:textFill>
            <w14:solidFill>
              <w14:schemeClr w14:val="tx1"/>
            </w14:solidFill>
          </w14:textFill>
        </w:rPr>
        <w:t>返排，因此在压裂返排期间</w:t>
      </w:r>
      <w:r>
        <w:rPr>
          <w:rFonts w:hint="eastAsia"/>
          <w:color w:val="000000" w:themeColor="text1"/>
          <w:sz w:val="24"/>
          <w:highlight w:val="none"/>
          <w:lang w:val="en-US" w:eastAsia="zh-CN"/>
          <w14:textFill>
            <w14:solidFill>
              <w14:schemeClr w14:val="tx1"/>
            </w14:solidFill>
          </w14:textFill>
        </w:rPr>
        <w:t>在控制好压裂、返排作业，充分利用周边储存设施的条件下，本项目设置</w:t>
      </w:r>
      <w:r>
        <w:rPr>
          <w:rFonts w:ascii="Times New Roman" w:hAnsi="Times New Roman"/>
          <w:color w:val="000000" w:themeColor="text1"/>
          <w:sz w:val="24"/>
          <w:highlight w:val="none"/>
          <w:lang w:eastAsia="zh-CN"/>
          <w14:textFill>
            <w14:solidFill>
              <w14:schemeClr w14:val="tx1"/>
            </w14:solidFill>
          </w14:textFill>
        </w:rPr>
        <w:t>放喷池、压裂液罐可满足暂存要求。</w:t>
      </w:r>
      <w:r>
        <w:rPr>
          <w:rFonts w:hint="default" w:ascii="Times New Roman" w:hAnsi="Times New Roman" w:cs="Times New Roman"/>
          <w:bCs/>
          <w:color w:val="000000" w:themeColor="text1"/>
          <w:szCs w:val="24"/>
          <w:highlight w:val="none"/>
          <w14:textFill>
            <w14:solidFill>
              <w14:schemeClr w14:val="tx1"/>
            </w14:solidFill>
          </w14:textFill>
        </w:rPr>
        <w:t>放喷池中压裂返排液全部通过泵抽入至压裂液储罐，</w:t>
      </w:r>
      <w:r>
        <w:rPr>
          <w:rFonts w:hint="default" w:ascii="Times New Roman" w:hAnsi="Times New Roman" w:cs="Times New Roman"/>
          <w:bCs/>
          <w:color w:val="000000" w:themeColor="text1"/>
          <w:szCs w:val="24"/>
          <w:highlight w:val="none"/>
          <w:lang w:val="en-US" w:eastAsia="zh-CN"/>
          <w14:textFill>
            <w14:solidFill>
              <w14:schemeClr w14:val="tx1"/>
            </w14:solidFill>
          </w14:textFill>
        </w:rPr>
        <w:t>大部分区块内回用于压裂液配置，</w:t>
      </w:r>
      <w:r>
        <w:rPr>
          <w:rFonts w:hint="default" w:ascii="Times New Roman" w:hAnsi="Times New Roman" w:cs="Times New Roman"/>
          <w:bCs/>
          <w:color w:val="000000" w:themeColor="text1"/>
          <w:szCs w:val="24"/>
          <w:highlight w:val="none"/>
          <w14:textFill>
            <w14:solidFill>
              <w14:schemeClr w14:val="tx1"/>
            </w14:solidFill>
          </w14:textFill>
        </w:rPr>
        <w:t>多余废水用密闭罐车拉运至</w:t>
      </w:r>
      <w:r>
        <w:rPr>
          <w:rFonts w:hint="eastAsia" w:cs="Times New Roman"/>
          <w:bCs/>
          <w:color w:val="000000" w:themeColor="text1"/>
          <w:szCs w:val="24"/>
          <w:highlight w:val="none"/>
          <w:lang w:eastAsia="zh-CN"/>
          <w14:textFill>
            <w14:solidFill>
              <w14:schemeClr w14:val="tx1"/>
            </w14:solidFill>
          </w14:textFill>
        </w:rPr>
        <w:t>赵家坝污水处理站</w:t>
      </w:r>
      <w:r>
        <w:rPr>
          <w:rFonts w:hint="default" w:ascii="Times New Roman" w:hAnsi="Times New Roman" w:cs="Times New Roman"/>
          <w:bCs/>
          <w:color w:val="000000" w:themeColor="text1"/>
          <w:szCs w:val="24"/>
          <w:highlight w:val="none"/>
          <w14:textFill>
            <w14:solidFill>
              <w14:schemeClr w14:val="tx1"/>
            </w14:solidFill>
          </w14:textFill>
        </w:rPr>
        <w:t>达标后管输至</w:t>
      </w:r>
      <w:r>
        <w:rPr>
          <w:rFonts w:hint="eastAsia" w:cs="Times New Roman"/>
          <w:bCs/>
          <w:color w:val="000000" w:themeColor="text1"/>
          <w:szCs w:val="24"/>
          <w:highlight w:val="none"/>
          <w:lang w:eastAsia="zh-CN"/>
          <w14:textFill>
            <w14:solidFill>
              <w14:schemeClr w14:val="tx1"/>
            </w14:solidFill>
          </w14:textFill>
        </w:rPr>
        <w:t>普光3井回注站</w:t>
      </w:r>
      <w:r>
        <w:rPr>
          <w:rFonts w:hint="default" w:ascii="Times New Roman" w:hAnsi="Times New Roman" w:cs="Times New Roman"/>
          <w:bCs/>
          <w:color w:val="000000" w:themeColor="text1"/>
          <w:szCs w:val="24"/>
          <w:highlight w:val="none"/>
          <w14:textFill>
            <w14:solidFill>
              <w14:schemeClr w14:val="tx1"/>
            </w14:solidFill>
          </w14:textFill>
        </w:rPr>
        <w:t>回注，不外排</w:t>
      </w:r>
      <w:r>
        <w:rPr>
          <w:rFonts w:hint="default" w:ascii="Times New Roman" w:hAnsi="Times New Roman" w:cs="Times New Roman"/>
          <w:color w:val="000000" w:themeColor="text1"/>
          <w:szCs w:val="24"/>
          <w:highlight w:val="none"/>
          <w14:textFill>
            <w14:solidFill>
              <w14:schemeClr w14:val="tx1"/>
            </w14:solidFill>
          </w14:textFill>
        </w:rPr>
        <w:t>。</w:t>
      </w:r>
    </w:p>
    <w:p>
      <w:pPr>
        <w:ind w:firstLine="480"/>
        <w:rPr>
          <w:rFonts w:hint="default" w:ascii="Times New Roman" w:hAnsi="Times New Roman" w:cs="Times New Roman"/>
          <w:color w:val="000000" w:themeColor="text1"/>
          <w:szCs w:val="24"/>
          <w:highlight w:val="none"/>
          <w14:textFill>
            <w14:solidFill>
              <w14:schemeClr w14:val="tx1"/>
            </w14:solidFill>
          </w14:textFill>
        </w:rPr>
      </w:pPr>
    </w:p>
    <w:p>
      <w:pPr>
        <w:ind w:firstLine="480"/>
        <w:rPr>
          <w:rFonts w:hint="default" w:ascii="Times New Roman" w:hAnsi="Times New Roman" w:cs="Times New Roman"/>
          <w:color w:val="000000" w:themeColor="text1"/>
          <w:szCs w:val="24"/>
          <w:highlight w:val="none"/>
          <w14:textFill>
            <w14:solidFill>
              <w14:schemeClr w14:val="tx1"/>
            </w14:solidFill>
          </w14:textFill>
        </w:rPr>
      </w:pPr>
    </w:p>
    <w:p>
      <w:pPr>
        <w:ind w:firstLine="480"/>
        <w:rPr>
          <w:rFonts w:hint="default" w:ascii="Times New Roman" w:hAnsi="Times New Roman" w:cs="Times New Roman"/>
          <w:color w:val="000000" w:themeColor="text1"/>
          <w:szCs w:val="24"/>
          <w:highlight w:val="none"/>
          <w14:textFill>
            <w14:solidFill>
              <w14:schemeClr w14:val="tx1"/>
            </w14:solidFill>
          </w14:textFill>
        </w:rPr>
      </w:pPr>
    </w:p>
    <w:p>
      <w:pPr>
        <w:pStyle w:val="93"/>
        <w:rPr>
          <w:rFonts w:hint="default" w:ascii="Times New Roman" w:hAnsi="Times New Roman" w:cs="Times New Roman"/>
          <w:color w:val="000000" w:themeColor="text1"/>
          <w:highlight w:val="none"/>
          <w:lang w:eastAsia="zh-CN"/>
          <w14:textFill>
            <w14:solidFill>
              <w14:schemeClr w14:val="tx1"/>
            </w14:solidFill>
          </w14:textFill>
        </w:rPr>
      </w:pP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4571365</wp:posOffset>
                </wp:positionH>
                <wp:positionV relativeFrom="paragraph">
                  <wp:posOffset>454025</wp:posOffset>
                </wp:positionV>
                <wp:extent cx="487045" cy="295910"/>
                <wp:effectExtent l="4445" t="4445" r="22860" b="23495"/>
                <wp:wrapNone/>
                <wp:docPr id="80" name="文本框 80"/>
                <wp:cNvGraphicFramePr/>
                <a:graphic xmlns:a="http://schemas.openxmlformats.org/drawingml/2006/main">
                  <a:graphicData uri="http://schemas.microsoft.com/office/word/2010/wordprocessingShape">
                    <wps:wsp>
                      <wps:cNvSpPr txBox="1"/>
                      <wps:spPr>
                        <a:xfrm>
                          <a:off x="0" y="0"/>
                          <a:ext cx="487045" cy="29591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7"/>
                                <w:szCs w:val="17"/>
                                <w:lang w:val="en-US" w:eastAsia="zh-CN"/>
                              </w:rPr>
                            </w:pPr>
                            <w:r>
                              <w:rPr>
                                <w:rFonts w:hint="eastAsia"/>
                                <w:sz w:val="17"/>
                                <w:szCs w:val="17"/>
                                <w:lang w:val="en-US" w:eastAsia="zh-CN"/>
                              </w:rPr>
                              <w:t>普光3井回注站</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359.95pt;margin-top:35.75pt;height:23.3pt;width:38.35pt;z-index:251678720;v-text-anchor:middle;mso-width-relative:page;mso-height-relative:page;" fillcolor="#FFFFFF" filled="t" stroked="t" coordsize="21600,21600" o:gfxdata="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4ilIzWAAAACgEAAA8AAAAAAAAAAQAgAAAAIgAAAGRycy9kb3ducmV2LnhtbFBLAQIUABQAAAAI&#10;AIdO4kB/ZZ06YQIAAM4EAAAOAAAAAAAAAAEAIAAAACUBAABkcnMvZTJvRG9jLnhtbFBLBQYAAAAA&#10;BgAGAFkBAAD4BQ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7"/>
                          <w:szCs w:val="17"/>
                          <w:lang w:val="en-US" w:eastAsia="zh-CN"/>
                        </w:rPr>
                      </w:pPr>
                      <w:r>
                        <w:rPr>
                          <w:rFonts w:hint="eastAsia"/>
                          <w:sz w:val="17"/>
                          <w:szCs w:val="17"/>
                          <w:lang w:val="en-US" w:eastAsia="zh-CN"/>
                        </w:rPr>
                        <w:t>普光3井回注站</w:t>
                      </w:r>
                    </w:p>
                  </w:txbxContent>
                </v:textbox>
              </v:shape>
            </w:pict>
          </mc:Fallback>
        </mc:AlternateContent>
      </w:r>
      <w:r>
        <w:rPr>
          <w:color w:val="000000" w:themeColor="text1"/>
          <w:sz w:val="29"/>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3629660</wp:posOffset>
                </wp:positionH>
                <wp:positionV relativeFrom="paragraph">
                  <wp:posOffset>443230</wp:posOffset>
                </wp:positionV>
                <wp:extent cx="487045" cy="295910"/>
                <wp:effectExtent l="4445" t="4445" r="22860" b="23495"/>
                <wp:wrapNone/>
                <wp:docPr id="78" name="文本框 78"/>
                <wp:cNvGraphicFramePr/>
                <a:graphic xmlns:a="http://schemas.openxmlformats.org/drawingml/2006/main">
                  <a:graphicData uri="http://schemas.microsoft.com/office/word/2010/wordprocessingShape">
                    <wps:wsp>
                      <wps:cNvSpPr txBox="1"/>
                      <wps:spPr>
                        <a:xfrm>
                          <a:off x="0" y="0"/>
                          <a:ext cx="487045" cy="29591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7"/>
                                <w:szCs w:val="17"/>
                                <w:lang w:val="en-US" w:eastAsia="zh-CN"/>
                              </w:rPr>
                            </w:pPr>
                            <w:r>
                              <w:rPr>
                                <w:rFonts w:hint="eastAsia"/>
                                <w:sz w:val="17"/>
                                <w:szCs w:val="17"/>
                                <w:lang w:val="en-US" w:eastAsia="zh-CN"/>
                              </w:rPr>
                              <w:t>赵家坝污水处理站</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shape id="_x0000_s1026" o:spid="_x0000_s1026" o:spt="202" type="#_x0000_t202" style="position:absolute;left:0pt;margin-left:285.8pt;margin-top:34.9pt;height:23.3pt;width:38.35pt;z-index:251677696;v-text-anchor:middle;mso-width-relative:page;mso-height-relative:page;" fillcolor="#FFFFFF" filled="t" stroked="t" coordsize="21600,21600" o:gfxdata="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zOr81wAAAAoBAAAPAAAAAAAAAAEAIAAAACIAAABkcnMvZG93bnJldi54bWxQSwECFAAUAAAA&#10;CACHTuJAtH3n9mECAADOBAAADgAAAAAAAAABACAAAAAmAQAAZHJzL2Uyb0RvYy54bWxQSwUGAAAA&#10;AAYABgBZAQAA+QUAAAAA&#10;">
                <v:fill on="t"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sz w:val="17"/>
                          <w:szCs w:val="17"/>
                          <w:lang w:val="en-US" w:eastAsia="zh-CN"/>
                        </w:rPr>
                      </w:pPr>
                      <w:r>
                        <w:rPr>
                          <w:rFonts w:hint="eastAsia"/>
                          <w:sz w:val="17"/>
                          <w:szCs w:val="17"/>
                          <w:lang w:val="en-US" w:eastAsia="zh-CN"/>
                        </w:rPr>
                        <w:t>赵家坝污水处理站</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2884805</wp:posOffset>
                </wp:positionH>
                <wp:positionV relativeFrom="paragraph">
                  <wp:posOffset>696595</wp:posOffset>
                </wp:positionV>
                <wp:extent cx="0" cy="294005"/>
                <wp:effectExtent l="50800" t="0" r="55880" b="10795"/>
                <wp:wrapNone/>
                <wp:docPr id="74" name="直接箭头连接符 74"/>
                <wp:cNvGraphicFramePr/>
                <a:graphic xmlns:a="http://schemas.openxmlformats.org/drawingml/2006/main">
                  <a:graphicData uri="http://schemas.microsoft.com/office/word/2010/wordprocessingShape">
                    <wps:wsp>
                      <wps:cNvCnPr/>
                      <wps:spPr>
                        <a:xfrm>
                          <a:off x="4027805" y="7856220"/>
                          <a:ext cx="0" cy="294005"/>
                        </a:xfrm>
                        <a:prstGeom prst="straightConnector1">
                          <a:avLst/>
                        </a:prstGeom>
                        <a:ln>
                          <a:solidFill>
                            <a:srgbClr val="00B05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7.15pt;margin-top:54.85pt;height:23.15pt;width:0pt;z-index:251674624;mso-width-relative:page;mso-height-relative:page;" filled="f" stroked="t" coordsize="21600,21600" o:gfxdata="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ioUnXAAAACwEAAA8AAAAA&#10;AAAAAQAgAAAAIgAAAGRycy9kb3ducmV2LnhtbFBLAQIUABQAAAAIAIdO4kD4G9gYFQIAAOwDAAAO&#10;AAAAAAAAAAEAIAAAACYBAABkcnMvZTJvRG9jLnhtbFBLBQYAAAAABgAGAFkBAACtBQAAAAA=&#10;">
                <v:fill on="f" focussize="0,0"/>
                <v:stroke weight="1pt" color="#00B050 [3204]" miterlimit="8" joinstyle="miter" endarrow="open"/>
                <v:imagedata o:title=""/>
                <o:lock v:ext="edit" aspectratio="f"/>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3590925</wp:posOffset>
                </wp:positionH>
                <wp:positionV relativeFrom="paragraph">
                  <wp:posOffset>58420</wp:posOffset>
                </wp:positionV>
                <wp:extent cx="699770" cy="248920"/>
                <wp:effectExtent l="4445" t="5080" r="12065" b="5080"/>
                <wp:wrapNone/>
                <wp:docPr id="72" name="文本框 72"/>
                <wp:cNvGraphicFramePr/>
                <a:graphic xmlns:a="http://schemas.openxmlformats.org/drawingml/2006/main">
                  <a:graphicData uri="http://schemas.microsoft.com/office/word/2010/wordprocessingShape">
                    <wps:wsp>
                      <wps:cNvSpPr txBox="1"/>
                      <wps:spPr>
                        <a:xfrm>
                          <a:off x="0" y="0"/>
                          <a:ext cx="699770" cy="248920"/>
                        </a:xfrm>
                        <a:prstGeom prst="rect">
                          <a:avLst/>
                        </a:prstGeom>
                        <a:noFill/>
                        <a:ln w="9525">
                          <a:solidFill>
                            <a:schemeClr val="tx1"/>
                          </a:solid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eastAsia="宋体"/>
                                <w:sz w:val="17"/>
                                <w:szCs w:val="17"/>
                                <w:lang w:val="en-US" w:eastAsia="zh-CN"/>
                              </w:rPr>
                            </w:pPr>
                            <w:r>
                              <w:rPr>
                                <w:rFonts w:hint="eastAsia"/>
                                <w:sz w:val="17"/>
                                <w:szCs w:val="17"/>
                                <w:lang w:val="en-US" w:eastAsia="zh-CN"/>
                              </w:rPr>
                              <w:t>完井作业</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282.75pt;margin-top:4.6pt;height:19.6pt;width:55.1pt;z-index:251671552;mso-width-relative:page;mso-height-relative:page;" filled="f" stroked="t" coordsize="21600,21600" o:gfxdata="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Bm1QdcAAAAIAQAADwAAAAAAAAABACAAAAAiAAAAZHJzL2Rvd25yZXYueG1sUEsBAhQAFAAA&#10;AAgAh07iQG+XtkNiAgAAswQAAA4AAAAAAAAAAQAgAAAAJgEAAGRycy9lMm9Eb2MueG1sUEsFBgAA&#10;AAAGAAYAWQEAAPoF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eastAsia="宋体"/>
                          <w:sz w:val="17"/>
                          <w:szCs w:val="17"/>
                          <w:lang w:val="en-US" w:eastAsia="zh-CN"/>
                        </w:rPr>
                      </w:pPr>
                      <w:r>
                        <w:rPr>
                          <w:rFonts w:hint="eastAsia"/>
                          <w:sz w:val="17"/>
                          <w:szCs w:val="17"/>
                          <w:lang w:val="en-US" w:eastAsia="zh-CN"/>
                        </w:rPr>
                        <w:t>完井作业</w:t>
                      </w:r>
                    </w:p>
                  </w:txbxContent>
                </v:textbox>
              </v:shape>
            </w:pict>
          </mc:Fallback>
        </mc:AlternateContent>
      </w: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3119120</wp:posOffset>
                </wp:positionH>
                <wp:positionV relativeFrom="paragraph">
                  <wp:posOffset>166370</wp:posOffset>
                </wp:positionV>
                <wp:extent cx="480060" cy="5080"/>
                <wp:effectExtent l="0" t="46355" r="2540" b="50165"/>
                <wp:wrapNone/>
                <wp:docPr id="69" name="直接箭头连接符 69"/>
                <wp:cNvGraphicFramePr/>
                <a:graphic xmlns:a="http://schemas.openxmlformats.org/drawingml/2006/main">
                  <a:graphicData uri="http://schemas.microsoft.com/office/word/2010/wordprocessingShape">
                    <wps:wsp>
                      <wps:cNvCnPr/>
                      <wps:spPr>
                        <a:xfrm flipH="1">
                          <a:off x="0" y="0"/>
                          <a:ext cx="480060" cy="508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5.6pt;margin-top:13.1pt;height:0.4pt;width:37.8pt;z-index:251673600;mso-width-relative:page;mso-height-relative:page;" filled="f" stroked="t" coordsize="21600,21600" o:gfxdata="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drp//WAAAACQEAAA8AAAAAAAAAAQAg&#10;AAAAIgAAAGRycy9kb3ducmV2LnhtbFBLAQIUABQAAAAIAIdO4kCRZFRgEAIAAO0DAAAOAAAAAAAA&#10;AAEAIAAAACUBAABkcnMvZTJvRG9jLnhtbFBLBQYAAAAABgAGAFkBAACnBQAAAAA=&#10;">
                <v:fill on="f" focussize="0,0"/>
                <v:stroke weight="1pt" color="#FF0000 [3204]" miterlimit="8" joinstyle="miter"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5071745" cy="791210"/>
            <wp:effectExtent l="0" t="0" r="8255" b="8890"/>
            <wp:docPr id="121826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2087" name="图片 1"/>
                    <pic:cNvPicPr>
                      <a:picLocks noChangeAspect="1" noChangeArrowheads="1"/>
                    </pic:cNvPicPr>
                  </pic:nvPicPr>
                  <pic:blipFill>
                    <a:blip r:embed="rId81">
                      <a:extLst>
                        <a:ext uri="{28A0092B-C50C-407E-A947-70E740481C1C}">
                          <a14:useLocalDpi xmlns:a14="http://schemas.microsoft.com/office/drawing/2010/main" val="0"/>
                        </a:ext>
                      </a:extLst>
                    </a:blip>
                    <a:srcRect l="6318"/>
                    <a:stretch>
                      <a:fillRect/>
                    </a:stretch>
                  </pic:blipFill>
                  <pic:spPr>
                    <a:xfrm>
                      <a:off x="0" y="0"/>
                      <a:ext cx="5124850" cy="799832"/>
                    </a:xfrm>
                    <a:prstGeom prst="rect">
                      <a:avLst/>
                    </a:prstGeom>
                    <a:noFill/>
                    <a:ln>
                      <a:noFill/>
                    </a:ln>
                  </pic:spPr>
                </pic:pic>
              </a:graphicData>
            </a:graphic>
          </wp:inline>
        </w:drawing>
      </w:r>
    </w:p>
    <w:p>
      <w:pPr>
        <w:pStyle w:val="163"/>
        <w:rPr>
          <w:rFonts w:hint="default" w:ascii="Times New Roman" w:hAnsi="Times New Roman" w:cs="Times New Roman"/>
          <w:color w:val="000000" w:themeColor="text1"/>
          <w:highlight w:val="none"/>
          <w14:textFill>
            <w14:solidFill>
              <w14:schemeClr w14:val="tx1"/>
            </w14:solidFill>
          </w14:textFill>
        </w:rPr>
      </w:pPr>
      <w:r>
        <w:rPr>
          <w:color w:val="000000" w:themeColor="text1"/>
          <w:sz w:val="28"/>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2274570</wp:posOffset>
                </wp:positionH>
                <wp:positionV relativeFrom="paragraph">
                  <wp:posOffset>168275</wp:posOffset>
                </wp:positionV>
                <wp:extent cx="1239520" cy="36322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239520" cy="363220"/>
                        </a:xfrm>
                        <a:prstGeom prst="rect">
                          <a:avLst/>
                        </a:prstGeom>
                        <a:noFill/>
                        <a:ln w="9525">
                          <a:noFill/>
                          <a:miter lim="800000"/>
                        </a:ln>
                      </wps:spPr>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18"/>
                                <w:szCs w:val="18"/>
                                <w:lang w:val="en-US" w:eastAsia="zh-CN"/>
                              </w:rPr>
                            </w:pPr>
                            <w:r>
                              <w:rPr>
                                <w:rFonts w:hint="default"/>
                                <w:sz w:val="18"/>
                                <w:szCs w:val="18"/>
                                <w:lang w:val="en-US" w:eastAsia="zh-CN"/>
                              </w:rPr>
                              <w:t>优先回用于</w:t>
                            </w:r>
                            <w:r>
                              <w:rPr>
                                <w:rFonts w:hint="eastAsia"/>
                                <w:sz w:val="18"/>
                                <w:szCs w:val="18"/>
                                <w:lang w:val="en-US" w:eastAsia="zh-CN"/>
                              </w:rPr>
                              <w:t>其他井场压裂液配置</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id="_x0000_s1026" o:spid="_x0000_s1026" o:spt="202" type="#_x0000_t202" style="position:absolute;left:0pt;margin-left:179.1pt;margin-top:13.25pt;height:28.6pt;width:97.6pt;z-index:251672576;mso-width-relative:page;mso-height-relative:page;" filled="f" stroked="f" coordsize="21600,21600" o:gfxdata="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gBJnvZAAAACQEAAA8AAAAAAAAAAQAgAAAA&#10;IgAAAGRycy9kb3ducmV2LnhtbFBLAQIUABQAAAAIAIdO4kDp1G86QwIAAHsEAAAOAAAAAAAAAAEA&#10;IAAAACgBAABkcnMvZTJvRG9jLnhtbFBLBQYAAAAABgAGAFkBAADdBQAAAAA=&#10;">
                <v:fill on="f" focussize="0,0"/>
                <v:stroke on="f"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sz w:val="18"/>
                          <w:szCs w:val="18"/>
                          <w:lang w:val="en-US" w:eastAsia="zh-CN"/>
                        </w:rPr>
                      </w:pPr>
                      <w:r>
                        <w:rPr>
                          <w:rFonts w:hint="default"/>
                          <w:sz w:val="18"/>
                          <w:szCs w:val="18"/>
                          <w:lang w:val="en-US" w:eastAsia="zh-CN"/>
                        </w:rPr>
                        <w:t>优先回用于</w:t>
                      </w:r>
                      <w:r>
                        <w:rPr>
                          <w:rFonts w:hint="eastAsia"/>
                          <w:sz w:val="18"/>
                          <w:szCs w:val="18"/>
                          <w:lang w:val="en-US" w:eastAsia="zh-CN"/>
                        </w:rPr>
                        <w:t>其他井场压裂液配置</w:t>
                      </w:r>
                    </w:p>
                  </w:txbxContent>
                </v:textbox>
              </v:shape>
            </w:pict>
          </mc:Fallback>
        </mc:AlternateContent>
      </w:r>
    </w:p>
    <w:p>
      <w:pPr>
        <w:pStyle w:val="163"/>
        <w:rPr>
          <w:rFonts w:hint="default" w:ascii="Times New Roman" w:hAnsi="Times New Roman" w:cs="Times New Roman"/>
          <w:color w:val="000000" w:themeColor="text1"/>
          <w:highlight w:val="none"/>
          <w14:textFill>
            <w14:solidFill>
              <w14:schemeClr w14:val="tx1"/>
            </w14:solidFill>
          </w14:textFill>
        </w:rPr>
      </w:pPr>
    </w:p>
    <w:p>
      <w:pPr>
        <w:pStyle w:val="163"/>
        <w:keepNext w:val="0"/>
        <w:keepLines w:val="0"/>
        <w:pageBreakBefore w:val="0"/>
        <w:widowControl w:val="0"/>
        <w:kinsoku/>
        <w:wordWrap/>
        <w:overflowPunct/>
        <w:topLinePunct w:val="0"/>
        <w:autoSpaceDE/>
        <w:autoSpaceDN/>
        <w:bidi w:val="0"/>
        <w:adjustRightInd w:val="0"/>
        <w:snapToGrid w:val="0"/>
        <w:spacing w:before="164" w:beforeLines="5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STYLEREF 2 \s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7.1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noBreakHyphen/>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 xml:space="preserve"> 项目压裂返排液</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洗井废水</w:t>
      </w:r>
      <w:r>
        <w:rPr>
          <w:rFonts w:hint="default" w:ascii="Times New Roman" w:hAnsi="Times New Roman" w:cs="Times New Roman"/>
          <w:color w:val="000000" w:themeColor="text1"/>
          <w:highlight w:val="none"/>
          <w14:textFill>
            <w14:solidFill>
              <w14:schemeClr w14:val="tx1"/>
            </w14:solidFill>
          </w14:textFill>
        </w:rPr>
        <w:t>回收利用工艺流程图</w:t>
      </w:r>
    </w:p>
    <w:p>
      <w:pPr>
        <w:ind w:firstLine="482"/>
        <w:rPr>
          <w:rFonts w:hint="default" w:ascii="Times New Roman" w:hAnsi="Times New Roman" w:cs="Times New Roman"/>
          <w:b w:val="0"/>
          <w:bCs w:val="0"/>
          <w:color w:val="000000" w:themeColor="text1"/>
          <w:szCs w:val="24"/>
          <w:highlight w:val="none"/>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Cs w:val="24"/>
          <w:highlight w:val="none"/>
          <w14:textFill>
            <w14:solidFill>
              <w14:schemeClr w14:val="tx1"/>
            </w14:solidFill>
          </w14:textFill>
        </w:rPr>
        <w:t>）生活污水</w:t>
      </w:r>
    </w:p>
    <w:p>
      <w:pPr>
        <w:ind w:firstLine="480"/>
        <w:rPr>
          <w:rFonts w:hint="eastAsia" w:ascii="Times New Roman" w:hAnsi="Times New Roman"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储层改造</w:t>
      </w:r>
      <w:r>
        <w:rPr>
          <w:rFonts w:hint="default" w:ascii="Times New Roman" w:hAnsi="Times New Roman" w:cs="Times New Roman"/>
          <w:color w:val="000000" w:themeColor="text1"/>
          <w:szCs w:val="24"/>
          <w:highlight w:val="none"/>
          <w14:textFill>
            <w14:solidFill>
              <w14:schemeClr w14:val="tx1"/>
            </w14:solidFill>
          </w14:textFill>
        </w:rPr>
        <w:t>期间</w:t>
      </w:r>
      <w:r>
        <w:rPr>
          <w:rFonts w:hint="default" w:ascii="Times New Roman" w:hAnsi="Times New Roman" w:cs="Times New Roman"/>
          <w:bCs/>
          <w:color w:val="000000" w:themeColor="text1"/>
          <w:szCs w:val="24"/>
          <w:highlight w:val="none"/>
          <w14:textFill>
            <w14:solidFill>
              <w14:schemeClr w14:val="tx1"/>
            </w14:solidFill>
          </w14:textFill>
        </w:rPr>
        <w:t>钻</w:t>
      </w:r>
      <w:r>
        <w:rPr>
          <w:rFonts w:hint="eastAsia" w:cs="Times New Roman"/>
          <w:bCs/>
          <w:color w:val="000000" w:themeColor="text1"/>
          <w:szCs w:val="24"/>
          <w:highlight w:val="none"/>
          <w:lang w:val="en-US" w:eastAsia="zh-CN"/>
          <w14:textFill>
            <w14:solidFill>
              <w14:schemeClr w14:val="tx1"/>
            </w14:solidFill>
          </w14:textFill>
        </w:rPr>
        <w:t>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该措施</w:t>
      </w:r>
      <w:r>
        <w:rPr>
          <w:rFonts w:hint="eastAsia" w:ascii="Times New Roman" w:hAnsi="Times New Roman" w:cs="Times New Roman"/>
          <w:color w:val="000000" w:themeColor="text1"/>
          <w:szCs w:val="24"/>
          <w:highlight w:val="none"/>
          <w:lang w:val="en-US" w:eastAsia="zh-CN"/>
          <w14:textFill>
            <w14:solidFill>
              <w14:schemeClr w14:val="tx1"/>
            </w14:solidFill>
          </w14:textFill>
        </w:rPr>
        <w:t>做到</w:t>
      </w:r>
      <w:r>
        <w:rPr>
          <w:rFonts w:hint="default" w:ascii="Times New Roman" w:hAnsi="Times New Roman" w:cs="Times New Roman"/>
          <w:color w:val="000000" w:themeColor="text1"/>
          <w:szCs w:val="24"/>
          <w:highlight w:val="none"/>
          <w14:textFill>
            <w14:solidFill>
              <w14:schemeClr w14:val="tx1"/>
            </w14:solidFill>
          </w14:textFill>
        </w:rPr>
        <w:t>现场无生活污水产生和排放，不会对井场周边地表水产生影响</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措施可行。</w:t>
      </w:r>
    </w:p>
    <w:p>
      <w:pPr>
        <w:ind w:firstLine="480"/>
        <w:rPr>
          <w:rFonts w:hint="default" w:ascii="Times New Roman" w:hAnsi="Times New Roman" w:eastAsia="黑体" w:cs="Times New Roman"/>
          <w:color w:val="000000" w:themeColor="text1"/>
          <w:szCs w:val="24"/>
          <w:highlight w:val="none"/>
          <w:lang w:val="en-US" w:eastAsia="zh-CN"/>
          <w14:textFill>
            <w14:solidFill>
              <w14:schemeClr w14:val="tx1"/>
            </w14:solidFill>
          </w14:textFill>
        </w:rPr>
      </w:pPr>
      <w:r>
        <w:rPr>
          <w:rFonts w:hint="eastAsia" w:eastAsia="黑体" w:cs="Times New Roman"/>
          <w:color w:val="000000" w:themeColor="text1"/>
          <w:szCs w:val="24"/>
          <w:highlight w:val="none"/>
          <w:lang w:eastAsia="zh-CN"/>
          <w14:textFill>
            <w14:solidFill>
              <w14:schemeClr w14:val="tx1"/>
            </w14:solidFill>
          </w14:textFill>
        </w:rPr>
        <w:t>（</w:t>
      </w:r>
      <w:r>
        <w:rPr>
          <w:rFonts w:hint="eastAsia" w:eastAsia="黑体" w:cs="Times New Roman"/>
          <w:color w:val="000000" w:themeColor="text1"/>
          <w:szCs w:val="24"/>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szCs w:val="24"/>
          <w:highlight w:val="none"/>
          <w14:textFill>
            <w14:solidFill>
              <w14:schemeClr w14:val="tx1"/>
            </w14:solidFill>
          </w14:textFill>
        </w:rPr>
        <w:t>治理措施</w:t>
      </w:r>
      <w:r>
        <w:rPr>
          <w:rFonts w:hint="eastAsia" w:eastAsia="黑体" w:cs="Times New Roman"/>
          <w:color w:val="000000" w:themeColor="text1"/>
          <w:szCs w:val="24"/>
          <w:highlight w:val="none"/>
          <w:lang w:val="en-US" w:eastAsia="zh-CN"/>
          <w14:textFill>
            <w14:solidFill>
              <w14:schemeClr w14:val="tx1"/>
            </w14:solidFill>
          </w14:textFill>
        </w:rPr>
        <w:t>可行性分析</w:t>
      </w:r>
    </w:p>
    <w:p>
      <w:pPr>
        <w:ind w:firstLine="482"/>
        <w:rPr>
          <w:rFonts w:hint="default" w:cs="Times New Roman"/>
          <w:b w:val="0"/>
          <w:bCs w:val="0"/>
          <w:color w:val="000000" w:themeColor="text1"/>
          <w:szCs w:val="24"/>
          <w:highlight w:val="none"/>
          <w:lang w:val="en-US" w:eastAsia="zh-CN"/>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1）</w:t>
      </w:r>
      <w:r>
        <w:rPr>
          <w:rFonts w:hint="default" w:cs="Times New Roman"/>
          <w:b w:val="0"/>
          <w:bCs w:val="0"/>
          <w:color w:val="000000" w:themeColor="text1"/>
          <w:szCs w:val="24"/>
          <w:highlight w:val="none"/>
          <w:lang w:val="en-US" w:eastAsia="zh-CN"/>
          <w14:textFill>
            <w14:solidFill>
              <w14:schemeClr w14:val="tx1"/>
            </w14:solidFill>
          </w14:textFill>
        </w:rPr>
        <w:t>污水收集处理设施可行性分析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经固控设备固液分离后洗井废水产生量最大为</w:t>
      </w:r>
      <w:r>
        <w:rPr>
          <w:rFonts w:hint="eastAsia" w:cs="Times New Roman"/>
          <w:color w:val="000000" w:themeColor="text1"/>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00m</w:t>
      </w:r>
      <w:r>
        <w:rPr>
          <w:rFonts w:hint="default" w:ascii="Times New Roman" w:hAnsi="Times New Roman" w:cs="Times New Roman"/>
          <w:color w:val="000000" w:themeColor="text1"/>
          <w:szCs w:val="24"/>
          <w:highlight w:val="none"/>
          <w:vertAlign w:val="superscript"/>
          <w14:textFill>
            <w14:solidFill>
              <w14:schemeClr w14:val="tx1"/>
            </w14:solidFill>
          </w14:textFill>
        </w:rPr>
        <w:t>3</w:t>
      </w:r>
      <w:r>
        <w:rPr>
          <w:rFonts w:hint="default" w:ascii="Times New Roman" w:hAnsi="Times New Roman" w:cs="Times New Roman"/>
          <w:color w:val="000000" w:themeColor="text1"/>
          <w:szCs w:val="24"/>
          <w:highlight w:val="none"/>
          <w14:textFill>
            <w14:solidFill>
              <w14:schemeClr w14:val="tx1"/>
            </w14:solidFill>
          </w14:textFill>
        </w:rPr>
        <w:t>，井场的泥浆不落地装置与放喷池的容量能满足井场洗井期的生产需求。</w:t>
      </w:r>
    </w:p>
    <w:p>
      <w:pPr>
        <w:ind w:firstLine="480"/>
        <w:rPr>
          <w:rFonts w:hint="default" w:ascii="Times New Roman" w:hAnsi="Times New Roman" w:cs="Times New Roman"/>
          <w:color w:val="000000" w:themeColor="text1"/>
          <w:szCs w:val="24"/>
          <w:highlight w:val="none"/>
          <w14:textFill>
            <w14:solidFill>
              <w14:schemeClr w14:val="tx1"/>
            </w14:solidFill>
          </w14:textFill>
        </w:rPr>
      </w:pPr>
      <w:bookmarkStart w:id="418" w:name="_Hlk92200258"/>
      <w:r>
        <w:rPr>
          <w:rFonts w:hint="default" w:ascii="Times New Roman" w:hAnsi="Times New Roman" w:cs="Times New Roman"/>
          <w:color w:val="000000" w:themeColor="text1"/>
          <w:szCs w:val="24"/>
          <w:highlight w:val="none"/>
          <w14:textFill>
            <w14:solidFill>
              <w14:schemeClr w14:val="tx1"/>
            </w14:solidFill>
          </w14:textFill>
        </w:rPr>
        <w:t>完井测试分段压裂产生的加砂压裂返排液大部分进入压裂液储罐，少量进入放喷池，进入放喷池内的返排液全部泵入压裂液储罐。</w:t>
      </w:r>
      <w:r>
        <w:rPr>
          <w:rFonts w:hint="eastAsia" w:cs="Times New Roman"/>
          <w:color w:val="000000" w:themeColor="text1"/>
          <w:szCs w:val="24"/>
          <w:highlight w:val="none"/>
          <w:lang w:val="en-US" w:eastAsia="zh-CN"/>
          <w14:textFill>
            <w14:solidFill>
              <w14:schemeClr w14:val="tx1"/>
            </w14:solidFill>
          </w14:textFill>
        </w:rPr>
        <w:t>压裂返排液产生时及时拉运出井场，</w:t>
      </w:r>
      <w:r>
        <w:rPr>
          <w:rFonts w:hint="default" w:ascii="Times New Roman" w:hAnsi="Times New Roman" w:cs="Times New Roman"/>
          <w:color w:val="000000" w:themeColor="text1"/>
          <w:szCs w:val="24"/>
          <w:highlight w:val="none"/>
          <w14:textFill>
            <w14:solidFill>
              <w14:schemeClr w14:val="tx1"/>
            </w14:solidFill>
          </w14:textFill>
        </w:rPr>
        <w:t>现场需要暂存的压裂返排液量相对较小，压裂液返排前期可由已空置的压裂液储罐进行收集储存，由于地层吸收损耗及放喷蒸发，返排液量远小于入井液量，压裂液罐总容积大于压裂返排液返排量，</w:t>
      </w:r>
      <w:bookmarkStart w:id="419" w:name="_Hlk92200417"/>
      <w:r>
        <w:rPr>
          <w:rFonts w:hint="default" w:ascii="Times New Roman" w:hAnsi="Times New Roman" w:cs="Times New Roman"/>
          <w:color w:val="000000" w:themeColor="text1"/>
          <w:szCs w:val="24"/>
          <w:highlight w:val="none"/>
          <w14:textFill>
            <w14:solidFill>
              <w14:schemeClr w14:val="tx1"/>
            </w14:solidFill>
          </w14:textFill>
        </w:rPr>
        <w:t>满足储存要求。</w:t>
      </w:r>
      <w:bookmarkEnd w:id="419"/>
      <w:r>
        <w:rPr>
          <w:rFonts w:hint="default" w:ascii="Times New Roman" w:hAnsi="Times New Roman" w:cs="Times New Roman"/>
          <w:color w:val="000000" w:themeColor="text1"/>
          <w:szCs w:val="24"/>
          <w:highlight w:val="none"/>
          <w14:textFill>
            <w14:solidFill>
              <w14:schemeClr w14:val="tx1"/>
            </w14:solidFill>
          </w14:textFill>
        </w:rPr>
        <w:t>项目在井场周围设置了放喷池</w:t>
      </w:r>
      <w:r>
        <w:rPr>
          <w:rFonts w:hint="eastAsia" w:ascii="Times New Roman" w:hAnsi="Times New Roman" w:cs="Times New Roman"/>
          <w:color w:val="000000" w:themeColor="text1"/>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座，放喷池容积为300m</w:t>
      </w:r>
      <w:r>
        <w:rPr>
          <w:rFonts w:hint="default" w:ascii="Times New Roman" w:hAnsi="Times New Roman" w:cs="Times New Roman"/>
          <w:color w:val="000000" w:themeColor="text1"/>
          <w:szCs w:val="24"/>
          <w:highlight w:val="none"/>
          <w:vertAlign w:val="superscript"/>
          <w14:textFill>
            <w14:solidFill>
              <w14:schemeClr w14:val="tx1"/>
            </w14:solidFill>
          </w14:textFill>
        </w:rPr>
        <w:t>3</w:t>
      </w:r>
      <w:r>
        <w:rPr>
          <w:rFonts w:hint="default" w:ascii="Times New Roman" w:hAnsi="Times New Roman" w:cs="Times New Roman"/>
          <w:color w:val="000000" w:themeColor="text1"/>
          <w:szCs w:val="24"/>
          <w:highlight w:val="none"/>
          <w14:textFill>
            <w14:solidFill>
              <w14:schemeClr w14:val="tx1"/>
            </w14:solidFill>
          </w14:textFill>
        </w:rPr>
        <w:t>，由于放喷池主要起接收中转压裂返排液作用，压裂返排液暂存在空置的压裂液储罐，因此只要及时对放喷池废水及时抽吸至压裂液储罐，井场的放喷池的容量就能满足井场整个压裂期的生产需求。放喷池底部及四周铺设复合防水卷材（聚乙烯丙纶复合卷材）作防渗漏处理，防水卷材搭接长度不小于150mm，阴角处做处理，防止卷材折断。</w:t>
      </w:r>
    </w:p>
    <w:bookmarkEnd w:id="418"/>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储层改造</w:t>
      </w:r>
      <w:r>
        <w:rPr>
          <w:rFonts w:hint="default" w:ascii="Times New Roman" w:hAnsi="Times New Roman" w:cs="Times New Roman"/>
          <w:bCs/>
          <w:color w:val="000000" w:themeColor="text1"/>
          <w:highlight w:val="none"/>
          <w14:textFill>
            <w14:solidFill>
              <w14:schemeClr w14:val="tx1"/>
            </w14:solidFill>
          </w14:textFill>
        </w:rPr>
        <w:t>期生活污水经生态厕所收集后定期由密闭罐车拉运至周边生活污水处理厂处理</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Cs w:val="24"/>
          <w:highlight w:val="none"/>
          <w14:textFill>
            <w14:solidFill>
              <w14:schemeClr w14:val="tx1"/>
            </w14:solidFill>
          </w14:textFill>
        </w:rPr>
        <w:t>钻井期</w:t>
      </w:r>
      <w:r>
        <w:rPr>
          <w:rFonts w:hint="eastAsia" w:cs="Times New Roman"/>
          <w:color w:val="000000" w:themeColor="text1"/>
          <w:szCs w:val="24"/>
          <w:highlight w:val="none"/>
          <w:lang w:val="en-US" w:eastAsia="zh-CN"/>
          <w14:textFill>
            <w14:solidFill>
              <w14:schemeClr w14:val="tx1"/>
            </w14:solidFill>
          </w14:textFill>
        </w:rPr>
        <w:t>已建设的</w:t>
      </w:r>
      <w:r>
        <w:rPr>
          <w:rFonts w:hint="default" w:ascii="Times New Roman" w:hAnsi="Times New Roman" w:cs="Times New Roman"/>
          <w:color w:val="000000" w:themeColor="text1"/>
          <w:szCs w:val="24"/>
          <w:highlight w:val="none"/>
          <w14:textFill>
            <w14:solidFill>
              <w14:schemeClr w14:val="tx1"/>
            </w14:solidFill>
          </w14:textFill>
        </w:rPr>
        <w:t>生态厕所能满足50人</w:t>
      </w:r>
      <w:r>
        <w:rPr>
          <w:rFonts w:hint="eastAsia" w:cs="Times New Roman"/>
          <w:color w:val="000000" w:themeColor="text1"/>
          <w:szCs w:val="24"/>
          <w:highlight w:val="none"/>
          <w:lang w:eastAsia="zh-CN"/>
          <w14:textFill>
            <w14:solidFill>
              <w14:schemeClr w14:val="tx1"/>
            </w14:solidFill>
          </w14:textFill>
        </w:rPr>
        <w:t>如厕</w:t>
      </w:r>
      <w:r>
        <w:rPr>
          <w:rFonts w:hint="default" w:ascii="Times New Roman" w:hAnsi="Times New Roman" w:cs="Times New Roman"/>
          <w:color w:val="000000" w:themeColor="text1"/>
          <w:szCs w:val="24"/>
          <w:highlight w:val="none"/>
          <w14:textFill>
            <w14:solidFill>
              <w14:schemeClr w14:val="tx1"/>
            </w14:solidFill>
          </w14:textFill>
        </w:rPr>
        <w:t>需求，本项目</w:t>
      </w:r>
      <w:r>
        <w:rPr>
          <w:rFonts w:hint="eastAsia" w:cs="Times New Roman"/>
          <w:color w:val="000000" w:themeColor="text1"/>
          <w:szCs w:val="24"/>
          <w:highlight w:val="none"/>
          <w:lang w:val="en-US" w:eastAsia="zh-CN"/>
          <w14:textFill>
            <w14:solidFill>
              <w14:schemeClr w14:val="tx1"/>
            </w14:solidFill>
          </w14:textFill>
        </w:rPr>
        <w:t>储层改造期</w:t>
      </w:r>
      <w:r>
        <w:rPr>
          <w:rFonts w:hint="default" w:ascii="Times New Roman" w:hAnsi="Times New Roman" w:cs="Times New Roman"/>
          <w:color w:val="000000" w:themeColor="text1"/>
          <w:szCs w:val="24"/>
          <w:highlight w:val="none"/>
          <w14:textFill>
            <w14:solidFill>
              <w14:schemeClr w14:val="tx1"/>
            </w14:solidFill>
          </w14:textFill>
        </w:rPr>
        <w:t>最多人员为4</w:t>
      </w:r>
      <w:r>
        <w:rPr>
          <w:rFonts w:hint="eastAsia" w:cs="Times New Roman"/>
          <w:color w:val="000000" w:themeColor="text1"/>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Cs w:val="24"/>
          <w:highlight w:val="none"/>
          <w14:textFill>
            <w14:solidFill>
              <w14:schemeClr w14:val="tx1"/>
            </w14:solidFill>
          </w14:textFill>
        </w:rPr>
        <w:t>人，且加强管理，定期拉运后，生态厕所满足使用需求。</w:t>
      </w:r>
    </w:p>
    <w:p>
      <w:pPr>
        <w:ind w:firstLine="482"/>
        <w:rPr>
          <w:rFonts w:hint="default" w:cs="Times New Roman"/>
          <w:b w:val="0"/>
          <w:bCs w:val="0"/>
          <w:color w:val="000000" w:themeColor="text1"/>
          <w:szCs w:val="24"/>
          <w:highlight w:val="none"/>
          <w:lang w:val="en-US" w:eastAsia="zh-CN"/>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2）</w:t>
      </w:r>
      <w:r>
        <w:rPr>
          <w:rFonts w:hint="default" w:cs="Times New Roman"/>
          <w:b w:val="0"/>
          <w:bCs w:val="0"/>
          <w:color w:val="000000" w:themeColor="text1"/>
          <w:szCs w:val="24"/>
          <w:highlight w:val="none"/>
          <w:lang w:val="en-US" w:eastAsia="zh-CN"/>
          <w14:textFill>
            <w14:solidFill>
              <w14:schemeClr w14:val="tx1"/>
            </w14:solidFill>
          </w14:textFill>
        </w:rPr>
        <w:t>洗井废水、压裂返排液回用可行性分析</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用于配置压裂液的液体经去除杂质、添加药剂等简单处理后即可重复使用，</w:t>
      </w:r>
      <w:r>
        <w:rPr>
          <w:rFonts w:hint="eastAsia" w:cs="Times New Roman"/>
          <w:color w:val="000000" w:themeColor="text1"/>
          <w:szCs w:val="24"/>
          <w:highlight w:val="none"/>
          <w:lang w:val="en-US" w:eastAsia="zh-CN"/>
          <w14:textFill>
            <w14:solidFill>
              <w14:schemeClr w14:val="tx1"/>
            </w14:solidFill>
          </w14:textFill>
        </w:rPr>
        <w:t>项目产生</w:t>
      </w:r>
      <w:r>
        <w:rPr>
          <w:rFonts w:hint="default" w:ascii="Times New Roman" w:hAnsi="Times New Roman" w:cs="Times New Roman"/>
          <w:color w:val="000000" w:themeColor="text1"/>
          <w:szCs w:val="24"/>
          <w:highlight w:val="none"/>
          <w14:textFill>
            <w14:solidFill>
              <w14:schemeClr w14:val="tx1"/>
            </w14:solidFill>
          </w14:textFill>
        </w:rPr>
        <w:t>的经固液分离后的洗井废水和压返液水质简单，悬浮物和油含量低，在配置压裂液前经简单预处理即符合压裂液配置要求。将洗井废水和压返液重复配置压裂液，已经属成熟工艺，在压裂施工中广泛使用。因此将洗井废水和压返液重复配置压裂液是可行的。</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压裂返排液使用指标及回用要求如下：降阻水：固相含量≤1000mg/L、氯根含量≤50000mg/L、铁细菌TGB≤2.5×10</w:t>
      </w:r>
      <w:r>
        <w:rPr>
          <w:rFonts w:hint="default" w:ascii="Times New Roman" w:hAnsi="Times New Roman" w:cs="Times New Roman"/>
          <w:color w:val="000000" w:themeColor="text1"/>
          <w:szCs w:val="24"/>
          <w:highlight w:val="none"/>
          <w:vertAlign w:val="superscript"/>
          <w14:textFill>
            <w14:solidFill>
              <w14:schemeClr w14:val="tx1"/>
            </w14:solidFill>
          </w14:textFill>
        </w:rPr>
        <w:t>4</w:t>
      </w:r>
      <w:r>
        <w:rPr>
          <w:rFonts w:hint="default" w:ascii="Times New Roman" w:hAnsi="Times New Roman" w:cs="Times New Roman"/>
          <w:color w:val="000000" w:themeColor="text1"/>
          <w:szCs w:val="24"/>
          <w:highlight w:val="none"/>
          <w14:textFill>
            <w14:solidFill>
              <w14:schemeClr w14:val="tx1"/>
            </w14:solidFill>
          </w14:textFill>
        </w:rPr>
        <w:t>个/mg、腐生菌≤2.5×10</w:t>
      </w:r>
      <w:r>
        <w:rPr>
          <w:rFonts w:hint="default" w:ascii="Times New Roman" w:hAnsi="Times New Roman" w:cs="Times New Roman"/>
          <w:color w:val="000000" w:themeColor="text1"/>
          <w:szCs w:val="24"/>
          <w:highlight w:val="none"/>
          <w:vertAlign w:val="superscript"/>
          <w14:textFill>
            <w14:solidFill>
              <w14:schemeClr w14:val="tx1"/>
            </w14:solidFill>
          </w14:textFill>
        </w:rPr>
        <w:t>4</w:t>
      </w:r>
      <w:r>
        <w:rPr>
          <w:rFonts w:hint="default" w:ascii="Times New Roman" w:hAnsi="Times New Roman" w:cs="Times New Roman"/>
          <w:color w:val="000000" w:themeColor="text1"/>
          <w:szCs w:val="24"/>
          <w:highlight w:val="none"/>
          <w14:textFill>
            <w14:solidFill>
              <w14:schemeClr w14:val="tx1"/>
            </w14:solidFill>
          </w14:textFill>
        </w:rPr>
        <w:t>个/mg，瓜胶压裂返排液除上述指标外，增加以钙离子计算的总硬度≤800mg/L。本项目洗井废水和压裂返排液中固相含量＜500mg/L、氯根含量≤4000mg/L、总硬度≤800mg/L，铁细菌TGB和腐生菌含量也符合要求，因此将洗井废水和压返液重复配置压裂液是可行的。同时根据统计，同一口井可回用废水产生量远小于单井需要配置压裂返排液新水使用量，因此洗井废水量能全部用于区域内压裂液配置。将洗井废水和单井废弃的压返液返排液重复配置压裂液，用于重复压裂，可以满足钻井作业废水的处置需求，符合《石油天然气开采业污染防治技术政策》中“在钻井和井下作业过程中，鼓励污油、污水进入生产流程循环利用”的要求，属清洁生产措施，已在钻井工程中得到广泛采用，技术较成熟，该措施技术有效、可行。</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cs="Times New Roman"/>
          <w:b w:val="0"/>
          <w:bCs w:val="0"/>
          <w:color w:val="000000" w:themeColor="text1"/>
          <w:szCs w:val="24"/>
          <w:highlight w:val="none"/>
          <w:lang w:val="en-US" w:eastAsia="zh-CN"/>
          <w14:textFill>
            <w14:solidFill>
              <w14:schemeClr w14:val="tx1"/>
            </w14:solidFill>
          </w14:textFill>
        </w:rPr>
      </w:pPr>
      <w:r>
        <w:rPr>
          <w:rFonts w:hint="eastAsia" w:cs="Times New Roman"/>
          <w:b w:val="0"/>
          <w:bCs w:val="0"/>
          <w:color w:val="000000" w:themeColor="text1"/>
          <w:szCs w:val="24"/>
          <w:highlight w:val="none"/>
          <w:lang w:val="en-US" w:eastAsia="zh-CN"/>
          <w14:textFill>
            <w14:solidFill>
              <w14:schemeClr w14:val="tx1"/>
            </w14:solidFill>
          </w14:textFill>
        </w:rPr>
        <w:t>3）</w:t>
      </w:r>
      <w:r>
        <w:rPr>
          <w:rFonts w:hint="default" w:cs="Times New Roman"/>
          <w:b w:val="0"/>
          <w:bCs w:val="0"/>
          <w:color w:val="000000" w:themeColor="text1"/>
          <w:szCs w:val="24"/>
          <w:highlight w:val="none"/>
          <w:lang w:val="en-US" w:eastAsia="zh-CN"/>
          <w14:textFill>
            <w14:solidFill>
              <w14:schemeClr w14:val="tx1"/>
            </w14:solidFill>
          </w14:textFill>
        </w:rPr>
        <w:t>洗井废水、压裂返排液转运预处理和回注可行性分析</w:t>
      </w:r>
    </w:p>
    <w:p>
      <w:pPr>
        <w:ind w:firstLine="48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若周边无用水需求的井场时，则项目产生的</w:t>
      </w:r>
      <w:r>
        <w:rPr>
          <w:rFonts w:hint="default" w:ascii="Times New Roman" w:hAnsi="Times New Roman" w:cs="Times New Roman"/>
          <w:color w:val="000000" w:themeColor="text1"/>
          <w:szCs w:val="24"/>
          <w:highlight w:val="none"/>
          <w14:textFill>
            <w14:solidFill>
              <w14:schemeClr w14:val="tx1"/>
            </w14:solidFill>
          </w14:textFill>
        </w:rPr>
        <w:t>洗井废水、压裂返排液</w:t>
      </w:r>
      <w:r>
        <w:rPr>
          <w:rFonts w:hint="eastAsia" w:cs="Times New Roman"/>
          <w:color w:val="000000" w:themeColor="text1"/>
          <w:szCs w:val="24"/>
          <w:highlight w:val="none"/>
          <w:lang w:val="en-US" w:eastAsia="zh-CN"/>
          <w14:textFill>
            <w14:solidFill>
              <w14:schemeClr w14:val="tx1"/>
            </w14:solidFill>
          </w14:textFill>
        </w:rPr>
        <w:t>将</w:t>
      </w:r>
      <w:r>
        <w:rPr>
          <w:rFonts w:hint="default" w:ascii="Times New Roman" w:hAnsi="Times New Roman" w:cs="Times New Roman"/>
          <w:color w:val="000000" w:themeColor="text1"/>
          <w:szCs w:val="24"/>
          <w:highlight w:val="none"/>
          <w14:textFill>
            <w14:solidFill>
              <w14:schemeClr w14:val="tx1"/>
            </w14:solidFill>
          </w14:textFill>
        </w:rPr>
        <w:t>用密闭罐车拉运至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hint="default" w:ascii="Times New Roman" w:hAnsi="Times New Roman" w:cs="Times New Roman"/>
          <w:color w:val="000000" w:themeColor="text1"/>
          <w:szCs w:val="24"/>
          <w:highlight w:val="none"/>
          <w14:textFill>
            <w14:solidFill>
              <w14:schemeClr w14:val="tx1"/>
            </w14:solidFill>
          </w14:textFill>
        </w:rPr>
        <w:t>回注，不外排。</w:t>
      </w:r>
      <w:r>
        <w:rPr>
          <w:rFonts w:hint="eastAsia" w:cs="Times New Roman"/>
          <w:color w:val="000000" w:themeColor="text1"/>
          <w:highlight w:val="none"/>
          <w:lang w:val="en-US" w:eastAsia="zh-CN"/>
          <w14:textFill>
            <w14:solidFill>
              <w14:schemeClr w14:val="tx1"/>
            </w14:solidFill>
          </w14:textFill>
        </w:rPr>
        <w:t>洗井废水量约200m</w:t>
      </w:r>
      <w:r>
        <w:rPr>
          <w:rFonts w:hint="eastAsia" w:cs="Times New Roman"/>
          <w:color w:val="000000" w:themeColor="text1"/>
          <w:highlight w:val="none"/>
          <w:vertAlign w:val="superscript"/>
          <w:lang w:val="en-US" w:eastAsia="zh-CN"/>
          <w14:textFill>
            <w14:solidFill>
              <w14:schemeClr w14:val="tx1"/>
            </w14:solidFill>
          </w14:textFill>
        </w:rPr>
        <w:t>3</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根据前文分析，</w:t>
      </w:r>
      <w:r>
        <w:rPr>
          <w:rFonts w:hint="eastAsia" w:cs="Times New Roman"/>
          <w:bCs/>
          <w:color w:val="000000" w:themeColor="text1"/>
          <w:szCs w:val="24"/>
          <w:highlight w:val="none"/>
          <w14:textFill>
            <w14:solidFill>
              <w14:schemeClr w14:val="tx1"/>
            </w14:solidFill>
          </w14:textFill>
        </w:rPr>
        <w:t>赵家坝污水处理站目前剩余处理能力为450m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ascii="Times New Roman" w:hAnsi="Times New Roman" w:eastAsia="宋体" w:cs="Times New Roman"/>
          <w:bCs/>
          <w:color w:val="000000" w:themeColor="text1"/>
          <w:sz w:val="24"/>
          <w:szCs w:val="24"/>
          <w:highlight w:val="none"/>
          <w14:textFill>
            <w14:solidFill>
              <w14:schemeClr w14:val="tx1"/>
            </w14:solidFill>
          </w14:textFill>
        </w:rPr>
        <w:t>在</w:t>
      </w:r>
      <w:r>
        <w:rPr>
          <w:rFonts w:hint="eastAsia" w:cs="Times New Roman"/>
          <w:bCs/>
          <w:color w:val="000000" w:themeColor="text1"/>
          <w:szCs w:val="24"/>
          <w:highlight w:val="none"/>
          <w14:textFill>
            <w14:solidFill>
              <w14:schemeClr w14:val="tx1"/>
            </w14:solidFill>
          </w14:textFill>
        </w:rPr>
        <w:t>赵家坝污水处理站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处理本项目废水期间，</w:t>
      </w:r>
      <w:r>
        <w:rPr>
          <w:rFonts w:hint="eastAsia" w:cs="Times New Roman"/>
          <w:bCs/>
          <w:color w:val="000000" w:themeColor="text1"/>
          <w:sz w:val="24"/>
          <w:szCs w:val="24"/>
          <w:highlight w:val="none"/>
          <w:lang w:val="en-US" w:eastAsia="zh-CN"/>
          <w14:textFill>
            <w14:solidFill>
              <w14:schemeClr w14:val="tx1"/>
            </w14:solidFill>
          </w14:textFill>
        </w:rPr>
        <w:t>中石化普光气田</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和</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Cs w:val="24"/>
          <w:highlight w:val="none"/>
          <w:lang w:val="en-US" w:eastAsia="zh-CN"/>
          <w14:textFill>
            <w14:solidFill>
              <w14:schemeClr w14:val="tx1"/>
            </w14:solidFill>
          </w14:textFill>
        </w:rPr>
        <w:t>加强沟通，</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同时运输过来的废水</w:t>
      </w:r>
      <w:r>
        <w:rPr>
          <w:rFonts w:ascii="Times New Roman" w:hAnsi="Times New Roman" w:eastAsia="宋体" w:cs="Times New Roman"/>
          <w:bCs/>
          <w:color w:val="000000" w:themeColor="text1"/>
          <w:sz w:val="24"/>
          <w:szCs w:val="24"/>
          <w:highlight w:val="none"/>
          <w14:textFill>
            <w14:solidFill>
              <w14:schemeClr w14:val="tx1"/>
            </w14:solidFill>
          </w14:textFill>
        </w:rPr>
        <w:t>处理量</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Cs w:val="24"/>
          <w:highlight w:val="none"/>
          <w:lang w:val="en-US" w:eastAsia="zh-CN"/>
          <w14:textFill>
            <w14:solidFill>
              <w14:schemeClr w14:val="tx1"/>
            </w14:solidFill>
          </w14:textFill>
        </w:rPr>
        <w:t>实际剩余处理能力整体调配，预计控制在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w:t>
      </w:r>
      <w:r>
        <w:rPr>
          <w:rFonts w:ascii="Times New Roman" w:hAnsi="Times New Roman" w:eastAsia="宋体" w:cs="Times New Roman"/>
          <w:bCs/>
          <w:color w:val="000000" w:themeColor="text1"/>
          <w:sz w:val="24"/>
          <w:szCs w:val="24"/>
          <w:highlight w:val="none"/>
          <w14:textFill>
            <w14:solidFill>
              <w14:schemeClr w14:val="tx1"/>
            </w14:solidFill>
          </w14:textFill>
        </w:rPr>
        <w:t>00m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左右</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仍有富裕能力50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val="en-US" w:eastAsia="zh-CN"/>
          <w14:textFill>
            <w14:solidFill>
              <w14:schemeClr w14:val="tx1"/>
            </w14:solidFill>
          </w14:textFill>
        </w:rPr>
        <w:t>仅需2天就能处理本项目洗井废水，</w:t>
      </w:r>
      <w:r>
        <w:rPr>
          <w:rFonts w:hint="eastAsia" w:cs="Times New Roman"/>
          <w:bCs/>
          <w:color w:val="000000" w:themeColor="text1"/>
          <w:sz w:val="24"/>
          <w:szCs w:val="24"/>
          <w:highlight w:val="none"/>
          <w:lang w:val="en-US" w:eastAsia="zh-CN"/>
          <w14:textFill>
            <w14:solidFill>
              <w14:schemeClr w14:val="tx1"/>
            </w14:solidFill>
          </w14:textFill>
        </w:rPr>
        <w:t>因此</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 w:val="24"/>
          <w:szCs w:val="24"/>
          <w:highlight w:val="none"/>
          <w:lang w:val="en-US" w:eastAsia="zh-CN"/>
          <w14:textFill>
            <w14:solidFill>
              <w14:schemeClr w14:val="tx1"/>
            </w14:solidFill>
          </w14:textFill>
        </w:rPr>
        <w:t>完全满足洗井废水的处理要求</w:t>
      </w:r>
      <w:r>
        <w:rPr>
          <w:rFonts w:hint="eastAsia" w:cs="Times New Roman"/>
          <w:bCs/>
          <w:color w:val="000000" w:themeColor="text1"/>
          <w:sz w:val="24"/>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普光3井回注站剩余回注能力170~210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14:textFill>
            <w14:solidFill>
              <w14:schemeClr w14:val="tx1"/>
            </w14:solidFill>
          </w14:textFill>
        </w:rPr>
        <w:t>剩余</w:t>
      </w:r>
      <w:r>
        <w:rPr>
          <w:rFonts w:cs="Times New Roman"/>
          <w:bCs/>
          <w:color w:val="000000" w:themeColor="text1"/>
          <w:szCs w:val="24"/>
          <w:highlight w:val="none"/>
          <w14:textFill>
            <w14:solidFill>
              <w14:schemeClr w14:val="tx1"/>
            </w14:solidFill>
          </w14:textFill>
        </w:rPr>
        <w:t>100.6</w:t>
      </w:r>
      <w:r>
        <w:rPr>
          <w:rFonts w:hint="eastAsia" w:cs="Times New Roman"/>
          <w:bCs/>
          <w:color w:val="000000" w:themeColor="text1"/>
          <w:szCs w:val="24"/>
          <w:highlight w:val="none"/>
          <w14:textFill>
            <w14:solidFill>
              <w14:schemeClr w14:val="tx1"/>
            </w14:solidFill>
          </w14:textFill>
        </w:rPr>
        <w:t>7×10</w:t>
      </w:r>
      <w:r>
        <w:rPr>
          <w:rFonts w:hint="eastAsia" w:cs="Times New Roman"/>
          <w:bCs/>
          <w:color w:val="000000" w:themeColor="text1"/>
          <w:szCs w:val="24"/>
          <w:highlight w:val="none"/>
          <w:vertAlign w:val="superscript"/>
          <w14:textFill>
            <w14:solidFill>
              <w14:schemeClr w14:val="tx1"/>
            </w14:solidFill>
          </w14:textFill>
        </w:rPr>
        <w:t>4</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本项目废水和其他项目废水在</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 w:val="24"/>
          <w:szCs w:val="24"/>
          <w:highlight w:val="none"/>
          <w:lang w:val="en-US" w:eastAsia="zh-CN"/>
          <w14:textFill>
            <w14:solidFill>
              <w14:schemeClr w14:val="tx1"/>
            </w14:solidFill>
          </w14:textFill>
        </w:rPr>
        <w:t>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根据普光3井回注站实际剩余回注能力进行整体调配，</w:t>
      </w:r>
      <w:r>
        <w:rPr>
          <w:rFonts w:hint="eastAsia" w:cs="Times New Roman"/>
          <w:bCs/>
          <w:color w:val="000000" w:themeColor="text1"/>
          <w:szCs w:val="24"/>
          <w:highlight w:val="none"/>
          <w:lang w:val="en-US" w:eastAsia="zh-CN"/>
          <w14:textFill>
            <w14:solidFill>
              <w14:schemeClr w14:val="tx1"/>
            </w14:solidFill>
          </w14:textFill>
        </w:rPr>
        <w:t>其他项目废水进入普光3井回注站回注的废水预计控制在</w:t>
      </w:r>
      <w:r>
        <w:rPr>
          <w:rFonts w:hint="eastAsia" w:cs="Times New Roman"/>
          <w:bCs/>
          <w:color w:val="000000" w:themeColor="text1"/>
          <w:sz w:val="24"/>
          <w:szCs w:val="24"/>
          <w:highlight w:val="none"/>
          <w:lang w:val="en-US" w:eastAsia="zh-CN"/>
          <w14:textFill>
            <w14:solidFill>
              <w14:schemeClr w14:val="tx1"/>
            </w14:solidFill>
          </w14:textFill>
        </w:rPr>
        <w:t>12</w:t>
      </w:r>
      <w:r>
        <w:rPr>
          <w:rFonts w:ascii="Times New Roman" w:hAnsi="Times New Roman" w:eastAsia="宋体" w:cs="Times New Roman"/>
          <w:bCs/>
          <w:color w:val="000000" w:themeColor="text1"/>
          <w:sz w:val="24"/>
          <w:szCs w:val="24"/>
          <w:highlight w:val="none"/>
          <w14:textFill>
            <w14:solidFill>
              <w14:schemeClr w14:val="tx1"/>
            </w14:solidFill>
          </w14:textFill>
        </w:rPr>
        <w:t>0m</w:t>
      </w:r>
      <w:r>
        <w:rPr>
          <w:rFonts w:ascii="Times New Roman" w:hAnsi="Times New Roman" w:eastAsia="宋体" w:cs="Times New Roman"/>
          <w:bCs/>
          <w:color w:val="000000" w:themeColor="text1"/>
          <w:sz w:val="24"/>
          <w:szCs w:val="24"/>
          <w:highlight w:val="none"/>
          <w:vertAlign w:val="superscript"/>
          <w14:textFill>
            <w14:solidFill>
              <w14:schemeClr w14:val="tx1"/>
            </w14:solidFill>
          </w14:textFill>
        </w:rPr>
        <w:t>3</w:t>
      </w:r>
      <w:r>
        <w:rPr>
          <w:rFonts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左右</w:t>
      </w:r>
      <w:r>
        <w:rPr>
          <w:rFonts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仍有富裕能力20~90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val="en-US" w:eastAsia="zh-CN"/>
          <w14:textFill>
            <w14:solidFill>
              <w14:schemeClr w14:val="tx1"/>
            </w14:solidFill>
          </w14:textFill>
        </w:rPr>
        <w:t>仅需最多5天就能处理本项目洗井废水，</w:t>
      </w:r>
      <w:r>
        <w:rPr>
          <w:rFonts w:hint="eastAsia" w:cs="Times New Roman"/>
          <w:bCs/>
          <w:color w:val="000000" w:themeColor="text1"/>
          <w:sz w:val="24"/>
          <w:szCs w:val="24"/>
          <w:highlight w:val="none"/>
          <w:lang w:val="en-US" w:eastAsia="zh-CN"/>
          <w14:textFill>
            <w14:solidFill>
              <w14:schemeClr w14:val="tx1"/>
            </w14:solidFill>
          </w14:textFill>
        </w:rPr>
        <w:t>因此</w:t>
      </w:r>
      <w:r>
        <w:rPr>
          <w:rFonts w:hint="eastAsia" w:cs="Times New Roman"/>
          <w:bCs/>
          <w:color w:val="000000" w:themeColor="text1"/>
          <w:szCs w:val="24"/>
          <w:highlight w:val="none"/>
          <w:lang w:val="en-US" w:eastAsia="zh-CN"/>
          <w14:textFill>
            <w14:solidFill>
              <w14:schemeClr w14:val="tx1"/>
            </w14:solidFill>
          </w14:textFill>
        </w:rPr>
        <w:t>普光3井回注站</w:t>
      </w:r>
      <w:r>
        <w:rPr>
          <w:rFonts w:hint="eastAsia" w:cs="Times New Roman"/>
          <w:bCs/>
          <w:color w:val="000000" w:themeColor="text1"/>
          <w:sz w:val="24"/>
          <w:szCs w:val="24"/>
          <w:highlight w:val="none"/>
          <w:lang w:val="en-US" w:eastAsia="zh-CN"/>
          <w14:textFill>
            <w14:solidFill>
              <w14:schemeClr w14:val="tx1"/>
            </w14:solidFill>
          </w14:textFill>
        </w:rPr>
        <w:t>完全满足洗井废水的处理要求</w:t>
      </w:r>
      <w:r>
        <w:rPr>
          <w:rFonts w:hint="eastAsia"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在处理洗井废水期间其他项目需要到赵家坝污水处理站处理的废水量根据</w:t>
      </w:r>
      <w:r>
        <w:rPr>
          <w:rFonts w:hint="eastAsia" w:cs="Times New Roman"/>
          <w:bCs/>
          <w:color w:val="000000" w:themeColor="text1"/>
          <w:szCs w:val="24"/>
          <w:highlight w:val="none"/>
          <w14:textFill>
            <w14:solidFill>
              <w14:schemeClr w14:val="tx1"/>
            </w14:solidFill>
          </w14:textFill>
        </w:rPr>
        <w:t>赵家坝污水处理站</w:t>
      </w:r>
      <w:r>
        <w:rPr>
          <w:rFonts w:hint="eastAsia" w:cs="Times New Roman"/>
          <w:bCs/>
          <w:color w:val="000000" w:themeColor="text1"/>
          <w:szCs w:val="24"/>
          <w:highlight w:val="none"/>
          <w:lang w:val="en-US" w:eastAsia="zh-CN"/>
          <w14:textFill>
            <w14:solidFill>
              <w14:schemeClr w14:val="tx1"/>
            </w14:solidFill>
          </w14:textFill>
        </w:rPr>
        <w:t>实际剩余处理能力整体调配，同时</w:t>
      </w:r>
      <w:r>
        <w:rPr>
          <w:rFonts w:hint="eastAsia" w:ascii="Times New Roman" w:hAnsi="Times New Roman"/>
          <w:color w:val="000000" w:themeColor="text1"/>
          <w:sz w:val="24"/>
          <w:highlight w:val="none"/>
          <w:lang w:val="en-US" w:eastAsia="zh-CN"/>
          <w14:textFill>
            <w14:solidFill>
              <w14:schemeClr w14:val="tx1"/>
            </w14:solidFill>
          </w14:textFill>
        </w:rPr>
        <w:t>赵</w:t>
      </w:r>
      <w:r>
        <w:rPr>
          <w:rFonts w:hint="eastAsia" w:cs="Times New Roman"/>
          <w:color w:val="000000" w:themeColor="text1"/>
          <w:highlight w:val="none"/>
          <w14:textFill>
            <w14:solidFill>
              <w14:schemeClr w14:val="tx1"/>
            </w14:solidFill>
          </w14:textFill>
        </w:rPr>
        <w:t>家坝污水处理站</w:t>
      </w:r>
      <w:r>
        <w:rPr>
          <w:rFonts w:hint="eastAsia" w:cs="Times New Roman"/>
          <w:color w:val="000000" w:themeColor="text1"/>
          <w:highlight w:val="none"/>
          <w:lang w:val="en-US" w:eastAsia="zh-CN"/>
          <w14:textFill>
            <w14:solidFill>
              <w14:schemeClr w14:val="tx1"/>
            </w14:solidFill>
          </w14:textFill>
        </w:rPr>
        <w:t>管输至</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废水量接受</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调配</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由于洗井废水产生量小且能在泥浆不落地装置内水罐暂存，因此</w:t>
      </w:r>
      <w:r>
        <w:rPr>
          <w:rFonts w:hint="eastAsia" w:cs="Times New Roman"/>
          <w:color w:val="000000" w:themeColor="text1"/>
          <w:highlight w:val="none"/>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回注站接收处理能力满足</w:t>
      </w:r>
      <w:r>
        <w:rPr>
          <w:rFonts w:hint="eastAsia" w:cs="Times New Roman"/>
          <w:color w:val="000000" w:themeColor="text1"/>
          <w:highlight w:val="none"/>
          <w:lang w:val="en-US" w:eastAsia="zh-CN"/>
          <w14:textFill>
            <w14:solidFill>
              <w14:schemeClr w14:val="tx1"/>
            </w14:solidFill>
          </w14:textFill>
        </w:rPr>
        <w:t>洗井废水的</w:t>
      </w:r>
      <w:r>
        <w:rPr>
          <w:rFonts w:cs="Times New Roman"/>
          <w:color w:val="000000" w:themeColor="text1"/>
          <w:highlight w:val="none"/>
          <w14:textFill>
            <w14:solidFill>
              <w14:schemeClr w14:val="tx1"/>
            </w14:solidFill>
          </w14:textFill>
        </w:rPr>
        <w:t>处理要求</w:t>
      </w:r>
      <w:r>
        <w:rPr>
          <w:rFonts w:hint="eastAsia" w:cs="Times New Roman"/>
          <w:color w:val="000000" w:themeColor="text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szCs w:val="24"/>
          <w:highlight w:val="none"/>
          <w14:textFill>
            <w14:solidFill>
              <w14:schemeClr w14:val="tx1"/>
            </w14:solidFill>
          </w14:textFill>
        </w:rPr>
      </w:pPr>
      <w:r>
        <w:rPr>
          <w:rFonts w:hint="eastAsia"/>
          <w:bCs/>
          <w:color w:val="000000" w:themeColor="text1"/>
          <w:sz w:val="24"/>
          <w:highlight w:val="none"/>
          <w:vertAlign w:val="baseline"/>
          <w:lang w:val="en-US" w:eastAsia="zh-CN"/>
          <w14:textFill>
            <w14:solidFill>
              <w14:schemeClr w14:val="tx1"/>
            </w14:solidFill>
          </w14:textFill>
        </w:rPr>
        <w:t>本项目</w:t>
      </w:r>
      <w:r>
        <w:rPr>
          <w:rFonts w:hint="eastAsia"/>
          <w:color w:val="000000" w:themeColor="text1"/>
          <w:highlight w:val="none"/>
          <w:vertAlign w:val="baseline"/>
          <w:lang w:val="en-US" w:eastAsia="zh-CN"/>
          <w14:textFill>
            <w14:solidFill>
              <w14:schemeClr w14:val="tx1"/>
            </w14:solidFill>
          </w14:textFill>
        </w:rPr>
        <w:t>总的压裂返排液量约</w:t>
      </w:r>
      <w:r>
        <w:rPr>
          <w:rFonts w:hint="eastAsia"/>
          <w:bCs/>
          <w:color w:val="000000" w:themeColor="text1"/>
          <w:sz w:val="24"/>
          <w:highlight w:val="none"/>
          <w:lang w:val="en-US" w:eastAsia="zh-CN"/>
          <w14:textFill>
            <w14:solidFill>
              <w14:schemeClr w14:val="tx1"/>
            </w14:solidFill>
          </w14:textFill>
        </w:rPr>
        <w:t>59778</w:t>
      </w:r>
      <w:r>
        <w:rPr>
          <w:rFonts w:ascii="Times New Roman" w:hAnsi="Times New Roman"/>
          <w:bCs/>
          <w:color w:val="000000" w:themeColor="text1"/>
          <w:sz w:val="24"/>
          <w:highlight w:val="none"/>
          <w:lang w:eastAsia="zh-CN"/>
          <w14:textFill>
            <w14:solidFill>
              <w14:schemeClr w14:val="tx1"/>
            </w14:solidFill>
          </w14:textFill>
        </w:rPr>
        <w:t>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hint="eastAsia"/>
          <w:bCs/>
          <w:color w:val="000000" w:themeColor="text1"/>
          <w:sz w:val="24"/>
          <w:highlight w:val="none"/>
          <w:vertAlign w:val="baseline"/>
          <w:lang w:eastAsia="zh-CN"/>
          <w14:textFill>
            <w14:solidFill>
              <w14:schemeClr w14:val="tx1"/>
            </w14:solidFill>
          </w14:textFill>
        </w:rPr>
        <w:t>，</w:t>
      </w:r>
      <w:r>
        <w:rPr>
          <w:rFonts w:hint="eastAsia"/>
          <w:bCs/>
          <w:color w:val="000000" w:themeColor="text1"/>
          <w:sz w:val="24"/>
          <w:highlight w:val="none"/>
          <w:vertAlign w:val="baseline"/>
          <w:lang w:val="en-US" w:eastAsia="zh-CN"/>
          <w14:textFill>
            <w14:solidFill>
              <w14:schemeClr w14:val="tx1"/>
            </w14:solidFill>
          </w14:textFill>
        </w:rPr>
        <w:t>大部分回用于其他井压裂，最大约5977.8</w:t>
      </w:r>
      <w:r>
        <w:rPr>
          <w:rFonts w:ascii="Times New Roman" w:hAnsi="Times New Roman"/>
          <w:bCs/>
          <w:color w:val="000000" w:themeColor="text1"/>
          <w:sz w:val="24"/>
          <w:highlight w:val="none"/>
          <w:lang w:eastAsia="zh-CN"/>
          <w14:textFill>
            <w14:solidFill>
              <w14:schemeClr w14:val="tx1"/>
            </w14:solidFill>
          </w14:textFill>
        </w:rPr>
        <w:t>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hint="eastAsia"/>
          <w:bCs/>
          <w:color w:val="000000" w:themeColor="text1"/>
          <w:sz w:val="24"/>
          <w:highlight w:val="none"/>
          <w:vertAlign w:val="baseline"/>
          <w:lang w:val="en-US" w:eastAsia="zh-CN"/>
          <w14:textFill>
            <w14:solidFill>
              <w14:schemeClr w14:val="tx1"/>
            </w14:solidFill>
          </w14:textFill>
        </w:rPr>
        <w:t>（10%）需要</w:t>
      </w:r>
      <w:r>
        <w:rPr>
          <w:rFonts w:hint="eastAsia" w:cs="Times New Roman"/>
          <w:color w:val="000000" w:themeColor="text1"/>
          <w:highlight w:val="none"/>
          <w:lang w:val="en-US" w:eastAsia="zh-CN"/>
          <w14:textFill>
            <w14:solidFill>
              <w14:schemeClr w14:val="tx1"/>
            </w14:solidFill>
          </w14:textFill>
        </w:rPr>
        <w:t>依托</w:t>
      </w:r>
      <w:r>
        <w:rPr>
          <w:rFonts w:hint="eastAsia" w:ascii="Times New Roman" w:hAnsi="Times New Roman"/>
          <w:color w:val="000000" w:themeColor="text1"/>
          <w:sz w:val="24"/>
          <w:highlight w:val="none"/>
          <w:lang w:val="en-US" w:eastAsia="zh-CN"/>
          <w14:textFill>
            <w14:solidFill>
              <w14:schemeClr w14:val="tx1"/>
            </w14:solidFill>
          </w14:textFill>
        </w:rPr>
        <w:t>赵家坝污水处理站</w:t>
      </w:r>
      <w:r>
        <w:rPr>
          <w:rFonts w:hint="eastAsia"/>
          <w:color w:val="000000" w:themeColor="text1"/>
          <w:sz w:val="24"/>
          <w:highlight w:val="none"/>
          <w:lang w:val="en-US" w:eastAsia="zh-CN"/>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val="en-US" w:eastAsia="zh-CN"/>
          <w14:textFill>
            <w14:solidFill>
              <w14:schemeClr w14:val="tx1"/>
            </w14:solidFill>
          </w14:textFill>
        </w:rPr>
        <w:t>处理。</w:t>
      </w:r>
      <w:r>
        <w:rPr>
          <w:rFonts w:ascii="Times New Roman" w:hAnsi="Times New Roman"/>
          <w:color w:val="000000" w:themeColor="text1"/>
          <w:sz w:val="24"/>
          <w:highlight w:val="none"/>
          <w:lang w:eastAsia="zh-CN"/>
          <w14:textFill>
            <w14:solidFill>
              <w14:schemeClr w14:val="tx1"/>
            </w14:solidFill>
          </w14:textFill>
        </w:rPr>
        <w:t>在返排期间可控制返排速率，若放喷池（300m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）、压裂液罐（1600m</w:t>
      </w:r>
      <w:r>
        <w:rPr>
          <w:rFonts w:ascii="Times New Roman" w:hAnsi="Times New Roman"/>
          <w:color w:val="000000" w:themeColor="text1"/>
          <w:sz w:val="24"/>
          <w:highlight w:val="none"/>
          <w:vertAlign w:val="superscript"/>
          <w:lang w:eastAsia="zh-CN"/>
          <w14:textFill>
            <w14:solidFill>
              <w14:schemeClr w14:val="tx1"/>
            </w14:solidFill>
          </w14:textFill>
        </w:rPr>
        <w:t>3</w:t>
      </w:r>
      <w:r>
        <w:rPr>
          <w:rFonts w:ascii="Times New Roman" w:hAnsi="Times New Roman"/>
          <w:color w:val="000000" w:themeColor="text1"/>
          <w:sz w:val="24"/>
          <w:highlight w:val="none"/>
          <w:lang w:eastAsia="zh-CN"/>
          <w14:textFill>
            <w14:solidFill>
              <w14:schemeClr w14:val="tx1"/>
            </w14:solidFill>
          </w14:textFill>
        </w:rPr>
        <w:t>）无多余容积</w:t>
      </w:r>
      <w:r>
        <w:rPr>
          <w:rFonts w:hint="eastAsia"/>
          <w:color w:val="000000" w:themeColor="text1"/>
          <w:sz w:val="24"/>
          <w:highlight w:val="none"/>
          <w:lang w:val="en-US" w:eastAsia="zh-CN"/>
          <w14:textFill>
            <w14:solidFill>
              <w14:schemeClr w14:val="tx1"/>
            </w14:solidFill>
          </w14:textFill>
        </w:rPr>
        <w:t>或周边井场暂时无法回用、</w:t>
      </w:r>
      <w:r>
        <w:rPr>
          <w:rFonts w:hint="eastAsia" w:cs="Times New Roman"/>
          <w:color w:val="000000" w:themeColor="text1"/>
          <w:highlight w:val="none"/>
          <w:lang w:eastAsia="zh-CN"/>
          <w14:textFill>
            <w14:solidFill>
              <w14:schemeClr w14:val="tx1"/>
            </w14:solidFill>
          </w14:textFill>
        </w:rPr>
        <w:t>赵家坝污水处理站</w:t>
      </w:r>
      <w:r>
        <w:rPr>
          <w:rFonts w:hint="eastAsia" w:cs="Times New Roman"/>
          <w:color w:val="000000" w:themeColor="text1"/>
          <w:highlight w:val="none"/>
          <w:lang w:val="en-US" w:eastAsia="zh-CN"/>
          <w14:textFill>
            <w14:solidFill>
              <w14:schemeClr w14:val="tx1"/>
            </w14:solidFill>
          </w14:textFill>
        </w:rPr>
        <w:t>暂时无法接收处理</w:t>
      </w:r>
      <w:r>
        <w:rPr>
          <w:rFonts w:ascii="Times New Roman" w:hAnsi="Times New Roman"/>
          <w:color w:val="000000" w:themeColor="text1"/>
          <w:sz w:val="24"/>
          <w:highlight w:val="none"/>
          <w:lang w:eastAsia="zh-CN"/>
          <w14:textFill>
            <w14:solidFill>
              <w14:schemeClr w14:val="tx1"/>
            </w14:solidFill>
          </w14:textFill>
        </w:rPr>
        <w:t>时可</w:t>
      </w:r>
      <w:r>
        <w:rPr>
          <w:rFonts w:hint="eastAsia"/>
          <w:color w:val="000000" w:themeColor="text1"/>
          <w:sz w:val="24"/>
          <w:highlight w:val="none"/>
          <w:lang w:val="en-US" w:eastAsia="zh-CN"/>
          <w14:textFill>
            <w14:solidFill>
              <w14:schemeClr w14:val="tx1"/>
            </w14:solidFill>
          </w14:textFill>
        </w:rPr>
        <w:t>临时转运至周边中石化场站设置的防渗完好、环保满足要求的储罐或水池暂存，或暂停</w:t>
      </w:r>
      <w:r>
        <w:rPr>
          <w:rFonts w:ascii="Times New Roman" w:hAnsi="Times New Roman"/>
          <w:color w:val="000000" w:themeColor="text1"/>
          <w:sz w:val="24"/>
          <w:highlight w:val="none"/>
          <w:lang w:eastAsia="zh-CN"/>
          <w14:textFill>
            <w14:solidFill>
              <w14:schemeClr w14:val="tx1"/>
            </w14:solidFill>
          </w14:textFill>
        </w:rPr>
        <w:t>返排</w:t>
      </w:r>
      <w:r>
        <w:rPr>
          <w:rFonts w:hint="eastAsia"/>
          <w:color w:val="000000" w:themeColor="text1"/>
          <w:sz w:val="24"/>
          <w:highlight w:val="none"/>
          <w:lang w:val="en-US" w:eastAsia="zh-CN"/>
          <w14:textFill>
            <w14:solidFill>
              <w14:schemeClr w14:val="tx1"/>
            </w14:solidFill>
          </w14:textFill>
        </w:rPr>
        <w:t>等</w:t>
      </w:r>
      <w:r>
        <w:rPr>
          <w:rFonts w:ascii="Times New Roman" w:hAnsi="Times New Roman"/>
          <w:color w:val="000000" w:themeColor="text1"/>
          <w:sz w:val="24"/>
          <w:highlight w:val="none"/>
          <w:lang w:eastAsia="zh-CN"/>
          <w14:textFill>
            <w14:solidFill>
              <w14:schemeClr w14:val="tx1"/>
            </w14:solidFill>
          </w14:textFill>
        </w:rPr>
        <w:t>，待放喷池、压裂液罐中压裂返排液</w:t>
      </w:r>
      <w:r>
        <w:rPr>
          <w:rFonts w:hint="eastAsia" w:ascii="Times New Roman" w:hAnsi="Times New Roman"/>
          <w:color w:val="000000" w:themeColor="text1"/>
          <w:sz w:val="24"/>
          <w:highlight w:val="none"/>
          <w:lang w:val="en-US" w:eastAsia="zh-CN"/>
          <w14:textFill>
            <w14:solidFill>
              <w14:schemeClr w14:val="tx1"/>
            </w14:solidFill>
          </w14:textFill>
        </w:rPr>
        <w:t>转运回用或回注</w:t>
      </w:r>
      <w:r>
        <w:rPr>
          <w:rFonts w:ascii="Times New Roman" w:hAnsi="Times New Roman"/>
          <w:color w:val="000000" w:themeColor="text1"/>
          <w:sz w:val="24"/>
          <w:highlight w:val="none"/>
          <w:lang w:eastAsia="zh-CN"/>
          <w14:textFill>
            <w14:solidFill>
              <w14:schemeClr w14:val="tx1"/>
            </w14:solidFill>
          </w14:textFill>
        </w:rPr>
        <w:t>后可继续返排，因此在压裂返排期间放喷池、压裂液罐可满足暂存要求。</w:t>
      </w:r>
      <w:r>
        <w:rPr>
          <w:rFonts w:hint="eastAsia" w:cs="Times New Roman"/>
          <w:color w:val="000000" w:themeColor="text1"/>
          <w:highlight w:val="none"/>
          <w:lang w:val="en-US" w:eastAsia="zh-CN"/>
          <w14:textFill>
            <w14:solidFill>
              <w14:schemeClr w14:val="tx1"/>
            </w14:solidFill>
          </w14:textFill>
        </w:rPr>
        <w:t>压裂返排液</w:t>
      </w:r>
      <w:r>
        <w:rPr>
          <w:rFonts w:hint="eastAsia"/>
          <w:color w:val="000000" w:themeColor="text1"/>
          <w:sz w:val="24"/>
          <w:highlight w:val="none"/>
          <w:lang w:val="en-US" w:eastAsia="zh-CN"/>
          <w14:textFill>
            <w14:solidFill>
              <w14:schemeClr w14:val="tx1"/>
            </w14:solidFill>
          </w14:textFill>
        </w:rPr>
        <w:t>每天返排液量控制在1600m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以内，</w:t>
      </w:r>
      <w:r>
        <w:rPr>
          <w:rFonts w:hint="eastAsia"/>
          <w:bCs/>
          <w:color w:val="000000" w:themeColor="text1"/>
          <w:sz w:val="24"/>
          <w:highlight w:val="none"/>
          <w:vertAlign w:val="baseline"/>
          <w:lang w:val="en-US" w:eastAsia="zh-CN"/>
          <w14:textFill>
            <w14:solidFill>
              <w14:schemeClr w14:val="tx1"/>
            </w14:solidFill>
          </w14:textFill>
        </w:rPr>
        <w:t>大部分回用于其他井压裂，每天最大160</w:t>
      </w:r>
      <w:r>
        <w:rPr>
          <w:rFonts w:ascii="Times New Roman" w:hAnsi="Times New Roman"/>
          <w:bCs/>
          <w:color w:val="000000" w:themeColor="text1"/>
          <w:sz w:val="24"/>
          <w:highlight w:val="none"/>
          <w:lang w:eastAsia="zh-CN"/>
          <w14:textFill>
            <w14:solidFill>
              <w14:schemeClr w14:val="tx1"/>
            </w14:solidFill>
          </w14:textFill>
        </w:rPr>
        <w:t>m</w:t>
      </w:r>
      <w:r>
        <w:rPr>
          <w:rFonts w:ascii="Times New Roman" w:hAnsi="Times New Roman"/>
          <w:bCs/>
          <w:color w:val="000000" w:themeColor="text1"/>
          <w:sz w:val="24"/>
          <w:highlight w:val="none"/>
          <w:vertAlign w:val="superscript"/>
          <w:lang w:eastAsia="zh-CN"/>
          <w14:textFill>
            <w14:solidFill>
              <w14:schemeClr w14:val="tx1"/>
            </w14:solidFill>
          </w14:textFill>
        </w:rPr>
        <w:t>3</w:t>
      </w:r>
      <w:r>
        <w:rPr>
          <w:rFonts w:hint="eastAsia"/>
          <w:bCs/>
          <w:color w:val="000000" w:themeColor="text1"/>
          <w:sz w:val="24"/>
          <w:highlight w:val="none"/>
          <w:vertAlign w:val="baseline"/>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依托</w:t>
      </w:r>
      <w:r>
        <w:rPr>
          <w:rFonts w:hint="eastAsia" w:ascii="Times New Roman" w:hAnsi="Times New Roman"/>
          <w:color w:val="000000" w:themeColor="text1"/>
          <w:sz w:val="24"/>
          <w:highlight w:val="none"/>
          <w:lang w:val="en-US" w:eastAsia="zh-CN"/>
          <w14:textFill>
            <w14:solidFill>
              <w14:schemeClr w14:val="tx1"/>
            </w14:solidFill>
          </w14:textFill>
        </w:rPr>
        <w:t>赵家坝污水处理站</w:t>
      </w:r>
      <w:r>
        <w:rPr>
          <w:rFonts w:hint="eastAsia"/>
          <w:color w:val="000000" w:themeColor="text1"/>
          <w:sz w:val="24"/>
          <w:highlight w:val="none"/>
          <w:lang w:val="en-US" w:eastAsia="zh-CN"/>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val="en-US" w:eastAsia="zh-CN"/>
          <w14:textFill>
            <w14:solidFill>
              <w14:schemeClr w14:val="tx1"/>
            </w14:solidFill>
          </w14:textFill>
        </w:rPr>
        <w:t>处理，根据前文分析，在本项目废水依托</w:t>
      </w:r>
      <w:r>
        <w:rPr>
          <w:rFonts w:hint="eastAsia" w:ascii="Times New Roman" w:hAnsi="Times New Roman"/>
          <w:color w:val="000000" w:themeColor="text1"/>
          <w:sz w:val="24"/>
          <w:highlight w:val="none"/>
          <w:lang w:val="en-US" w:eastAsia="zh-CN"/>
          <w14:textFill>
            <w14:solidFill>
              <w14:schemeClr w14:val="tx1"/>
            </w14:solidFill>
          </w14:textFill>
        </w:rPr>
        <w:t>赵家坝污水处理站</w:t>
      </w:r>
      <w:r>
        <w:rPr>
          <w:rFonts w:hint="eastAsia"/>
          <w:color w:val="000000" w:themeColor="text1"/>
          <w:sz w:val="24"/>
          <w:highlight w:val="none"/>
          <w:lang w:val="en-US" w:eastAsia="zh-CN"/>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val="en-US" w:eastAsia="zh-CN"/>
          <w14:textFill>
            <w14:solidFill>
              <w14:schemeClr w14:val="tx1"/>
            </w14:solidFill>
          </w14:textFill>
        </w:rPr>
        <w:t>处理期间，</w:t>
      </w:r>
      <w:r>
        <w:rPr>
          <w:rFonts w:hint="eastAsia" w:ascii="Times New Roman" w:hAnsi="Times New Roman"/>
          <w:color w:val="000000" w:themeColor="text1"/>
          <w:sz w:val="24"/>
          <w:highlight w:val="none"/>
          <w:lang w:val="en-US" w:eastAsia="zh-CN"/>
          <w14:textFill>
            <w14:solidFill>
              <w14:schemeClr w14:val="tx1"/>
            </w14:solidFill>
          </w14:textFill>
        </w:rPr>
        <w:t>赵家坝污水处理站</w:t>
      </w:r>
      <w:r>
        <w:rPr>
          <w:rFonts w:hint="eastAsia" w:cs="Times New Roman"/>
          <w:bCs/>
          <w:color w:val="000000" w:themeColor="text1"/>
          <w:sz w:val="24"/>
          <w:szCs w:val="24"/>
          <w:highlight w:val="none"/>
          <w:lang w:val="en-US" w:eastAsia="zh-CN"/>
          <w14:textFill>
            <w14:solidFill>
              <w14:schemeClr w14:val="tx1"/>
            </w14:solidFill>
          </w14:textFill>
        </w:rPr>
        <w:t>仍有富裕能力50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val="en-US" w:eastAsia="zh-CN"/>
          <w14:textFill>
            <w14:solidFill>
              <w14:schemeClr w14:val="tx1"/>
            </w14:solidFill>
          </w14:textFill>
        </w:rPr>
        <w:t>仅需3.2天就能处理本项目压裂返排液，</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bCs/>
          <w:color w:val="000000" w:themeColor="text1"/>
          <w:sz w:val="24"/>
          <w:szCs w:val="24"/>
          <w:highlight w:val="none"/>
          <w:lang w:val="en-US" w:eastAsia="zh-CN"/>
          <w14:textFill>
            <w14:solidFill>
              <w14:schemeClr w14:val="tx1"/>
            </w14:solidFill>
          </w14:textFill>
        </w:rPr>
        <w:t>仍有富裕能力20~90</w:t>
      </w:r>
      <w:r>
        <w:rPr>
          <w:rFonts w:hint="eastAsia" w:cs="Times New Roman"/>
          <w:bCs/>
          <w:color w:val="000000" w:themeColor="text1"/>
          <w:szCs w:val="24"/>
          <w:highlight w:val="none"/>
          <w14:textFill>
            <w14:solidFill>
              <w14:schemeClr w14:val="tx1"/>
            </w14:solidFill>
          </w14:textFill>
        </w:rPr>
        <w:t>m</w:t>
      </w:r>
      <w:r>
        <w:rPr>
          <w:rFonts w:hint="eastAsia" w:cs="Times New Roman"/>
          <w:bCs/>
          <w:color w:val="000000" w:themeColor="text1"/>
          <w:szCs w:val="24"/>
          <w:highlight w:val="none"/>
          <w:vertAlign w:val="superscript"/>
          <w14:textFill>
            <w14:solidFill>
              <w14:schemeClr w14:val="tx1"/>
            </w14:solidFill>
          </w14:textFill>
        </w:rPr>
        <w:t>3</w:t>
      </w:r>
      <w:r>
        <w:rPr>
          <w:rFonts w:hint="eastAsia" w:cs="Times New Roman"/>
          <w:bCs/>
          <w:color w:val="000000" w:themeColor="text1"/>
          <w:szCs w:val="24"/>
          <w:highlight w:val="none"/>
          <w14:textFill>
            <w14:solidFill>
              <w14:schemeClr w14:val="tx1"/>
            </w14:solidFill>
          </w14:textFill>
        </w:rPr>
        <w:t>/d，</w:t>
      </w:r>
      <w:r>
        <w:rPr>
          <w:rFonts w:hint="eastAsia" w:cs="Times New Roman"/>
          <w:bCs/>
          <w:color w:val="000000" w:themeColor="text1"/>
          <w:szCs w:val="24"/>
          <w:highlight w:val="none"/>
          <w:lang w:val="en-US" w:eastAsia="zh-CN"/>
          <w14:textFill>
            <w14:solidFill>
              <w14:schemeClr w14:val="tx1"/>
            </w14:solidFill>
          </w14:textFill>
        </w:rPr>
        <w:t>最多8天就能处理本项目压裂返排液，可见</w:t>
      </w:r>
      <w:r>
        <w:rPr>
          <w:rFonts w:hint="eastAsia" w:cs="Times New Roman"/>
          <w:color w:val="000000" w:themeColor="text1"/>
          <w:highlight w:val="none"/>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回注站接收处理能力满足</w:t>
      </w:r>
      <w:r>
        <w:rPr>
          <w:rFonts w:hint="eastAsia" w:cs="Times New Roman"/>
          <w:color w:val="000000" w:themeColor="text1"/>
          <w:highlight w:val="none"/>
          <w:lang w:val="en-US" w:eastAsia="zh-CN"/>
          <w14:textFill>
            <w14:solidFill>
              <w14:schemeClr w14:val="tx1"/>
            </w14:solidFill>
          </w14:textFill>
        </w:rPr>
        <w:t>施工期压裂返排液</w:t>
      </w:r>
      <w:r>
        <w:rPr>
          <w:rFonts w:cs="Times New Roman"/>
          <w:color w:val="000000" w:themeColor="text1"/>
          <w:highlight w:val="none"/>
          <w14:textFill>
            <w14:solidFill>
              <w14:schemeClr w14:val="tx1"/>
            </w14:solidFill>
          </w14:textFill>
        </w:rPr>
        <w:t>处理要求</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同时压裂返排液转运至赵家坝污水处理站的水量接受赵家坝污水处理站统一调配，赵</w:t>
      </w:r>
      <w:r>
        <w:rPr>
          <w:rFonts w:hint="eastAsia" w:cs="Times New Roman"/>
          <w:color w:val="000000" w:themeColor="text1"/>
          <w:highlight w:val="none"/>
          <w14:textFill>
            <w14:solidFill>
              <w14:schemeClr w14:val="tx1"/>
            </w14:solidFill>
          </w14:textFill>
        </w:rPr>
        <w:t>家坝污水处理站</w:t>
      </w:r>
      <w:r>
        <w:rPr>
          <w:rFonts w:hint="eastAsia" w:cs="Times New Roman"/>
          <w:color w:val="000000" w:themeColor="text1"/>
          <w:highlight w:val="none"/>
          <w:lang w:val="en-US" w:eastAsia="zh-CN"/>
          <w14:textFill>
            <w14:solidFill>
              <w14:schemeClr w14:val="tx1"/>
            </w14:solidFill>
          </w14:textFill>
        </w:rPr>
        <w:t>处理后管输至</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废水量接受</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w:t>
      </w:r>
      <w:r>
        <w:rPr>
          <w:rFonts w:hint="eastAsia" w:cs="Times New Roman"/>
          <w:color w:val="000000" w:themeColor="text1"/>
          <w:highlight w:val="none"/>
          <w:lang w:eastAsia="zh-CN"/>
          <w14:textFill>
            <w14:solidFill>
              <w14:schemeClr w14:val="tx1"/>
            </w14:solidFill>
          </w14:textFill>
        </w:rPr>
        <w:t>的</w:t>
      </w:r>
      <w:r>
        <w:rPr>
          <w:rFonts w:hint="eastAsia" w:cs="Times New Roman"/>
          <w:color w:val="000000" w:themeColor="text1"/>
          <w:highlight w:val="none"/>
          <w:lang w:val="en-US" w:eastAsia="zh-CN"/>
          <w14:textFill>
            <w14:solidFill>
              <w14:schemeClr w14:val="tx1"/>
            </w14:solidFill>
          </w14:textFill>
        </w:rPr>
        <w:t>调配</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由于压裂返排液返排可控，井场有足够的暂存能力，因此只要加强废水的统一管理和调配，</w:t>
      </w:r>
      <w:r>
        <w:rPr>
          <w:rFonts w:hint="eastAsia" w:cs="Times New Roman"/>
          <w:color w:val="000000" w:themeColor="text1"/>
          <w:highlight w:val="none"/>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回注站接收处理能力满足</w:t>
      </w:r>
      <w:r>
        <w:rPr>
          <w:rFonts w:hint="eastAsia" w:cs="Times New Roman"/>
          <w:color w:val="000000" w:themeColor="text1"/>
          <w:highlight w:val="none"/>
          <w:lang w:val="en-US" w:eastAsia="zh-CN"/>
          <w14:textFill>
            <w14:solidFill>
              <w14:schemeClr w14:val="tx1"/>
            </w14:solidFill>
          </w14:textFill>
        </w:rPr>
        <w:t>施工期压裂返排液</w:t>
      </w:r>
      <w:r>
        <w:rPr>
          <w:rFonts w:cs="Times New Roman"/>
          <w:color w:val="000000" w:themeColor="text1"/>
          <w:highlight w:val="none"/>
          <w14:textFill>
            <w14:solidFill>
              <w14:schemeClr w14:val="tx1"/>
            </w14:solidFill>
          </w14:textFill>
        </w:rPr>
        <w:t>处理要求。</w:t>
      </w:r>
    </w:p>
    <w:p>
      <w:pPr>
        <w:ind w:firstLine="480"/>
        <w:rPr>
          <w:color w:val="000000" w:themeColor="text1"/>
          <w:highlight w:val="none"/>
          <w14:textFill>
            <w14:solidFill>
              <w14:schemeClr w14:val="tx1"/>
            </w14:solidFill>
          </w14:textFill>
        </w:rPr>
      </w:pPr>
      <w:r>
        <w:rPr>
          <w:rFonts w:hint="eastAsia" w:cs="Times New Roman"/>
          <w:bCs/>
          <w:color w:val="000000" w:themeColor="text1"/>
          <w:szCs w:val="24"/>
          <w:highlight w:val="none"/>
          <w:lang w:val="en-US" w:eastAsia="zh-CN"/>
          <w14:textFill>
            <w14:solidFill>
              <w14:schemeClr w14:val="tx1"/>
            </w14:solidFill>
          </w14:textFill>
        </w:rPr>
        <w:t>赵家坝污水处理站运行多年，工艺成熟稳定，水质能长期稳定达标，满足作业废水预处理要求；</w:t>
      </w:r>
      <w:r>
        <w:rPr>
          <w:rFonts w:hint="eastAsia" w:cs="Times New Roman"/>
          <w:bCs/>
          <w:color w:val="000000" w:themeColor="text1"/>
          <w:szCs w:val="24"/>
          <w:highlight w:val="none"/>
          <w14:textFill>
            <w14:solidFill>
              <w14:schemeClr w14:val="tx1"/>
            </w14:solidFill>
          </w14:textFill>
        </w:rPr>
        <w:t>普光3井已稳定运行多年，地下空间结构稳定，运行期间未检测到地下空间发生结构变化，剩余总回注量远大于本项目试采废水产生量，剩余储集空间较大，满足回注要求</w:t>
      </w:r>
      <w:r>
        <w:rPr>
          <w:rFonts w:cs="Times New Roman"/>
          <w:bCs/>
          <w:color w:val="000000" w:themeColor="text1"/>
          <w:szCs w:val="24"/>
          <w:highlight w:val="none"/>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eastAsia" w:eastAsia="黑体" w:cs="Times New Roman"/>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w:t>
      </w:r>
      <w:r>
        <w:rPr>
          <w:rFonts w:hint="eastAsia" w:eastAsia="黑体" w:cs="Times New Roman"/>
          <w:color w:val="000000" w:themeColor="text1"/>
          <w:kern w:val="2"/>
          <w:sz w:val="24"/>
          <w:szCs w:val="24"/>
          <w:highlight w:val="none"/>
          <w:lang w:val="en-US" w:eastAsia="zh-CN" w:bidi="ar-SA"/>
          <w14:textFill>
            <w14:solidFill>
              <w14:schemeClr w14:val="tx1"/>
            </w14:solidFill>
          </w14:textFill>
        </w:rPr>
        <w:t>油气集输</w:t>
      </w:r>
      <w:r>
        <w:rPr>
          <w:rFonts w:hint="eastAsia"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工程</w:t>
      </w:r>
    </w:p>
    <w:p>
      <w:pPr>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油气集输工程在进行试采井站和外输管线建设时产生的</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废水主要为施工人员产生的</w:t>
      </w:r>
      <w:r>
        <w:rPr>
          <w:rFonts w:hint="default" w:ascii="Times New Roman" w:hAnsi="Times New Roman" w:cs="Times New Roman"/>
          <w:color w:val="000000" w:themeColor="text1"/>
          <w:szCs w:val="24"/>
          <w:highlight w:val="none"/>
          <w14:textFill>
            <w14:solidFill>
              <w14:schemeClr w14:val="tx1"/>
            </w14:solidFill>
          </w14:textFill>
        </w:rPr>
        <w:t>生活污水，施工期间生活污水产生量小，</w:t>
      </w:r>
      <w:r>
        <w:rPr>
          <w:rFonts w:hint="eastAsia" w:cs="Times New Roman"/>
          <w:color w:val="000000" w:themeColor="text1"/>
          <w:szCs w:val="24"/>
          <w:highlight w:val="none"/>
          <w:lang w:val="en-US" w:eastAsia="zh-CN"/>
          <w14:textFill>
            <w14:solidFill>
              <w14:schemeClr w14:val="tx1"/>
            </w14:solidFill>
          </w14:textFill>
        </w:rPr>
        <w:t>施工人员</w:t>
      </w:r>
      <w:r>
        <w:rPr>
          <w:rFonts w:hint="default" w:ascii="Times New Roman" w:hAnsi="Times New Roman" w:cs="Times New Roman"/>
          <w:color w:val="000000" w:themeColor="text1"/>
          <w:szCs w:val="24"/>
          <w:highlight w:val="none"/>
          <w14:textFill>
            <w14:solidFill>
              <w14:schemeClr w14:val="tx1"/>
            </w14:solidFill>
          </w14:textFill>
        </w:rPr>
        <w:t>生活污水依托周边农户已建设施处理。</w:t>
      </w:r>
      <w:r>
        <w:rPr>
          <w:rFonts w:hint="eastAsia" w:ascii="Times New Roman" w:hAnsi="Times New Roman" w:cs="Times New Roman"/>
          <w:color w:val="000000" w:themeColor="text1"/>
          <w:szCs w:val="24"/>
          <w:highlight w:val="none"/>
          <w:lang w:val="en-US" w:eastAsia="zh-CN"/>
          <w14:textFill>
            <w14:solidFill>
              <w14:schemeClr w14:val="tx1"/>
            </w14:solidFill>
          </w14:textFill>
        </w:rPr>
        <w:t>该措施能够有效处置油气集输工程施工阶段产生的生活污水，做到</w:t>
      </w:r>
      <w:r>
        <w:rPr>
          <w:rFonts w:hint="default" w:ascii="Times New Roman" w:hAnsi="Times New Roman" w:cs="Times New Roman"/>
          <w:color w:val="000000" w:themeColor="text1"/>
          <w:szCs w:val="24"/>
          <w:highlight w:val="none"/>
          <w14:textFill>
            <w14:solidFill>
              <w14:schemeClr w14:val="tx1"/>
            </w14:solidFill>
          </w14:textFill>
        </w:rPr>
        <w:t>现场无生活污水产生和排放，不会对井场周边地表水产生影响</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措施可行</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施工期各类废水处置措施在川东北地区钻采工程中已实施多年，具有较好的借鉴经验。项目附近的中石化川东北地区钻采工程采用相同污水处理措施，到目前为止，中原油田普光分公司未收到钻井废水、洗井废水、压裂返排液等乱排乱放的环保投诉。因此，本项目施工期废水治理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20" w:name="_Toc120173213"/>
      <w:r>
        <w:rPr>
          <w:color w:val="000000" w:themeColor="text1"/>
          <w:highlight w:val="none"/>
          <w:lang w:eastAsia="zh-CN"/>
          <w14:textFill>
            <w14:solidFill>
              <w14:schemeClr w14:val="tx1"/>
            </w14:solidFill>
          </w14:textFill>
        </w:rPr>
        <w:t>地下水防治措施及可行性分析</w:t>
      </w:r>
      <w:bookmarkEnd w:id="420"/>
    </w:p>
    <w:p>
      <w:pPr>
        <w:ind w:firstLine="480"/>
        <w:rPr>
          <w:rFonts w:eastAsia="黑体" w:cs="Times New Roman"/>
          <w:color w:val="000000" w:themeColor="text1"/>
          <w:szCs w:val="24"/>
          <w:highlight w:val="none"/>
          <w14:textFill>
            <w14:solidFill>
              <w14:schemeClr w14:val="tx1"/>
            </w14:solidFill>
          </w14:textFill>
        </w:rPr>
      </w:pPr>
      <w:bookmarkStart w:id="421" w:name="_Toc14702842"/>
      <w:bookmarkStart w:id="422" w:name="_Toc1224"/>
      <w:r>
        <w:rPr>
          <w:rFonts w:eastAsia="黑体" w:cs="Times New Roman"/>
          <w:color w:val="000000" w:themeColor="text1"/>
          <w:szCs w:val="24"/>
          <w:highlight w:val="none"/>
          <w14:textFill>
            <w14:solidFill>
              <w14:schemeClr w14:val="tx1"/>
            </w14:solidFill>
          </w14:textFill>
        </w:rPr>
        <w:t>1、钻井工艺选择</w:t>
      </w:r>
      <w:bookmarkEnd w:id="421"/>
      <w:bookmarkEnd w:id="422"/>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项目钻井选用全井段套管保护+水泥固井工艺。</w:t>
      </w:r>
      <w:r>
        <w:rPr>
          <w:rFonts w:hint="eastAsia" w:cs="Times New Roman"/>
          <w:color w:val="000000" w:themeColor="text1"/>
          <w:szCs w:val="24"/>
          <w:highlight w:val="none"/>
          <w14:textFill>
            <w14:solidFill>
              <w14:schemeClr w14:val="tx1"/>
            </w14:solidFill>
          </w14:textFill>
        </w:rPr>
        <w:t>本项目钻井方式选用</w:t>
      </w:r>
      <w:r>
        <w:rPr>
          <w:rFonts w:hint="eastAsia" w:cs="Times New Roman"/>
          <w:color w:val="000000" w:themeColor="text1"/>
          <w:szCs w:val="24"/>
          <w:highlight w:val="none"/>
          <w:lang w:val="en-US" w:eastAsia="zh-CN"/>
          <w14:textFill>
            <w14:solidFill>
              <w14:schemeClr w14:val="tx1"/>
            </w14:solidFill>
          </w14:textFill>
        </w:rPr>
        <w:t>水基</w:t>
      </w:r>
      <w:r>
        <w:rPr>
          <w:rFonts w:hint="eastAsia" w:cs="Times New Roman"/>
          <w:color w:val="000000" w:themeColor="text1"/>
          <w:szCs w:val="24"/>
          <w:highlight w:val="none"/>
          <w14:textFill>
            <w14:solidFill>
              <w14:schemeClr w14:val="tx1"/>
            </w14:solidFill>
          </w14:textFill>
        </w:rPr>
        <w:t>钻井液体系，采用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cs="Times New Roman"/>
          <w:color w:val="000000" w:themeColor="text1"/>
          <w:szCs w:val="24"/>
          <w:highlight w:val="none"/>
          <w14:textFill>
            <w14:solidFill>
              <w14:schemeClr w14:val="tx1"/>
            </w14:solidFill>
          </w14:textFill>
        </w:rPr>
        <w:t>钻进</w:t>
      </w:r>
      <w:r>
        <w:rPr>
          <w:rFonts w:hint="eastAsia" w:cs="Times New Roman"/>
          <w:color w:val="000000" w:themeColor="text1"/>
          <w:szCs w:val="24"/>
          <w:highlight w:val="none"/>
          <w14:textFill>
            <w14:solidFill>
              <w14:schemeClr w14:val="tx1"/>
            </w14:solidFill>
          </w14:textFill>
        </w:rPr>
        <w:t>，</w:t>
      </w:r>
      <w:r>
        <w:rPr>
          <w:rFonts w:ascii="Times New Roman" w:hAnsi="Times New Roman"/>
          <w:color w:val="000000" w:themeColor="text1"/>
          <w:sz w:val="24"/>
          <w:szCs w:val="24"/>
          <w:lang w:eastAsia="zh-CN"/>
          <w14:textFill>
            <w14:solidFill>
              <w14:schemeClr w14:val="tx1"/>
            </w14:solidFill>
          </w14:textFill>
        </w:rPr>
        <w:t>在设计表层</w:t>
      </w:r>
      <w:r>
        <w:rPr>
          <w:rFonts w:hint="eastAsia" w:ascii="Times New Roman" w:hAnsi="Times New Roman"/>
          <w:color w:val="000000" w:themeColor="text1"/>
          <w:sz w:val="24"/>
          <w:szCs w:val="24"/>
          <w:lang w:val="en-US" w:eastAsia="zh-CN"/>
          <w14:textFill>
            <w14:solidFill>
              <w14:schemeClr w14:val="tx1"/>
            </w14:solidFill>
          </w14:textFill>
        </w:rPr>
        <w:t>先下</w:t>
      </w:r>
      <w:r>
        <w:rPr>
          <w:rFonts w:hint="eastAsia" w:cs="Times New Roman"/>
          <w:color w:val="000000" w:themeColor="text1"/>
          <w:szCs w:val="24"/>
          <w:highlight w:val="none"/>
          <w14:textFill>
            <w14:solidFill>
              <w14:schemeClr w14:val="tx1"/>
            </w14:solidFill>
          </w14:textFill>
        </w:rPr>
        <w:t>导管</w:t>
      </w:r>
      <w:r>
        <w:rPr>
          <w:rFonts w:hint="eastAsia" w:cs="Times New Roman"/>
          <w:color w:val="000000" w:themeColor="text1"/>
          <w:szCs w:val="24"/>
          <w:highlight w:val="none"/>
          <w:lang w:val="en-US" w:eastAsia="zh-CN"/>
          <w14:textFill>
            <w14:solidFill>
              <w14:schemeClr w14:val="tx1"/>
            </w14:solidFill>
          </w14:textFill>
        </w:rPr>
        <w:t>封隔浅层含水层，</w:t>
      </w:r>
      <w:r>
        <w:rPr>
          <w:rFonts w:hint="eastAsia" w:ascii="Times New Roman" w:hAnsi="Times New Roman"/>
          <w:color w:val="000000" w:themeColor="text1"/>
          <w:sz w:val="24"/>
          <w:szCs w:val="24"/>
          <w:lang w:val="en-US" w:eastAsia="zh-CN"/>
          <w14:textFill>
            <w14:solidFill>
              <w14:schemeClr w14:val="tx1"/>
            </w14:solidFill>
          </w14:textFill>
        </w:rPr>
        <w:t>导管段</w:t>
      </w:r>
      <w:r>
        <w:rPr>
          <w:rFonts w:hint="eastAsia" w:cs="Times New Roman"/>
          <w:color w:val="000000" w:themeColor="text1"/>
          <w:szCs w:val="24"/>
          <w:highlight w:val="none"/>
          <w14:textFill>
            <w14:solidFill>
              <w14:schemeClr w14:val="tx1"/>
            </w14:solidFill>
          </w14:textFill>
        </w:rPr>
        <w:t>采用</w:t>
      </w:r>
      <w:r>
        <w:rPr>
          <w:rFonts w:hint="eastAsia" w:cs="Times New Roman"/>
          <w:color w:val="000000" w:themeColor="text1"/>
          <w:kern w:val="0"/>
          <w:szCs w:val="20"/>
          <w:highlight w:val="none"/>
          <w:lang w:val="en-US" w:eastAsia="zh-CN"/>
          <w14:textFill>
            <w14:solidFill>
              <w14:schemeClr w14:val="tx1"/>
            </w14:solidFill>
          </w14:textFill>
        </w:rPr>
        <w:t>清水钻井液（***钻井液）</w:t>
      </w:r>
      <w:r>
        <w:rPr>
          <w:rFonts w:cs="Times New Roman"/>
          <w:color w:val="000000" w:themeColor="text1"/>
          <w:szCs w:val="24"/>
          <w:highlight w:val="none"/>
          <w14:textFill>
            <w14:solidFill>
              <w14:schemeClr w14:val="tx1"/>
            </w14:solidFill>
          </w14:textFill>
        </w:rPr>
        <w:t>钻进</w:t>
      </w:r>
      <w:r>
        <w:rPr>
          <w:rFonts w:hint="eastAsia" w:ascii="Times New Roman" w:hAnsi="Times New Roman"/>
          <w:color w:val="000000" w:themeColor="text1"/>
          <w:sz w:val="24"/>
          <w:szCs w:val="24"/>
          <w:lang w:eastAsia="zh-CN"/>
          <w14:textFill>
            <w14:solidFill>
              <w14:schemeClr w14:val="tx1"/>
            </w14:solidFill>
          </w14:textFill>
        </w:rPr>
        <w:t>，</w:t>
      </w:r>
      <w:r>
        <w:rPr>
          <w:rFonts w:ascii="Times New Roman" w:hAnsi="Times New Roman"/>
          <w:color w:val="000000" w:themeColor="text1"/>
          <w:sz w:val="24"/>
          <w:szCs w:val="24"/>
          <w:lang w:eastAsia="zh-CN"/>
          <w14:textFill>
            <w14:solidFill>
              <w14:schemeClr w14:val="tx1"/>
            </w14:solidFill>
          </w14:textFill>
        </w:rPr>
        <w:t>以避免重点关注的表层含水层受泥浆污染，并在钻井中遇到浅水层，下套管时注水泥封固，防止地下水层被地层其它流体或钻井泥浆污染；</w:t>
      </w:r>
      <w:r>
        <w:rPr>
          <w:rFonts w:cs="Times New Roman"/>
          <w:color w:val="000000" w:themeColor="text1"/>
          <w:szCs w:val="24"/>
          <w:highlight w:val="none"/>
          <w14:textFill>
            <w14:solidFill>
              <w14:schemeClr w14:val="tx1"/>
            </w14:solidFill>
          </w14:textFill>
        </w:rPr>
        <w:t>一开采用</w:t>
      </w:r>
      <w:r>
        <w:rPr>
          <w:rFonts w:hint="eastAsia" w:cs="Times New Roman"/>
          <w:color w:val="000000" w:themeColor="text1"/>
          <w:szCs w:val="24"/>
          <w:highlight w:val="none"/>
          <w:lang w:eastAsia="zh-CN"/>
          <w14:textFill>
            <w14:solidFill>
              <w14:schemeClr w14:val="tx1"/>
            </w14:solidFill>
          </w14:textFill>
        </w:rPr>
        <w:t>聚合物</w:t>
      </w:r>
      <w:r>
        <w:rPr>
          <w:rFonts w:cs="Times New Roman"/>
          <w:color w:val="000000" w:themeColor="text1"/>
          <w:szCs w:val="24"/>
          <w:highlight w:val="none"/>
          <w14:textFill>
            <w14:solidFill>
              <w14:schemeClr w14:val="tx1"/>
            </w14:solidFill>
          </w14:textFill>
        </w:rPr>
        <w:t>钻井液体系，二开采用</w:t>
      </w:r>
      <w:r>
        <w:rPr>
          <w:rFonts w:hint="eastAsia" w:cs="Times New Roman"/>
          <w:color w:val="000000" w:themeColor="text1"/>
          <w:szCs w:val="24"/>
          <w:highlight w:val="none"/>
          <w:lang w:eastAsia="zh-CN"/>
          <w14:textFill>
            <w14:solidFill>
              <w14:schemeClr w14:val="tx1"/>
            </w14:solidFill>
          </w14:textFill>
        </w:rPr>
        <w:t>***钻井液</w:t>
      </w:r>
      <w:r>
        <w:rPr>
          <w:rFonts w:hint="eastAsia" w:cs="Times New Roman"/>
          <w:color w:val="000000" w:themeColor="text1"/>
          <w:szCs w:val="24"/>
          <w:highlight w:val="none"/>
          <w14:textFill>
            <w14:solidFill>
              <w14:schemeClr w14:val="tx1"/>
            </w14:solidFill>
          </w14:textFill>
        </w:rPr>
        <w:t>体系</w:t>
      </w:r>
      <w:r>
        <w:rPr>
          <w:rFonts w:cs="Times New Roman"/>
          <w:color w:val="000000" w:themeColor="text1"/>
          <w:szCs w:val="24"/>
          <w:highlight w:val="none"/>
          <w14:textFill>
            <w14:solidFill>
              <w14:schemeClr w14:val="tx1"/>
            </w14:solidFill>
          </w14:textFill>
        </w:rPr>
        <w:t>，三开采用</w:t>
      </w:r>
      <w:r>
        <w:rPr>
          <w:rFonts w:hint="eastAsia" w:cs="Times New Roman"/>
          <w:color w:val="000000" w:themeColor="text1"/>
          <w:szCs w:val="24"/>
          <w:highlight w:val="none"/>
          <w:lang w:eastAsia="zh-CN"/>
          <w14:textFill>
            <w14:solidFill>
              <w14:schemeClr w14:val="tx1"/>
            </w14:solidFill>
          </w14:textFill>
        </w:rPr>
        <w:t>油基钻井</w:t>
      </w:r>
      <w:r>
        <w:rPr>
          <w:rFonts w:cs="Times New Roman"/>
          <w:color w:val="000000" w:themeColor="text1"/>
          <w:szCs w:val="24"/>
          <w:highlight w:val="none"/>
          <w14:textFill>
            <w14:solidFill>
              <w14:schemeClr w14:val="tx1"/>
            </w14:solidFill>
          </w14:textFill>
        </w:rPr>
        <w:t>，同时采用套管和水泥固井防止地下水污染，并在设计中做好及时堵漏准备，水基钻井液难以返回地面污染浅层含水层，能有效防止泥浆流失进入地下水。上述工艺广泛应用于川渝地区气田开发，能有效保护井下地质环境，能进一步减少对浅层地下水环境的影响。</w:t>
      </w:r>
    </w:p>
    <w:p>
      <w:pPr>
        <w:ind w:firstLine="480"/>
        <w:rPr>
          <w:rFonts w:eastAsia="黑体" w:cs="Times New Roman"/>
          <w:color w:val="000000" w:themeColor="text1"/>
          <w:szCs w:val="24"/>
          <w:highlight w:val="none"/>
          <w14:textFill>
            <w14:solidFill>
              <w14:schemeClr w14:val="tx1"/>
            </w14:solidFill>
          </w14:textFill>
        </w:rPr>
      </w:pPr>
      <w:bookmarkStart w:id="423" w:name="_Toc14702843"/>
      <w:bookmarkStart w:id="424" w:name="_Toc3215"/>
      <w:r>
        <w:rPr>
          <w:rFonts w:eastAsia="黑体" w:cs="Times New Roman"/>
          <w:color w:val="000000" w:themeColor="text1"/>
          <w:szCs w:val="24"/>
          <w:highlight w:val="none"/>
          <w14:textFill>
            <w14:solidFill>
              <w14:schemeClr w14:val="tx1"/>
            </w14:solidFill>
          </w14:textFill>
        </w:rPr>
        <w:t>2、钻井过程其他防护措施</w:t>
      </w:r>
      <w:bookmarkEnd w:id="423"/>
      <w:bookmarkEnd w:id="424"/>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项目在施工建设前，应充分研究地质设计资料和钻井设计资料等，进行充分的地下水水文地质勘察工作，在了解项目所在地地下水分布、埋藏深度及岩溶发育等基本情况并在此基础上优化钻井施工工艺、泥浆体系等。在钻井、压裂过程中应加强监控，防止泥浆、压裂液的扩散污染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每开钻井结束后的固井作业可有效封隔底层和套管之间的环空，防止污染地下水。固井作业应提高固井质量，有效防止因为井漏事故造成的地下水环境污染。每开钻井结束后下套管并在套管及地层间注入水泥浆进行固井，待固井质量达标后，再进行下一开钻井作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3）加强钻井的完整性管理，确保固井质量。本项目完井作业采用酸化压裂作业的方式进行，在压裂作业前对固井质量等进行有效评估，并在压裂过程数值模拟期间要评估压裂液运移到含水层特别是水井的可能性；</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（4）项目井场建设时设置了雨污分流系统，实现了钻井废水和雨水的有效分流，可有效降低因暴雨等自然灾害而导致废水外溢污染浅层地下水风险。</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（5）项目实施过程中，应定期检查各防渗基础是否出现裂缝、防渗膜是否完好，并及时对出现破损的部位进行修复。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（6）平衡操作，避免因压力剂动和开泵过猛使泥浆憋入地层。</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7）钻井过程中密切注意钻井液的漏失情况，一旦出现漏失，立即采取堵漏措施，减少漏失量，防止钻井液的漏失污染地下水。堵漏剂的选取应考虑清洁、无毒、对人体无害，环境污染轻的种类，建议采用水泥堵漏。</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（8）</w:t>
      </w:r>
      <w:r>
        <w:rPr>
          <w:rFonts w:hint="eastAsia" w:cs="Times New Roman"/>
          <w:color w:val="000000" w:themeColor="text1"/>
          <w:szCs w:val="24"/>
          <w:highlight w:val="none"/>
          <w:lang w:val="en-US" w:eastAsia="zh-CN"/>
          <w14:textFill>
            <w14:solidFill>
              <w14:schemeClr w14:val="tx1"/>
            </w14:solidFill>
          </w14:textFill>
        </w:rPr>
        <w:t>废油及废含油抹布手套</w:t>
      </w:r>
      <w:r>
        <w:rPr>
          <w:rFonts w:cs="Times New Roman"/>
          <w:color w:val="000000" w:themeColor="text1"/>
          <w:szCs w:val="24"/>
          <w:highlight w:val="none"/>
          <w14:textFill>
            <w14:solidFill>
              <w14:schemeClr w14:val="tx1"/>
            </w14:solidFill>
          </w14:textFill>
        </w:rPr>
        <w:t>采用符合《废矿物油回收利用污染控制技术规范》（HJ607-2011）和《危险废物收集贮存运输技术规范》（HJ2025-2012）的废油桶</w:t>
      </w:r>
      <w:r>
        <w:rPr>
          <w:rFonts w:hint="eastAsia" w:cs="Times New Roman"/>
          <w:color w:val="000000" w:themeColor="text1"/>
          <w:szCs w:val="24"/>
          <w:highlight w:val="none"/>
          <w:lang w:val="en-US" w:eastAsia="zh-CN"/>
          <w14:textFill>
            <w14:solidFill>
              <w14:schemeClr w14:val="tx1"/>
            </w14:solidFill>
          </w14:textFill>
        </w:rPr>
        <w:t>暂存</w:t>
      </w:r>
      <w:r>
        <w:rPr>
          <w:rFonts w:cs="Times New Roman"/>
          <w:color w:val="000000" w:themeColor="text1"/>
          <w:szCs w:val="24"/>
          <w:highlight w:val="none"/>
          <w14:textFill>
            <w14:solidFill>
              <w14:schemeClr w14:val="tx1"/>
            </w14:solidFill>
          </w14:textFill>
        </w:rPr>
        <w:t>，并置于泥浆不落地装置区，做好</w:t>
      </w:r>
      <w:r>
        <w:rPr>
          <w:color w:val="000000" w:themeColor="text1"/>
          <w:lang w:eastAsia="zh-CN"/>
          <w14:textFill>
            <w14:solidFill>
              <w14:schemeClr w14:val="tx1"/>
            </w14:solidFill>
          </w14:textFill>
        </w:rPr>
        <w:t>防风、防晒、防雨、防漏、防渗、防腐以及其他环境污染防治措施</w:t>
      </w:r>
      <w:r>
        <w:rPr>
          <w:rFonts w:cs="Times New Roman"/>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（9）钻井过程中及时对钻井废水、压裂返排液、泥浆岩屑等进行及时转运处理，尽量缩短在现场放置时间。建议泥浆循环系统、固控系统、放喷池等均设置临时雨棚，采取各种措施防止废水外溢。</w:t>
      </w:r>
    </w:p>
    <w:p>
      <w:pPr>
        <w:ind w:firstLine="480"/>
        <w:rPr>
          <w:rFonts w:eastAsia="黑体" w:cs="Times New Roman"/>
          <w:color w:val="000000" w:themeColor="text1"/>
          <w:szCs w:val="24"/>
          <w:highlight w:val="none"/>
          <w14:textFill>
            <w14:solidFill>
              <w14:schemeClr w14:val="tx1"/>
            </w14:solidFill>
          </w14:textFill>
        </w:rPr>
      </w:pPr>
      <w:bookmarkStart w:id="425" w:name="_Toc14702844"/>
      <w:r>
        <w:rPr>
          <w:rFonts w:eastAsia="黑体" w:cs="Times New Roman"/>
          <w:color w:val="000000" w:themeColor="text1"/>
          <w:szCs w:val="24"/>
          <w:highlight w:val="none"/>
          <w14:textFill>
            <w14:solidFill>
              <w14:schemeClr w14:val="tx1"/>
            </w14:solidFill>
          </w14:textFill>
        </w:rPr>
        <w:t>3、清污分流</w:t>
      </w:r>
      <w:bookmarkEnd w:id="425"/>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本项目在井场施工中使用清污分流设计，其具体做法是井场设置内外环沟，将其生产装置运行中产生的废水进行集中收集、排放在泥浆不落地装置区和放喷池中，井场内设置内环沟，配建集污坑，</w:t>
      </w:r>
      <w:r>
        <w:rPr>
          <w:rFonts w:cs="Times New Roman"/>
          <w:bCs/>
          <w:color w:val="000000" w:themeColor="text1"/>
          <w:szCs w:val="24"/>
          <w:highlight w:val="none"/>
          <w14:textFill>
            <w14:solidFill>
              <w14:schemeClr w14:val="tx1"/>
            </w14:solidFill>
          </w14:textFill>
        </w:rPr>
        <w:t>井场外设置外环沟，并设置集水坑，初期雨水经内环沟收集后与钻井废水合并处理，后期雨水依靠井站设置的地面坡度和内外环沟的阀门控制，就地散排至外环沟，排出场外。若场内雨水被污染流入外环沟，则需封闭外环沟由作业队伍从集水坑抽汲至泥浆不落地装置、放喷池，</w:t>
      </w:r>
      <w:r>
        <w:rPr>
          <w:rFonts w:cs="Times New Roman"/>
          <w:color w:val="000000" w:themeColor="text1"/>
          <w:szCs w:val="24"/>
          <w:highlight w:val="none"/>
          <w14:textFill>
            <w14:solidFill>
              <w14:schemeClr w14:val="tx1"/>
            </w14:solidFill>
          </w14:textFill>
        </w:rPr>
        <w:t>可以有效降低因暴雨等自然灾害而导致废水外溢的危险；另一方面，针对高危的柴油储油罐、泥浆循环系统、泥浆不落地装置区等，在罐体下方修建收集区，设置围堰，收集区该做好防渗处理，以防止意外情况下，柴油、泥浆等泄漏造成地下水、土壤污染。</w:t>
      </w:r>
    </w:p>
    <w:p>
      <w:pPr>
        <w:ind w:firstLine="480"/>
        <w:rPr>
          <w:rFonts w:eastAsia="黑体" w:cs="Times New Roman"/>
          <w:color w:val="000000" w:themeColor="text1"/>
          <w:szCs w:val="24"/>
          <w:highlight w:val="none"/>
          <w14:textFill>
            <w14:solidFill>
              <w14:schemeClr w14:val="tx1"/>
            </w14:solidFill>
          </w14:textFill>
        </w:rPr>
      </w:pPr>
      <w:bookmarkStart w:id="426" w:name="_Toc14702845"/>
      <w:bookmarkStart w:id="427" w:name="_Toc24527"/>
      <w:r>
        <w:rPr>
          <w:rFonts w:eastAsia="黑体" w:cs="Times New Roman"/>
          <w:color w:val="000000" w:themeColor="text1"/>
          <w:szCs w:val="24"/>
          <w:highlight w:val="none"/>
          <w14:textFill>
            <w14:solidFill>
              <w14:schemeClr w14:val="tx1"/>
            </w14:solidFill>
          </w14:textFill>
        </w:rPr>
        <w:t>4、分区防渗措施</w:t>
      </w:r>
      <w:bookmarkEnd w:id="426"/>
      <w:bookmarkEnd w:id="427"/>
    </w:p>
    <w:p>
      <w:pPr>
        <w:ind w:firstLine="480"/>
        <w:rPr>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根据《环境影响评价技术导则 地下水环境》（HJ610-2016）的建议，本工程充分参考《石油化工工程防渗技术规范》（GB/T50934-2013）中的相关要求，实施地下水污染防渗措施。本项目以水平防渗为主，项目所在地岩（土）层单层厚度Mb大于1.0m，渗透系数1×10</w:t>
      </w:r>
      <w:r>
        <w:rPr>
          <w:rFonts w:cs="Times New Roman"/>
          <w:color w:val="000000" w:themeColor="text1"/>
          <w:szCs w:val="24"/>
          <w:highlight w:val="none"/>
          <w:vertAlign w:val="superscript"/>
          <w14:textFill>
            <w14:solidFill>
              <w14:schemeClr w14:val="tx1"/>
            </w14:solidFill>
          </w14:textFill>
        </w:rPr>
        <w:t>-6</w:t>
      </w:r>
      <w:r>
        <w:rPr>
          <w:rFonts w:cs="Times New Roman"/>
          <w:color w:val="000000" w:themeColor="text1"/>
          <w:szCs w:val="24"/>
          <w:highlight w:val="none"/>
          <w14:textFill>
            <w14:solidFill>
              <w14:schemeClr w14:val="tx1"/>
            </w14:solidFill>
          </w14:textFill>
        </w:rPr>
        <w:t>cm/s＜K≤1×10</w:t>
      </w:r>
      <w:r>
        <w:rPr>
          <w:rFonts w:cs="Times New Roman"/>
          <w:color w:val="000000" w:themeColor="text1"/>
          <w:szCs w:val="24"/>
          <w:highlight w:val="none"/>
          <w:vertAlign w:val="superscript"/>
          <w14:textFill>
            <w14:solidFill>
              <w14:schemeClr w14:val="tx1"/>
            </w14:solidFill>
          </w14:textFill>
        </w:rPr>
        <w:t>-4</w:t>
      </w:r>
      <w:r>
        <w:rPr>
          <w:rFonts w:cs="Times New Roman"/>
          <w:color w:val="000000" w:themeColor="text1"/>
          <w:szCs w:val="24"/>
          <w:highlight w:val="none"/>
          <w14:textFill>
            <w14:solidFill>
              <w14:schemeClr w14:val="tx1"/>
            </w14:solidFill>
          </w14:textFill>
        </w:rPr>
        <w:t>cm/s，且分布连续、稳定，故天然包气带防污性能为中，项目可能泄露的废水中含有部分钻井液中使用的增粘剂等持久性有机污染物。场地内场地内方井、泥浆循环系统区域、泥浆不落地系统区域（含油桶堆放区）、</w:t>
      </w:r>
      <w:r>
        <w:rPr>
          <w:rFonts w:cs="Times New Roman"/>
          <w:color w:val="000000" w:themeColor="text1"/>
          <w:szCs w:val="21"/>
          <w:highlight w:val="none"/>
          <w14:textFill>
            <w14:solidFill>
              <w14:schemeClr w14:val="tx1"/>
            </w14:solidFill>
          </w14:textFill>
        </w:rPr>
        <w:t>危险废物暂存场所</w:t>
      </w:r>
      <w:r>
        <w:rPr>
          <w:rFonts w:cs="Times New Roman"/>
          <w:color w:val="000000" w:themeColor="text1"/>
          <w:szCs w:val="24"/>
          <w:highlight w:val="none"/>
          <w14:textFill>
            <w14:solidFill>
              <w14:schemeClr w14:val="tx1"/>
            </w14:solidFill>
          </w14:textFill>
        </w:rPr>
        <w:t>、泥浆储备罐区、循环罐区、柴油罐区、放喷池等采取重点防渗措施；井架基础、发电机房、钻井固废暂存区、气源房、材料棚、雨、污分流区域以及厕所等区域采取一般防渗措施；其他区域等采取简单防渗措施</w:t>
      </w:r>
      <w:r>
        <w:rPr>
          <w:color w:val="000000" w:themeColor="text1"/>
          <w:szCs w:val="24"/>
          <w:highlight w:val="none"/>
          <w14:textFill>
            <w14:solidFill>
              <w14:schemeClr w14:val="tx1"/>
            </w14:solidFill>
          </w14:textFill>
        </w:rPr>
        <w:t>。</w:t>
      </w:r>
    </w:p>
    <w:p>
      <w:pPr>
        <w:ind w:firstLine="480"/>
        <w:rPr>
          <w:rFonts w:cs="Times New Roman"/>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本项目分区防渗布设情况及防渗系数要求见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_Ref142859666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所示。</w:t>
      </w:r>
    </w:p>
    <w:p>
      <w:pPr>
        <w:pStyle w:val="201"/>
        <w:spacing w:before="120"/>
        <w:rPr>
          <w:color w:val="000000" w:themeColor="text1"/>
          <w:highlight w:val="none"/>
          <w14:textFill>
            <w14:solidFill>
              <w14:schemeClr w14:val="tx1"/>
            </w14:solidFill>
          </w14:textFill>
        </w:rPr>
      </w:pPr>
      <w:bookmarkStart w:id="428" w:name="_Ref142859666"/>
      <w:bookmarkStart w:id="429" w:name="_Toc14702846"/>
      <w:bookmarkStart w:id="430" w:name="_Toc2624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428"/>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分区防渗布设情况及防渗技术要求表</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229"/>
        <w:gridCol w:w="2056"/>
        <w:gridCol w:w="1079"/>
        <w:gridCol w:w="1852"/>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名称</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防渗区域及部位</w:t>
            </w:r>
          </w:p>
        </w:tc>
        <w:tc>
          <w:tcPr>
            <w:tcW w:w="116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防渗分区</w:t>
            </w:r>
          </w:p>
        </w:tc>
        <w:tc>
          <w:tcPr>
            <w:tcW w:w="200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防渗技术要求</w:t>
            </w:r>
          </w:p>
        </w:tc>
        <w:tc>
          <w:tcPr>
            <w:tcW w:w="216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b/>
                <w:bCs/>
                <w:color w:val="000000" w:themeColor="text1"/>
                <w:sz w:val="21"/>
                <w:szCs w:val="20"/>
                <w:highlight w:val="none"/>
                <w14:textFill>
                  <w14:solidFill>
                    <w14:schemeClr w14:val="tx1"/>
                  </w14:solidFill>
                </w14:textFill>
              </w:rPr>
            </w:pPr>
            <w:r>
              <w:rPr>
                <w:rFonts w:hint="default" w:cs="Times New Roman"/>
                <w:b/>
                <w:bCs/>
                <w:color w:val="000000" w:themeColor="text1"/>
                <w:sz w:val="21"/>
                <w:szCs w:val="20"/>
                <w:highlight w:val="none"/>
                <w14:textFill>
                  <w14:solidFill>
                    <w14:schemeClr w14:val="tx1"/>
                  </w14:solidFill>
                </w14:textFill>
              </w:rPr>
              <w:t>采取的防渗措施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放喷池</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放喷池的池底及池壁</w:t>
            </w:r>
          </w:p>
        </w:tc>
        <w:tc>
          <w:tcPr>
            <w:tcW w:w="1165"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重点防渗分区/部位</w:t>
            </w:r>
          </w:p>
        </w:tc>
        <w:tc>
          <w:tcPr>
            <w:tcW w:w="200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等效黏土防渗层Mb≥6.0m，防渗系数1.0×10</w:t>
            </w:r>
            <w:r>
              <w:rPr>
                <w:rFonts w:hint="default" w:cs="Times New Roman"/>
                <w:color w:val="000000" w:themeColor="text1"/>
                <w:sz w:val="21"/>
                <w:szCs w:val="20"/>
                <w:highlight w:val="none"/>
                <w:vertAlign w:val="superscript"/>
                <w14:textFill>
                  <w14:solidFill>
                    <w14:schemeClr w14:val="tx1"/>
                  </w14:solidFill>
                </w14:textFill>
              </w:rPr>
              <w:t>-7</w:t>
            </w:r>
            <w:r>
              <w:rPr>
                <w:rFonts w:hint="default" w:cs="Times New Roman"/>
                <w:color w:val="000000" w:themeColor="text1"/>
                <w:sz w:val="21"/>
                <w:szCs w:val="20"/>
                <w:highlight w:val="none"/>
                <w14:textFill>
                  <w14:solidFill>
                    <w14:schemeClr w14:val="tx1"/>
                  </w14:solidFill>
                </w14:textFill>
              </w:rPr>
              <w:t>cm/s，或参照GB18598执行</w:t>
            </w:r>
          </w:p>
        </w:tc>
        <w:tc>
          <w:tcPr>
            <w:tcW w:w="216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混凝土+2mm厚高密度聚乙烯膜处理或防渗系数达到1.0×10</w:t>
            </w:r>
            <w:r>
              <w:rPr>
                <w:rFonts w:hint="default" w:cs="Times New Roman"/>
                <w:color w:val="000000" w:themeColor="text1"/>
                <w:sz w:val="21"/>
                <w:szCs w:val="20"/>
                <w:highlight w:val="none"/>
                <w:vertAlign w:val="superscript"/>
                <w14:textFill>
                  <w14:solidFill>
                    <w14:schemeClr w14:val="tx1"/>
                  </w14:solidFill>
                </w14:textFill>
              </w:rPr>
              <w:t>-10</w:t>
            </w:r>
            <w:r>
              <w:rPr>
                <w:rFonts w:hint="default" w:cs="Times New Roman"/>
                <w:color w:val="000000" w:themeColor="text1"/>
                <w:sz w:val="21"/>
                <w:szCs w:val="20"/>
                <w:highlight w:val="none"/>
                <w14:textFill>
                  <w14:solidFill>
                    <w14:schemeClr w14:val="tx1"/>
                  </w14:solidFill>
                </w14:textFill>
              </w:rPr>
              <w:t>cm/s的防渗材料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方井</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方井池壁和池底</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油罐区、油桶堆放区</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油罐区的池底及围堰、油桶区域及围堰</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泥浆循环系统</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重浆罐的池底、池壁围堰及泥浆泵基础</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泥浆不落地系统</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整体基础</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循环罐、储备罐</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循环罐、储备罐的池底及围堰</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危险废物暂存场所（若使用油基钻井液时设置）</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底部及四周</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eastAsia" w:cs="Times New Roman"/>
                <w:color w:val="000000" w:themeColor="text1"/>
                <w:sz w:val="21"/>
                <w:szCs w:val="20"/>
                <w:highlight w:val="none"/>
                <w14:textFill>
                  <w14:solidFill>
                    <w14:schemeClr w14:val="tx1"/>
                  </w14:solidFill>
                </w14:textFill>
              </w:rPr>
              <w:t>按</w:t>
            </w:r>
            <w:r>
              <w:rPr>
                <w:rFonts w:hint="default" w:cs="Times New Roman"/>
                <w:color w:val="000000" w:themeColor="text1"/>
                <w:sz w:val="21"/>
                <w:szCs w:val="20"/>
                <w:highlight w:val="none"/>
                <w14:textFill>
                  <w14:solidFill>
                    <w14:schemeClr w14:val="tx1"/>
                  </w14:solidFill>
                </w14:textFill>
              </w:rPr>
              <w:t>GB18597执行</w:t>
            </w:r>
          </w:p>
        </w:tc>
        <w:tc>
          <w:tcPr>
            <w:tcW w:w="2167" w:type="dxa"/>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混凝土+2mm厚高密度聚乙烯膜处理或防渗系数达到1.0×10</w:t>
            </w:r>
            <w:r>
              <w:rPr>
                <w:rFonts w:hint="default" w:cs="Times New Roman"/>
                <w:color w:val="000000" w:themeColor="text1"/>
                <w:sz w:val="21"/>
                <w:szCs w:val="20"/>
                <w:highlight w:val="none"/>
                <w:vertAlign w:val="superscript"/>
                <w14:textFill>
                  <w14:solidFill>
                    <w14:schemeClr w14:val="tx1"/>
                  </w14:solidFill>
                </w14:textFill>
              </w:rPr>
              <w:t>-10</w:t>
            </w:r>
            <w:r>
              <w:rPr>
                <w:rFonts w:hint="default" w:cs="Times New Roman"/>
                <w:color w:val="000000" w:themeColor="text1"/>
                <w:sz w:val="21"/>
                <w:szCs w:val="20"/>
                <w:highlight w:val="none"/>
                <w14:textFill>
                  <w14:solidFill>
                    <w14:schemeClr w14:val="tx1"/>
                  </w14:solidFill>
                </w14:textFill>
              </w:rPr>
              <w:t>cm/s的防渗材料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发电机房及电传系统</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发电机房基础</w:t>
            </w:r>
          </w:p>
        </w:tc>
        <w:tc>
          <w:tcPr>
            <w:tcW w:w="1165"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一般防渗分区/部位</w:t>
            </w:r>
          </w:p>
        </w:tc>
        <w:tc>
          <w:tcPr>
            <w:tcW w:w="200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等效黏土防渗层Mb≥1m，防渗系数1.0×10</w:t>
            </w:r>
            <w:r>
              <w:rPr>
                <w:rFonts w:hint="default" w:cs="Times New Roman"/>
                <w:color w:val="000000" w:themeColor="text1"/>
                <w:sz w:val="21"/>
                <w:szCs w:val="20"/>
                <w:highlight w:val="none"/>
                <w:vertAlign w:val="superscript"/>
                <w14:textFill>
                  <w14:solidFill>
                    <w14:schemeClr w14:val="tx1"/>
                  </w14:solidFill>
                </w14:textFill>
              </w:rPr>
              <w:t>-7</w:t>
            </w:r>
            <w:r>
              <w:rPr>
                <w:rFonts w:hint="default" w:cs="Times New Roman"/>
                <w:color w:val="000000" w:themeColor="text1"/>
                <w:sz w:val="21"/>
                <w:szCs w:val="20"/>
                <w:highlight w:val="none"/>
                <w14:textFill>
                  <w14:solidFill>
                    <w14:schemeClr w14:val="tx1"/>
                  </w14:solidFill>
                </w14:textFill>
              </w:rPr>
              <w:t>cm/s，或参照GB16889执行</w:t>
            </w:r>
          </w:p>
        </w:tc>
        <w:tc>
          <w:tcPr>
            <w:tcW w:w="216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left"/>
              <w:textAlignment w:val="baseline"/>
              <w:rPr>
                <w:rFonts w:hint="default" w:cs="Times New Roman"/>
                <w:color w:val="000000" w:themeColor="text1"/>
                <w:sz w:val="21"/>
                <w:szCs w:val="20"/>
                <w:highlight w:val="none"/>
                <w14:textFill>
                  <w14:solidFill>
                    <w14:schemeClr w14:val="tx1"/>
                  </w14:solidFill>
                </w14:textFill>
              </w:rPr>
            </w:pPr>
            <w:bookmarkStart w:id="431" w:name="OLE_LINK7"/>
            <w:bookmarkStart w:id="432" w:name="OLE_LINK8"/>
            <w:r>
              <w:rPr>
                <w:rFonts w:hint="default" w:cs="Times New Roman"/>
                <w:color w:val="000000" w:themeColor="text1"/>
                <w:sz w:val="21"/>
                <w:szCs w:val="20"/>
                <w:highlight w:val="none"/>
                <w14:textFill>
                  <w14:solidFill>
                    <w14:schemeClr w14:val="tx1"/>
                  </w14:solidFill>
                </w14:textFill>
              </w:rPr>
              <w:t>混凝土+防渗系数达到1.0×10</w:t>
            </w:r>
            <w:r>
              <w:rPr>
                <w:rFonts w:hint="default" w:cs="Times New Roman"/>
                <w:color w:val="000000" w:themeColor="text1"/>
                <w:sz w:val="21"/>
                <w:szCs w:val="20"/>
                <w:highlight w:val="none"/>
                <w:vertAlign w:val="superscript"/>
                <w14:textFill>
                  <w14:solidFill>
                    <w14:schemeClr w14:val="tx1"/>
                  </w14:solidFill>
                </w14:textFill>
              </w:rPr>
              <w:t>-7</w:t>
            </w:r>
            <w:r>
              <w:rPr>
                <w:rFonts w:hint="default" w:cs="Times New Roman"/>
                <w:color w:val="000000" w:themeColor="text1"/>
                <w:sz w:val="21"/>
                <w:szCs w:val="20"/>
                <w:highlight w:val="none"/>
                <w14:textFill>
                  <w14:solidFill>
                    <w14:schemeClr w14:val="tx1"/>
                  </w14:solidFill>
                </w14:textFill>
              </w:rPr>
              <w:t>cm/s的防渗材料</w:t>
            </w:r>
            <w:bookmarkEnd w:id="431"/>
            <w:bookmarkEnd w:id="4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清水池</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清水池壁和池底</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井架基础</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钻井平台基础</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钻井固废暂存区</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整体基础</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气源房、材料棚、雨、污分流区域</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基础</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环保厕所</w:t>
            </w:r>
          </w:p>
        </w:tc>
        <w:tc>
          <w:tcPr>
            <w:tcW w:w="22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池底及池壁</w:t>
            </w:r>
          </w:p>
        </w:tc>
        <w:tc>
          <w:tcPr>
            <w:tcW w:w="1165"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4"/>
                <w:highlight w:val="none"/>
                <w14:textFill>
                  <w14:solidFill>
                    <w14:schemeClr w14:val="tx1"/>
                  </w14:solidFill>
                </w14:textFill>
              </w:rPr>
            </w:pPr>
          </w:p>
        </w:tc>
        <w:tc>
          <w:tcPr>
            <w:tcW w:w="20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4"/>
                <w:highlight w:val="none"/>
                <w14:textFill>
                  <w14:solidFill>
                    <w14:schemeClr w14:val="tx1"/>
                  </w14:solidFill>
                </w14:textFill>
              </w:rPr>
            </w:pPr>
          </w:p>
        </w:tc>
        <w:tc>
          <w:tcPr>
            <w:tcW w:w="216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水罐</w:t>
            </w:r>
          </w:p>
        </w:tc>
        <w:tc>
          <w:tcPr>
            <w:tcW w:w="2223"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水罐周围地面</w:t>
            </w:r>
          </w:p>
        </w:tc>
        <w:tc>
          <w:tcPr>
            <w:tcW w:w="1165" w:type="dxa"/>
            <w:vMerge w:val="restart"/>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简单防渗区/部位</w:t>
            </w:r>
          </w:p>
        </w:tc>
        <w:tc>
          <w:tcPr>
            <w:tcW w:w="2002" w:type="dxa"/>
            <w:vMerge w:val="restart"/>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一般地面硬化</w:t>
            </w:r>
          </w:p>
        </w:tc>
        <w:tc>
          <w:tcPr>
            <w:tcW w:w="2167" w:type="dxa"/>
            <w:vMerge w:val="restart"/>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水泥地面硬化或砂石黏土碾压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1327"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其他区域</w:t>
            </w:r>
          </w:p>
        </w:tc>
        <w:tc>
          <w:tcPr>
            <w:tcW w:w="2223" w:type="dxa"/>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r>
              <w:rPr>
                <w:rFonts w:hint="default" w:cs="Times New Roman"/>
                <w:color w:val="000000" w:themeColor="text1"/>
                <w:sz w:val="21"/>
                <w:szCs w:val="20"/>
                <w:highlight w:val="none"/>
                <w14:textFill>
                  <w14:solidFill>
                    <w14:schemeClr w14:val="tx1"/>
                  </w14:solidFill>
                </w14:textFill>
              </w:rPr>
              <w:t>/</w:t>
            </w:r>
          </w:p>
        </w:tc>
        <w:tc>
          <w:tcPr>
            <w:tcW w:w="1165" w:type="dxa"/>
            <w:vMerge w:val="continue"/>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002" w:type="dxa"/>
            <w:vMerge w:val="continue"/>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c>
          <w:tcPr>
            <w:tcW w:w="2167" w:type="dxa"/>
            <w:vMerge w:val="continue"/>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baseline"/>
              <w:rPr>
                <w:rFonts w:hint="default" w:cs="Times New Roman"/>
                <w:color w:val="000000" w:themeColor="text1"/>
                <w:sz w:val="21"/>
                <w:szCs w:val="20"/>
                <w:highlight w:val="none"/>
                <w14:textFill>
                  <w14:solidFill>
                    <w14:schemeClr w14:val="tx1"/>
                  </w14:solidFill>
                </w14:textFill>
              </w:rPr>
            </w:pPr>
          </w:p>
        </w:tc>
      </w:tr>
    </w:tbl>
    <w:p>
      <w:pPr>
        <w:spacing w:before="120" w:beforeLines="50"/>
        <w:ind w:firstLine="480"/>
        <w:rPr>
          <w:rFonts w:eastAsia="黑体" w:cs="Times New Roman"/>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5、地下水环境监控</w:t>
      </w:r>
      <w:bookmarkEnd w:id="429"/>
      <w:bookmarkEnd w:id="430"/>
    </w:p>
    <w:p>
      <w:pPr>
        <w:ind w:firstLine="482"/>
        <w:rPr>
          <w:rFonts w:cs="Times New Roman"/>
          <w:b/>
          <w:bCs/>
          <w:color w:val="000000" w:themeColor="text1"/>
          <w:szCs w:val="24"/>
          <w:highlight w:val="none"/>
          <w14:textFill>
            <w14:solidFill>
              <w14:schemeClr w14:val="tx1"/>
            </w14:solidFill>
          </w14:textFill>
        </w:rPr>
      </w:pPr>
      <w:bookmarkStart w:id="433" w:name="_Toc14702847"/>
      <w:r>
        <w:rPr>
          <w:rFonts w:cs="Times New Roman"/>
          <w:b/>
          <w:bCs/>
          <w:color w:val="000000" w:themeColor="text1"/>
          <w:szCs w:val="24"/>
          <w:highlight w:val="none"/>
          <w14:textFill>
            <w14:solidFill>
              <w14:schemeClr w14:val="tx1"/>
            </w14:solidFill>
          </w14:textFill>
        </w:rPr>
        <w:t>（1）地下水监控原则</w:t>
      </w:r>
      <w:bookmarkEnd w:id="433"/>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按照地下水环评导则及地下水监测技术规范等相关要求，地下水监测应按以下要求进行：</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①</w:t>
      </w:r>
      <w:r>
        <w:rPr>
          <w:rFonts w:cs="Times New Roman"/>
          <w:bCs/>
          <w:color w:val="000000" w:themeColor="text1"/>
          <w:szCs w:val="24"/>
          <w:highlight w:val="none"/>
          <w14:textFill>
            <w14:solidFill>
              <w14:schemeClr w14:val="tx1"/>
            </w14:solidFill>
          </w14:textFill>
        </w:rPr>
        <w:t>在地下水水流上游方向应设不少于1眼地下水背景（或对照）监控井；</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②</w:t>
      </w:r>
      <w:r>
        <w:rPr>
          <w:rFonts w:cs="Times New Roman"/>
          <w:bCs/>
          <w:color w:val="000000" w:themeColor="text1"/>
          <w:szCs w:val="24"/>
          <w:highlight w:val="none"/>
          <w14:textFill>
            <w14:solidFill>
              <w14:schemeClr w14:val="tx1"/>
            </w14:solidFill>
          </w14:textFill>
        </w:rPr>
        <w:t>在项目场地外可能受到影响的地下水环境敏感目标的上游应至少布设1眼地下水污染监控井；</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③</w:t>
      </w:r>
      <w:r>
        <w:rPr>
          <w:rFonts w:cs="Times New Roman"/>
          <w:bCs/>
          <w:color w:val="000000" w:themeColor="text1"/>
          <w:szCs w:val="24"/>
          <w:highlight w:val="none"/>
          <w14:textFill>
            <w14:solidFill>
              <w14:schemeClr w14:val="tx1"/>
            </w14:solidFill>
          </w14:textFill>
        </w:rPr>
        <w:t>以取水层为监测目的层，以浅层潜水含水层为主，并应考虑可能受影响的承压含水层；</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④</w:t>
      </w:r>
      <w:r>
        <w:rPr>
          <w:rFonts w:cs="Times New Roman"/>
          <w:bCs/>
          <w:color w:val="000000" w:themeColor="text1"/>
          <w:szCs w:val="24"/>
          <w:highlight w:val="none"/>
          <w14:textFill>
            <w14:solidFill>
              <w14:schemeClr w14:val="tx1"/>
            </w14:solidFill>
          </w14:textFill>
        </w:rPr>
        <w:t>在重点污染防治区加密监测；</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⑤</w:t>
      </w:r>
      <w:r>
        <w:rPr>
          <w:rFonts w:cs="Times New Roman"/>
          <w:bCs/>
          <w:color w:val="000000" w:themeColor="text1"/>
          <w:szCs w:val="24"/>
          <w:highlight w:val="none"/>
          <w14:textFill>
            <w14:solidFill>
              <w14:schemeClr w14:val="tx1"/>
            </w14:solidFill>
          </w14:textFill>
        </w:rPr>
        <w:t>根据各区块地下水环境影响预测与评价结果有针对性地布设监测井。</w:t>
      </w:r>
    </w:p>
    <w:p>
      <w:pPr>
        <w:ind w:firstLine="480"/>
        <w:rPr>
          <w:rFonts w:cs="Times New Roman"/>
          <w:bCs/>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⑥</w:t>
      </w:r>
      <w:r>
        <w:rPr>
          <w:rFonts w:cs="Times New Roman"/>
          <w:bCs/>
          <w:color w:val="000000" w:themeColor="text1"/>
          <w:szCs w:val="24"/>
          <w:highlight w:val="none"/>
          <w14:textFill>
            <w14:solidFill>
              <w14:schemeClr w14:val="tx1"/>
            </w14:solidFill>
          </w14:textFill>
        </w:rPr>
        <w:t>充分利用现有民井、监测井，污染事件发生后监测井可以作为地下水污染事故应急处置的抽水井；</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bCs/>
          <w:color w:val="000000" w:themeColor="text1"/>
          <w:szCs w:val="24"/>
          <w:highlight w:val="none"/>
          <w14:textFill>
            <w14:solidFill>
              <w14:schemeClr w14:val="tx1"/>
            </w14:solidFill>
          </w14:textFill>
        </w:rPr>
        <w:t>⑦</w:t>
      </w:r>
      <w:r>
        <w:rPr>
          <w:rFonts w:cs="Times New Roman"/>
          <w:bCs/>
          <w:color w:val="000000" w:themeColor="text1"/>
          <w:szCs w:val="24"/>
          <w:highlight w:val="none"/>
          <w14:textFill>
            <w14:solidFill>
              <w14:schemeClr w14:val="tx1"/>
            </w14:solidFill>
          </w14:textFill>
        </w:rPr>
        <w:t>水质监测项目参照《地下水质量标准》（GB/T 14848-2017）相关要求和潜在污染源特征污染因子确定，各监测井可依据监测目的不同适当增加和减少监测项目。建设单位安全环保部门设立地下水动态监测小组，专人负责监测或者委托专业的机构分析</w:t>
      </w:r>
      <w:r>
        <w:rPr>
          <w:rFonts w:cs="Times New Roman"/>
          <w:color w:val="000000" w:themeColor="text1"/>
          <w:szCs w:val="24"/>
          <w:highlight w:val="none"/>
          <w14:textFill>
            <w14:solidFill>
              <w14:schemeClr w14:val="tx1"/>
            </w14:solidFill>
          </w14:textFill>
        </w:rPr>
        <w:t>。</w:t>
      </w:r>
    </w:p>
    <w:p>
      <w:pPr>
        <w:ind w:firstLine="482"/>
        <w:rPr>
          <w:rFonts w:cs="Times New Roman"/>
          <w:b/>
          <w:bCs/>
          <w:color w:val="000000" w:themeColor="text1"/>
          <w:szCs w:val="24"/>
          <w:highlight w:val="none"/>
          <w14:textFill>
            <w14:solidFill>
              <w14:schemeClr w14:val="tx1"/>
            </w14:solidFill>
          </w14:textFill>
        </w:rPr>
      </w:pPr>
      <w:bookmarkStart w:id="434" w:name="_Toc14702848"/>
      <w:r>
        <w:rPr>
          <w:rFonts w:cs="Times New Roman"/>
          <w:b/>
          <w:bCs/>
          <w:color w:val="000000" w:themeColor="text1"/>
          <w:szCs w:val="24"/>
          <w:highlight w:val="none"/>
          <w14:textFill>
            <w14:solidFill>
              <w14:schemeClr w14:val="tx1"/>
            </w14:solidFill>
          </w14:textFill>
        </w:rPr>
        <w:t>（2）监控井布置</w:t>
      </w:r>
      <w:bookmarkEnd w:id="434"/>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根据项目所在地区域地下水埋深、地下水走向、补径排关系以及监控井布设的难易程度，结合地形及位置关系，本项目布置</w:t>
      </w:r>
      <w:r>
        <w:rPr>
          <w:rFonts w:hint="eastAsia" w:cs="Times New Roman"/>
          <w:color w:val="000000" w:themeColor="text1"/>
          <w:szCs w:val="24"/>
          <w:highlight w:val="none"/>
          <w:lang w:val="en-US" w:eastAsia="zh-CN"/>
          <w14:textFill>
            <w14:solidFill>
              <w14:schemeClr w14:val="tx1"/>
            </w14:solidFill>
          </w14:textFill>
        </w:rPr>
        <w:t>3</w:t>
      </w:r>
      <w:r>
        <w:rPr>
          <w:rFonts w:cs="Times New Roman"/>
          <w:color w:val="000000" w:themeColor="text1"/>
          <w:szCs w:val="24"/>
          <w:highlight w:val="none"/>
          <w14:textFill>
            <w14:solidFill>
              <w14:schemeClr w14:val="tx1"/>
            </w14:solidFill>
          </w14:textFill>
        </w:rPr>
        <w:t>口</w:t>
      </w:r>
      <w:r>
        <w:rPr>
          <w:rFonts w:hint="eastAsia" w:cs="Times New Roman"/>
          <w:color w:val="000000" w:themeColor="text1"/>
          <w:szCs w:val="24"/>
          <w:highlight w:val="none"/>
          <w14:textFill>
            <w14:solidFill>
              <w14:schemeClr w14:val="tx1"/>
            </w14:solidFill>
          </w14:textFill>
        </w:rPr>
        <w:t>泉水点</w:t>
      </w:r>
      <w:r>
        <w:rPr>
          <w:rFonts w:cs="Times New Roman"/>
          <w:color w:val="000000" w:themeColor="text1"/>
          <w:szCs w:val="24"/>
          <w:highlight w:val="none"/>
          <w14:textFill>
            <w14:solidFill>
              <w14:schemeClr w14:val="tx1"/>
            </w14:solidFill>
          </w14:textFill>
        </w:rPr>
        <w:t>作为地下水例行监测点，监测方案见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_Ref142859680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2</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。环评建议施工期间加强对上述监测控制点的监控，若监测结果表明项目实施导致地下水污染，应采取临时供水措施（配送桶装水等）以保障居民的饮用水源安全。</w:t>
      </w:r>
    </w:p>
    <w:p>
      <w:pPr>
        <w:pStyle w:val="201"/>
        <w:spacing w:before="120"/>
        <w:rPr>
          <w:color w:val="000000" w:themeColor="text1"/>
          <w:highlight w:val="none"/>
          <w14:textFill>
            <w14:solidFill>
              <w14:schemeClr w14:val="tx1"/>
            </w14:solidFill>
          </w14:textFill>
        </w:rPr>
      </w:pPr>
      <w:bookmarkStart w:id="435" w:name="_Ref14285968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bookmarkEnd w:id="43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施工期间地下水水质监测方案</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8"/>
        <w:gridCol w:w="904"/>
        <w:gridCol w:w="1120"/>
        <w:gridCol w:w="1216"/>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38"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监测井位与建设项目的位置关系</w:t>
            </w:r>
          </w:p>
        </w:tc>
        <w:tc>
          <w:tcPr>
            <w:tcW w:w="904"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含水层</w:t>
            </w:r>
          </w:p>
        </w:tc>
        <w:tc>
          <w:tcPr>
            <w:tcW w:w="2336"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监测项目</w:t>
            </w:r>
          </w:p>
        </w:tc>
        <w:tc>
          <w:tcPr>
            <w:tcW w:w="2242" w:type="dxa"/>
            <w:vMerge w:val="restart"/>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3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p>
        </w:tc>
        <w:tc>
          <w:tcPr>
            <w:tcW w:w="904"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p>
        </w:tc>
        <w:tc>
          <w:tcPr>
            <w:tcW w:w="112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常规因子</w:t>
            </w:r>
          </w:p>
        </w:tc>
        <w:tc>
          <w:tcPr>
            <w:tcW w:w="121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特征因子</w:t>
            </w:r>
          </w:p>
        </w:tc>
        <w:tc>
          <w:tcPr>
            <w:tcW w:w="224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3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default"/>
                <w:color w:val="000000" w:themeColor="text1"/>
                <w:szCs w:val="20"/>
                <w:highlight w:val="none"/>
                <w:lang w:val="en-US" w:eastAsia="zh-CN"/>
                <w14:textFill>
                  <w14:solidFill>
                    <w14:schemeClr w14:val="tx1"/>
                  </w14:solidFill>
                </w14:textFill>
              </w:rPr>
              <w:t>新建</w:t>
            </w:r>
            <w:r>
              <w:rPr>
                <w:rFonts w:hint="eastAsia"/>
                <w:color w:val="000000" w:themeColor="text1"/>
                <w:szCs w:val="20"/>
                <w:highlight w:val="none"/>
                <w:lang w:val="en-US" w:eastAsia="zh-CN"/>
                <w14:textFill>
                  <w14:solidFill>
                    <w14:schemeClr w14:val="tx1"/>
                  </w14:solidFill>
                </w14:textFill>
              </w:rPr>
              <w:t>雷页1试验井组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西南侧</w:t>
            </w:r>
            <w:r>
              <w:rPr>
                <w:rFonts w:hint="eastAsia"/>
                <w:color w:val="000000" w:themeColor="text1"/>
                <w:szCs w:val="20"/>
                <w:highlight w:val="none"/>
                <w:lang w:val="en-US" w:eastAsia="zh-CN"/>
                <w14:textFill>
                  <w14:solidFill>
                    <w14:schemeClr w14:val="tx1"/>
                  </w14:solidFill>
                </w14:textFill>
              </w:rPr>
              <w:t>489</w:t>
            </w:r>
            <w:r>
              <w:rPr>
                <w:rFonts w:hint="default"/>
                <w:color w:val="000000" w:themeColor="text1"/>
                <w:szCs w:val="20"/>
                <w:highlight w:val="none"/>
                <w:lang w:val="en-US" w:eastAsia="zh-CN"/>
                <w14:textFill>
                  <w14:solidFill>
                    <w14:schemeClr w14:val="tx1"/>
                  </w14:solidFill>
                </w14:textFill>
              </w:rPr>
              <w:t>m</w:t>
            </w:r>
            <w:r>
              <w:rPr>
                <w:rFonts w:hint="eastAsia"/>
                <w:color w:val="000000" w:themeColor="text1"/>
                <w:szCs w:val="20"/>
                <w:highlight w:val="none"/>
                <w:lang w:val="en-US" w:eastAsia="zh-CN"/>
                <w14:textFill>
                  <w14:solidFill>
                    <w14:schemeClr w14:val="tx1"/>
                  </w14:solidFill>
                </w14:textFill>
              </w:rPr>
              <w:t>泉水点</w:t>
            </w:r>
          </w:p>
        </w:tc>
        <w:tc>
          <w:tcPr>
            <w:tcW w:w="904"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监控点，</w:t>
            </w:r>
            <w:r>
              <w:rPr>
                <w:rFonts w:hint="default"/>
                <w:color w:val="000000" w:themeColor="text1"/>
                <w:szCs w:val="21"/>
                <w:highlight w:val="none"/>
                <w14:textFill>
                  <w14:solidFill>
                    <w14:schemeClr w14:val="tx1"/>
                  </w14:solidFill>
                </w14:textFill>
              </w:rPr>
              <w:t>潜水层</w:t>
            </w:r>
          </w:p>
        </w:tc>
        <w:tc>
          <w:tcPr>
            <w:tcW w:w="112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pH值、总硬度、六价铬、铁、锰、耗氧量</w:t>
            </w:r>
          </w:p>
        </w:tc>
        <w:tc>
          <w:tcPr>
            <w:tcW w:w="121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TDS、COD、石油类、氯离子（Cl-）</w:t>
            </w:r>
          </w:p>
        </w:tc>
        <w:tc>
          <w:tcPr>
            <w:tcW w:w="224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开工前1次，完钻后1次，发生事故时加密监测；试采期每年对1#点位例行监测</w:t>
            </w:r>
            <w:r>
              <w:rPr>
                <w:rFonts w:hint="eastAsia"/>
                <w:color w:val="000000" w:themeColor="text1"/>
                <w:szCs w:val="21"/>
                <w:highlight w:val="none"/>
                <w14:textFill>
                  <w14:solidFill>
                    <w14:schemeClr w14:val="tx1"/>
                  </w14:solidFill>
                </w14:textFill>
              </w:rPr>
              <w:t>两</w:t>
            </w:r>
            <w:r>
              <w:rPr>
                <w:rFonts w:hint="default"/>
                <w:color w:val="000000" w:themeColor="text1"/>
                <w:szCs w:val="21"/>
                <w:highlight w:val="none"/>
                <w14:textFill>
                  <w14:solidFill>
                    <w14:schemeClr w14:val="tx1"/>
                  </w14:solidFill>
                </w14:textFill>
              </w:rPr>
              <w:t>次，事故时加密监测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3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r>
              <w:rPr>
                <w:rFonts w:hint="eastAsia"/>
                <w:color w:val="000000" w:themeColor="text1"/>
                <w:szCs w:val="20"/>
                <w:highlight w:val="none"/>
                <w:lang w:eastAsia="zh-CN"/>
                <w14:textFill>
                  <w14:solidFill>
                    <w14:schemeClr w14:val="tx1"/>
                  </w14:solidFill>
                </w14:textFill>
              </w:rPr>
              <w:t>普</w:t>
            </w:r>
            <w:r>
              <w:rPr>
                <w:rFonts w:hint="eastAsia"/>
                <w:color w:val="000000" w:themeColor="text1"/>
                <w:szCs w:val="20"/>
                <w:highlight w:val="none"/>
                <w:lang w:val="en-US" w:eastAsia="zh-CN"/>
                <w14:textFill>
                  <w14:solidFill>
                    <w14:schemeClr w14:val="tx1"/>
                  </w14:solidFill>
                </w14:textFill>
              </w:rPr>
              <w:t>建雷页1试验井组东侧379m</w:t>
            </w:r>
            <w:r>
              <w:rPr>
                <w:rFonts w:hint="eastAsia"/>
                <w:color w:val="000000" w:themeColor="text1"/>
                <w:szCs w:val="20"/>
                <w:highlight w:val="none"/>
                <w14:textFill>
                  <w14:solidFill>
                    <w14:schemeClr w14:val="tx1"/>
                  </w14:solidFill>
                </w14:textFill>
              </w:rPr>
              <w:t>泉水点</w:t>
            </w:r>
          </w:p>
        </w:tc>
        <w:tc>
          <w:tcPr>
            <w:tcW w:w="904"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监控点，</w:t>
            </w:r>
            <w:r>
              <w:rPr>
                <w:rFonts w:hint="default"/>
                <w:color w:val="000000" w:themeColor="text1"/>
                <w:szCs w:val="21"/>
                <w:highlight w:val="none"/>
                <w14:textFill>
                  <w14:solidFill>
                    <w14:schemeClr w14:val="tx1"/>
                  </w14:solidFill>
                </w14:textFill>
              </w:rPr>
              <w:t>潜水层</w:t>
            </w:r>
          </w:p>
        </w:tc>
        <w:tc>
          <w:tcPr>
            <w:tcW w:w="1120"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216"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2242"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3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新建雷页1试验井组东北侧89m泉水点</w:t>
            </w:r>
          </w:p>
        </w:tc>
        <w:tc>
          <w:tcPr>
            <w:tcW w:w="904" w:type="dxa"/>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背景点，</w:t>
            </w:r>
            <w:r>
              <w:rPr>
                <w:rFonts w:hint="default"/>
                <w:color w:val="000000" w:themeColor="text1"/>
                <w:szCs w:val="21"/>
                <w:highlight w:val="none"/>
                <w14:textFill>
                  <w14:solidFill>
                    <w14:schemeClr w14:val="tx1"/>
                  </w14:solidFill>
                </w14:textFill>
              </w:rPr>
              <w:t>潜水层</w:t>
            </w:r>
          </w:p>
        </w:tc>
        <w:tc>
          <w:tcPr>
            <w:tcW w:w="1120"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1216"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c>
          <w:tcPr>
            <w:tcW w:w="2242"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Cs w:val="20"/>
                <w:highlight w:val="none"/>
                <w14:textFill>
                  <w14:solidFill>
                    <w14:schemeClr w14:val="tx1"/>
                  </w14:solidFill>
                </w14:textFill>
              </w:rPr>
            </w:pPr>
          </w:p>
        </w:tc>
      </w:tr>
    </w:tbl>
    <w:p>
      <w:pPr>
        <w:spacing w:before="120" w:beforeLines="50"/>
        <w:ind w:firstLine="480"/>
        <w:rPr>
          <w:rFonts w:eastAsia="黑体" w:cs="Times New Roman"/>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6应急响应</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无论预防工作如何周密，地下水污染事故总是难以根本杜绝，制定地下水污染应急响应是要迅速而有效的将事故损失减至最小，应急响应如</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_Ref142925147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3</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93"/>
        <w:rPr>
          <w:color w:val="000000" w:themeColor="text1"/>
          <w:highlight w:val="none"/>
          <w14:textFill>
            <w14:solidFill>
              <w14:schemeClr w14:val="tx1"/>
            </w14:solidFill>
          </w14:textFill>
        </w:rPr>
      </w:pPr>
      <w:r>
        <w:rPr>
          <w:rFonts w:eastAsia="黑体"/>
          <w:color w:val="000000" w:themeColor="text1"/>
          <w:highlight w:val="none"/>
          <w:lang w:eastAsia="zh-CN"/>
          <w14:textFill>
            <w14:solidFill>
              <w14:schemeClr w14:val="tx1"/>
            </w14:solidFill>
          </w14:textFill>
        </w:rPr>
        <w:drawing>
          <wp:inline distT="0" distB="0" distL="0" distR="0">
            <wp:extent cx="5039995" cy="5681980"/>
            <wp:effectExtent l="0" t="0" r="8255" b="1397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039995" cy="5681980"/>
                    </a:xfrm>
                    <a:prstGeom prst="rect">
                      <a:avLst/>
                    </a:prstGeom>
                    <a:noFill/>
                    <a:ln>
                      <a:noFill/>
                    </a:ln>
                  </pic:spPr>
                </pic:pic>
              </a:graphicData>
            </a:graphic>
          </wp:inline>
        </w:drawing>
      </w:r>
    </w:p>
    <w:p>
      <w:pPr>
        <w:pStyle w:val="163"/>
        <w:rPr>
          <w:color w:val="000000" w:themeColor="text1"/>
          <w:highlight w:val="none"/>
          <w14:textFill>
            <w14:solidFill>
              <w14:schemeClr w14:val="tx1"/>
            </w14:solidFill>
          </w14:textFill>
        </w:rPr>
      </w:pPr>
      <w:bookmarkStart w:id="436" w:name="_Ref142925147"/>
      <w:r>
        <w:rPr>
          <w:rFonts w:hint="eastAsia"/>
          <w:color w:val="000000" w:themeColor="text1"/>
          <w:highlight w:val="none"/>
          <w14:textFill>
            <w14:solidFill>
              <w14:schemeClr w14:val="tx1"/>
            </w14:solidFill>
          </w14:textFill>
        </w:rPr>
        <w:t>图</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图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bookmarkEnd w:id="436"/>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地下水污染应急响应程序图</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（1）风险应急预案</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建设单位应根据《中华人民共和国水污染防治法》编制相应的应急方案，</w:t>
      </w:r>
      <w:r>
        <w:rPr>
          <w:rFonts w:ascii="Times New Roman" w:hAnsi="Times New Roman"/>
          <w:color w:val="000000" w:themeColor="text1"/>
          <w:sz w:val="24"/>
          <w:szCs w:val="24"/>
          <w:highlight w:val="none"/>
          <w:lang w:eastAsia="zh-CN"/>
          <w14:textFill>
            <w14:solidFill>
              <w14:schemeClr w14:val="tx1"/>
            </w14:solidFill>
          </w14:textFill>
        </w:rPr>
        <w:t>并按照《关于印发</w:t>
      </w:r>
      <w:r>
        <w:rPr>
          <w:rFonts w:hint="eastAsia"/>
          <w:color w:val="000000" w:themeColor="text1"/>
          <w:sz w:val="24"/>
          <w:szCs w:val="24"/>
          <w:highlight w:val="none"/>
          <w:lang w:eastAsia="zh-CN"/>
          <w14:textFill>
            <w14:solidFill>
              <w14:schemeClr w14:val="tx1"/>
            </w14:solidFill>
          </w14:textFill>
        </w:rPr>
        <w:t>〈</w:t>
      </w:r>
      <w:r>
        <w:rPr>
          <w:rFonts w:ascii="Times New Roman" w:hAnsi="Times New Roman"/>
          <w:color w:val="000000" w:themeColor="text1"/>
          <w:sz w:val="24"/>
          <w:szCs w:val="24"/>
          <w:highlight w:val="none"/>
          <w:lang w:eastAsia="zh-CN"/>
          <w14:textFill>
            <w14:solidFill>
              <w14:schemeClr w14:val="tx1"/>
            </w14:solidFill>
          </w14:textFill>
        </w:rPr>
        <w:t>企业突发环境事件风险评估指南（试行）的通知</w:t>
      </w:r>
      <w:r>
        <w:rPr>
          <w:rFonts w:hint="eastAsia"/>
          <w:color w:val="000000" w:themeColor="text1"/>
          <w:sz w:val="24"/>
          <w:szCs w:val="24"/>
          <w:highlight w:val="none"/>
          <w:lang w:eastAsia="zh-CN"/>
          <w14:textFill>
            <w14:solidFill>
              <w14:schemeClr w14:val="tx1"/>
            </w14:solidFill>
          </w14:textFill>
        </w:rPr>
        <w:t>〉</w:t>
      </w:r>
      <w:r>
        <w:rPr>
          <w:rFonts w:ascii="Times New Roman" w:hAnsi="Times New Roman"/>
          <w:color w:val="000000" w:themeColor="text1"/>
          <w:sz w:val="24"/>
          <w:szCs w:val="24"/>
          <w:highlight w:val="none"/>
          <w:lang w:eastAsia="zh-CN"/>
          <w14:textFill>
            <w14:solidFill>
              <w14:schemeClr w14:val="tx1"/>
            </w14:solidFill>
          </w14:textFill>
        </w:rPr>
        <w:t>》（环办〔2014〕34号），将地下水风险纳入建设单位环境风险事故评估中，防止对周围地下水环境造成污染</w:t>
      </w:r>
      <w:r>
        <w:rPr>
          <w:rFonts w:cs="Times New Roman"/>
          <w:color w:val="000000" w:themeColor="text1"/>
          <w:szCs w:val="24"/>
          <w:highlight w:val="none"/>
          <w14:textFill>
            <w14:solidFill>
              <w14:schemeClr w14:val="tx1"/>
            </w14:solidFill>
          </w14:textFill>
        </w:rPr>
        <w:t>。</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（2）成立事故应急对策指挥中心</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成立由多个部门组成的事故应急对策指挥中心，负责发生事故后进行统一指挥、协调处理好抢险工作。</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（3）建立事故应急通报网络</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发生事故后，现场操作人员应立即向负责人报警，第一时间通知相关部门协作，采取应急防护措施。负责人在接报后立即确认事故位置及大小，及时向事故应急对策指挥中心报警，事故应急对策指挥中心在接报后，按照应急指挥程序，立即向环保部门、卫生部门、消防部门等请示，进行抢险工作。应急响应的过程可分为接警、判断响应级别、应急启动、控制及救援行动、扩大应急、应急终止和后期处置等步骤。应针对应急响应分布制定应急程序，并按事先制定程序指导事故应急响应。</w:t>
      </w:r>
    </w:p>
    <w:p>
      <w:pPr>
        <w:ind w:firstLine="482"/>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（4）应急措施</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一旦发生井漏等地下水污染事故，应立即启动应急预案，迅速控制项目污染现场，切断污染源，划定污染可能波及的范围，在划定圈内的群众在井中取水的，要求立即停止使用，严禁人畜饮用（本项目地下水评价范围内无居民饮用水井），对水源进行监控，防止水污染中毒，并随时准备启动供水替代方案。同时根据本项目下伏含水层地下水水质进行跟踪监测，一旦发现地下水受到污染，应及时采取必要的水动力阻隔措施。</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综上所述，本项目施工期针对地下水环境采取的措施符合《环境影响评价技术导则 地下水环境》（HJ610-2016），在川东北地区钻采工程中已实施多年，具有较好的借鉴经验。根据本井场</w:t>
      </w:r>
      <w:r>
        <w:rPr>
          <w:rFonts w:hint="eastAsia" w:cs="Times New Roman"/>
          <w:color w:val="000000" w:themeColor="text1"/>
          <w:szCs w:val="24"/>
          <w:highlight w:val="none"/>
          <w14:textFill>
            <w14:solidFill>
              <w14:schemeClr w14:val="tx1"/>
            </w14:solidFill>
          </w14:textFill>
        </w:rPr>
        <w:t>周边</w:t>
      </w:r>
      <w:r>
        <w:rPr>
          <w:rFonts w:cs="Times New Roman"/>
          <w:color w:val="000000" w:themeColor="text1"/>
          <w:szCs w:val="24"/>
          <w:highlight w:val="none"/>
          <w14:textFill>
            <w14:solidFill>
              <w14:schemeClr w14:val="tx1"/>
            </w14:solidFill>
          </w14:textFill>
        </w:rPr>
        <w:t>其他中石化川东北地区钻采工程采用相同地下水污染防治措施，到目前为止，</w:t>
      </w:r>
      <w:r>
        <w:rPr>
          <w:rFonts w:cs="Times New Roman"/>
          <w:color w:val="000000" w:themeColor="text1"/>
          <w:highlight w:val="none"/>
          <w14:textFill>
            <w14:solidFill>
              <w14:schemeClr w14:val="tx1"/>
            </w14:solidFill>
          </w14:textFill>
        </w:rPr>
        <w:t>中原油田普光分公司</w:t>
      </w:r>
      <w:r>
        <w:rPr>
          <w:rFonts w:cs="Times New Roman"/>
          <w:color w:val="000000" w:themeColor="text1"/>
          <w:szCs w:val="24"/>
          <w:highlight w:val="none"/>
          <w14:textFill>
            <w14:solidFill>
              <w14:schemeClr w14:val="tx1"/>
            </w14:solidFill>
          </w14:textFill>
        </w:rPr>
        <w:t>未收到地下水污染方面的环保投诉。因此，本项目施工期地下水防治措施从经济和环保角度分析是合理、可行的。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37" w:name="6.1.3施工噪声防治措施及可行性分析"/>
      <w:bookmarkEnd w:id="437"/>
      <w:bookmarkStart w:id="438" w:name="_Toc120173214"/>
      <w:r>
        <w:rPr>
          <w:color w:val="000000" w:themeColor="text1"/>
          <w:highlight w:val="none"/>
          <w:lang w:eastAsia="zh-CN"/>
          <w14:textFill>
            <w14:solidFill>
              <w14:schemeClr w14:val="tx1"/>
            </w14:solidFill>
          </w14:textFill>
        </w:rPr>
        <w:t>施工噪声防治措施及可行性分析</w:t>
      </w:r>
      <w:bookmarkEnd w:id="438"/>
    </w:p>
    <w:p>
      <w:pPr>
        <w:pStyle w:val="21"/>
        <w:spacing w:before="0"/>
        <w:ind w:left="0" w:firstLine="480"/>
        <w:jc w:val="both"/>
        <w:rPr>
          <w:rFonts w:hint="eastAsia" w:ascii="Times New Roman" w:hAnsi="Times New Roman" w:cs="Times New Roman"/>
          <w:bCs/>
          <w:color w:val="000000" w:themeColor="text1"/>
          <w:kern w:val="2"/>
          <w:highlight w:val="none"/>
          <w:lang w:val="en-US" w:eastAsia="zh-CN"/>
          <w14:textFill>
            <w14:solidFill>
              <w14:schemeClr w14:val="tx1"/>
            </w14:solidFill>
          </w14:textFill>
        </w:rPr>
      </w:pPr>
      <w:r>
        <w:rPr>
          <w:rFonts w:hint="eastAsia" w:ascii="Times New Roman" w:hAnsi="Times New Roman" w:cs="Times New Roman"/>
          <w:bCs/>
          <w:color w:val="000000" w:themeColor="text1"/>
          <w:kern w:val="2"/>
          <w:highlight w:val="none"/>
          <w:lang w:val="en-US" w:eastAsia="zh-CN"/>
          <w14:textFill>
            <w14:solidFill>
              <w14:schemeClr w14:val="tx1"/>
            </w14:solidFill>
          </w14:textFill>
        </w:rPr>
        <w:t>结合项目特点，施工噪声，施工期的噪声影响主要来自钻井噪声、储层改造时的设备噪声及测试放喷噪声等。</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ascii="Times New Roman" w:hAnsi="Times New Roman" w:cs="Times New Roman"/>
          <w:bCs/>
          <w:color w:val="000000" w:themeColor="text1"/>
          <w:kern w:val="2"/>
          <w:highlight w:val="none"/>
          <w:lang w:val="en-US" w:eastAsia="zh-CN"/>
          <w14:textFill>
            <w14:solidFill>
              <w14:schemeClr w14:val="tx1"/>
            </w14:solidFill>
          </w14:textFill>
        </w:rPr>
        <w:t>其中</w:t>
      </w:r>
      <w:r>
        <w:rPr>
          <w:rFonts w:ascii="Times New Roman" w:hAnsi="Times New Roman"/>
          <w:bCs/>
          <w:color w:val="000000" w:themeColor="text1"/>
          <w:kern w:val="2"/>
          <w:highlight w:val="none"/>
          <w:lang w:eastAsia="zh-CN"/>
          <w14:textFill>
            <w14:solidFill>
              <w14:schemeClr w14:val="tx1"/>
            </w14:solidFill>
          </w14:textFill>
        </w:rPr>
        <w:t>对于钻井噪声，目前还没有针对声源的十分经济有效的防治措施，主要是选用低噪声设备，再通过合理的井场布局来减轻噪声的影响。为进一步降低噪声对周边居民的影响，施工期间建设单位应采取如下措施：</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（1）本项目新钻井设备安装等少量钻前施工前应作好沟通工作，合理安排作业时间，尽量避免午间12：00~14：00和夜间22：00~7：00施工，并尽量缩短施工周期。</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2）合理布置主要噪声源，使其尽量远离农户居住地；为办公及生活提供电力的发电机设置发电机房，采用特殊的减震，并安装吸声材料；为钻机提供动力的柴油机安装消声装置和设置减震基础；钻井设备、泥浆泵基础设置减震垫；空压机和增压机安装在房间内，隔声并安装减震垫层。</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（3）建设单位应做好与地方供电部门的沟通工作，确保供电正常，</w:t>
      </w:r>
      <w:r>
        <w:rPr>
          <w:rFonts w:hint="eastAsia" w:ascii="Times New Roman" w:hAnsi="Times New Roman"/>
          <w:bCs/>
          <w:color w:val="000000" w:themeColor="text1"/>
          <w:kern w:val="2"/>
          <w:highlight w:val="none"/>
          <w:lang w:val="en-US" w:eastAsia="zh-CN"/>
          <w14:textFill>
            <w14:solidFill>
              <w14:schemeClr w14:val="tx1"/>
            </w14:solidFill>
          </w14:textFill>
        </w:rPr>
        <w:t>根据当地停电计划合理安排施工，</w:t>
      </w:r>
      <w:r>
        <w:rPr>
          <w:rFonts w:ascii="Times New Roman" w:hAnsi="Times New Roman"/>
          <w:bCs/>
          <w:color w:val="000000" w:themeColor="text1"/>
          <w:kern w:val="2"/>
          <w:highlight w:val="none"/>
          <w:lang w:eastAsia="zh-CN"/>
          <w14:textFill>
            <w14:solidFill>
              <w14:schemeClr w14:val="tx1"/>
            </w14:solidFill>
          </w14:textFill>
        </w:rPr>
        <w:t>尽量减少备用柴油机的启用。为办公及生活提供电力的备用发电机设置发电机房，采用特殊的减震，并安装吸声材料；泥浆泵设置泵房；为钻机提供动力的柴油机安装消声装置和设置减震基础。</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4）施工方在施工期间应加强施工管理，柴油机、泥浆泵等设备应做好日常维护，同时在操作时做到平稳操作，避免特种作业时产生非正常的噪声；在夜间作业时，应平稳操作，尽量避免敲击噪声；加强施工人员的管理和教育，减少不必要的金属敲击声和人为噪声。</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（5）运输车辆沿规定路线行驶，减少鸣笛，经过村庄等居民区时缓慢平稳行驶。</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hint="eastAsia" w:ascii="Times New Roman" w:hAnsi="Times New Roman"/>
          <w:bCs/>
          <w:color w:val="000000" w:themeColor="text1"/>
          <w:kern w:val="2"/>
          <w:highlight w:val="none"/>
          <w:lang w:eastAsia="zh-CN"/>
          <w14:textFill>
            <w14:solidFill>
              <w14:schemeClr w14:val="tx1"/>
            </w14:solidFill>
          </w14:textFill>
        </w:rPr>
        <w:t>（</w:t>
      </w:r>
      <w:r>
        <w:rPr>
          <w:rFonts w:hint="eastAsia" w:ascii="Times New Roman" w:hAnsi="Times New Roman"/>
          <w:bCs/>
          <w:color w:val="000000" w:themeColor="text1"/>
          <w:kern w:val="2"/>
          <w:highlight w:val="none"/>
          <w:lang w:val="en-US" w:eastAsia="zh-CN"/>
          <w14:textFill>
            <w14:solidFill>
              <w14:schemeClr w14:val="tx1"/>
            </w14:solidFill>
          </w14:textFill>
        </w:rPr>
        <w:t>6</w:t>
      </w:r>
      <w:r>
        <w:rPr>
          <w:rFonts w:hint="eastAsia" w:ascii="Times New Roman" w:hAnsi="Times New Roman"/>
          <w:bCs/>
          <w:color w:val="000000" w:themeColor="text1"/>
          <w:kern w:val="2"/>
          <w:highlight w:val="none"/>
          <w:lang w:eastAsia="zh-CN"/>
          <w14:textFill>
            <w14:solidFill>
              <w14:schemeClr w14:val="tx1"/>
            </w14:solidFill>
          </w14:textFill>
        </w:rPr>
        <w:t>）</w:t>
      </w:r>
      <w:r>
        <w:rPr>
          <w:rFonts w:ascii="Times New Roman" w:hAnsi="Times New Roman"/>
          <w:color w:val="000000" w:themeColor="text1"/>
          <w:highlight w:val="none"/>
          <w14:textFill>
            <w14:solidFill>
              <w14:schemeClr w14:val="tx1"/>
            </w14:solidFill>
          </w14:textFill>
        </w:rPr>
        <w:t>本项目优先采用网电供电，</w:t>
      </w:r>
      <w:r>
        <w:rPr>
          <w:rFonts w:hint="eastAsia" w:ascii="Times New Roman" w:hAnsi="Times New Roman"/>
          <w:color w:val="000000" w:themeColor="text1"/>
          <w:highlight w:val="none"/>
          <w:lang w:val="en-US" w:eastAsia="zh-CN"/>
          <w14:textFill>
            <w14:solidFill>
              <w14:schemeClr w14:val="tx1"/>
            </w14:solidFill>
          </w14:textFill>
        </w:rPr>
        <w:t>根据具体施工时噪声超标情况，针对可能超标的局面建设单位应</w:t>
      </w:r>
      <w:r>
        <w:rPr>
          <w:rFonts w:ascii="Times New Roman" w:hAnsi="Times New Roman"/>
          <w:color w:val="000000" w:themeColor="text1"/>
          <w:highlight w:val="none"/>
          <w14:textFill>
            <w14:solidFill>
              <w14:schemeClr w14:val="tx1"/>
            </w14:solidFill>
          </w14:textFill>
        </w:rPr>
        <w:t>通过宣传讲解</w:t>
      </w:r>
      <w:r>
        <w:rPr>
          <w:rFonts w:hint="eastAsia" w:ascii="Times New Roman" w:hAnsi="Times New Roman"/>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加强与周边居民的沟通协调</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取得村民理解和谅解</w:t>
      </w:r>
      <w:r>
        <w:rPr>
          <w:rFonts w:ascii="Times New Roman" w:hAnsi="Times New Roman"/>
          <w:color w:val="000000" w:themeColor="text1"/>
          <w:highlight w:val="none"/>
          <w14:textFill>
            <w14:solidFill>
              <w14:schemeClr w14:val="tx1"/>
            </w14:solidFill>
          </w14:textFill>
        </w:rPr>
        <w:t>的方式，将噪声对周边环境的影响降至最低</w:t>
      </w:r>
      <w:r>
        <w:rPr>
          <w:rFonts w:hint="eastAsia" w:ascii="Times New Roman" w:hAnsi="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做到超标不扰民，确保无噪声污染投诉</w:t>
      </w:r>
      <w:r>
        <w:rPr>
          <w:rFonts w:ascii="Times New Roman" w:hAnsi="Times New Roman"/>
          <w:color w:val="000000" w:themeColor="text1"/>
          <w:highlight w:val="none"/>
          <w14:textFill>
            <w14:solidFill>
              <w14:schemeClr w14:val="tx1"/>
            </w14:solidFill>
          </w14:textFill>
        </w:rPr>
        <w:t>。</w:t>
      </w:r>
    </w:p>
    <w:p>
      <w:pPr>
        <w:pStyle w:val="21"/>
        <w:spacing w:before="0"/>
        <w:ind w:left="0" w:firstLine="480"/>
        <w:jc w:val="both"/>
        <w:rPr>
          <w:rFonts w:hint="default" w:ascii="Times New Roman" w:hAnsi="Times New Roman" w:cs="Times New Roman"/>
          <w:bCs/>
          <w:color w:val="000000" w:themeColor="text1"/>
          <w:kern w:val="2"/>
          <w:highlight w:val="none"/>
          <w:lang w:val="en-US" w:eastAsia="zh-CN"/>
          <w14:textFill>
            <w14:solidFill>
              <w14:schemeClr w14:val="tx1"/>
            </w14:solidFill>
          </w14:textFill>
        </w:rPr>
      </w:pPr>
      <w:r>
        <w:rPr>
          <w:rFonts w:hint="eastAsia" w:ascii="Times New Roman" w:hAnsi="Times New Roman" w:cs="Times New Roman"/>
          <w:bCs/>
          <w:color w:val="000000" w:themeColor="text1"/>
          <w:kern w:val="2"/>
          <w:highlight w:val="none"/>
          <w:lang w:val="en-US" w:eastAsia="zh-CN"/>
          <w14:textFill>
            <w14:solidFill>
              <w14:schemeClr w14:val="tx1"/>
            </w14:solidFill>
          </w14:textFill>
        </w:rPr>
        <w:t>针对于储层改造阶段噪声，主要通过以下措施减小影响：</w:t>
      </w:r>
    </w:p>
    <w:p>
      <w:pPr>
        <w:pStyle w:val="21"/>
        <w:spacing w:before="0"/>
        <w:ind w:left="0" w:firstLine="480"/>
        <w:jc w:val="both"/>
        <w:rPr>
          <w:rFonts w:hint="eastAsia" w:ascii="Times New Roman" w:hAnsi="Times New Roman" w:cs="Times New Roman"/>
          <w:bCs/>
          <w:color w:val="000000" w:themeColor="text1"/>
          <w:kern w:val="2"/>
          <w:highlight w:val="none"/>
          <w:lang w:val="en-US" w:eastAsia="zh-CN"/>
          <w14:textFill>
            <w14:solidFill>
              <w14:schemeClr w14:val="tx1"/>
            </w14:solidFill>
          </w14:textFill>
        </w:rPr>
      </w:pPr>
      <w:r>
        <w:rPr>
          <w:rFonts w:hint="eastAsia" w:ascii="Times New Roman" w:hAnsi="Times New Roman" w:cs="Times New Roman"/>
          <w:bCs/>
          <w:color w:val="000000" w:themeColor="text1"/>
          <w:kern w:val="2"/>
          <w:highlight w:val="none"/>
          <w:lang w:eastAsia="zh-CN"/>
          <w14:textFill>
            <w14:solidFill>
              <w14:schemeClr w14:val="tx1"/>
            </w14:solidFill>
          </w14:textFill>
        </w:rPr>
        <w:t>（</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1）</w:t>
      </w:r>
      <w:r>
        <w:rPr>
          <w:rFonts w:hint="default" w:ascii="Times New Roman" w:hAnsi="Times New Roman" w:cs="Times New Roman"/>
          <w:bCs/>
          <w:color w:val="000000" w:themeColor="text1"/>
          <w:kern w:val="2"/>
          <w:highlight w:val="none"/>
          <w:lang w:eastAsia="zh-CN"/>
          <w14:textFill>
            <w14:solidFill>
              <w14:schemeClr w14:val="tx1"/>
            </w14:solidFill>
          </w14:textFill>
        </w:rPr>
        <w:t>选用低噪声设备</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压裂作业设备，并</w:t>
      </w:r>
      <w:r>
        <w:rPr>
          <w:rFonts w:hint="default" w:ascii="Times New Roman" w:hAnsi="Times New Roman" w:cs="Times New Roman"/>
          <w:bCs/>
          <w:color w:val="000000" w:themeColor="text1"/>
          <w:kern w:val="2"/>
          <w:highlight w:val="none"/>
          <w:lang w:eastAsia="zh-CN"/>
          <w14:textFill>
            <w14:solidFill>
              <w14:schemeClr w14:val="tx1"/>
            </w14:solidFill>
          </w14:textFill>
        </w:rPr>
        <w:t>加强维护保养</w:t>
      </w:r>
      <w:r>
        <w:rPr>
          <w:rFonts w:hint="eastAsia" w:ascii="Times New Roman" w:hAnsi="Times New Roman" w:cs="Times New Roman"/>
          <w:bCs/>
          <w:color w:val="000000" w:themeColor="text1"/>
          <w:kern w:val="2"/>
          <w:highlight w:val="none"/>
          <w:lang w:eastAsia="zh-CN"/>
          <w14:textFill>
            <w14:solidFill>
              <w14:schemeClr w14:val="tx1"/>
            </w14:solidFill>
          </w14:textFill>
        </w:rPr>
        <w:t>；</w:t>
      </w:r>
    </w:p>
    <w:p>
      <w:pPr>
        <w:pStyle w:val="21"/>
        <w:spacing w:before="0"/>
        <w:ind w:left="0" w:firstLine="480"/>
        <w:jc w:val="both"/>
        <w:rPr>
          <w:rFonts w:hint="default" w:ascii="Times New Roman" w:hAnsi="Times New Roman" w:cs="Times New Roman"/>
          <w:bCs/>
          <w:color w:val="000000" w:themeColor="text1"/>
          <w:kern w:val="2"/>
          <w:highlight w:val="none"/>
          <w:lang w:eastAsia="zh-CN"/>
          <w14:textFill>
            <w14:solidFill>
              <w14:schemeClr w14:val="tx1"/>
            </w14:solidFill>
          </w14:textFill>
        </w:rPr>
      </w:pPr>
      <w:r>
        <w:rPr>
          <w:rFonts w:hint="default" w:ascii="Times New Roman" w:hAnsi="Times New Roman" w:cs="Times New Roman"/>
          <w:bCs/>
          <w:color w:val="000000" w:themeColor="text1"/>
          <w:kern w:val="2"/>
          <w:highlight w:val="none"/>
          <w:lang w:eastAsia="zh-CN"/>
          <w14:textFill>
            <w14:solidFill>
              <w14:schemeClr w14:val="tx1"/>
            </w14:solidFill>
          </w14:textFill>
        </w:rPr>
        <w:t>（</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2</w:t>
      </w:r>
      <w:r>
        <w:rPr>
          <w:rFonts w:hint="default" w:ascii="Times New Roman" w:hAnsi="Times New Roman" w:cs="Times New Roman"/>
          <w:bCs/>
          <w:color w:val="000000" w:themeColor="text1"/>
          <w:kern w:val="2"/>
          <w:highlight w:val="none"/>
          <w:lang w:eastAsia="zh-CN"/>
          <w14:textFill>
            <w14:solidFill>
              <w14:schemeClr w14:val="tx1"/>
            </w14:solidFill>
          </w14:textFill>
        </w:rPr>
        <w:t>）放喷池设置三面建3m的围墙，可以降低一定的噪声；</w:t>
      </w:r>
    </w:p>
    <w:p>
      <w:pPr>
        <w:pStyle w:val="21"/>
        <w:spacing w:before="0"/>
        <w:ind w:left="0" w:firstLine="480"/>
        <w:jc w:val="both"/>
        <w:rPr>
          <w:rFonts w:hint="default" w:ascii="Times New Roman" w:hAnsi="Times New Roman" w:cs="Times New Roman"/>
          <w:bCs/>
          <w:color w:val="000000" w:themeColor="text1"/>
          <w:kern w:val="2"/>
          <w:highlight w:val="none"/>
          <w:lang w:eastAsia="zh-CN"/>
          <w14:textFill>
            <w14:solidFill>
              <w14:schemeClr w14:val="tx1"/>
            </w14:solidFill>
          </w14:textFill>
        </w:rPr>
      </w:pPr>
      <w:r>
        <w:rPr>
          <w:rFonts w:hint="default" w:ascii="Times New Roman" w:hAnsi="Times New Roman" w:cs="Times New Roman"/>
          <w:bCs/>
          <w:color w:val="000000" w:themeColor="text1"/>
          <w:kern w:val="2"/>
          <w:highlight w:val="none"/>
          <w:lang w:eastAsia="zh-CN"/>
          <w14:textFill>
            <w14:solidFill>
              <w14:schemeClr w14:val="tx1"/>
            </w14:solidFill>
          </w14:textFill>
        </w:rPr>
        <w:t>（</w:t>
      </w:r>
      <w:r>
        <w:rPr>
          <w:rFonts w:hint="eastAsia" w:ascii="Times New Roman" w:hAnsi="Times New Roman" w:cs="Times New Roman"/>
          <w:bCs/>
          <w:color w:val="000000" w:themeColor="text1"/>
          <w:kern w:val="2"/>
          <w:highlight w:val="none"/>
          <w:lang w:val="en-US" w:eastAsia="zh-CN"/>
          <w14:textFill>
            <w14:solidFill>
              <w14:schemeClr w14:val="tx1"/>
            </w14:solidFill>
          </w14:textFill>
        </w:rPr>
        <w:t>3</w:t>
      </w:r>
      <w:r>
        <w:rPr>
          <w:rFonts w:hint="default" w:ascii="Times New Roman" w:hAnsi="Times New Roman" w:cs="Times New Roman"/>
          <w:bCs/>
          <w:color w:val="000000" w:themeColor="text1"/>
          <w:kern w:val="2"/>
          <w:highlight w:val="none"/>
          <w:lang w:eastAsia="zh-CN"/>
          <w14:textFill>
            <w14:solidFill>
              <w14:schemeClr w14:val="tx1"/>
            </w14:solidFill>
          </w14:textFill>
        </w:rPr>
        <w:t>）放喷测试前，建设方和当地政府应对距放喷口一定范围内（该距离根据行安全预评价预测结果来确定）的居民进行临时撤离并建立警戒点进行24h警戒，能有效避免测试放喷噪声对周边居民影响。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综上所述，本项目施工期声环境保护措施，在川东北地区钻采工程中已实施多年，具有较好的借鉴经验。根据本井场</w:t>
      </w:r>
      <w:r>
        <w:rPr>
          <w:rFonts w:hint="eastAsia" w:cs="Times New Roman"/>
          <w:color w:val="000000" w:themeColor="text1"/>
          <w:szCs w:val="24"/>
          <w:highlight w:val="none"/>
          <w14:textFill>
            <w14:solidFill>
              <w14:schemeClr w14:val="tx1"/>
            </w14:solidFill>
          </w14:textFill>
        </w:rPr>
        <w:t>周边</w:t>
      </w:r>
      <w:r>
        <w:rPr>
          <w:rFonts w:cs="Times New Roman"/>
          <w:color w:val="000000" w:themeColor="text1"/>
          <w:szCs w:val="24"/>
          <w:highlight w:val="none"/>
          <w14:textFill>
            <w14:solidFill>
              <w14:schemeClr w14:val="tx1"/>
            </w14:solidFill>
          </w14:textFill>
        </w:rPr>
        <w:t>其他中石化川东北地区钻采工程采用相同噪声污染防治措施，</w:t>
      </w:r>
      <w:r>
        <w:rPr>
          <w:rFonts w:ascii="Times New Roman" w:hAnsi="Times New Roman"/>
          <w:color w:val="000000" w:themeColor="text1"/>
          <w:sz w:val="24"/>
          <w:szCs w:val="24"/>
          <w:highlight w:val="none"/>
          <w:lang w:eastAsia="zh-CN"/>
          <w14:textFill>
            <w14:solidFill>
              <w14:schemeClr w14:val="tx1"/>
            </w14:solidFill>
          </w14:textFill>
        </w:rPr>
        <w:t>治理措施有效可行</w:t>
      </w:r>
      <w:r>
        <w:rPr>
          <w:rFonts w:cs="Times New Roman"/>
          <w:color w:val="000000" w:themeColor="text1"/>
          <w:szCs w:val="24"/>
          <w:highlight w:val="none"/>
          <w14:textFill>
            <w14:solidFill>
              <w14:schemeClr w14:val="tx1"/>
            </w14:solidFill>
          </w14:textFill>
        </w:rPr>
        <w:t>。因此，本项目施工期噪声污染防治措施从经济和环保角度分析是合理、可行的。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39" w:name="6.1.4固体废物污染防治措施"/>
      <w:bookmarkEnd w:id="439"/>
      <w:bookmarkStart w:id="440" w:name="_Toc120173215"/>
      <w:r>
        <w:rPr>
          <w:color w:val="000000" w:themeColor="text1"/>
          <w:highlight w:val="none"/>
          <w:lang w:eastAsia="zh-CN"/>
          <w14:textFill>
            <w14:solidFill>
              <w14:schemeClr w14:val="tx1"/>
            </w14:solidFill>
          </w14:textFill>
        </w:rPr>
        <w:t>施工期土壤环境污染防治措施</w:t>
      </w:r>
      <w:bookmarkEnd w:id="440"/>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1、源头控制措施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钻井原辅材料和污染物（废水、废油、钻井固废）储存、装卸、运输、钻井过程等全过程控制各种有毒有害原辅材料、中间材料（循环泥浆）、污染物（废水、废油、钻井固废）泄漏（含跑、冒、滴、漏），同时对有害物质可能泄漏到地面的区域采取防渗措施，阻止其进入土壤中，即从源头到末端全方位采取控制措施，防止项目的建设对土壤造成污染。</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钻井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防渗处理的地面有效阻止污染物的下渗。</w:t>
      </w:r>
    </w:p>
    <w:p>
      <w:pPr>
        <w:ind w:firstLine="482"/>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2、过程控制措施</w:t>
      </w:r>
    </w:p>
    <w:p>
      <w:pPr>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（1）地面漫流污染途径治理措施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泥浆不落地技术工艺区域及泥浆循环系统、泥浆料台区、油罐区、柴油机组区均设置了防雨棚，危险废物、发电机均设在活动房内，方井周边、放喷池在雨天加盖篷布，避免暴雨引起废水、废油外溢形成地面漫流。并在废水收集罐周围设置0.5m高围堰，防止废水外溢；油罐区周围设置0.15m高围堰及集油池，防止</w:t>
      </w:r>
      <w:r>
        <w:rPr>
          <w:rFonts w:hint="eastAsia"/>
          <w:color w:val="000000" w:themeColor="text1"/>
          <w:highlight w:val="none"/>
          <w:lang w:eastAsia="zh-CN"/>
          <w14:textFill>
            <w14:solidFill>
              <w14:schemeClr w14:val="tx1"/>
            </w14:solidFill>
          </w14:textFill>
        </w:rPr>
        <w:t>泄漏</w:t>
      </w:r>
      <w:r>
        <w:rPr>
          <w:color w:val="000000" w:themeColor="text1"/>
          <w:highlight w:val="none"/>
          <w14:textFill>
            <w14:solidFill>
              <w14:schemeClr w14:val="tx1"/>
            </w14:solidFill>
          </w14:textFill>
        </w:rPr>
        <w:t>油料外溢；放喷池最低面墙设置不低于0.5m，避免废水进入；井口作业区周边设置导流沟，将可能泄露的废水导流至集污坑；井场四周设置双环沟，外环沟与自然沟渠连接，便于排出场地内雨水等，内环沟用于收集井场内的雨水和可能产生的污水，汇入集污坑。通过以上措施全面防控事故废水和可能受污染的雨水发生地面漫流，进入土壤。</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（2）垂直入渗污染途径治理措施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井场进行分区防渗，见地下水污染防治措施章节。对易泄漏的废水收集罐、废渣收集罐、泥浆储罐、泥浆循环罐、柴油罐、污水罐等罐体采用防腐、不易破损的材质，防治罐体腐蚀破裂导致污染物泄露；井场设备、管道阀门宜采用密封性好、不易腐蚀的，防止污染物通过阀门泄漏到地面上。</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总的来说，地下水和土壤污染防治措施应按照</w:t>
      </w:r>
      <w:r>
        <w:rPr>
          <w:rFonts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源头控制、分区防控、污染监控、应急响</w:t>
      </w:r>
      <w:r>
        <w:rPr>
          <w:rFonts w:ascii="宋体" w:hAnsi="宋体"/>
          <w:color w:val="000000" w:themeColor="text1"/>
          <w:highlight w:val="none"/>
          <w14:textFill>
            <w14:solidFill>
              <w14:schemeClr w14:val="tx1"/>
            </w14:solidFill>
          </w14:textFill>
        </w:rPr>
        <w:t>应”</w:t>
      </w:r>
      <w:r>
        <w:rPr>
          <w:color w:val="000000" w:themeColor="text1"/>
          <w:highlight w:val="none"/>
          <w14:textFill>
            <w14:solidFill>
              <w14:schemeClr w14:val="tx1"/>
            </w14:solidFill>
          </w14:textFill>
        </w:rPr>
        <w:t>相结合的原则，从污染物的产生、入渗、扩散、应急响应进行控制。这些措施</w:t>
      </w:r>
      <w:r>
        <w:rPr>
          <w:color w:val="000000" w:themeColor="text1"/>
          <w:szCs w:val="24"/>
          <w:highlight w:val="none"/>
          <w14:textFill>
            <w14:solidFill>
              <w14:schemeClr w14:val="tx1"/>
            </w14:solidFill>
          </w14:textFill>
        </w:rPr>
        <w:t>在川东北地区钻采工程中已实施多年，具有较好的借鉴经验。根据本井场</w:t>
      </w:r>
      <w:r>
        <w:rPr>
          <w:rFonts w:hint="eastAsia"/>
          <w:color w:val="000000" w:themeColor="text1"/>
          <w:szCs w:val="24"/>
          <w:highlight w:val="none"/>
          <w14:textFill>
            <w14:solidFill>
              <w14:schemeClr w14:val="tx1"/>
            </w14:solidFill>
          </w14:textFill>
        </w:rPr>
        <w:t>周边</w:t>
      </w:r>
      <w:r>
        <w:rPr>
          <w:color w:val="000000" w:themeColor="text1"/>
          <w:szCs w:val="24"/>
          <w:highlight w:val="none"/>
          <w14:textFill>
            <w14:solidFill>
              <w14:schemeClr w14:val="tx1"/>
            </w14:solidFill>
          </w14:textFill>
        </w:rPr>
        <w:t>其他中石化川东北地区钻采工程采用相同土壤污染防治措施，在加强管理和监控后，无土壤污染现象和投诉发生。因此，本项目施工期土壤污染防治措施从经济和环保角度分析是合理、可行的。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41" w:name="_Toc120173216"/>
      <w:r>
        <w:rPr>
          <w:color w:val="000000" w:themeColor="text1"/>
          <w:highlight w:val="none"/>
          <w:lang w:eastAsia="zh-CN"/>
          <w14:textFill>
            <w14:solidFill>
              <w14:schemeClr w14:val="tx1"/>
            </w14:solidFill>
          </w14:textFill>
        </w:rPr>
        <w:t>施工期固体废物污染防治措施</w:t>
      </w:r>
      <w:bookmarkEnd w:id="441"/>
    </w:p>
    <w:p>
      <w:pPr>
        <w:ind w:firstLine="480"/>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1、钻前工程</w:t>
      </w:r>
    </w:p>
    <w:p>
      <w:pPr>
        <w:ind w:firstLine="480"/>
        <w:rPr>
          <w:rFonts w:hint="eastAsia" w:ascii="Times New Roman" w:hAnsi="Times New Roman" w:cs="Times New Roman"/>
          <w:b/>
          <w:bCs/>
          <w:color w:val="000000" w:themeColor="text1"/>
          <w:szCs w:val="24"/>
          <w:highlight w:val="none"/>
          <w:lang w:val="en-US" w:eastAsia="zh-CN"/>
          <w14:textFill>
            <w14:solidFill>
              <w14:schemeClr w14:val="tx1"/>
            </w14:solidFill>
          </w14:textFill>
        </w:rPr>
      </w:pPr>
      <w:r>
        <w:rPr>
          <w:rFonts w:hint="eastAsia" w:cs="Times New Roman"/>
          <w:b/>
          <w:bCs/>
          <w:color w:val="000000" w:themeColor="text1"/>
          <w:szCs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szCs w:val="24"/>
          <w:highlight w:val="none"/>
          <w:lang w:val="en-US" w:eastAsia="zh-CN"/>
          <w14:textFill>
            <w14:solidFill>
              <w14:schemeClr w14:val="tx1"/>
            </w14:solidFill>
          </w14:textFill>
        </w:rPr>
        <w:t>1）基础开挖土石方</w:t>
      </w:r>
    </w:p>
    <w:p>
      <w:pPr>
        <w:ind w:firstLine="480"/>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项目钻前工程在设备基础过程中将产生土石方，</w:t>
      </w:r>
      <w:r>
        <w:rPr>
          <w:rFonts w:hint="default" w:ascii="Times New Roman" w:hAnsi="Times New Roman" w:cs="Times New Roman"/>
          <w:color w:val="000000" w:themeColor="text1"/>
          <w:szCs w:val="24"/>
          <w:highlight w:val="none"/>
          <w:lang w:val="en-US" w:eastAsia="zh-CN"/>
          <w14:textFill>
            <w14:solidFill>
              <w14:schemeClr w14:val="tx1"/>
            </w14:solidFill>
          </w14:textFill>
        </w:rPr>
        <w:t>集中堆放至井场东侧的表土堆场，表土用于后期生态恢复，综合利用</w:t>
      </w:r>
      <w:r>
        <w:rPr>
          <w:rFonts w:hint="eastAsia" w:ascii="Times New Roman" w:hAnsi="Times New Roman" w:cs="Times New Roman"/>
          <w:color w:val="000000" w:themeColor="text1"/>
          <w:szCs w:val="24"/>
          <w:highlight w:val="none"/>
          <w:lang w:val="en-US" w:eastAsia="zh-CN"/>
          <w14:textFill>
            <w14:solidFill>
              <w14:schemeClr w14:val="tx1"/>
            </w14:solidFill>
          </w14:textFill>
        </w:rPr>
        <w:t>。由于土石方产生量较少，前期老井场已建有表土堆放区，能够满足本项目少量的土石方堆放需求。因此，该措施可行。</w:t>
      </w:r>
    </w:p>
    <w:p>
      <w:pPr>
        <w:ind w:firstLine="482"/>
        <w:rPr>
          <w:rFonts w:hint="default" w:ascii="Times New Roman" w:hAnsi="Times New Roman"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（2</w:t>
      </w:r>
      <w:r>
        <w:rPr>
          <w:rFonts w:hint="default" w:ascii="Times New Roman" w:hAnsi="Times New Roman" w:cs="Times New Roman"/>
          <w:b/>
          <w:bCs/>
          <w:color w:val="000000" w:themeColor="text1"/>
          <w:highlight w:val="none"/>
          <w14:textFill>
            <w14:solidFill>
              <w14:schemeClr w14:val="tx1"/>
            </w14:solidFill>
          </w14:textFill>
        </w:rPr>
        <w:t>）建筑垃圾</w:t>
      </w:r>
    </w:p>
    <w:p>
      <w:pPr>
        <w:ind w:firstLine="480"/>
        <w:rPr>
          <w:rFonts w:hint="eastAsia"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施工现场设置临时建筑垃圾堆放场，覆盖塑料布并做好地面防渗漏处理。建筑垃圾除部分回收利用以外，剩余部分堆放达一定量时应及时清运到当地政府指定的建筑垃圾场处理。运输应尽量避开交通高峰期，并选择对周围环境影响较小的运输路线，运输车辆出场时必须封闭，避免在运输过程中的抛洒现象。</w:t>
      </w:r>
      <w:r>
        <w:rPr>
          <w:rFonts w:hint="eastAsia" w:cs="Times New Roman"/>
          <w:color w:val="000000" w:themeColor="text1"/>
          <w:highlight w:val="none"/>
          <w:lang w:val="en-US" w:eastAsia="zh-CN"/>
          <w14:textFill>
            <w14:solidFill>
              <w14:schemeClr w14:val="tx1"/>
            </w14:solidFill>
          </w14:textFill>
        </w:rPr>
        <w:t>该措施可行。</w:t>
      </w:r>
    </w:p>
    <w:p>
      <w:pPr>
        <w:ind w:firstLine="480"/>
        <w:rPr>
          <w:rFonts w:hint="default" w:eastAsia="黑体" w:cs="Times New Roman"/>
          <w:color w:val="000000" w:themeColor="text1"/>
          <w:highlight w:val="none"/>
          <w:lang w:val="en-US" w:eastAsia="zh-CN"/>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2</w:t>
      </w:r>
      <w:r>
        <w:rPr>
          <w:rFonts w:eastAsia="黑体" w:cs="Times New Roman"/>
          <w:color w:val="000000" w:themeColor="text1"/>
          <w:highlight w:val="none"/>
          <w14:textFill>
            <w14:solidFill>
              <w14:schemeClr w14:val="tx1"/>
            </w14:solidFill>
          </w14:textFill>
        </w:rPr>
        <w:t>、</w:t>
      </w:r>
      <w:r>
        <w:rPr>
          <w:rFonts w:hint="eastAsia" w:eastAsia="黑体" w:cs="Times New Roman"/>
          <w:color w:val="000000" w:themeColor="text1"/>
          <w:highlight w:val="none"/>
          <w:lang w:val="en-US" w:eastAsia="zh-CN"/>
          <w14:textFill>
            <w14:solidFill>
              <w14:schemeClr w14:val="tx1"/>
            </w14:solidFill>
          </w14:textFill>
        </w:rPr>
        <w:t>钻井工程</w:t>
      </w:r>
    </w:p>
    <w:p>
      <w:pPr>
        <w:ind w:firstLine="482"/>
        <w:rPr>
          <w:rFonts w:cs="Times New Roman"/>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1</w:t>
      </w:r>
      <w:r>
        <w:rPr>
          <w:rFonts w:cs="Times New Roman"/>
          <w:b/>
          <w:bCs/>
          <w:color w:val="000000" w:themeColor="text1"/>
          <w:highlight w:val="none"/>
          <w14:textFill>
            <w14:solidFill>
              <w14:schemeClr w14:val="tx1"/>
            </w14:solidFill>
          </w14:textFill>
        </w:rPr>
        <w:t>）清水岩屑</w:t>
      </w:r>
    </w:p>
    <w:p>
      <w:pPr>
        <w:widowControl/>
        <w:adjustRightInd/>
        <w:snapToGrid/>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清水岩屑及时就近交给依法取得生态环境部门关于利用和处置相关工业固体废物项目环评批复、具有处理处置相应固体废物能力并配套建设有废气、废水、固废等污染物治理设施的单位进行资源化利用</w:t>
      </w:r>
      <w:r>
        <w:rPr>
          <w:rFonts w:cs="Times New Roman"/>
          <w:color w:val="000000" w:themeColor="text1"/>
          <w:kern w:val="0"/>
          <w:szCs w:val="24"/>
          <w:highlight w:val="none"/>
          <w14:textFill>
            <w14:solidFill>
              <w14:schemeClr w14:val="tx1"/>
            </w14:solidFill>
          </w14:textFill>
        </w:rPr>
        <w:t>。</w:t>
      </w:r>
    </w:p>
    <w:p>
      <w:pPr>
        <w:ind w:firstLine="482"/>
        <w:rPr>
          <w:rFonts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2</w:t>
      </w:r>
      <w:r>
        <w:rPr>
          <w:rFonts w:hint="eastAsia" w:cs="Times New Roman"/>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水基钻井固废</w:t>
      </w:r>
    </w:p>
    <w:p>
      <w:pPr>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水基废弃泥浆和岩屑在钻井现场经泥浆不落地工艺经脱稳-板框压滤进行固液分离后产生的固态</w:t>
      </w:r>
      <w:r>
        <w:rPr>
          <w:rFonts w:cs="Times New Roman"/>
          <w:bCs/>
          <w:color w:val="000000" w:themeColor="text1"/>
          <w:highlight w:val="none"/>
          <w14:textFill>
            <w14:solidFill>
              <w14:schemeClr w14:val="tx1"/>
            </w14:solidFill>
          </w14:textFill>
        </w:rPr>
        <w:t>钻井固废</w:t>
      </w:r>
      <w:r>
        <w:rPr>
          <w:rFonts w:cs="Times New Roman"/>
          <w:color w:val="000000" w:themeColor="text1"/>
          <w:highlight w:val="none"/>
          <w14:textFill>
            <w14:solidFill>
              <w14:schemeClr w14:val="tx1"/>
            </w14:solidFill>
          </w14:textFill>
        </w:rPr>
        <w:t>，在</w:t>
      </w:r>
      <w:r>
        <w:rPr>
          <w:rFonts w:cs="Times New Roman"/>
          <w:color w:val="000000" w:themeColor="text1"/>
          <w:szCs w:val="24"/>
          <w:highlight w:val="none"/>
          <w14:textFill>
            <w14:solidFill>
              <w14:schemeClr w14:val="tx1"/>
            </w14:solidFill>
          </w14:textFill>
        </w:rPr>
        <w:t>泥浆不落地装置附近设置钻井固废暂存区</w:t>
      </w:r>
      <w:r>
        <w:rPr>
          <w:rFonts w:cs="Times New Roman"/>
          <w:color w:val="000000" w:themeColor="text1"/>
          <w:highlight w:val="none"/>
          <w14:textFill>
            <w14:solidFill>
              <w14:schemeClr w14:val="tx1"/>
            </w14:solidFill>
          </w14:textFill>
        </w:rPr>
        <w:t>由废渣收集罐收集后临时暂存，定期用密闭罐车及时就近交给依法取得生态环境部门关于利用和处置相关工业固体废物项目环评批复、具有处理处置相应固体废物能力并配套建设有废气、废水、固废等污染物治理设施的单位进行资源化利用。本项目水基钻井固废产生量约</w:t>
      </w:r>
      <w:r>
        <w:rPr>
          <w:rFonts w:hint="eastAsia" w:cs="Times New Roman"/>
          <w:color w:val="000000" w:themeColor="text1"/>
          <w:highlight w:val="none"/>
          <w:lang w:eastAsia="zh-CN"/>
          <w14:textFill>
            <w14:solidFill>
              <w14:schemeClr w14:val="tx1"/>
            </w14:solidFill>
          </w14:textFill>
        </w:rPr>
        <w:t>8145.234t</w:t>
      </w:r>
      <w:r>
        <w:rPr>
          <w:rFonts w:cs="Times New Roman"/>
          <w:color w:val="000000" w:themeColor="text1"/>
          <w:highlight w:val="none"/>
          <w14:textFill>
            <w14:solidFill>
              <w14:schemeClr w14:val="tx1"/>
            </w14:solidFill>
          </w14:textFill>
        </w:rPr>
        <w:t>，项目设置在</w:t>
      </w:r>
      <w:r>
        <w:rPr>
          <w:rFonts w:cs="Times New Roman"/>
          <w:color w:val="000000" w:themeColor="text1"/>
          <w:szCs w:val="24"/>
          <w:highlight w:val="none"/>
          <w14:textFill>
            <w14:solidFill>
              <w14:schemeClr w14:val="tx1"/>
            </w14:solidFill>
          </w14:textFill>
        </w:rPr>
        <w:t>钻井固废暂存区</w:t>
      </w:r>
      <w:r>
        <w:rPr>
          <w:rFonts w:cs="Times New Roman"/>
          <w:color w:val="000000" w:themeColor="text1"/>
          <w:highlight w:val="none"/>
          <w14:textFill>
            <w14:solidFill>
              <w14:schemeClr w14:val="tx1"/>
            </w14:solidFill>
          </w14:textFill>
        </w:rPr>
        <w:t>的废渣收集罐容积约100m</w:t>
      </w:r>
      <w:r>
        <w:rPr>
          <w:rFonts w:cs="Times New Roman"/>
          <w:color w:val="000000" w:themeColor="text1"/>
          <w:highlight w:val="none"/>
          <w:vertAlign w:val="superscript"/>
          <w14:textFill>
            <w14:solidFill>
              <w14:schemeClr w14:val="tx1"/>
            </w14:solidFill>
          </w14:textFill>
        </w:rPr>
        <w:t>3</w:t>
      </w:r>
      <w:r>
        <w:rPr>
          <w:rFonts w:cs="Times New Roman"/>
          <w:color w:val="000000" w:themeColor="text1"/>
          <w:highlight w:val="none"/>
          <w14:textFill>
            <w14:solidFill>
              <w14:schemeClr w14:val="tx1"/>
            </w14:solidFill>
          </w14:textFill>
        </w:rPr>
        <w:t>，在暂存容积剩余约20％前及时进行转运，能够确保满足水基钻井固废的暂存，不会出现外溢的现象。整个过程废泥浆和岩屑能实现</w:t>
      </w:r>
      <w:r>
        <w:rPr>
          <w:rFonts w:ascii="宋体" w:hAnsi="宋体" w:cs="Times New Roman"/>
          <w:color w:val="000000" w:themeColor="text1"/>
          <w:highlight w:val="none"/>
          <w14:textFill>
            <w14:solidFill>
              <w14:schemeClr w14:val="tx1"/>
            </w14:solidFill>
          </w14:textFill>
        </w:rPr>
        <w:t>“不落地”</w:t>
      </w:r>
      <w:r>
        <w:rPr>
          <w:rFonts w:cs="Times New Roman"/>
          <w:color w:val="000000" w:themeColor="text1"/>
          <w:highlight w:val="none"/>
          <w14:textFill>
            <w14:solidFill>
              <w14:schemeClr w14:val="tx1"/>
            </w14:solidFill>
          </w14:textFill>
        </w:rPr>
        <w:t>，收集和储存主要在罐中实现，最终需拉运资源化利用的为固相。由于其为第Ⅱ类一般工业固体废物，建设单位参照</w:t>
      </w:r>
      <w:r>
        <w:rPr>
          <w:rFonts w:cs="Times New Roman"/>
          <w:snapToGrid w:val="0"/>
          <w:color w:val="000000" w:themeColor="text1"/>
          <w:highlight w:val="none"/>
          <w14:textFill>
            <w14:solidFill>
              <w14:schemeClr w14:val="tx1"/>
            </w14:solidFill>
          </w14:textFill>
        </w:rPr>
        <w:t>《一般工业固体废物贮存和填埋污染控制标准》GB18599-2020中对第Ⅱ类一般工业固体废物的处置要求</w:t>
      </w:r>
      <w:r>
        <w:rPr>
          <w:rFonts w:cs="Times New Roman"/>
          <w:color w:val="000000" w:themeColor="text1"/>
          <w:highlight w:val="none"/>
          <w14:textFill>
            <w14:solidFill>
              <w14:schemeClr w14:val="tx1"/>
            </w14:solidFill>
          </w14:textFill>
        </w:rPr>
        <w:t>。本项目水基钻井固废钻井过程中经泥浆不落地工艺进行固液分离后定期用密闭罐车及时就近交给依法取得生态环境部门关于利用和处置相关工业固体废物项目环评批复、具有处理处置相应固体废物能力并配套建设有废气、废水、固废等污染物治理设施的单位进行资源化利用</w:t>
      </w:r>
      <w:r>
        <w:rPr>
          <w:rFonts w:cs="Times New Roman"/>
          <w:color w:val="000000" w:themeColor="text1"/>
          <w:highlight w:val="none"/>
          <w:shd w:val="clear" w:color="auto" w:fill="FFFFFF"/>
          <w14:textFill>
            <w14:solidFill>
              <w14:schemeClr w14:val="tx1"/>
            </w14:solidFill>
          </w14:textFill>
        </w:rPr>
        <w:t>，基本不在井场暂存</w:t>
      </w:r>
      <w:r>
        <w:rPr>
          <w:rFonts w:cs="Times New Roman"/>
          <w:color w:val="000000" w:themeColor="text1"/>
          <w:highlight w:val="none"/>
          <w14:textFill>
            <w14:solidFill>
              <w14:schemeClr w14:val="tx1"/>
            </w14:solidFill>
          </w14:textFill>
        </w:rPr>
        <w:t>。同时此举符合《水泥窑协同处置固体废物污染防治技术政策》（环保部公告2016年第72号），属国家鼓励的污染物治理方式。</w:t>
      </w:r>
      <w:r>
        <w:rPr>
          <w:rFonts w:cs="Times New Roman"/>
          <w:bCs/>
          <w:color w:val="000000" w:themeColor="text1"/>
          <w:highlight w:val="none"/>
          <w14:textFill>
            <w14:solidFill>
              <w14:schemeClr w14:val="tx1"/>
            </w14:solidFill>
          </w14:textFill>
        </w:rPr>
        <w:t>完钻后井筒内替换出来的泥浆经循环系统处理后与泥浆循环系统内剩余的合格钻井泥浆用于区块其他项目钻井回用</w:t>
      </w:r>
      <w:r>
        <w:rPr>
          <w:rFonts w:cs="Times New Roman"/>
          <w:color w:val="000000" w:themeColor="text1"/>
          <w:highlight w:val="none"/>
          <w14:textFill>
            <w14:solidFill>
              <w14:schemeClr w14:val="tx1"/>
            </w14:solidFill>
          </w14:textFill>
        </w:rPr>
        <w:t>。</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水基钻井固废属于第Ⅱ类一般固体废物，收集后定期用密闭罐车就近交给依法取得生态环境部门关于利用和处置相关工业固体废物项目环评批复、具有处理处置相应固体废物能力并配套建设有废气、废水、固废等污染物治理设施的单位进行资源化利用。满足《达州市生态环境局办公室关于加强固体废物污染防治工作的通知》达市环办发〔2019〕49号文件要求。</w:t>
      </w:r>
      <w:r>
        <w:rPr>
          <w:rFonts w:hint="default" w:ascii="Times New Roman" w:hAnsi="Times New Roman" w:cs="Times New Roman"/>
          <w:bCs/>
          <w:color w:val="000000" w:themeColor="text1"/>
          <w:highlight w:val="none"/>
          <w14:textFill>
            <w14:solidFill>
              <w14:schemeClr w14:val="tx1"/>
            </w14:solidFill>
          </w14:textFill>
        </w:rPr>
        <w:t>钻井废弃物中SiO</w:t>
      </w:r>
      <w:r>
        <w:rPr>
          <w:rFonts w:hint="default" w:ascii="Times New Roman" w:hAnsi="Times New Roman" w:cs="Times New Roman"/>
          <w:bCs/>
          <w:color w:val="000000" w:themeColor="text1"/>
          <w:highlight w:val="none"/>
          <w:vertAlign w:val="subscript"/>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、Al</w:t>
      </w:r>
      <w:r>
        <w:rPr>
          <w:rFonts w:hint="default" w:ascii="Times New Roman" w:hAnsi="Times New Roman" w:cs="Times New Roman"/>
          <w:bCs/>
          <w:color w:val="000000" w:themeColor="text1"/>
          <w:highlight w:val="none"/>
          <w:vertAlign w:val="subscript"/>
          <w14:textFill>
            <w14:solidFill>
              <w14:schemeClr w14:val="tx1"/>
            </w14:solidFill>
          </w14:textFill>
        </w:rPr>
        <w:t>2</w:t>
      </w:r>
      <w:r>
        <w:rPr>
          <w:rFonts w:hint="default" w:ascii="Times New Roman" w:hAnsi="Times New Roman" w:cs="Times New Roman"/>
          <w:bCs/>
          <w:color w:val="000000" w:themeColor="text1"/>
          <w:highlight w:val="none"/>
          <w14:textFill>
            <w14:solidFill>
              <w14:schemeClr w14:val="tx1"/>
            </w14:solidFill>
          </w14:textFill>
        </w:rPr>
        <w:t>O</w:t>
      </w:r>
      <w:r>
        <w:rPr>
          <w:rFonts w:hint="default" w:ascii="Times New Roman" w:hAnsi="Times New Roman" w:cs="Times New Roman"/>
          <w:bCs/>
          <w:color w:val="000000" w:themeColor="text1"/>
          <w:highlight w:val="none"/>
          <w:vertAlign w:val="subscript"/>
          <w14:textFill>
            <w14:solidFill>
              <w14:schemeClr w14:val="tx1"/>
            </w14:solidFill>
          </w14:textFill>
        </w:rPr>
        <w:t>3</w:t>
      </w:r>
      <w:r>
        <w:rPr>
          <w:rFonts w:hint="default" w:ascii="Times New Roman" w:hAnsi="Times New Roman" w:cs="Times New Roman"/>
          <w:bCs/>
          <w:color w:val="000000" w:themeColor="text1"/>
          <w:highlight w:val="none"/>
          <w14:textFill>
            <w14:solidFill>
              <w14:schemeClr w14:val="tx1"/>
            </w14:solidFill>
          </w14:textFill>
        </w:rPr>
        <w:t>及CaO为其</w:t>
      </w:r>
      <w:r>
        <w:rPr>
          <w:rFonts w:hint="eastAsia" w:cs="Times New Roman"/>
          <w:bCs/>
          <w:color w:val="000000" w:themeColor="text1"/>
          <w:highlight w:val="none"/>
          <w:lang w:eastAsia="zh-CN"/>
          <w14:textFill>
            <w14:solidFill>
              <w14:schemeClr w14:val="tx1"/>
            </w14:solidFill>
          </w14:textFill>
        </w:rPr>
        <w:t>主要成分</w:t>
      </w:r>
      <w:r>
        <w:rPr>
          <w:rFonts w:hint="default" w:ascii="Times New Roman" w:hAnsi="Times New Roman" w:cs="Times New Roman"/>
          <w:bCs/>
          <w:color w:val="000000" w:themeColor="text1"/>
          <w:highlight w:val="none"/>
          <w14:textFill>
            <w14:solidFill>
              <w14:schemeClr w14:val="tx1"/>
            </w14:solidFill>
          </w14:textFill>
        </w:rPr>
        <w:t>，其与砖、水泥生料成份有相似之处，类比同类钻井废弃物处置项目，钻井废弃物</w:t>
      </w:r>
      <w:r>
        <w:rPr>
          <w:rFonts w:hint="default" w:ascii="Times New Roman" w:hAnsi="Times New Roman" w:cs="Times New Roman"/>
          <w:color w:val="000000" w:themeColor="text1"/>
          <w:highlight w:val="none"/>
          <w14:textFill>
            <w14:solidFill>
              <w14:schemeClr w14:val="tx1"/>
            </w14:solidFill>
          </w14:textFill>
        </w:rPr>
        <w:t>资源化利用从技术上是可行的。与中石化合作的有资质单位均有接收本项目钻井固废的能力且接收能力很大，因此建设单位在钻井期应根据中石化中原油田普光分公司统筹安排，尽量就近选择有处理能力的资质单位处置本项目的钻井固废，在开钻与拉运前做好协调沟通工作，确保项目钻井固废能够得到妥善有效处置，在采取上述措施后本项目钻井固废资源化综合利用从环保角度分析是可行的。</w:t>
      </w:r>
    </w:p>
    <w:p>
      <w:pPr>
        <w:ind w:firstLine="482"/>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eastAsia="zh-CN"/>
          <w14:textFill>
            <w14:solidFill>
              <w14:schemeClr w14:val="tx1"/>
            </w14:solidFill>
          </w14:textFill>
        </w:rPr>
        <w:t>（</w:t>
      </w:r>
      <w:r>
        <w:rPr>
          <w:rFonts w:hint="eastAsia" w:cs="Times New Roman"/>
          <w:b/>
          <w:bCs/>
          <w:color w:val="000000" w:themeColor="text1"/>
          <w:highlight w:val="none"/>
          <w:lang w:val="en-US" w:eastAsia="zh-CN"/>
          <w14:textFill>
            <w14:solidFill>
              <w14:schemeClr w14:val="tx1"/>
            </w14:solidFill>
          </w14:textFill>
        </w:rPr>
        <w:t>3）油基钻井固废、废油及其他不能使用含油废物等危险废物</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油基钻井固废：</w:t>
      </w:r>
      <w:r>
        <w:rPr>
          <w:rFonts w:hint="default" w:ascii="Times New Roman" w:hAnsi="Times New Roman" w:cs="Times New Roman"/>
          <w:color w:val="000000" w:themeColor="text1"/>
          <w:highlight w:val="none"/>
          <w14:textFill>
            <w14:solidFill>
              <w14:schemeClr w14:val="tx1"/>
            </w14:solidFill>
          </w14:textFill>
        </w:rPr>
        <w:t>三开段使用油基钻井液，</w:t>
      </w:r>
      <w:r>
        <w:rPr>
          <w:rFonts w:hint="eastAsia" w:ascii="Times New Roman" w:hAnsi="Times New Roman" w:cs="Times New Roman"/>
          <w:color w:val="000000" w:themeColor="text1"/>
          <w:highlight w:val="none"/>
          <w:lang w:val="en-US" w:eastAsia="zh-CN"/>
          <w14:textFill>
            <w14:solidFill>
              <w14:schemeClr w14:val="tx1"/>
            </w14:solidFill>
          </w14:textFill>
        </w:rPr>
        <w:t>产生的</w:t>
      </w:r>
      <w:r>
        <w:rPr>
          <w:rFonts w:hint="eastAsia" w:cs="Times New Roman"/>
          <w:color w:val="000000" w:themeColor="text1"/>
          <w:highlight w:val="none"/>
          <w:lang w:eastAsia="zh-CN"/>
          <w14:textFill>
            <w14:solidFill>
              <w14:schemeClr w14:val="tx1"/>
            </w14:solidFill>
          </w14:textFill>
        </w:rPr>
        <w:t>废弃油基钻井泥浆与油基岩屑</w:t>
      </w:r>
      <w:r>
        <w:rPr>
          <w:rFonts w:hint="default" w:ascii="Times New Roman" w:hAnsi="Times New Roman" w:cs="Times New Roman"/>
          <w:color w:val="000000" w:themeColor="text1"/>
          <w:highlight w:val="none"/>
          <w14:textFill>
            <w14:solidFill>
              <w14:schemeClr w14:val="tx1"/>
            </w14:solidFill>
          </w14:textFill>
        </w:rPr>
        <w:t>产生量约为</w:t>
      </w:r>
      <w:r>
        <w:rPr>
          <w:rFonts w:hint="eastAsia" w:cs="Times New Roman"/>
          <w:color w:val="000000" w:themeColor="text1"/>
          <w:highlight w:val="none"/>
          <w:lang w:eastAsia="zh-CN"/>
          <w14:textFill>
            <w14:solidFill>
              <w14:schemeClr w14:val="tx1"/>
            </w14:solidFill>
          </w14:textFill>
        </w:rPr>
        <w:t>1005.54m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废</w:t>
      </w:r>
      <w:r>
        <w:rPr>
          <w:rFonts w:hint="default" w:ascii="Times New Roman" w:hAnsi="Times New Roman" w:cs="Times New Roman"/>
          <w:color w:val="000000" w:themeColor="text1"/>
          <w:highlight w:val="none"/>
          <w14:textFill>
            <w14:solidFill>
              <w14:schemeClr w14:val="tx1"/>
            </w14:solidFill>
          </w14:textFill>
        </w:rPr>
        <w:t>油基钻井废泥浆、岩屑暂存于新建的60m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危险废物暂存场所（采取必要的防风、防晒、防雨、防漏、防渗、防腐以及其他环境污染防治措施，不得露天堆放危险废物），泥浆和油基钻井岩屑及时交由有资质的单位处置。</w:t>
      </w:r>
    </w:p>
    <w:p>
      <w:pPr>
        <w:ind w:firstLine="480"/>
        <w:rPr>
          <w:rFonts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废油及其他不能使用含油废物：</w:t>
      </w:r>
      <w:r>
        <w:rPr>
          <w:rFonts w:hint="eastAsia" w:cs="Times New Roman"/>
          <w:color w:val="000000" w:themeColor="text1"/>
          <w:highlight w:val="none"/>
          <w:lang w:val="en-US" w:eastAsia="zh-CN"/>
          <w14:textFill>
            <w14:solidFill>
              <w14:schemeClr w14:val="tx1"/>
            </w14:solidFill>
          </w14:textFill>
        </w:rPr>
        <w:t>施工期</w:t>
      </w:r>
      <w:r>
        <w:rPr>
          <w:rFonts w:cs="Times New Roman"/>
          <w:color w:val="000000" w:themeColor="text1"/>
          <w:highlight w:val="none"/>
          <w14:textFill>
            <w14:solidFill>
              <w14:schemeClr w14:val="tx1"/>
            </w14:solidFill>
          </w14:textFill>
        </w:rPr>
        <w:t>产生的废油由施工单位统一收集并综合利用，若不能全部回用，不能综合利用的废油以及擦拭站场设备产生的</w:t>
      </w:r>
      <w:r>
        <w:rPr>
          <w:rFonts w:hint="eastAsia"/>
          <w:color w:val="000000" w:themeColor="text1"/>
          <w:szCs w:val="20"/>
          <w:highlight w:val="none"/>
          <w:lang w:val="en-US" w:eastAsia="zh-CN"/>
          <w14:textFill>
            <w14:solidFill>
              <w14:schemeClr w14:val="tx1"/>
            </w14:solidFill>
          </w14:textFill>
        </w:rPr>
        <w:t>废含油抹布手套</w:t>
      </w:r>
      <w:r>
        <w:rPr>
          <w:rFonts w:cs="Times New Roman"/>
          <w:color w:val="000000" w:themeColor="text1"/>
          <w:highlight w:val="none"/>
          <w14:textFill>
            <w14:solidFill>
              <w14:schemeClr w14:val="tx1"/>
            </w14:solidFill>
          </w14:textFill>
        </w:rPr>
        <w:t>其他含油固废交由有资质的单位处理。废油的收集、贮存和运输应满足《危险废物收集、贮存、运输技术规范》（HJ2025-2012）及《废矿物油回收利用污染控制技术规范》（HJ607-2011）相关规定。</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建设单位承诺对于本项目产生的危险废物，将严格按照《危险废物贮存污染控制标准》（GB18597-2023）、《危险废物产生单位管理计划制定指南</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危险废物转移管理办法</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危险废物收集 贮存 运输技术规范》（HJ2025）和《危险废物环境管理指南 陆上石油天然气开采》等要求采取管理，建立健全危险废物产生、收集、贮存、运输、利用、处置全过程的污染环境防治责任制度，确保各危险废物得到有效收集、贮存和处置，具体如下</w:t>
      </w:r>
      <w:r>
        <w:rPr>
          <w:rFonts w:hint="eastAsia"/>
          <w:color w:val="000000" w:themeColor="text1"/>
          <w:highlight w:val="none"/>
          <w14:textFill>
            <w14:solidFill>
              <w14:schemeClr w14:val="tx1"/>
            </w14:solidFill>
          </w14:textFill>
        </w:rPr>
        <w:t>：</w:t>
      </w:r>
    </w:p>
    <w:p>
      <w:pPr>
        <w:ind w:firstLine="482"/>
        <w:rPr>
          <w:b w:val="0"/>
          <w:bCs/>
          <w:color w:val="000000" w:themeColor="text1"/>
          <w:highlight w:val="none"/>
          <w14:textFill>
            <w14:solidFill>
              <w14:schemeClr w14:val="tx1"/>
            </w14:solidFill>
          </w14:textFill>
        </w:rPr>
      </w:pPr>
      <w:r>
        <w:rPr>
          <w:b w:val="0"/>
          <w:bCs/>
          <w:color w:val="000000" w:themeColor="text1"/>
          <w:highlight w:val="none"/>
          <w14:textFill>
            <w14:solidFill>
              <w14:schemeClr w14:val="tx1"/>
            </w14:solidFill>
          </w14:textFill>
        </w:rPr>
        <w:t>1）井场暂存的可行性分析</w:t>
      </w:r>
    </w:p>
    <w:p>
      <w:pPr>
        <w:widowControl/>
        <w:ind w:firstLine="480"/>
        <w:rPr>
          <w:rFonts w:hint="eastAsia" w:ascii="Times New Roman" w:hAnsi="Times New Roman"/>
          <w:color w:val="000000" w:themeColor="text1"/>
          <w:sz w:val="24"/>
          <w:highlight w:val="none"/>
          <w:lang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油基钻井固废：</w:t>
      </w:r>
      <w:r>
        <w:rPr>
          <w:rFonts w:hint="eastAsia" w:ascii="Times New Roman" w:hAnsi="Times New Roman"/>
          <w:color w:val="000000" w:themeColor="text1"/>
          <w:sz w:val="24"/>
          <w:highlight w:val="none"/>
          <w:lang w:eastAsia="zh-CN"/>
          <w14:textFill>
            <w14:solidFill>
              <w14:schemeClr w14:val="tx1"/>
            </w14:solidFill>
          </w14:textFill>
        </w:rPr>
        <w:t>根据《国家危险废物名录》（2021年版）和《危险废物环境管理指南 陆上石油天然气开采》，含油钻井岩屑或废钻井泥浆以及混浆属于“HW08 废矿物油与含矿物油废物危险废物中”的“072-001-08 以矿物油为连续相配制钻井泥浆用于天然气开采所产生的钻井岩屑和废弃钻井泥浆”。井场现场油基钻井固废由双层袋密封袋装后临时贮存</w:t>
      </w:r>
      <w:r>
        <w:rPr>
          <w:rFonts w:cs="Times New Roman"/>
          <w:color w:val="000000" w:themeColor="text1"/>
          <w:kern w:val="0"/>
          <w:highlight w:val="none"/>
          <w14:textFill>
            <w14:solidFill>
              <w14:schemeClr w14:val="tx1"/>
            </w14:solidFill>
          </w14:textFill>
        </w:rPr>
        <w:t>于新建的60m</w:t>
      </w:r>
      <w:r>
        <w:rPr>
          <w:rFonts w:cs="Times New Roman"/>
          <w:color w:val="000000" w:themeColor="text1"/>
          <w:kern w:val="0"/>
          <w:highlight w:val="none"/>
          <w:vertAlign w:val="superscript"/>
          <w14:textFill>
            <w14:solidFill>
              <w14:schemeClr w14:val="tx1"/>
            </w14:solidFill>
          </w14:textFill>
        </w:rPr>
        <w:t>2</w:t>
      </w:r>
      <w:r>
        <w:rPr>
          <w:rFonts w:cs="Times New Roman"/>
          <w:color w:val="000000" w:themeColor="text1"/>
          <w:kern w:val="0"/>
          <w:highlight w:val="none"/>
          <w14:textFill>
            <w14:solidFill>
              <w14:schemeClr w14:val="tx1"/>
            </w14:solidFill>
          </w14:textFill>
        </w:rPr>
        <w:t>危险废物暂存场所（采取必要的防风、防晒、防雨、防漏、防渗、防腐以及其他环境污染防治措施，不得露天堆放危险废物），</w:t>
      </w:r>
      <w:r>
        <w:rPr>
          <w:rFonts w:hint="eastAsia" w:ascii="Times New Roman" w:hAnsi="Times New Roman"/>
          <w:color w:val="000000" w:themeColor="text1"/>
          <w:sz w:val="24"/>
          <w:highlight w:val="none"/>
          <w:lang w:eastAsia="zh-CN"/>
          <w14:textFill>
            <w14:solidFill>
              <w14:schemeClr w14:val="tx1"/>
            </w14:solidFill>
          </w14:textFill>
        </w:rPr>
        <w:t>暂存区按</w:t>
      </w:r>
      <w:r>
        <w:rPr>
          <w:rFonts w:hint="eastAsia" w:ascii="Times New Roman" w:hAnsi="Times New Roman"/>
          <w:bCs/>
          <w:color w:val="000000" w:themeColor="text1"/>
          <w:sz w:val="24"/>
          <w:highlight w:val="none"/>
          <w:lang w:eastAsia="zh-CN"/>
          <w14:textFill>
            <w14:solidFill>
              <w14:schemeClr w14:val="tx1"/>
            </w14:solidFill>
          </w14:textFill>
        </w:rPr>
        <w:t>《危险废物贮存污染控制标准》（GB18597-2023）中贮存场进行管理</w:t>
      </w:r>
      <w:r>
        <w:rPr>
          <w:rFonts w:hint="eastAsia"/>
          <w:color w:val="000000" w:themeColor="text1"/>
          <w:sz w:val="24"/>
          <w:highlight w:val="none"/>
          <w:lang w:eastAsia="zh-CN"/>
          <w14:textFill>
            <w14:solidFill>
              <w14:schemeClr w14:val="tx1"/>
            </w14:solidFill>
          </w14:textFill>
        </w:rPr>
        <w:t>：</w:t>
      </w:r>
      <w:r>
        <w:rPr>
          <w:rFonts w:hint="eastAsia"/>
          <w:bCs/>
          <w:color w:val="000000" w:themeColor="text1"/>
          <w:highlight w:val="none"/>
          <w:lang w:eastAsia="zh-CN"/>
          <w14:textFill>
            <w14:solidFill>
              <w14:schemeClr w14:val="tx1"/>
            </w14:solidFill>
          </w14:textFill>
        </w:rPr>
        <w:t>①</w:t>
      </w:r>
      <w:r>
        <w:rPr>
          <w:rFonts w:hint="eastAsia"/>
          <w:color w:val="000000" w:themeColor="text1"/>
          <w:highlight w:val="none"/>
          <w:lang w:eastAsia="zh-CN"/>
          <w14:textFill>
            <w14:solidFill>
              <w14:schemeClr w14:val="tx1"/>
            </w14:solidFill>
          </w14:textFill>
        </w:rPr>
        <w:t>采取必要的防风、防晒、防雨、防漏、防渗、防腐以及其他环境污染防治措施，不应露天堆放危险废物；②贮存设施或贮存分区内地面、墙面裙脚、堵截泄漏的围堰、接触危险废物的隔板和墙体等应采用坚固的材料建造，表面无裂缝；③贮存设施地面与裙脚应采取表面防渗措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highlight w:val="none"/>
          <w:vertAlign w:val="superscript"/>
          <w:lang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cm/s），或至少2mm厚高密度聚乙烯膜等人工防渗材料（渗透系数不大于10</w:t>
      </w:r>
      <w:r>
        <w:rPr>
          <w:rFonts w:hint="eastAsia"/>
          <w:color w:val="000000" w:themeColor="text1"/>
          <w:highlight w:val="none"/>
          <w:vertAlign w:val="superscript"/>
          <w:lang w:eastAsia="zh-CN"/>
          <w14:textFill>
            <w14:solidFill>
              <w14:schemeClr w14:val="tx1"/>
            </w14:solidFill>
          </w14:textFill>
        </w:rPr>
        <w:t>-10</w:t>
      </w:r>
      <w:r>
        <w:rPr>
          <w:rFonts w:hint="eastAsia"/>
          <w:color w:val="000000" w:themeColor="text1"/>
          <w:highlight w:val="none"/>
          <w:lang w:eastAsia="zh-CN"/>
          <w14:textFill>
            <w14:solidFill>
              <w14:schemeClr w14:val="tx1"/>
            </w14:solidFill>
          </w14:textFill>
        </w:rPr>
        <w:t>cm/s），或其他防渗性能等效的材料；④贮存设施应采取技术和管理措施防止无关人员进入；⑤贮存场应设置径流疏导系统，保证能防止当地重现期不小于25年的暴雨流入贮存区域，并采取措施防止雨水冲淋危险废物，避免增加渗滤液量；贮存场可整体或分区设计液体导流和收集设施，收集设施容积应保证在最不利条件下可以容纳对应贮存区域产生的渗滤液、废水等液态物质；贮存场应采取防止危险废物扬散、流失的措施。本项目油基钻井固废暂存区采取彩钢棚防雨、防风、防晒，并由废渣收集罐盛装临时贮存，</w:t>
      </w:r>
      <w:r>
        <w:rPr>
          <w:rFonts w:hint="eastAsia"/>
          <w:color w:val="000000" w:themeColor="text1"/>
          <w:sz w:val="24"/>
          <w:highlight w:val="none"/>
          <w:lang w:val="en-US" w:eastAsia="zh-CN"/>
          <w14:textFill>
            <w14:solidFill>
              <w14:schemeClr w14:val="tx1"/>
            </w14:solidFill>
          </w14:textFill>
        </w:rPr>
        <w:t>油基钻井固废</w:t>
      </w:r>
      <w:r>
        <w:rPr>
          <w:rFonts w:hint="eastAsia"/>
          <w:color w:val="000000" w:themeColor="text1"/>
          <w:highlight w:val="none"/>
          <w:lang w:eastAsia="zh-CN"/>
          <w14:textFill>
            <w14:solidFill>
              <w14:schemeClr w14:val="tx1"/>
            </w14:solidFill>
          </w14:textFill>
        </w:rPr>
        <w:t>采取分批分次</w:t>
      </w:r>
      <w:r>
        <w:rPr>
          <w:rFonts w:hint="eastAsia" w:ascii="Times New Roman" w:hAnsi="Times New Roman"/>
          <w:color w:val="000000" w:themeColor="text1"/>
          <w:sz w:val="24"/>
          <w:highlight w:val="none"/>
          <w:lang w:eastAsia="zh-CN"/>
          <w14:textFill>
            <w14:solidFill>
              <w14:schemeClr w14:val="tx1"/>
            </w14:solidFill>
          </w14:textFill>
        </w:rPr>
        <w:t>及时交由具有相应危废处置资质单位妥善转运和处置，现场无油基固废排放</w:t>
      </w:r>
      <w:r>
        <w:rPr>
          <w:rFonts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eastAsia="zh-CN"/>
          <w14:textFill>
            <w14:solidFill>
              <w14:schemeClr w14:val="tx1"/>
            </w14:solidFill>
          </w14:textFill>
        </w:rPr>
        <w:t>钻井固废暂存区（危废暂存库）设置满足《危险废物贮存污染控制标准》（GB18597-2023）要求，暂存油基钻井固废时应按要求设立危废标识，因此措施可行。</w:t>
      </w:r>
    </w:p>
    <w:p>
      <w:pPr>
        <w:widowControl/>
        <w:ind w:firstLine="480"/>
        <w:rPr>
          <w:rFonts w:hint="eastAsia" w:ascii="Times New Roman" w:hAnsi="Times New Roman"/>
          <w:color w:val="000000" w:themeColor="text1"/>
          <w:sz w:val="24"/>
          <w:highlight w:val="none"/>
          <w:lang w:eastAsia="zh-CN"/>
          <w14:textFill>
            <w14:solidFill>
              <w14:schemeClr w14:val="tx1"/>
            </w14:solidFill>
          </w14:textFill>
        </w:rPr>
      </w:pPr>
      <w:r>
        <w:rPr>
          <w:b/>
          <w:bCs/>
          <w:color w:val="000000" w:themeColor="text1"/>
          <w:highlight w:val="none"/>
          <w14:textFill>
            <w14:solidFill>
              <w14:schemeClr w14:val="tx1"/>
            </w14:solidFill>
          </w14:textFill>
        </w:rPr>
        <w:t>废油及其他含油固废：</w:t>
      </w:r>
      <w:r>
        <w:rPr>
          <w:color w:val="000000" w:themeColor="text1"/>
          <w:highlight w:val="none"/>
          <w14:textFill>
            <w14:solidFill>
              <w14:schemeClr w14:val="tx1"/>
            </w14:solidFill>
          </w14:textFill>
        </w:rPr>
        <w:t>井场内设置废油桶集中收集废油，废油桶置于泥浆不落地装置区，并</w:t>
      </w:r>
      <w:r>
        <w:rPr>
          <w:rFonts w:cs="Times New Roman"/>
          <w:color w:val="000000" w:themeColor="text1"/>
          <w:kern w:val="0"/>
          <w:highlight w:val="none"/>
          <w14:textFill>
            <w14:solidFill>
              <w14:schemeClr w14:val="tx1"/>
            </w14:solidFill>
          </w14:textFill>
        </w:rPr>
        <w:t>防风、防晒、防雨、防漏、防渗、防腐以及其他环境污染防治措施</w:t>
      </w:r>
      <w:r>
        <w:rPr>
          <w:color w:val="000000" w:themeColor="text1"/>
          <w:highlight w:val="none"/>
          <w14:textFill>
            <w14:solidFill>
              <w14:schemeClr w14:val="tx1"/>
            </w14:solidFill>
          </w14:textFill>
        </w:rPr>
        <w:t>。暂存区严格按照《危险废物贮存污染控制标准》（GB18597-2023）</w:t>
      </w:r>
      <w:r>
        <w:rPr>
          <w:rFonts w:hint="eastAsia"/>
          <w:color w:val="000000" w:themeColor="text1"/>
          <w:highlight w:val="none"/>
          <w:lang w:val="en-US" w:eastAsia="zh-CN"/>
          <w14:textFill>
            <w14:solidFill>
              <w14:schemeClr w14:val="tx1"/>
            </w14:solidFill>
          </w14:textFill>
        </w:rPr>
        <w:t>中贮存点进行管理，</w:t>
      </w:r>
      <w:r>
        <w:rPr>
          <w:rFonts w:hint="eastAsia"/>
          <w:bCs/>
          <w:color w:val="000000" w:themeColor="text1"/>
          <w:highlight w:val="none"/>
          <w:lang w:eastAsia="zh-CN"/>
          <w14:textFill>
            <w14:solidFill>
              <w14:schemeClr w14:val="tx1"/>
            </w14:solidFill>
          </w14:textFill>
        </w:rPr>
        <w:t>实时贮存量不应超过3吨。</w:t>
      </w:r>
      <w:r>
        <w:rPr>
          <w:color w:val="000000" w:themeColor="text1"/>
          <w:highlight w:val="none"/>
          <w14:textFill>
            <w14:solidFill>
              <w14:schemeClr w14:val="tx1"/>
            </w14:solidFill>
          </w14:textFill>
        </w:rPr>
        <w:t>废油</w:t>
      </w:r>
      <w:r>
        <w:rPr>
          <w:rFonts w:hint="eastAsia"/>
          <w:color w:val="000000" w:themeColor="text1"/>
          <w:szCs w:val="20"/>
          <w:highlight w:val="none"/>
          <w:lang w:val="en-US" w:eastAsia="zh-CN"/>
          <w14:textFill>
            <w14:solidFill>
              <w14:schemeClr w14:val="tx1"/>
            </w14:solidFill>
          </w14:textFill>
        </w:rPr>
        <w:t>及废含油抹布手套</w:t>
      </w:r>
      <w:r>
        <w:rPr>
          <w:color w:val="000000" w:themeColor="text1"/>
          <w:highlight w:val="none"/>
          <w14:textFill>
            <w14:solidFill>
              <w14:schemeClr w14:val="tx1"/>
            </w14:solidFill>
          </w14:textFill>
        </w:rPr>
        <w:t>用废油桶</w:t>
      </w:r>
      <w:r>
        <w:rPr>
          <w:rFonts w:hint="eastAsia"/>
          <w:color w:val="000000" w:themeColor="text1"/>
          <w:highlight w:val="none"/>
          <w:lang w:val="en-US" w:eastAsia="zh-CN"/>
          <w14:textFill>
            <w14:solidFill>
              <w14:schemeClr w14:val="tx1"/>
            </w14:solidFill>
          </w14:textFill>
        </w:rPr>
        <w:t>分类</w:t>
      </w:r>
      <w:r>
        <w:rPr>
          <w:color w:val="000000" w:themeColor="text1"/>
          <w:highlight w:val="none"/>
          <w14:textFill>
            <w14:solidFill>
              <w14:schemeClr w14:val="tx1"/>
            </w14:solidFill>
          </w14:textFill>
        </w:rPr>
        <w:t>收集后放置于暂存区内，按照《</w:t>
      </w:r>
      <w:r>
        <w:rPr>
          <w:rFonts w:hint="eastAsia"/>
          <w:color w:val="000000" w:themeColor="text1"/>
          <w:highlight w:val="none"/>
          <w14:textFill>
            <w14:solidFill>
              <w14:schemeClr w14:val="tx1"/>
            </w14:solidFill>
          </w14:textFill>
        </w:rPr>
        <w:t>危险废物识别标志设置技术规范</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HJ</w:t>
      </w:r>
      <w:r>
        <w:rPr>
          <w:color w:val="000000" w:themeColor="text1"/>
          <w:highlight w:val="none"/>
          <w14:textFill>
            <w14:solidFill>
              <w14:schemeClr w14:val="tx1"/>
            </w14:solidFill>
          </w14:textFill>
        </w:rPr>
        <w:t xml:space="preserve"> 1276-2022）设置危险废物识别标志，满足《危险废物贮存污染控制标准》（GB18597-2023）设计要求。暂存期间做好废油管理记录，通过擦拭站场设备等方式回收综合利用，不能综合利用的废油以及擦拭站场设备产生的其他含油固废交由有资质的单位处理，因此废油及其他含油井固废在井场内暂存可行。</w:t>
      </w:r>
    </w:p>
    <w:p>
      <w:pPr>
        <w:ind w:firstLine="482"/>
        <w:rPr>
          <w:rFonts w:cs="Times New Roman"/>
          <w:b w:val="0"/>
          <w:bCs/>
          <w:color w:val="000000" w:themeColor="text1"/>
          <w:szCs w:val="24"/>
          <w:highlight w:val="none"/>
          <w14:textFill>
            <w14:solidFill>
              <w14:schemeClr w14:val="tx1"/>
            </w14:solidFill>
          </w14:textFill>
        </w:rPr>
      </w:pPr>
      <w:r>
        <w:rPr>
          <w:rFonts w:cs="Times New Roman"/>
          <w:b w:val="0"/>
          <w:bCs/>
          <w:color w:val="000000" w:themeColor="text1"/>
          <w:szCs w:val="24"/>
          <w:highlight w:val="none"/>
          <w14:textFill>
            <w14:solidFill>
              <w14:schemeClr w14:val="tx1"/>
            </w14:solidFill>
          </w14:textFill>
        </w:rPr>
        <w:t>2）危险废物贮存、处置环境管理</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本项目废油等其他含油固废采用油桶收集，</w:t>
      </w:r>
      <w:r>
        <w:rPr>
          <w:rFonts w:hint="eastAsia" w:cs="Times New Roman"/>
          <w:color w:val="000000" w:themeColor="text1"/>
          <w:szCs w:val="24"/>
          <w:highlight w:val="none"/>
          <w:lang w:val="en-US" w:eastAsia="zh-CN"/>
          <w14:textFill>
            <w14:solidFill>
              <w14:schemeClr w14:val="tx1"/>
            </w14:solidFill>
          </w14:textFill>
        </w:rPr>
        <w:t>油基钻井固废采用双层密封袋或封闭桶装包装，</w:t>
      </w:r>
      <w:r>
        <w:rPr>
          <w:rFonts w:cs="Times New Roman"/>
          <w:color w:val="000000" w:themeColor="text1"/>
          <w:szCs w:val="24"/>
          <w:highlight w:val="none"/>
          <w14:textFill>
            <w14:solidFill>
              <w14:schemeClr w14:val="tx1"/>
            </w14:solidFill>
          </w14:textFill>
        </w:rPr>
        <w:t>整体转运方式转运，避免转运过程中的跑冒滴漏，严格按照《危险废物收集、贮存、运输集输规范》（HJ2025-2012）等危废运输管理各项规定予以落实，场内转运车辆按照预定线路转运，加强转运人员的环境风险防范意识教育，编制转运环境风险应急预案，场外转运委托危废资质单位专业转运，转运车辆环境管理措施可行。</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加强四川省危险废物监督管理工作，四川省固体废物管理中心每年都会组织行政区域内危险废物产生单位对当年危险废物的产生、贮存、转移、利用、处置等情况进行申报，本项目须严格按照当地危险废物登记申报环境管理相关要求，以企业为单位，本项目产生危险固废阶段为子项汇总后主动向当地环境行政主管部门申报，接受监督检查。</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为加强危废的环境管理，本项目应严格按照《危险废物收集贮存运输技术规范》（HJ2025-2012）、《危险废物转移联单管理办法》（原国家环境保护总局令第5号）和《危险废物环境管理指南 陆上石油天然气开采》等相关环境管理要求，做到如下环境管理。</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落实污染环境防治责任制度，建立健全工业危险废物产生、收集、贮存、运输、利用、处置全过程的污染环境防治责任制度。</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2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落实危险废物识别标志制度，按照《危险废物识别标志设置技术规范》（HJ 1276-2022）等有关规定，对危险废物的容器和包装物以及收集、贮存、运输、利用、处置危险废物的设施、场所设置危险废物识别标志。</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3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落实危险废物管理计划制度，按照《危险废物产生单位管理计划制定指南》等有关要求制定危险废物管理计划，并报所在地生态环境主管部门备案。</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4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落实危险废物管理台账及申报制度，建立危险废物管理台账，如实记录有关信息，并通过国家危险废物信息管理系统向所在地生态环境主管部门申报危险废物的种类、产生量、流向、贮存、处置等有关资料。</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5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⑤</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落实危险废物经营许可证制度，禁止将危险废物提供或委托给无危险废物经营许可证的单位或者其他生产经营者从事收集、贮存、利用、处置活动。</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6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⑥</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危险废物转移联单制度，转移危险废物的，应当按照《危险废物转移管理办法》的有关规定填写、运行危险废物转移联单。运输危险废物，应当采取防止污染环境的措施，并遵守国家有关危险货物运输管理的规定。废油转运实施五联单转运制度，联单第一联由产生单位自留存档，联单第二联副联由产生单位在二日内报送移出地环境保护行政主管部门；接受单位将联单第三联交付运输单位存档；将联单第四联自留存档；将联单第五联自接受危险废物之日起二日内报送接受地环境保护行政主管部门，联单保存期限为五年。</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7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⑦</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落实排污许可制度。</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8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⑧</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环境保护标准制度，按照国家有关规定和环境保护标准要求贮存、利用、处置危险废物，不得将其擅自倾倒处置；禁止混合收集、贮存、运输、处置性质不相容或未经安全性处置的危险废物。危险废物收集、贮存应当按照其特性分类进行；禁止将危险废物混入非危险废物中贮存。危险废物收集、贮存和运输过程的污染控制执行《危险废物贮存污染控制标准》（GB18597-2023）《危险废物收集贮存 运输技术规范》（HJ2025）等有关规定。</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9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⑨</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落实环境影响评价制度及环境保护三同时制度，需要配套建设的危险废物贮存、利用和处置设施应当与主体工程同时设计、同时施工、同时投入使用。</w:t>
      </w:r>
    </w:p>
    <w:p>
      <w:pPr>
        <w:ind w:firstLine="482"/>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 10 \* GB3 \* MERGEFORMAT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⑩</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落实环境应急预案制度，参考《危险废物经营单位编制应急预案指南》有关规定制定意外事故的防范措施和环境应急预案，并向所在地生态环境主管部门和其他负有固体废物污染环境防治监督管理职责的部门备案。井场设专门的储存区贮存废润滑油、废含油抹布和劳保用品、含有或沾染矿物油的废弃包装物和容器等。</w:t>
      </w:r>
    </w:p>
    <w:p>
      <w:pPr>
        <w:ind w:firstLine="480"/>
        <w:rPr>
          <w:rFonts w:hint="default" w:ascii="Times New Roman" w:hAnsi="Times New Roman"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综上所述，</w:t>
      </w:r>
      <w:r>
        <w:rPr>
          <w:rFonts w:hint="default" w:ascii="Times New Roman" w:hAnsi="Times New Roman" w:cs="Times New Roman"/>
          <w:b/>
          <w:bCs/>
          <w:color w:val="000000" w:themeColor="text1"/>
          <w:highlight w:val="none"/>
          <w14:textFill>
            <w14:solidFill>
              <w14:schemeClr w14:val="tx1"/>
            </w14:solidFill>
          </w14:textFill>
        </w:rPr>
        <w:t>本项目钻井施工期危废主要为HW08 900-214-08</w:t>
      </w:r>
      <w:r>
        <w:rPr>
          <w:rFonts w:hint="eastAsia" w:ascii="Times New Roman" w:hAnsi="Times New Roman" w:cs="Times New Roman"/>
          <w:b/>
          <w:bCs/>
          <w:color w:val="000000" w:themeColor="text1"/>
          <w:highlight w:val="none"/>
          <w:lang w:val="en-US" w:eastAsia="zh-CN"/>
          <w14:textFill>
            <w14:solidFill>
              <w14:schemeClr w14:val="tx1"/>
            </w14:solidFill>
          </w14:textFill>
        </w:rPr>
        <w:t>含</w:t>
      </w:r>
      <w:r>
        <w:rPr>
          <w:rFonts w:hint="default" w:ascii="Times New Roman" w:hAnsi="Times New Roman" w:cs="Times New Roman"/>
          <w:b/>
          <w:bCs/>
          <w:color w:val="000000" w:themeColor="text1"/>
          <w:highlight w:val="none"/>
          <w14:textFill>
            <w14:solidFill>
              <w14:schemeClr w14:val="tx1"/>
            </w14:solidFill>
          </w14:textFill>
        </w:rPr>
        <w:t>废油危废</w:t>
      </w:r>
      <w:r>
        <w:rPr>
          <w:rFonts w:hint="eastAsia" w:ascii="Times New Roman" w:hAnsi="Times New Roman" w:cs="Times New Roman"/>
          <w:b/>
          <w:bCs/>
          <w:color w:val="000000" w:themeColor="text1"/>
          <w:highlight w:val="none"/>
          <w:lang w:val="en-US" w:eastAsia="zh-CN"/>
          <w14:textFill>
            <w14:solidFill>
              <w14:schemeClr w14:val="tx1"/>
            </w14:solidFill>
          </w14:textFill>
        </w:rPr>
        <w:t>和</w:t>
      </w:r>
      <w:r>
        <w:rPr>
          <w:rFonts w:hint="default" w:ascii="Times New Roman" w:hAnsi="Times New Roman" w:cs="Times New Roman"/>
          <w:b/>
          <w:bCs/>
          <w:color w:val="000000" w:themeColor="text1"/>
          <w:highlight w:val="none"/>
          <w14:textFill>
            <w14:solidFill>
              <w14:schemeClr w14:val="tx1"/>
            </w14:solidFill>
          </w14:textFill>
        </w:rPr>
        <w:t xml:space="preserve">HW08 </w:t>
      </w:r>
      <w:r>
        <w:rPr>
          <w:rFonts w:hint="default" w:ascii="Times New Roman" w:hAnsi="Times New Roman" w:cs="Times New Roman"/>
          <w:b/>
          <w:bCs/>
          <w:color w:val="000000" w:themeColor="text1"/>
          <w:highlight w:val="none"/>
          <w:lang w:eastAsia="zh-CN"/>
          <w14:textFill>
            <w14:solidFill>
              <w14:schemeClr w14:val="tx1"/>
            </w14:solidFill>
          </w14:textFill>
        </w:rPr>
        <w:t>072-001-08以矿物油为连续相配制钻井泥浆用于天然气开采所产生的钻井岩屑和废弃钻井泥浆</w:t>
      </w:r>
      <w:r>
        <w:rPr>
          <w:rFonts w:hint="default" w:ascii="Times New Roman" w:hAnsi="Times New Roman" w:cs="Times New Roman"/>
          <w:b/>
          <w:bCs/>
          <w:color w:val="000000" w:themeColor="text1"/>
          <w:highlight w:val="none"/>
          <w14:textFill>
            <w14:solidFill>
              <w14:schemeClr w14:val="tx1"/>
            </w14:solidFill>
          </w14:textFill>
        </w:rPr>
        <w:t>，由于</w:t>
      </w:r>
      <w:r>
        <w:rPr>
          <w:rFonts w:hint="eastAsia" w:ascii="Times New Roman" w:hAnsi="Times New Roman" w:cs="Times New Roman"/>
          <w:b/>
          <w:bCs/>
          <w:color w:val="000000" w:themeColor="text1"/>
          <w:highlight w:val="none"/>
          <w:lang w:val="en-US" w:eastAsia="zh-CN"/>
          <w14:textFill>
            <w14:solidFill>
              <w14:schemeClr w14:val="tx1"/>
            </w14:solidFill>
          </w14:textFill>
        </w:rPr>
        <w:t>本项目</w:t>
      </w:r>
      <w:r>
        <w:rPr>
          <w:rFonts w:hint="default" w:ascii="Times New Roman" w:hAnsi="Times New Roman" w:cs="Times New Roman"/>
          <w:b/>
          <w:bCs/>
          <w:color w:val="000000" w:themeColor="text1"/>
          <w:highlight w:val="none"/>
          <w14:textFill>
            <w14:solidFill>
              <w14:schemeClr w14:val="tx1"/>
            </w14:solidFill>
          </w14:textFill>
        </w:rPr>
        <w:t>HW08</w:t>
      </w:r>
      <w:r>
        <w:rPr>
          <w:rFonts w:hint="eastAsia" w:ascii="Times New Roman" w:hAnsi="Times New Roman" w:cs="Times New Roman"/>
          <w:b/>
          <w:bCs/>
          <w:color w:val="000000" w:themeColor="text1"/>
          <w:highlight w:val="none"/>
          <w:lang w:val="en-US" w:eastAsia="zh-CN"/>
          <w14:textFill>
            <w14:solidFill>
              <w14:schemeClr w14:val="tx1"/>
            </w14:solidFill>
          </w14:textFill>
        </w:rPr>
        <w:t>类</w:t>
      </w:r>
      <w:r>
        <w:rPr>
          <w:rFonts w:hint="default" w:ascii="Times New Roman" w:hAnsi="Times New Roman" w:cs="Times New Roman"/>
          <w:b/>
          <w:bCs/>
          <w:color w:val="000000" w:themeColor="text1"/>
          <w:highlight w:val="none"/>
          <w14:textFill>
            <w14:solidFill>
              <w14:schemeClr w14:val="tx1"/>
            </w14:solidFill>
          </w14:textFill>
        </w:rPr>
        <w:t>危废产生量少，施工现场通过加强施工现场环境管理措施减少和控制</w:t>
      </w:r>
      <w:r>
        <w:rPr>
          <w:rFonts w:hint="eastAsia" w:ascii="Times New Roman" w:hAnsi="Times New Roman" w:cs="Times New Roman"/>
          <w:b/>
          <w:bCs/>
          <w:color w:val="000000" w:themeColor="text1"/>
          <w:highlight w:val="none"/>
          <w:lang w:val="en-US" w:eastAsia="zh-CN"/>
          <w14:textFill>
            <w14:solidFill>
              <w14:schemeClr w14:val="tx1"/>
            </w14:solidFill>
          </w14:textFill>
        </w:rPr>
        <w:t>该类危废</w:t>
      </w:r>
      <w:r>
        <w:rPr>
          <w:rFonts w:hint="default" w:ascii="Times New Roman" w:hAnsi="Times New Roman" w:cs="Times New Roman"/>
          <w:b/>
          <w:bCs/>
          <w:color w:val="000000" w:themeColor="text1"/>
          <w:highlight w:val="none"/>
          <w14:textFill>
            <w14:solidFill>
              <w14:schemeClr w14:val="tx1"/>
            </w14:solidFill>
          </w14:textFill>
        </w:rPr>
        <w:t>产生，产生量进一步减小，</w:t>
      </w:r>
      <w:r>
        <w:rPr>
          <w:rFonts w:hint="eastAsia" w:ascii="Times New Roman" w:hAnsi="Times New Roman" w:cs="Times New Roman"/>
          <w:b/>
          <w:bCs/>
          <w:color w:val="000000" w:themeColor="text1"/>
          <w:highlight w:val="none"/>
          <w:lang w:val="en-US" w:eastAsia="zh-CN"/>
          <w14:textFill>
            <w14:solidFill>
              <w14:schemeClr w14:val="tx1"/>
            </w14:solidFill>
          </w14:textFill>
        </w:rPr>
        <w:t>而四川</w:t>
      </w:r>
      <w:r>
        <w:rPr>
          <w:rFonts w:hint="eastAsia" w:cs="Times New Roman"/>
          <w:b/>
          <w:bCs/>
          <w:color w:val="000000" w:themeColor="text1"/>
          <w:highlight w:val="none"/>
          <w:lang w:val="en-US" w:eastAsia="zh-CN"/>
          <w14:textFill>
            <w14:solidFill>
              <w14:schemeClr w14:val="tx1"/>
            </w14:solidFill>
          </w14:textFill>
        </w:rPr>
        <w:t>省</w:t>
      </w:r>
      <w:r>
        <w:rPr>
          <w:rFonts w:hint="eastAsia" w:ascii="Times New Roman" w:hAnsi="Times New Roman" w:cs="Times New Roman"/>
          <w:b/>
          <w:bCs/>
          <w:color w:val="000000" w:themeColor="text1"/>
          <w:highlight w:val="none"/>
          <w:lang w:val="en-US" w:eastAsia="zh-CN"/>
          <w14:textFill>
            <w14:solidFill>
              <w14:schemeClr w14:val="tx1"/>
            </w14:solidFill>
          </w14:textFill>
        </w:rPr>
        <w:t>内有大量的</w:t>
      </w:r>
      <w:r>
        <w:rPr>
          <w:rFonts w:hint="default" w:ascii="Times New Roman" w:hAnsi="Times New Roman" w:cs="Times New Roman"/>
          <w:b/>
          <w:bCs/>
          <w:color w:val="000000" w:themeColor="text1"/>
          <w:highlight w:val="none"/>
          <w14:textFill>
            <w14:solidFill>
              <w14:schemeClr w14:val="tx1"/>
            </w14:solidFill>
          </w14:textFill>
        </w:rPr>
        <w:t xml:space="preserve">HW08 </w:t>
      </w:r>
      <w:r>
        <w:rPr>
          <w:rFonts w:hint="eastAsia" w:ascii="Times New Roman" w:hAnsi="Times New Roman" w:cs="Times New Roman"/>
          <w:b/>
          <w:bCs/>
          <w:color w:val="000000" w:themeColor="text1"/>
          <w:highlight w:val="none"/>
          <w:lang w:val="en-US" w:eastAsia="zh-CN"/>
          <w14:textFill>
            <w14:solidFill>
              <w14:schemeClr w14:val="tx1"/>
            </w14:solidFill>
          </w14:textFill>
        </w:rPr>
        <w:t>类</w:t>
      </w:r>
      <w:r>
        <w:rPr>
          <w:rFonts w:hint="default" w:ascii="Times New Roman" w:hAnsi="Times New Roman" w:cs="Times New Roman"/>
          <w:b/>
          <w:bCs/>
          <w:color w:val="000000" w:themeColor="text1"/>
          <w:highlight w:val="none"/>
          <w14:textFill>
            <w14:solidFill>
              <w14:schemeClr w14:val="tx1"/>
            </w14:solidFill>
          </w14:textFill>
        </w:rPr>
        <w:t>危废</w:t>
      </w:r>
      <w:r>
        <w:rPr>
          <w:rFonts w:hint="eastAsia" w:cs="Times New Roman"/>
          <w:b/>
          <w:bCs/>
          <w:color w:val="000000" w:themeColor="text1"/>
          <w:highlight w:val="none"/>
          <w:lang w:val="en-US" w:eastAsia="zh-CN"/>
          <w14:textFill>
            <w14:solidFill>
              <w14:schemeClr w14:val="tx1"/>
            </w14:solidFill>
          </w14:textFill>
        </w:rPr>
        <w:t>处置单位，处置剩余能力很大，本项目产生的危废</w:t>
      </w:r>
      <w:r>
        <w:rPr>
          <w:rFonts w:hint="default" w:ascii="Times New Roman" w:hAnsi="Times New Roman" w:cs="Times New Roman"/>
          <w:b/>
          <w:bCs/>
          <w:color w:val="000000" w:themeColor="text1"/>
          <w:highlight w:val="none"/>
          <w14:textFill>
            <w14:solidFill>
              <w14:schemeClr w14:val="tx1"/>
            </w14:solidFill>
          </w14:textFill>
        </w:rPr>
        <w:t>不会超过</w:t>
      </w:r>
      <w:r>
        <w:rPr>
          <w:rFonts w:hint="eastAsia" w:ascii="Times New Roman" w:hAnsi="Times New Roman" w:cs="Times New Roman"/>
          <w:b/>
          <w:bCs/>
          <w:color w:val="000000" w:themeColor="text1"/>
          <w:highlight w:val="none"/>
          <w:lang w:val="en-US" w:eastAsia="zh-CN"/>
          <w14:textFill>
            <w14:solidFill>
              <w14:schemeClr w14:val="tx1"/>
            </w14:solidFill>
          </w14:textFill>
        </w:rPr>
        <w:t>省内</w:t>
      </w:r>
      <w:r>
        <w:rPr>
          <w:rFonts w:hint="default" w:ascii="Times New Roman" w:hAnsi="Times New Roman" w:cs="Times New Roman"/>
          <w:b/>
          <w:bCs/>
          <w:color w:val="000000" w:themeColor="text1"/>
          <w:highlight w:val="none"/>
          <w14:textFill>
            <w14:solidFill>
              <w14:schemeClr w14:val="tx1"/>
            </w14:solidFill>
          </w14:textFill>
        </w:rPr>
        <w:t>危废处置单位处置能力，</w:t>
      </w:r>
      <w:r>
        <w:rPr>
          <w:rFonts w:hint="eastAsia" w:ascii="Times New Roman" w:hAnsi="Times New Roman" w:cs="Times New Roman"/>
          <w:b/>
          <w:bCs/>
          <w:color w:val="000000" w:themeColor="text1"/>
          <w:highlight w:val="none"/>
          <w:lang w:val="en-US" w:eastAsia="zh-CN"/>
          <w14:textFill>
            <w14:solidFill>
              <w14:schemeClr w14:val="tx1"/>
            </w14:solidFill>
          </w14:textFill>
        </w:rPr>
        <w:t>因此项目产生的</w:t>
      </w:r>
      <w:r>
        <w:rPr>
          <w:rFonts w:hint="default" w:ascii="Times New Roman" w:hAnsi="Times New Roman" w:cs="Times New Roman"/>
          <w:b/>
          <w:bCs/>
          <w:color w:val="000000" w:themeColor="text1"/>
          <w:highlight w:val="none"/>
          <w14:textFill>
            <w14:solidFill>
              <w14:schemeClr w14:val="tx1"/>
            </w14:solidFill>
          </w14:textFill>
        </w:rPr>
        <w:t>HW08</w:t>
      </w:r>
      <w:r>
        <w:rPr>
          <w:rFonts w:hint="eastAsia" w:ascii="Times New Roman" w:hAnsi="Times New Roman" w:cs="Times New Roman"/>
          <w:b/>
          <w:bCs/>
          <w:color w:val="000000" w:themeColor="text1"/>
          <w:highlight w:val="none"/>
          <w:lang w:val="en-US" w:eastAsia="zh-CN"/>
          <w14:textFill>
            <w14:solidFill>
              <w14:schemeClr w14:val="tx1"/>
            </w14:solidFill>
          </w14:textFill>
        </w:rPr>
        <w:t>类</w:t>
      </w:r>
      <w:r>
        <w:rPr>
          <w:rFonts w:hint="default" w:ascii="Times New Roman" w:hAnsi="Times New Roman" w:cs="Times New Roman"/>
          <w:b/>
          <w:bCs/>
          <w:color w:val="000000" w:themeColor="text1"/>
          <w:highlight w:val="none"/>
          <w14:textFill>
            <w14:solidFill>
              <w14:schemeClr w14:val="tx1"/>
            </w14:solidFill>
          </w14:textFill>
        </w:rPr>
        <w:t>危废交由</w:t>
      </w:r>
      <w:r>
        <w:rPr>
          <w:rFonts w:hint="eastAsia" w:ascii="Times New Roman" w:hAnsi="Times New Roman" w:cs="Times New Roman"/>
          <w:b/>
          <w:bCs/>
          <w:color w:val="000000" w:themeColor="text1"/>
          <w:highlight w:val="none"/>
          <w:lang w:val="en-US" w:eastAsia="zh-CN"/>
          <w14:textFill>
            <w14:solidFill>
              <w14:schemeClr w14:val="tx1"/>
            </w14:solidFill>
          </w14:textFill>
        </w:rPr>
        <w:t>省内具有相应</w:t>
      </w:r>
      <w:r>
        <w:rPr>
          <w:rFonts w:hint="default" w:ascii="Times New Roman" w:hAnsi="Times New Roman" w:cs="Times New Roman"/>
          <w:b/>
          <w:bCs/>
          <w:color w:val="000000" w:themeColor="text1"/>
          <w:highlight w:val="none"/>
          <w14:textFill>
            <w14:solidFill>
              <w14:schemeClr w14:val="tx1"/>
            </w14:solidFill>
          </w14:textFill>
        </w:rPr>
        <w:t>危废资质单位处置的措施可行。</w:t>
      </w:r>
    </w:p>
    <w:p>
      <w:pPr>
        <w:ind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14:textFill>
            <w14:solidFill>
              <w14:schemeClr w14:val="tx1"/>
            </w14:solidFill>
          </w14:textFill>
        </w:rPr>
        <w:t>生活垃圾</w:t>
      </w:r>
    </w:p>
    <w:p>
      <w:pPr>
        <w:ind w:firstLine="480"/>
        <w:rPr>
          <w:bCs/>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钻井期</w:t>
      </w:r>
      <w:r>
        <w:rPr>
          <w:rFonts w:hint="default" w:ascii="Times New Roman" w:hAnsi="Times New Roman" w:cs="Times New Roman"/>
          <w:bCs/>
          <w:color w:val="000000" w:themeColor="text1"/>
          <w:highlight w:val="none"/>
          <w14:textFill>
            <w14:solidFill>
              <w14:schemeClr w14:val="tx1"/>
            </w14:solidFill>
          </w14:textFill>
        </w:rPr>
        <w:t>井场设置垃圾桶进行收集，垃圾桶进行防雨防风处理，定期清运交由当地环卫部门统一处理</w:t>
      </w:r>
      <w:r>
        <w:rPr>
          <w:bCs/>
          <w:color w:val="000000" w:themeColor="text1"/>
          <w:szCs w:val="24"/>
          <w:highlight w:val="none"/>
          <w14:textFill>
            <w14:solidFill>
              <w14:schemeClr w14:val="tx1"/>
            </w14:solidFill>
          </w14:textFill>
        </w:rPr>
        <w:t>，措施可行。</w:t>
      </w:r>
    </w:p>
    <w:p>
      <w:pPr>
        <w:ind w:firstLine="482"/>
        <w:rPr>
          <w:rFonts w:hint="default" w:ascii="Times New Roman" w:hAnsi="Times New Roman"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（5）</w:t>
      </w:r>
      <w:r>
        <w:rPr>
          <w:rFonts w:hint="default" w:ascii="Times New Roman" w:hAnsi="Times New Roman" w:cs="Times New Roman"/>
          <w:b/>
          <w:bCs/>
          <w:color w:val="000000" w:themeColor="text1"/>
          <w:highlight w:val="none"/>
          <w14:textFill>
            <w14:solidFill>
              <w14:schemeClr w14:val="tx1"/>
            </w14:solidFill>
          </w14:textFill>
        </w:rPr>
        <w:t>废包装材料等其他一般固废</w:t>
      </w:r>
    </w:p>
    <w:p>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钻井期间产生的废包装材料主要为各原辅材料的包装袋，为一般废物，集中收集后定期运至就近的废品回收站进行处理</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其他一般固废</w:t>
      </w:r>
      <w:r>
        <w:rPr>
          <w:rFonts w:hint="default"/>
          <w:bCs/>
          <w:color w:val="000000" w:themeColor="text1"/>
          <w:highlight w:val="none"/>
          <w14:textFill>
            <w14:solidFill>
              <w14:schemeClr w14:val="tx1"/>
            </w14:solidFill>
          </w14:textFill>
        </w:rPr>
        <w:t>部分回收重复利用，不可回用部分经收集后暂处于井场内，定期送当地废品回收站处理。</w:t>
      </w:r>
      <w:r>
        <w:rPr>
          <w:rFonts w:hint="eastAsia"/>
          <w:bCs/>
          <w:color w:val="000000" w:themeColor="text1"/>
          <w:highlight w:val="none"/>
          <w:lang w:val="en-US" w:eastAsia="zh-CN"/>
          <w14:textFill>
            <w14:solidFill>
              <w14:schemeClr w14:val="tx1"/>
            </w14:solidFill>
          </w14:textFill>
        </w:rPr>
        <w:t>废包装材料能够得到妥善处置，该处置措施可行。</w:t>
      </w:r>
      <w:r>
        <w:rPr>
          <w:rFonts w:hint="eastAsia" w:cs="Times New Roman"/>
          <w:color w:val="000000" w:themeColor="text1"/>
          <w:szCs w:val="24"/>
          <w:highlight w:val="none"/>
          <w:lang w:val="en-US" w:eastAsia="zh-CN"/>
          <w14:textFill>
            <w14:solidFill>
              <w14:schemeClr w14:val="tx1"/>
            </w14:solidFill>
          </w14:textFill>
        </w:rPr>
        <w:t>此外，</w:t>
      </w:r>
      <w:r>
        <w:rPr>
          <w:rFonts w:cs="Times New Roman"/>
          <w:color w:val="000000" w:themeColor="text1"/>
          <w:szCs w:val="24"/>
          <w:highlight w:val="none"/>
          <w14:textFill>
            <w14:solidFill>
              <w14:schemeClr w14:val="tx1"/>
            </w14:solidFill>
          </w14:textFill>
        </w:rPr>
        <w:t>项目站场建设</w:t>
      </w:r>
      <w:r>
        <w:rPr>
          <w:rFonts w:hint="eastAsia" w:cs="Times New Roman"/>
          <w:color w:val="000000" w:themeColor="text1"/>
          <w:szCs w:val="24"/>
          <w:highlight w:val="none"/>
          <w:lang w:val="en-US" w:eastAsia="zh-CN"/>
          <w14:textFill>
            <w14:solidFill>
              <w14:schemeClr w14:val="tx1"/>
            </w14:solidFill>
          </w14:textFill>
        </w:rPr>
        <w:t>和集输管线施工还会</w:t>
      </w:r>
      <w:r>
        <w:rPr>
          <w:rFonts w:cs="Times New Roman"/>
          <w:color w:val="000000" w:themeColor="text1"/>
          <w:szCs w:val="24"/>
          <w:highlight w:val="none"/>
          <w14:textFill>
            <w14:solidFill>
              <w14:schemeClr w14:val="tx1"/>
            </w14:solidFill>
          </w14:textFill>
        </w:rPr>
        <w:t>产生</w:t>
      </w:r>
      <w:r>
        <w:rPr>
          <w:rFonts w:hint="eastAsia" w:cs="Times New Roman"/>
          <w:color w:val="000000" w:themeColor="text1"/>
          <w:szCs w:val="24"/>
          <w:highlight w:val="none"/>
          <w:lang w:val="en-US" w:eastAsia="zh-CN"/>
          <w14:textFill>
            <w14:solidFill>
              <w14:schemeClr w14:val="tx1"/>
            </w14:solidFill>
          </w14:textFill>
        </w:rPr>
        <w:t>少量</w:t>
      </w:r>
      <w:r>
        <w:rPr>
          <w:rFonts w:cs="Times New Roman"/>
          <w:color w:val="000000" w:themeColor="text1"/>
          <w:szCs w:val="24"/>
          <w:highlight w:val="none"/>
          <w14:textFill>
            <w14:solidFill>
              <w14:schemeClr w14:val="tx1"/>
            </w14:solidFill>
          </w14:textFill>
        </w:rPr>
        <w:t>管道焊接、防腐作业中产生的废材料</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如废焊条、废材料桶等，由施工单位带走处置，不在现场，</w:t>
      </w:r>
      <w:r>
        <w:rPr>
          <w:bCs/>
          <w:color w:val="000000" w:themeColor="text1"/>
          <w:highlight w:val="none"/>
          <w14:textFill>
            <w14:solidFill>
              <w14:schemeClr w14:val="tx1"/>
            </w14:solidFill>
          </w14:textFill>
        </w:rPr>
        <w:t>措施可行。</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这些措施在川东北地区钻采工程中已实施多年，具有较好的借鉴经验。根据本井场</w:t>
      </w:r>
      <w:r>
        <w:rPr>
          <w:rFonts w:hint="eastAsia"/>
          <w:color w:val="000000" w:themeColor="text1"/>
          <w:highlight w:val="none"/>
          <w14:textFill>
            <w14:solidFill>
              <w14:schemeClr w14:val="tx1"/>
            </w14:solidFill>
          </w14:textFill>
        </w:rPr>
        <w:t>周边</w:t>
      </w:r>
      <w:r>
        <w:rPr>
          <w:color w:val="000000" w:themeColor="text1"/>
          <w:highlight w:val="none"/>
          <w14:textFill>
            <w14:solidFill>
              <w14:schemeClr w14:val="tx1"/>
            </w14:solidFill>
          </w14:textFill>
        </w:rPr>
        <w:t>其他中石化川东北地区钻采工程采用相同固废污染防治措施，在加强管理和及时转运后，无固废产生二次污染和投诉发生。因此，本项目施工期固废污染防治措施从经济和环保角度分析是合理、可行的。</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42" w:name="_Toc120173217"/>
      <w:r>
        <w:rPr>
          <w:color w:val="000000" w:themeColor="text1"/>
          <w:highlight w:val="none"/>
          <w:lang w:eastAsia="zh-CN"/>
          <w14:textFill>
            <w14:solidFill>
              <w14:schemeClr w14:val="tx1"/>
            </w14:solidFill>
          </w14:textFill>
        </w:rPr>
        <w:t>陆生生物及其生态系统保护措施</w:t>
      </w:r>
      <w:bookmarkEnd w:id="442"/>
    </w:p>
    <w:p>
      <w:pPr>
        <w:widowControl/>
        <w:ind w:firstLine="480"/>
        <w:jc w:val="left"/>
        <w:rPr>
          <w:rFonts w:cs="Times New Roman"/>
          <w:color w:val="000000" w:themeColor="text1"/>
          <w:highlight w:val="none"/>
          <w14:textFill>
            <w14:solidFill>
              <w14:schemeClr w14:val="tx1"/>
            </w14:solidFill>
          </w14:textFill>
        </w:rPr>
      </w:pPr>
      <w:r>
        <w:rPr>
          <w:rFonts w:cs="Times New Roman"/>
          <w:color w:val="000000" w:themeColor="text1"/>
          <w:szCs w:val="24"/>
          <w:highlight w:val="none"/>
          <w:lang w:bidi="ar"/>
          <w14:textFill>
            <w14:solidFill>
              <w14:schemeClr w14:val="tx1"/>
            </w14:solidFill>
          </w14:textFill>
        </w:rPr>
        <w:t>坚持尊重自然、顺应自然、保护自然的理念，采取自然的恢复措施或绿色修复工艺，避免生态保护措施自身的不利影响。</w:t>
      </w:r>
    </w:p>
    <w:p>
      <w:pPr>
        <w:ind w:firstLine="480"/>
        <w:rPr>
          <w:rFonts w:cs="Times New Roman"/>
          <w:color w:val="000000" w:themeColor="text1"/>
          <w:szCs w:val="24"/>
          <w:highlight w:val="none"/>
          <w:lang w:bidi="ar"/>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本</w:t>
      </w:r>
      <w:r>
        <w:rPr>
          <w:rFonts w:cs="Times New Roman"/>
          <w:color w:val="000000" w:themeColor="text1"/>
          <w:szCs w:val="24"/>
          <w:highlight w:val="none"/>
          <w14:textFill>
            <w14:solidFill>
              <w14:schemeClr w14:val="tx1"/>
            </w14:solidFill>
          </w14:textFill>
        </w:rPr>
        <w:t>工程建设过程中，将不可避免地对施工区的植被、动植物、景观和周围环境产生一定影响。有些影响是永久性的和不可逆的，如</w:t>
      </w:r>
      <w:r>
        <w:rPr>
          <w:rFonts w:hint="eastAsia" w:cs="Times New Roman"/>
          <w:color w:val="000000" w:themeColor="text1"/>
          <w:szCs w:val="24"/>
          <w:highlight w:val="none"/>
          <w14:textFill>
            <w14:solidFill>
              <w14:schemeClr w14:val="tx1"/>
            </w14:solidFill>
          </w14:textFill>
        </w:rPr>
        <w:t>井场</w:t>
      </w:r>
      <w:r>
        <w:rPr>
          <w:rFonts w:cs="Times New Roman"/>
          <w:color w:val="000000" w:themeColor="text1"/>
          <w:szCs w:val="24"/>
          <w:highlight w:val="none"/>
          <w14:textFill>
            <w14:solidFill>
              <w14:schemeClr w14:val="tx1"/>
            </w14:solidFill>
          </w14:textFill>
        </w:rPr>
        <w:t>的占地；有些影响是暂时性的，如</w:t>
      </w:r>
      <w:r>
        <w:rPr>
          <w:rFonts w:cs="Times New Roman"/>
          <w:color w:val="000000" w:themeColor="text1"/>
          <w:highlight w:val="none"/>
          <w14:textFill>
            <w14:solidFill>
              <w14:schemeClr w14:val="tx1"/>
            </w14:solidFill>
          </w14:textFill>
        </w:rPr>
        <w:t>弃土、表土堆放区</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清障</w:t>
      </w:r>
      <w:r>
        <w:rPr>
          <w:rFonts w:hint="eastAsia" w:cs="Times New Roman"/>
          <w:color w:val="000000" w:themeColor="text1"/>
          <w:highlight w:val="none"/>
          <w14:textFill>
            <w14:solidFill>
              <w14:schemeClr w14:val="tx1"/>
            </w14:solidFill>
          </w14:textFill>
        </w:rPr>
        <w:t>区</w:t>
      </w:r>
      <w:r>
        <w:rPr>
          <w:rFonts w:cs="Times New Roman"/>
          <w:color w:val="000000" w:themeColor="text1"/>
          <w:szCs w:val="24"/>
          <w:highlight w:val="none"/>
          <w14:textFill>
            <w14:solidFill>
              <w14:schemeClr w14:val="tx1"/>
            </w14:solidFill>
          </w14:textFill>
        </w:rPr>
        <w:t>。后者可通过采取自然或人工辅助措施的方法加以恢复，前者可通过采取人工措施的方法提高占地区植被覆盖率，使区域生态系统的结构和功能整体得到逐步改善，完全恢复，乃至更</w:t>
      </w:r>
      <w:r>
        <w:rPr>
          <w:rFonts w:cs="Times New Roman"/>
          <w:color w:val="000000" w:themeColor="text1"/>
          <w:szCs w:val="24"/>
          <w:highlight w:val="none"/>
          <w:lang w:bidi="ar"/>
          <w14:textFill>
            <w14:solidFill>
              <w14:schemeClr w14:val="tx1"/>
            </w14:solidFill>
          </w14:textFill>
        </w:rPr>
        <w:t>为高效。</w:t>
      </w:r>
    </w:p>
    <w:p>
      <w:pPr>
        <w:ind w:firstLine="480"/>
        <w:rPr>
          <w:rFonts w:hint="eastAsia" w:eastAsia="黑体" w:cs="Times New Roman"/>
          <w:color w:val="000000" w:themeColor="text1"/>
          <w:highlight w:val="none"/>
          <w:lang w:val="en-US" w:eastAsia="zh-CN"/>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1、生态保护的宣传</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建设单位在施工期需认真做好生态保护的宣传和监督工作，如印发宣传册、制作宣传栏、定期开展宣传活动等。绝不能超计划占用耕地、</w:t>
      </w:r>
      <w:r>
        <w:rPr>
          <w:rFonts w:hint="eastAsia" w:cs="Times New Roman"/>
          <w:color w:val="000000" w:themeColor="text1"/>
          <w:szCs w:val="24"/>
          <w:highlight w:val="none"/>
          <w14:textFill>
            <w14:solidFill>
              <w14:schemeClr w14:val="tx1"/>
            </w14:solidFill>
          </w14:textFill>
        </w:rPr>
        <w:t>林地</w:t>
      </w:r>
      <w:r>
        <w:rPr>
          <w:rFonts w:cs="Times New Roman"/>
          <w:color w:val="000000" w:themeColor="text1"/>
          <w:szCs w:val="24"/>
          <w:highlight w:val="none"/>
          <w14:textFill>
            <w14:solidFill>
              <w14:schemeClr w14:val="tx1"/>
            </w14:solidFill>
          </w14:textFill>
        </w:rPr>
        <w:t>、草地及其他用地；施工过程中，注意加强对施工人员的管理和宣传教育，提高他们保护环境、保护野生动物的意识和觉悟，严令禁止偷猎和捕杀野生动物，禁止乱砍滥伐，做到文明施工。施工期间若遇到野生动物，应注意对其即刻采取适当的保护措施，必要时进行临时人工饲养或上报上级部门处理，不使其受到捕杀和伤害等在内的各种威胁。</w:t>
      </w:r>
    </w:p>
    <w:p>
      <w:pPr>
        <w:ind w:firstLine="480"/>
        <w:rPr>
          <w:rFonts w:hint="eastAsia" w:eastAsia="黑体" w:cs="Times New Roman"/>
          <w:color w:val="000000" w:themeColor="text1"/>
          <w:highlight w:val="none"/>
          <w:lang w:val="en-US" w:eastAsia="zh-CN"/>
          <w14:textFill>
            <w14:solidFill>
              <w14:schemeClr w14:val="tx1"/>
            </w14:solidFill>
          </w14:textFill>
        </w:rPr>
      </w:pPr>
      <w:bookmarkStart w:id="443" w:name="_Toc4301"/>
      <w:bookmarkStart w:id="444" w:name="_Toc1108"/>
      <w:bookmarkStart w:id="445" w:name="_Toc8545"/>
      <w:bookmarkStart w:id="446" w:name="_Toc32366"/>
      <w:bookmarkStart w:id="447" w:name="_Toc27635"/>
      <w:bookmarkStart w:id="448" w:name="_Toc28205"/>
      <w:bookmarkStart w:id="449" w:name="_Toc5702"/>
      <w:bookmarkStart w:id="450" w:name="_Toc30854"/>
      <w:r>
        <w:rPr>
          <w:rFonts w:hint="eastAsia" w:eastAsia="黑体" w:cs="Times New Roman"/>
          <w:color w:val="000000" w:themeColor="text1"/>
          <w:highlight w:val="none"/>
          <w:lang w:val="en-US" w:eastAsia="zh-CN"/>
          <w14:textFill>
            <w14:solidFill>
              <w14:schemeClr w14:val="tx1"/>
            </w14:solidFill>
          </w14:textFill>
        </w:rPr>
        <w:t>2、避让、减缓措施</w:t>
      </w:r>
      <w:bookmarkEnd w:id="443"/>
      <w:bookmarkEnd w:id="444"/>
      <w:bookmarkEnd w:id="445"/>
      <w:bookmarkEnd w:id="446"/>
      <w:bookmarkEnd w:id="447"/>
      <w:bookmarkEnd w:id="448"/>
      <w:bookmarkEnd w:id="449"/>
      <w:bookmarkEnd w:id="450"/>
    </w:p>
    <w:p>
      <w:pPr>
        <w:widowControl/>
        <w:ind w:firstLine="482"/>
        <w:jc w:val="left"/>
        <w:rPr>
          <w:rFonts w:cs="Times New Roman"/>
          <w:b/>
          <w:bCs/>
          <w:color w:val="000000" w:themeColor="text1"/>
          <w:kern w:val="0"/>
          <w:szCs w:val="24"/>
          <w:highlight w:val="none"/>
          <w14:textFill>
            <w14:solidFill>
              <w14:schemeClr w14:val="tx1"/>
            </w14:solidFill>
          </w14:textFill>
        </w:rPr>
      </w:pPr>
      <w:r>
        <w:rPr>
          <w:rFonts w:cs="Times New Roman"/>
          <w:b/>
          <w:bCs/>
          <w:color w:val="000000" w:themeColor="text1"/>
          <w:kern w:val="0"/>
          <w:szCs w:val="24"/>
          <w:highlight w:val="none"/>
          <w14:textFill>
            <w14:solidFill>
              <w14:schemeClr w14:val="tx1"/>
            </w14:solidFill>
          </w14:textFill>
        </w:rPr>
        <w:t>（1）土地与植被保护措施</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施工期间为充分的保护评价范围现有土地和植被，可采取如下保护措施：</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14:textFill>
            <w14:solidFill>
              <w14:schemeClr w14:val="tx1"/>
            </w14:solidFill>
          </w14:textFill>
        </w:rPr>
        <w:t>①</w:t>
      </w:r>
      <w:r>
        <w:rPr>
          <w:rFonts w:cs="Times New Roman"/>
          <w:color w:val="000000" w:themeColor="text1"/>
          <w:kern w:val="0"/>
          <w:szCs w:val="24"/>
          <w:highlight w:val="none"/>
          <w14:textFill>
            <w14:solidFill>
              <w14:schemeClr w14:val="tx1"/>
            </w14:solidFill>
          </w14:textFill>
        </w:rPr>
        <w:t>优先采用生态友好的工程建设技术、工艺及材料。</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14:textFill>
            <w14:solidFill>
              <w14:schemeClr w14:val="tx1"/>
            </w14:solidFill>
          </w14:textFill>
        </w:rPr>
        <w:t>②</w:t>
      </w:r>
      <w:r>
        <w:rPr>
          <w:rFonts w:cs="Times New Roman"/>
          <w:color w:val="000000" w:themeColor="text1"/>
          <w:kern w:val="0"/>
          <w:szCs w:val="24"/>
          <w:highlight w:val="none"/>
          <w14:textFill>
            <w14:solidFill>
              <w14:schemeClr w14:val="tx1"/>
            </w14:solidFill>
          </w14:textFill>
        </w:rPr>
        <w:t>根据施工总体平面布置，</w:t>
      </w:r>
      <w:r>
        <w:rPr>
          <w:rFonts w:hint="eastAsia" w:cs="Times New Roman"/>
          <w:color w:val="000000" w:themeColor="text1"/>
          <w:kern w:val="0"/>
          <w:szCs w:val="24"/>
          <w:highlight w:val="none"/>
          <w14:textFill>
            <w14:solidFill>
              <w14:schemeClr w14:val="tx1"/>
            </w14:solidFill>
          </w14:textFill>
        </w:rPr>
        <w:t>严格规范施工范围，</w:t>
      </w:r>
      <w:r>
        <w:rPr>
          <w:rFonts w:cs="Times New Roman"/>
          <w:color w:val="000000" w:themeColor="text1"/>
          <w:kern w:val="0"/>
          <w:szCs w:val="24"/>
          <w:highlight w:val="none"/>
          <w14:textFill>
            <w14:solidFill>
              <w14:schemeClr w14:val="tx1"/>
            </w14:solidFill>
          </w14:textFill>
        </w:rPr>
        <w:t>确定施工用地范围，进行标桩划界，禁止施工人员进入非施工占地区，严禁任意越界破坏周围植被。</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14:textFill>
            <w14:solidFill>
              <w14:schemeClr w14:val="tx1"/>
            </w14:solidFill>
          </w14:textFill>
        </w:rPr>
        <w:t>③</w:t>
      </w:r>
      <w:r>
        <w:rPr>
          <w:rFonts w:cs="Times New Roman"/>
          <w:color w:val="000000" w:themeColor="text1"/>
          <w:kern w:val="0"/>
          <w:szCs w:val="24"/>
          <w:highlight w:val="none"/>
          <w14:textFill>
            <w14:solidFill>
              <w14:schemeClr w14:val="tx1"/>
            </w14:solidFill>
          </w14:textFill>
        </w:rPr>
        <w:t xml:space="preserve">做好环卫工作，废弃物应合理堆放，及时处置，禁止乱丢垃圾和废弃物，严禁场内污水进入外环沟，确保周边环境不被污染。 </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④</w:t>
      </w:r>
      <w:r>
        <w:rPr>
          <w:rFonts w:cs="Times New Roman"/>
          <w:color w:val="000000" w:themeColor="text1"/>
          <w:kern w:val="0"/>
          <w:szCs w:val="24"/>
          <w:highlight w:val="none"/>
          <w14:textFill>
            <w14:solidFill>
              <w14:schemeClr w14:val="tx1"/>
            </w14:solidFill>
          </w14:textFill>
        </w:rPr>
        <w:t>在项目建设过程中，</w:t>
      </w:r>
      <w:r>
        <w:rPr>
          <w:rFonts w:hint="eastAsia" w:cs="Times New Roman"/>
          <w:color w:val="000000" w:themeColor="text1"/>
          <w:kern w:val="0"/>
          <w:szCs w:val="24"/>
          <w:highlight w:val="none"/>
          <w14:textFill>
            <w14:solidFill>
              <w14:schemeClr w14:val="tx1"/>
            </w14:solidFill>
          </w14:textFill>
        </w:rPr>
        <w:t>强化临时占地的及时复耕复垦，</w:t>
      </w:r>
      <w:r>
        <w:rPr>
          <w:rFonts w:cs="Times New Roman"/>
          <w:color w:val="000000" w:themeColor="text1"/>
          <w:kern w:val="0"/>
          <w:szCs w:val="24"/>
          <w:highlight w:val="none"/>
          <w14:textFill>
            <w14:solidFill>
              <w14:schemeClr w14:val="tx1"/>
            </w14:solidFill>
          </w14:textFill>
        </w:rPr>
        <w:t>对可以恢复的临时占地及时进行植被恢复。</w:t>
      </w:r>
    </w:p>
    <w:p>
      <w:pPr>
        <w:widowControl/>
        <w:spacing w:before="35"/>
        <w:ind w:firstLine="482"/>
        <w:jc w:val="left"/>
        <w:rPr>
          <w:rFonts w:cs="Times New Roman"/>
          <w:b/>
          <w:bCs/>
          <w:color w:val="000000" w:themeColor="text1"/>
          <w:kern w:val="0"/>
          <w:szCs w:val="24"/>
          <w:highlight w:val="none"/>
          <w14:textFill>
            <w14:solidFill>
              <w14:schemeClr w14:val="tx1"/>
            </w14:solidFill>
          </w14:textFill>
        </w:rPr>
      </w:pPr>
      <w:r>
        <w:rPr>
          <w:rFonts w:cs="Times New Roman"/>
          <w:b/>
          <w:bCs/>
          <w:color w:val="000000" w:themeColor="text1"/>
          <w:kern w:val="0"/>
          <w:szCs w:val="24"/>
          <w:highlight w:val="none"/>
          <w14:textFill>
            <w14:solidFill>
              <w14:schemeClr w14:val="tx1"/>
            </w14:solidFill>
          </w14:textFill>
        </w:rPr>
        <w:t>（2）土壤侵蚀的防治对策措施</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①</w:t>
      </w:r>
      <w:r>
        <w:rPr>
          <w:rFonts w:cs="Times New Roman"/>
          <w:color w:val="000000" w:themeColor="text1"/>
          <w:kern w:val="0"/>
          <w:szCs w:val="24"/>
          <w:highlight w:val="none"/>
          <w14:textFill>
            <w14:solidFill>
              <w14:schemeClr w14:val="tx1"/>
            </w14:solidFill>
          </w14:textFill>
        </w:rPr>
        <w:t>在施工过程中合理安排施工进度，施工尽量避开雨天和大风天；分段施工，减少风蚀导致的水土流失。</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②</w:t>
      </w:r>
      <w:r>
        <w:rPr>
          <w:rFonts w:cs="Times New Roman"/>
          <w:color w:val="000000" w:themeColor="text1"/>
          <w:kern w:val="0"/>
          <w:szCs w:val="24"/>
          <w:highlight w:val="none"/>
          <w14:textFill>
            <w14:solidFill>
              <w14:schemeClr w14:val="tx1"/>
            </w14:solidFill>
          </w14:textFill>
        </w:rPr>
        <w:t>划定施工作业范围和路线，不得扩大施工作业范围，尽可能减少对土壤和植被的破坏以及由此引发的水土流失。</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③</w:t>
      </w:r>
      <w:r>
        <w:rPr>
          <w:rFonts w:cs="Times New Roman"/>
          <w:color w:val="000000" w:themeColor="text1"/>
          <w:kern w:val="0"/>
          <w:szCs w:val="24"/>
          <w:highlight w:val="none"/>
          <w14:textFill>
            <w14:solidFill>
              <w14:schemeClr w14:val="tx1"/>
            </w14:solidFill>
          </w14:textFill>
        </w:rPr>
        <w:t>在井场站场施工，设置一定围挡，减少施工过程中水土流失量。</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④</w:t>
      </w:r>
      <w:r>
        <w:rPr>
          <w:rFonts w:cs="Times New Roman"/>
          <w:color w:val="000000" w:themeColor="text1"/>
          <w:kern w:val="0"/>
          <w:szCs w:val="24"/>
          <w:highlight w:val="none"/>
          <w14:textFill>
            <w14:solidFill>
              <w14:schemeClr w14:val="tx1"/>
            </w14:solidFill>
          </w14:textFill>
        </w:rPr>
        <w:t>在地面施工过程中，对于施工破坏区，施工完毕要及时平整土地及植被恢复，以防止发生新的土壤侵蚀。</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⑤</w:t>
      </w:r>
      <w:r>
        <w:rPr>
          <w:rFonts w:cs="Times New Roman"/>
          <w:color w:val="000000" w:themeColor="text1"/>
          <w:kern w:val="0"/>
          <w:szCs w:val="24"/>
          <w:highlight w:val="none"/>
          <w14:textFill>
            <w14:solidFill>
              <w14:schemeClr w14:val="tx1"/>
            </w14:solidFill>
          </w14:textFill>
        </w:rPr>
        <w:t>对于施工过程中产生的不能利用的废弃土石不得将任意裸露弃置，做到随挖随填，以免遇强降雨引起严重的水土流失。</w:t>
      </w:r>
    </w:p>
    <w:p>
      <w:pPr>
        <w:widowControl/>
        <w:spacing w:before="35"/>
        <w:ind w:firstLine="482"/>
        <w:jc w:val="left"/>
        <w:rPr>
          <w:rFonts w:cs="Times New Roman"/>
          <w:b/>
          <w:bCs/>
          <w:color w:val="000000" w:themeColor="text1"/>
          <w:kern w:val="0"/>
          <w:szCs w:val="24"/>
          <w:highlight w:val="none"/>
          <w14:textFill>
            <w14:solidFill>
              <w14:schemeClr w14:val="tx1"/>
            </w14:solidFill>
          </w14:textFill>
        </w:rPr>
      </w:pPr>
      <w:r>
        <w:rPr>
          <w:rFonts w:cs="Times New Roman"/>
          <w:b/>
          <w:bCs/>
          <w:color w:val="000000" w:themeColor="text1"/>
          <w:kern w:val="0"/>
          <w:szCs w:val="24"/>
          <w:highlight w:val="none"/>
          <w14:textFill>
            <w14:solidFill>
              <w14:schemeClr w14:val="tx1"/>
            </w14:solidFill>
          </w14:textFill>
        </w:rPr>
        <w:t>（</w:t>
      </w:r>
      <w:r>
        <w:rPr>
          <w:rFonts w:hint="eastAsia" w:cs="Times New Roman"/>
          <w:b/>
          <w:bCs/>
          <w:color w:val="000000" w:themeColor="text1"/>
          <w:kern w:val="0"/>
          <w:szCs w:val="24"/>
          <w:highlight w:val="none"/>
          <w14:textFill>
            <w14:solidFill>
              <w14:schemeClr w14:val="tx1"/>
            </w14:solidFill>
          </w14:textFill>
        </w:rPr>
        <w:t>3</w:t>
      </w:r>
      <w:r>
        <w:rPr>
          <w:rFonts w:cs="Times New Roman"/>
          <w:b/>
          <w:bCs/>
          <w:color w:val="000000" w:themeColor="text1"/>
          <w:kern w:val="0"/>
          <w:szCs w:val="24"/>
          <w:highlight w:val="none"/>
          <w14:textFill>
            <w14:solidFill>
              <w14:schemeClr w14:val="tx1"/>
            </w14:solidFill>
          </w14:textFill>
        </w:rPr>
        <w:t>）对陆生</w:t>
      </w:r>
      <w:r>
        <w:rPr>
          <w:rFonts w:hint="eastAsia" w:cs="Times New Roman"/>
          <w:b/>
          <w:bCs/>
          <w:color w:val="000000" w:themeColor="text1"/>
          <w:kern w:val="0"/>
          <w:szCs w:val="24"/>
          <w:highlight w:val="none"/>
          <w14:textFill>
            <w14:solidFill>
              <w14:schemeClr w14:val="tx1"/>
            </w14:solidFill>
          </w14:textFill>
        </w:rPr>
        <w:t>野生</w:t>
      </w:r>
      <w:r>
        <w:rPr>
          <w:rFonts w:cs="Times New Roman"/>
          <w:b/>
          <w:bCs/>
          <w:color w:val="000000" w:themeColor="text1"/>
          <w:kern w:val="0"/>
          <w:szCs w:val="24"/>
          <w:highlight w:val="none"/>
          <w14:textFill>
            <w14:solidFill>
              <w14:schemeClr w14:val="tx1"/>
            </w14:solidFill>
          </w14:textFill>
        </w:rPr>
        <w:t>动物保护措施</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①</w:t>
      </w:r>
      <w:r>
        <w:rPr>
          <w:rFonts w:cs="Times New Roman"/>
          <w:color w:val="000000" w:themeColor="text1"/>
          <w:kern w:val="0"/>
          <w:szCs w:val="24"/>
          <w:highlight w:val="none"/>
          <w14:textFill>
            <w14:solidFill>
              <w14:schemeClr w14:val="tx1"/>
            </w14:solidFill>
          </w14:textFill>
        </w:rPr>
        <w:t>加强宣传野生动物保护法规，打击捕杀野生动物的行为</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eastAsia="zh-CN"/>
          <w14:textFill>
            <w14:solidFill>
              <w14:schemeClr w14:val="tx1"/>
            </w14:solidFill>
          </w14:textFill>
        </w:rPr>
        <w:t>增强</w:t>
      </w:r>
      <w:r>
        <w:rPr>
          <w:rFonts w:cs="Times New Roman"/>
          <w:color w:val="000000" w:themeColor="text1"/>
          <w:kern w:val="0"/>
          <w:szCs w:val="24"/>
          <w:highlight w:val="none"/>
          <w14:textFill>
            <w14:solidFill>
              <w14:schemeClr w14:val="tx1"/>
            </w14:solidFill>
          </w14:textFill>
        </w:rPr>
        <w:t>施工人员的保护意识，施工人员必须遵守《中华人民共和国野生动物保护法》，严禁捕猎保护动物，特别是重点保护野生动物。</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②</w:t>
      </w:r>
      <w:r>
        <w:rPr>
          <w:rFonts w:cs="Times New Roman"/>
          <w:color w:val="000000" w:themeColor="text1"/>
          <w:kern w:val="0"/>
          <w:szCs w:val="24"/>
          <w:highlight w:val="none"/>
          <w14:textFill>
            <w14:solidFill>
              <w14:schemeClr w14:val="tx1"/>
            </w14:solidFill>
          </w14:textFill>
        </w:rPr>
        <w:t>防止动物生境污染</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人类活动的增加，会给环境污染带来新的隐患。从保护生态与环境的角度出发，建议本工程开工之前，尽量做好施工规划前期工作，做好工程完工后生态环境的恢复工作，以尽量减少植被破坏对动物栖息地的不利影响。</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③</w:t>
      </w:r>
      <w:r>
        <w:rPr>
          <w:rFonts w:cs="Times New Roman"/>
          <w:color w:val="000000" w:themeColor="text1"/>
          <w:kern w:val="0"/>
          <w:szCs w:val="24"/>
          <w:highlight w:val="none"/>
          <w14:textFill>
            <w14:solidFill>
              <w14:schemeClr w14:val="tx1"/>
            </w14:solidFill>
          </w14:textFill>
        </w:rPr>
        <w:t>杜绝夜间施工，以保证自然生态系统和野生动物栖息地的稳定。</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ascii="宋体" w:hAnsi="宋体" w:cs="宋体"/>
          <w:color w:val="000000" w:themeColor="text1"/>
          <w:kern w:val="0"/>
          <w:szCs w:val="24"/>
          <w:highlight w:val="none"/>
          <w14:textFill>
            <w14:solidFill>
              <w14:schemeClr w14:val="tx1"/>
            </w14:solidFill>
          </w14:textFill>
        </w:rPr>
        <w:t>④</w:t>
      </w:r>
      <w:r>
        <w:rPr>
          <w:rFonts w:cs="Times New Roman"/>
          <w:color w:val="000000" w:themeColor="text1"/>
          <w:kern w:val="0"/>
          <w:szCs w:val="24"/>
          <w:highlight w:val="none"/>
          <w14:textFill>
            <w14:solidFill>
              <w14:schemeClr w14:val="tx1"/>
            </w14:solidFill>
          </w14:textFill>
        </w:rPr>
        <w:t>对野生动物具体保护方案</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鸟类：</w:t>
      </w:r>
      <w:r>
        <w:rPr>
          <w:rFonts w:hint="eastAsia" w:ascii="宋体" w:hAnsi="宋体" w:cs="宋体"/>
          <w:color w:val="000000" w:themeColor="text1"/>
          <w:kern w:val="0"/>
          <w:szCs w:val="24"/>
          <w:highlight w:val="none"/>
          <w14:textFill>
            <w14:solidFill>
              <w14:schemeClr w14:val="tx1"/>
            </w14:solidFill>
          </w14:textFill>
        </w:rPr>
        <w:t>①</w:t>
      </w:r>
      <w:r>
        <w:rPr>
          <w:rFonts w:cs="Times New Roman"/>
          <w:color w:val="000000" w:themeColor="text1"/>
          <w:kern w:val="0"/>
          <w:szCs w:val="24"/>
          <w:highlight w:val="none"/>
          <w14:textFill>
            <w14:solidFill>
              <w14:schemeClr w14:val="tx1"/>
            </w14:solidFill>
          </w14:textFill>
        </w:rPr>
        <w:t>尽量减少施工对植被的破坏，保证施工后植被的恢复。</w:t>
      </w:r>
      <w:r>
        <w:rPr>
          <w:rFonts w:hint="eastAsia" w:ascii="宋体" w:hAnsi="宋体" w:cs="宋体"/>
          <w:color w:val="000000" w:themeColor="text1"/>
          <w:kern w:val="0"/>
          <w:szCs w:val="24"/>
          <w:highlight w:val="none"/>
          <w14:textFill>
            <w14:solidFill>
              <w14:schemeClr w14:val="tx1"/>
            </w14:solidFill>
          </w14:textFill>
        </w:rPr>
        <w:t>②</w:t>
      </w:r>
      <w:r>
        <w:rPr>
          <w:rFonts w:cs="Times New Roman"/>
          <w:color w:val="000000" w:themeColor="text1"/>
          <w:kern w:val="0"/>
          <w:szCs w:val="24"/>
          <w:highlight w:val="none"/>
          <w14:textFill>
            <w14:solidFill>
              <w14:schemeClr w14:val="tx1"/>
            </w14:solidFill>
          </w14:textFill>
        </w:rPr>
        <w:t>增强人们的环境保护意识，加强对重点保护野生动物的保护，严禁非法猎捕保护鸟类及对人类有益的鸟类。</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兽类：保护好现有的植被，使兽类有一个稳定的栖息地。为将项目建设对兽类栖息地的影响减少到最低限度，应在所有可能的地区采用可能的方法恢复植被；对工程废物和施工人员的生活垃圾进行快速处理，尽量避免废物为鼠类等疫源性兽类提供生活环境，同时也可减少工程对动物栖息地的破坏。</w:t>
      </w:r>
    </w:p>
    <w:p>
      <w:pPr>
        <w:widowControl/>
        <w:spacing w:before="35"/>
        <w:ind w:firstLine="482"/>
        <w:jc w:val="left"/>
        <w:rPr>
          <w:rFonts w:cs="Times New Roman"/>
          <w:b/>
          <w:bCs/>
          <w:color w:val="000000" w:themeColor="text1"/>
          <w:kern w:val="0"/>
          <w:szCs w:val="24"/>
          <w:highlight w:val="none"/>
          <w14:textFill>
            <w14:solidFill>
              <w14:schemeClr w14:val="tx1"/>
            </w14:solidFill>
          </w14:textFill>
        </w:rPr>
      </w:pPr>
      <w:r>
        <w:rPr>
          <w:rFonts w:cs="Times New Roman"/>
          <w:b/>
          <w:bCs/>
          <w:color w:val="000000" w:themeColor="text1"/>
          <w:kern w:val="0"/>
          <w:szCs w:val="24"/>
          <w:highlight w:val="none"/>
          <w14:textFill>
            <w14:solidFill>
              <w14:schemeClr w14:val="tx1"/>
            </w14:solidFill>
          </w14:textFill>
        </w:rPr>
        <w:t>（</w:t>
      </w:r>
      <w:r>
        <w:rPr>
          <w:rFonts w:hint="eastAsia" w:cs="Times New Roman"/>
          <w:b/>
          <w:bCs/>
          <w:color w:val="000000" w:themeColor="text1"/>
          <w:kern w:val="0"/>
          <w:szCs w:val="24"/>
          <w:highlight w:val="none"/>
          <w14:textFill>
            <w14:solidFill>
              <w14:schemeClr w14:val="tx1"/>
            </w14:solidFill>
          </w14:textFill>
        </w:rPr>
        <w:t>4</w:t>
      </w:r>
      <w:r>
        <w:rPr>
          <w:rFonts w:cs="Times New Roman"/>
          <w:b/>
          <w:bCs/>
          <w:color w:val="000000" w:themeColor="text1"/>
          <w:kern w:val="0"/>
          <w:szCs w:val="24"/>
          <w:highlight w:val="none"/>
          <w14:textFill>
            <w14:solidFill>
              <w14:schemeClr w14:val="tx1"/>
            </w14:solidFill>
          </w14:textFill>
        </w:rPr>
        <w:t>）</w:t>
      </w:r>
      <w:r>
        <w:rPr>
          <w:rFonts w:hint="eastAsia" w:cs="Times New Roman"/>
          <w:b/>
          <w:bCs/>
          <w:color w:val="000000" w:themeColor="text1"/>
          <w:kern w:val="0"/>
          <w:szCs w:val="24"/>
          <w:highlight w:val="none"/>
          <w14:textFill>
            <w14:solidFill>
              <w14:schemeClr w14:val="tx1"/>
            </w14:solidFill>
          </w14:textFill>
        </w:rPr>
        <w:t>对重点保护野生动物保护措施</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评价区人类活动较为频繁，</w:t>
      </w:r>
      <w:r>
        <w:rPr>
          <w:rFonts w:hint="eastAsia" w:cs="Times New Roman"/>
          <w:color w:val="000000" w:themeColor="text1"/>
          <w:kern w:val="0"/>
          <w:szCs w:val="24"/>
          <w:highlight w:val="none"/>
          <w14:textFill>
            <w14:solidFill>
              <w14:schemeClr w14:val="tx1"/>
            </w14:solidFill>
          </w14:textFill>
        </w:rPr>
        <w:t>未分布</w:t>
      </w:r>
      <w:r>
        <w:rPr>
          <w:rFonts w:cs="Times New Roman"/>
          <w:color w:val="000000" w:themeColor="text1"/>
          <w:kern w:val="0"/>
          <w:szCs w:val="24"/>
          <w:highlight w:val="none"/>
          <w14:textFill>
            <w14:solidFill>
              <w14:schemeClr w14:val="tx1"/>
            </w14:solidFill>
          </w14:textFill>
        </w:rPr>
        <w:t>适宜的</w:t>
      </w:r>
      <w:r>
        <w:rPr>
          <w:rFonts w:hint="eastAsia" w:cs="Times New Roman"/>
          <w:color w:val="000000" w:themeColor="text1"/>
          <w:kern w:val="0"/>
          <w:szCs w:val="24"/>
          <w:highlight w:val="none"/>
          <w14:textFill>
            <w14:solidFill>
              <w14:schemeClr w14:val="tx1"/>
            </w14:solidFill>
          </w14:textFill>
        </w:rPr>
        <w:t>重点保护野生动物</w:t>
      </w:r>
      <w:r>
        <w:rPr>
          <w:rFonts w:cs="Times New Roman"/>
          <w:color w:val="000000" w:themeColor="text1"/>
          <w:kern w:val="0"/>
          <w:szCs w:val="24"/>
          <w:highlight w:val="none"/>
          <w14:textFill>
            <w14:solidFill>
              <w14:schemeClr w14:val="tx1"/>
            </w14:solidFill>
          </w14:textFill>
        </w:rPr>
        <w:t>雀鹰、画眉栖息地</w:t>
      </w:r>
      <w:r>
        <w:rPr>
          <w:rFonts w:hint="eastAsia" w:cs="Times New Roman"/>
          <w:color w:val="000000" w:themeColor="text1"/>
          <w:kern w:val="0"/>
          <w:szCs w:val="24"/>
          <w:highlight w:val="none"/>
          <w14:textFill>
            <w14:solidFill>
              <w14:schemeClr w14:val="tx1"/>
            </w14:solidFill>
          </w14:textFill>
        </w:rPr>
        <w:t>及生境</w:t>
      </w:r>
      <w:r>
        <w:rPr>
          <w:rFonts w:cs="Times New Roman"/>
          <w:color w:val="000000" w:themeColor="text1"/>
          <w:kern w:val="0"/>
          <w:szCs w:val="24"/>
          <w:highlight w:val="none"/>
          <w14:textFill>
            <w14:solidFill>
              <w14:schemeClr w14:val="tx1"/>
            </w14:solidFill>
          </w14:textFill>
        </w:rPr>
        <w:t>，</w:t>
      </w:r>
      <w:r>
        <w:rPr>
          <w:rFonts w:hint="eastAsia" w:cs="Times New Roman"/>
          <w:color w:val="000000" w:themeColor="text1"/>
          <w:kern w:val="0"/>
          <w:szCs w:val="24"/>
          <w:highlight w:val="none"/>
          <w14:textFill>
            <w14:solidFill>
              <w14:schemeClr w14:val="tx1"/>
            </w14:solidFill>
          </w14:textFill>
        </w:rPr>
        <w:t>其</w:t>
      </w:r>
      <w:r>
        <w:rPr>
          <w:rFonts w:cs="Times New Roman"/>
          <w:color w:val="000000" w:themeColor="text1"/>
          <w:kern w:val="0"/>
          <w:szCs w:val="24"/>
          <w:highlight w:val="none"/>
          <w14:textFill>
            <w14:solidFill>
              <w14:schemeClr w14:val="tx1"/>
            </w14:solidFill>
          </w14:textFill>
        </w:rPr>
        <w:t>主要为过境取食及活动。同时，雀鹰、画眉飞翔能力和自主迁徙能力较强，捕食范围很广，施工活动对其影响很小，在施工期，要加强在施工人员中的宣传教育，</w:t>
      </w:r>
      <w:r>
        <w:rPr>
          <w:rFonts w:hint="eastAsia" w:cs="Times New Roman"/>
          <w:color w:val="000000" w:themeColor="text1"/>
          <w:kern w:val="0"/>
          <w:szCs w:val="24"/>
          <w:highlight w:val="none"/>
          <w14:textFill>
            <w14:solidFill>
              <w14:schemeClr w14:val="tx1"/>
            </w14:solidFill>
          </w14:textFill>
        </w:rPr>
        <w:t>如发现上述保护动物过境，要加强保护，</w:t>
      </w:r>
      <w:r>
        <w:rPr>
          <w:rFonts w:cs="Times New Roman"/>
          <w:color w:val="000000" w:themeColor="text1"/>
          <w:kern w:val="0"/>
          <w:szCs w:val="24"/>
          <w:highlight w:val="none"/>
          <w14:textFill>
            <w14:solidFill>
              <w14:schemeClr w14:val="tx1"/>
            </w14:solidFill>
          </w14:textFill>
        </w:rPr>
        <w:t>严禁捕捉，同时，要文明施工，将人为影响降至最低。</w:t>
      </w:r>
    </w:p>
    <w:p>
      <w:pPr>
        <w:widowControl/>
        <w:ind w:firstLine="482"/>
        <w:jc w:val="left"/>
        <w:rPr>
          <w:rFonts w:cs="Times New Roman"/>
          <w:b/>
          <w:bCs/>
          <w:color w:val="000000" w:themeColor="text1"/>
          <w:kern w:val="0"/>
          <w:szCs w:val="24"/>
          <w:highlight w:val="none"/>
          <w14:textFill>
            <w14:solidFill>
              <w14:schemeClr w14:val="tx1"/>
            </w14:solidFill>
          </w14:textFill>
        </w:rPr>
      </w:pPr>
      <w:r>
        <w:rPr>
          <w:rFonts w:hint="eastAsia" w:cs="Times New Roman"/>
          <w:b/>
          <w:bCs/>
          <w:color w:val="000000" w:themeColor="text1"/>
          <w:kern w:val="0"/>
          <w:szCs w:val="24"/>
          <w:highlight w:val="none"/>
          <w14:textFill>
            <w14:solidFill>
              <w14:schemeClr w14:val="tx1"/>
            </w14:solidFill>
          </w14:textFill>
        </w:rPr>
        <w:t>（5）对生态公益林的避让和优化占用</w:t>
      </w:r>
    </w:p>
    <w:p>
      <w:pPr>
        <w:widowControl/>
        <w:ind w:firstLine="480"/>
        <w:jc w:val="left"/>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14:textFill>
            <w14:solidFill>
              <w14:schemeClr w14:val="tx1"/>
            </w14:solidFill>
          </w14:textFill>
        </w:rPr>
        <w:t>项目施工占地不涉及宣汉县公益林，其中施工占地距离最近的公益林约180米。项目施工期间，需要严格按照施工占地范围界限施工，严</w:t>
      </w:r>
      <w:r>
        <w:rPr>
          <w:rFonts w:hint="eastAsia" w:cs="Times New Roman"/>
          <w:color w:val="000000" w:themeColor="text1"/>
          <w:kern w:val="0"/>
          <w:szCs w:val="24"/>
          <w:highlight w:val="none"/>
          <w:lang w:eastAsia="zh-CN"/>
          <w14:textFill>
            <w14:solidFill>
              <w14:schemeClr w14:val="tx1"/>
            </w14:solidFill>
          </w14:textFill>
        </w:rPr>
        <w:t>禁</w:t>
      </w:r>
      <w:r>
        <w:rPr>
          <w:rFonts w:hint="eastAsia" w:cs="Times New Roman"/>
          <w:color w:val="000000" w:themeColor="text1"/>
          <w:kern w:val="0"/>
          <w:szCs w:val="24"/>
          <w:highlight w:val="none"/>
          <w14:textFill>
            <w14:solidFill>
              <w14:schemeClr w14:val="tx1"/>
            </w14:solidFill>
          </w14:textFill>
        </w:rPr>
        <w:t>越界破坏公益林情况发生。</w:t>
      </w:r>
    </w:p>
    <w:p>
      <w:pPr>
        <w:ind w:firstLine="482"/>
        <w:rPr>
          <w:rFonts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14:textFill>
            <w14:solidFill>
              <w14:schemeClr w14:val="tx1"/>
            </w14:solidFill>
          </w14:textFill>
        </w:rPr>
        <w:t>（6）</w:t>
      </w:r>
      <w:r>
        <w:rPr>
          <w:rFonts w:cs="Times New Roman"/>
          <w:b/>
          <w:bCs/>
          <w:color w:val="000000" w:themeColor="text1"/>
          <w:szCs w:val="24"/>
          <w:highlight w:val="none"/>
          <w14:textFill>
            <w14:solidFill>
              <w14:schemeClr w14:val="tx1"/>
            </w14:solidFill>
          </w14:textFill>
        </w:rPr>
        <w:t>外来入侵植物防范措施</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目前防止外来物种入侵的方法主要有植物检疫、人工方法防治、化学方法防治、生物防治等。结合工程特点，要求加大宣传力度，对外来物种的危害以及传播途径向施工人员进行宣传；对现有的外来种，利用工程施工的机会，对有种子的植物要现场烧毁，以防种子扩散，在临时占地的地方要及时绿化等。</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在施工占地区或裸地绿化应采取相应的防范措施，在选择绿化树种和水土保持植物中不使用外来入侵植物，尽可能使用乡土树种。</w:t>
      </w:r>
    </w:p>
    <w:p>
      <w:pPr>
        <w:ind w:firstLine="480"/>
        <w:rPr>
          <w:rFonts w:hint="eastAsia" w:eastAsia="黑体" w:cs="Times New Roman"/>
          <w:color w:val="000000" w:themeColor="text1"/>
          <w:highlight w:val="none"/>
          <w:lang w:val="en-US" w:eastAsia="zh-CN"/>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3、恢复和补偿措施</w:t>
      </w:r>
    </w:p>
    <w:p>
      <w:pPr>
        <w:widowControl/>
        <w:ind w:firstLine="480"/>
        <w:jc w:val="left"/>
        <w:rPr>
          <w:rFonts w:cs="Times New Roman"/>
          <w:color w:val="000000" w:themeColor="text1"/>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陆生植物</w:t>
      </w:r>
      <w:r>
        <w:rPr>
          <w:rFonts w:hint="eastAsia" w:cs="Times New Roman"/>
          <w:color w:val="000000" w:themeColor="text1"/>
          <w:szCs w:val="24"/>
          <w:highlight w:val="none"/>
          <w:lang w:bidi="ar"/>
          <w14:textFill>
            <w14:solidFill>
              <w14:schemeClr w14:val="tx1"/>
            </w14:solidFill>
          </w14:textFill>
        </w:rPr>
        <w:t>恢复原则是</w:t>
      </w:r>
      <w:r>
        <w:rPr>
          <w:rFonts w:cs="Times New Roman"/>
          <w:color w:val="000000" w:themeColor="text1"/>
          <w:szCs w:val="24"/>
          <w:highlight w:val="none"/>
          <w:lang w:bidi="ar"/>
          <w14:textFill>
            <w14:solidFill>
              <w14:schemeClr w14:val="tx1"/>
            </w14:solidFill>
          </w14:textFill>
        </w:rPr>
        <w:t>优先使用原生表土和选用乡土物种，防止外来生物入侵，构建与周边生态环境相协调的植物群落，最终形成可自我维持的生态系统。生态修复的目标主要包括：恢复植被和土壤，保证一定的植被覆盖度和土壤肥力；维持物种种类和组成，保护生物多样性；实现生物群落的恢复，提高生态系统的生产力和自我维持力；维持生境的连通性等。</w:t>
      </w:r>
    </w:p>
    <w:p>
      <w:pPr>
        <w:ind w:firstLine="482"/>
        <w:rPr>
          <w:rFonts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14:textFill>
            <w14:solidFill>
              <w14:schemeClr w14:val="tx1"/>
            </w14:solidFill>
          </w14:textFill>
        </w:rPr>
        <w:t>（1）</w:t>
      </w:r>
      <w:r>
        <w:rPr>
          <w:rFonts w:cs="Times New Roman"/>
          <w:b/>
          <w:bCs/>
          <w:color w:val="000000" w:themeColor="text1"/>
          <w:szCs w:val="24"/>
          <w:highlight w:val="none"/>
          <w14:textFill>
            <w14:solidFill>
              <w14:schemeClr w14:val="tx1"/>
            </w14:solidFill>
          </w14:textFill>
        </w:rPr>
        <w:t>表土剥离及堆存</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工程建设过程伴随着土石方开挖、回填活动，不可避免地对林地和草地造成破坏，毁坏地表植被、挖损和埋压土地、破坏地表土壤等，不仅降低了土壤抗蚀能力，加剧了评价区水土流失。根据区域环境的特点，需针对性地开展表土剥离和堆存，尽可能的减少水土流失。</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剥离区域</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施工结束后需要复绿的区域都应列为表土剥离区域，但在实际设计中应根据具体情况分析确定，如根据施工区域土层厚度、肥沃程度及后续植物措施搭配等确定。</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对于</w:t>
      </w:r>
      <w:r>
        <w:rPr>
          <w:rFonts w:hint="eastAsia" w:cs="Times New Roman"/>
          <w:color w:val="000000" w:themeColor="text1"/>
          <w:szCs w:val="24"/>
          <w:highlight w:val="none"/>
          <w14:textFill>
            <w14:solidFill>
              <w14:schemeClr w14:val="tx1"/>
            </w14:solidFill>
          </w14:textFill>
        </w:rPr>
        <w:t>升压站区域</w:t>
      </w:r>
      <w:r>
        <w:rPr>
          <w:rFonts w:cs="Times New Roman"/>
          <w:color w:val="000000" w:themeColor="text1"/>
          <w:szCs w:val="24"/>
          <w:highlight w:val="none"/>
          <w14:textFill>
            <w14:solidFill>
              <w14:schemeClr w14:val="tx1"/>
            </w14:solidFill>
          </w14:textFill>
        </w:rPr>
        <w:t>，在</w:t>
      </w:r>
      <w:r>
        <w:rPr>
          <w:rFonts w:hint="eastAsia" w:cs="Times New Roman"/>
          <w:color w:val="000000" w:themeColor="text1"/>
          <w:szCs w:val="24"/>
          <w:highlight w:val="none"/>
          <w14:textFill>
            <w14:solidFill>
              <w14:schemeClr w14:val="tx1"/>
            </w14:solidFill>
          </w14:textFill>
        </w:rPr>
        <w:t>开工</w:t>
      </w:r>
      <w:r>
        <w:rPr>
          <w:rFonts w:cs="Times New Roman"/>
          <w:color w:val="000000" w:themeColor="text1"/>
          <w:szCs w:val="24"/>
          <w:highlight w:val="none"/>
          <w14:textFill>
            <w14:solidFill>
              <w14:schemeClr w14:val="tx1"/>
            </w14:solidFill>
          </w14:textFill>
        </w:rPr>
        <w:t>前，应首先剥离表层土，将其暂时堆放在表土堆存场，用塑料薄膜或草席覆盖，以防止雨水冲刷和风扬，作为</w:t>
      </w:r>
      <w:r>
        <w:rPr>
          <w:rFonts w:hint="eastAsia" w:cs="Times New Roman"/>
          <w:color w:val="000000" w:themeColor="text1"/>
          <w:szCs w:val="24"/>
          <w:highlight w:val="none"/>
          <w14:textFill>
            <w14:solidFill>
              <w14:schemeClr w14:val="tx1"/>
            </w14:solidFill>
          </w14:textFill>
        </w:rPr>
        <w:t>项目完工后</w:t>
      </w:r>
      <w:r>
        <w:rPr>
          <w:rFonts w:cs="Times New Roman"/>
          <w:color w:val="000000" w:themeColor="text1"/>
          <w:szCs w:val="24"/>
          <w:highlight w:val="none"/>
          <w14:textFill>
            <w14:solidFill>
              <w14:schemeClr w14:val="tx1"/>
            </w14:solidFill>
          </w14:textFill>
        </w:rPr>
        <w:t>覆土造地或绿化的回填表土之用。</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剥离厚度</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表层土的厚度平均为20cm，厚的可达30cm，但在具体的设计中应根据剥离区域土壤耕植层厚度及后期复绿所需回填量来确定剥离厚度。由于区域内表土厚度存在差异，对土层深厚、肥沃的地方可适当深剥，对土层较薄、肥力不高的地方可适当浅剥，在总量控制</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用多少剥多少</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的前提下应尽量将剥离区域内最肥沃的部分土壤剥离出来。</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林地、草地表土差异较大，厚度一般在30cm以内，表土剥离中应控制剥离厚度，剥离厚度过大，否则给保存带来不便，下部生土如混进表土，致使土地生产力下降。</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③</w:t>
      </w:r>
      <w:r>
        <w:rPr>
          <w:rFonts w:cs="Times New Roman"/>
          <w:color w:val="000000" w:themeColor="text1"/>
          <w:szCs w:val="24"/>
          <w:highlight w:val="none"/>
          <w14:textFill>
            <w14:solidFill>
              <w14:schemeClr w14:val="tx1"/>
            </w14:solidFill>
          </w14:textFill>
        </w:rPr>
        <w:t>保存及保护</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a</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表土临时堆存应尽量占用场内空闲地，如场内无适合堆处则应另行征地，表土保存过程中应设有临时防护措施。</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b</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根据剥离量和堆放条件，先用塑料彩条布或薄膜覆盖即可，四周用编制土袋临时挡护，编织袋外0.5m</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1.0m处设临时排水沟，堆积形成后可利用铲车或推土机对顶部和边坡稍作压实，顶部应向外侧做成一定坡度，便于排水。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c</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如保存期较长，超过1个生长季，可撒播草籽临时绿化，草种应该选择有培肥地力的</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豆科</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牧草。如堆放在渣场，一般应集中堆放在渣场下游或者两侧地势平缓处，避开低洼及水流汇集处。</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④</w:t>
      </w:r>
      <w:r>
        <w:rPr>
          <w:rFonts w:cs="Times New Roman"/>
          <w:color w:val="000000" w:themeColor="text1"/>
          <w:szCs w:val="24"/>
          <w:highlight w:val="none"/>
          <w14:textFill>
            <w14:solidFill>
              <w14:schemeClr w14:val="tx1"/>
            </w14:solidFill>
          </w14:textFill>
        </w:rPr>
        <w:t>回填利用</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a</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为提高草皮成活率，植草皮前应先覆土，覆土应控制厚度，一般为3cm</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5cm，覆土时应适当压实，增加与边坡粘合力，避免剥落或因含水量增加与草皮一起顺坡向下滑移，如采用框格植草护坡，也应在框格内覆土。</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b</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表土回填及整地过程中应地面与周边地形相协调，应避免出现中间低四周高，以避免雨天造成洼地积水。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c</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临时占地利用完毕后应先铲除地表泥结石层，然后回填表土进行全面整地，全面整地后地面高度应与周边相一致，以利于复绿。</w:t>
      </w:r>
    </w:p>
    <w:p>
      <w:pPr>
        <w:ind w:firstLine="482"/>
        <w:rPr>
          <w:rFonts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14:textFill>
            <w14:solidFill>
              <w14:schemeClr w14:val="tx1"/>
            </w14:solidFill>
          </w14:textFill>
        </w:rPr>
        <w:t>（2）</w:t>
      </w:r>
      <w:r>
        <w:rPr>
          <w:rFonts w:cs="Times New Roman"/>
          <w:b/>
          <w:bCs/>
          <w:color w:val="000000" w:themeColor="text1"/>
          <w:szCs w:val="24"/>
          <w:highlight w:val="none"/>
          <w14:textFill>
            <w14:solidFill>
              <w14:schemeClr w14:val="tx1"/>
            </w14:solidFill>
          </w14:textFill>
        </w:rPr>
        <w:t>恢复措施与技术</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①</w:t>
      </w:r>
      <w:r>
        <w:rPr>
          <w:rFonts w:cs="Times New Roman"/>
          <w:color w:val="000000" w:themeColor="text1"/>
          <w:szCs w:val="24"/>
          <w:highlight w:val="none"/>
          <w14:textFill>
            <w14:solidFill>
              <w14:schemeClr w14:val="tx1"/>
            </w14:solidFill>
          </w14:textFill>
        </w:rPr>
        <w:t>植被恢复措施与技术</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a</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对因施工期间破坏的各种植被和生境、临时占用的植被及各种施工迹地，工程结束后应该尽量通过实施生态恢复措施使其逐步得到恢复。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b</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在植被恢复或其他生态恢复活动中，应该依照适地适树、原生性、特有性、实用性的基本科学原则，种植当地生态系统中原有的重要的各种植物种类，乔、灌、草植物有机搭配。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c</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在采集种子或繁殖体时，要根据不同树种和植物，注意选择具有生长正常、健壮、结实率高等优良性状的种源。</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d</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不能营造单一树种的单优群落，要营造为混交林，以最大限度保证群落丰富及生物多样性。</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e</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尽量利用自然更新的方式恢复植被，并且注意恢复过程中的环境保护，同时加强管护，要通过围栏等措施防止人、畜破坏。</w:t>
      </w:r>
    </w:p>
    <w:p>
      <w:pPr>
        <w:ind w:firstLine="480"/>
        <w:rPr>
          <w:rFonts w:cs="Times New Roman"/>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②</w:t>
      </w:r>
      <w:r>
        <w:rPr>
          <w:rFonts w:cs="Times New Roman"/>
          <w:color w:val="000000" w:themeColor="text1"/>
          <w:szCs w:val="24"/>
          <w:highlight w:val="none"/>
          <w14:textFill>
            <w14:solidFill>
              <w14:schemeClr w14:val="tx1"/>
            </w14:solidFill>
          </w14:textFill>
        </w:rPr>
        <w:t>植物资源恢复措施及技术</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a</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对各施工区</w:t>
      </w:r>
      <w:r>
        <w:rPr>
          <w:rFonts w:hint="eastAsia" w:cs="Times New Roman"/>
          <w:color w:val="000000" w:themeColor="text1"/>
          <w:szCs w:val="24"/>
          <w:highlight w:val="none"/>
          <w14:textFill>
            <w14:solidFill>
              <w14:schemeClr w14:val="tx1"/>
            </w14:solidFill>
          </w14:textFill>
        </w:rPr>
        <w:t>发现的</w:t>
      </w:r>
      <w:r>
        <w:rPr>
          <w:rFonts w:cs="Times New Roman"/>
          <w:color w:val="000000" w:themeColor="text1"/>
          <w:szCs w:val="24"/>
          <w:highlight w:val="none"/>
          <w14:textFill>
            <w14:solidFill>
              <w14:schemeClr w14:val="tx1"/>
            </w14:solidFill>
          </w14:textFill>
        </w:rPr>
        <w:t>重要植物要认真清查登记、备案。以便在今后植物资源的恢复中作为选择植物种类的依据。</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b</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种植原生种，杜绝外来种。在植被恢复或其他生态恢复活动中，避免外来种可能对当地的生态系统造成无可挽回的破坏。</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c</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多种植当地的特有植物。</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d</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注意采种时间、种源选择，以及造林时间。造林时，严格执行苗木检验，做好苗木保护，提高造林质量，保证成活率。加强抚育管理和管护，使植被尽快恢复。</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e</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植物种类选择</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在进行植被恢复时，根据适地适树、原生性、特有性、观赏性等原则，应该采用有</w:t>
      </w:r>
      <w:r>
        <w:rPr>
          <w:rFonts w:hint="eastAsia" w:cs="Times New Roman"/>
          <w:color w:val="000000" w:themeColor="text1"/>
          <w:szCs w:val="24"/>
          <w:highlight w:val="none"/>
          <w14:textFill>
            <w14:solidFill>
              <w14:schemeClr w14:val="tx1"/>
            </w14:solidFill>
          </w14:textFill>
        </w:rPr>
        <w:t>生态</w:t>
      </w:r>
      <w:r>
        <w:rPr>
          <w:rFonts w:cs="Times New Roman"/>
          <w:color w:val="000000" w:themeColor="text1"/>
          <w:szCs w:val="24"/>
          <w:highlight w:val="none"/>
          <w14:textFill>
            <w14:solidFill>
              <w14:schemeClr w14:val="tx1"/>
            </w14:solidFill>
          </w14:textFill>
        </w:rPr>
        <w:t>价值</w:t>
      </w:r>
      <w:r>
        <w:rPr>
          <w:rFonts w:hint="eastAsia" w:cs="Times New Roman"/>
          <w:color w:val="000000" w:themeColor="text1"/>
          <w:szCs w:val="24"/>
          <w:highlight w:val="none"/>
          <w14:textFill>
            <w14:solidFill>
              <w14:schemeClr w14:val="tx1"/>
            </w14:solidFill>
          </w14:textFill>
        </w:rPr>
        <w:t>或</w:t>
      </w:r>
      <w:r>
        <w:rPr>
          <w:rFonts w:cs="Times New Roman"/>
          <w:color w:val="000000" w:themeColor="text1"/>
          <w:szCs w:val="24"/>
          <w:highlight w:val="none"/>
          <w14:textFill>
            <w14:solidFill>
              <w14:schemeClr w14:val="tx1"/>
            </w14:solidFill>
          </w14:textFill>
        </w:rPr>
        <w:t>经济价值的当地特有的原生植物，尤其是那些被项目建设破坏的重要物种。第一，可以恢复和增加当地植物多样性；第二，可以使植被恢复和绿化具有地方特色；第三，就地取材，可以降低绿化成本；第四，选择有一定经济价值的原生种类，可以增加一定的经济收入。</w:t>
      </w:r>
    </w:p>
    <w:p>
      <w:pPr>
        <w:widowControl/>
        <w:ind w:firstLine="482"/>
        <w:jc w:val="left"/>
        <w:rPr>
          <w:rFonts w:cs="Times New Roman"/>
          <w:b/>
          <w:bCs/>
          <w:color w:val="000000" w:themeColor="text1"/>
          <w:kern w:val="0"/>
          <w:szCs w:val="24"/>
          <w:highlight w:val="none"/>
          <w14:textFill>
            <w14:solidFill>
              <w14:schemeClr w14:val="tx1"/>
            </w14:solidFill>
          </w14:textFill>
        </w:rPr>
      </w:pPr>
      <w:r>
        <w:rPr>
          <w:rFonts w:hint="eastAsia" w:cs="Times New Roman"/>
          <w:b/>
          <w:bCs/>
          <w:color w:val="000000" w:themeColor="text1"/>
          <w:kern w:val="0"/>
          <w:szCs w:val="24"/>
          <w:highlight w:val="none"/>
          <w14:textFill>
            <w14:solidFill>
              <w14:schemeClr w14:val="tx1"/>
            </w14:solidFill>
          </w14:textFill>
        </w:rPr>
        <w:t>（3）资金</w:t>
      </w:r>
      <w:r>
        <w:rPr>
          <w:rFonts w:cs="Times New Roman"/>
          <w:b/>
          <w:bCs/>
          <w:color w:val="000000" w:themeColor="text1"/>
          <w:kern w:val="0"/>
          <w:szCs w:val="24"/>
          <w:highlight w:val="none"/>
          <w14:textFill>
            <w14:solidFill>
              <w14:schemeClr w14:val="tx1"/>
            </w14:solidFill>
          </w14:textFill>
        </w:rPr>
        <w:t>保障</w:t>
      </w:r>
    </w:p>
    <w:p>
      <w:pPr>
        <w:widowControl/>
        <w:ind w:firstLine="480"/>
        <w:jc w:val="left"/>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设立生态补偿专项经费，将野生动植物的保护和监测费用、工程地形地貌恢复费用纳入生态补偿费，确保生态恢复资金足额到位。</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51" w:name="_bookmark33"/>
      <w:bookmarkEnd w:id="451"/>
      <w:bookmarkStart w:id="452" w:name="6.2运营期环境保护措施及可行性分析"/>
      <w:bookmarkEnd w:id="452"/>
      <w:bookmarkStart w:id="453" w:name="6.1.5生态环境保护措施"/>
      <w:bookmarkEnd w:id="453"/>
      <w:bookmarkStart w:id="454" w:name="_Toc939"/>
      <w:r>
        <w:rPr>
          <w:color w:val="000000" w:themeColor="text1"/>
          <w:highlight w:val="none"/>
          <w:lang w:eastAsia="zh-CN"/>
          <w14:textFill>
            <w14:solidFill>
              <w14:schemeClr w14:val="tx1"/>
            </w14:solidFill>
          </w14:textFill>
        </w:rPr>
        <w:t>试采期环境保护措施及可行性分析</w:t>
      </w:r>
      <w:bookmarkEnd w:id="454"/>
      <w:bookmarkStart w:id="455" w:name="6.2.1废水污染物防治措施"/>
      <w:bookmarkEnd w:id="455"/>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56" w:name="_Toc120173219"/>
      <w:r>
        <w:rPr>
          <w:color w:val="000000" w:themeColor="text1"/>
          <w:highlight w:val="none"/>
          <w:lang w:eastAsia="zh-CN"/>
          <w14:textFill>
            <w14:solidFill>
              <w14:schemeClr w14:val="tx1"/>
            </w14:solidFill>
          </w14:textFill>
        </w:rPr>
        <w:t>试采期大气环境污染防治措施可行性分析</w:t>
      </w:r>
      <w:bookmarkEnd w:id="456"/>
    </w:p>
    <w:p>
      <w:pPr>
        <w:ind w:firstLine="480"/>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eastAsia="黑体" w:cs="Times New Roman"/>
          <w:color w:val="000000" w:themeColor="text1"/>
          <w:highlight w:val="none"/>
          <w14:textFill>
            <w14:solidFill>
              <w14:schemeClr w14:val="tx1"/>
            </w14:solidFill>
          </w14:textFill>
        </w:rPr>
        <w:t>1、水套</w:t>
      </w:r>
      <w:r>
        <w:rPr>
          <w:rFonts w:hint="eastAsia" w:eastAsia="黑体" w:cs="Times New Roman"/>
          <w:color w:val="000000" w:themeColor="text1"/>
          <w:highlight w:val="none"/>
          <w:lang w:eastAsia="zh-CN"/>
          <w14:textFill>
            <w14:solidFill>
              <w14:schemeClr w14:val="tx1"/>
            </w14:solidFill>
          </w14:textFill>
        </w:rPr>
        <w:t>加热炉</w:t>
      </w:r>
      <w:r>
        <w:rPr>
          <w:rFonts w:hint="default" w:ascii="Times New Roman" w:hAnsi="Times New Roman" w:eastAsia="黑体" w:cs="Times New Roman"/>
          <w:color w:val="000000" w:themeColor="text1"/>
          <w:highlight w:val="none"/>
          <w14:textFill>
            <w14:solidFill>
              <w14:schemeClr w14:val="tx1"/>
            </w14:solidFill>
          </w14:textFill>
        </w:rPr>
        <w:t>燃气废气治理措施</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本项目水套加热炉所用的燃料气为</w:t>
      </w:r>
      <w:r>
        <w:rPr>
          <w:rFonts w:hint="eastAsia" w:cs="Times New Roman"/>
          <w:bCs/>
          <w:color w:val="000000" w:themeColor="text1"/>
          <w:highlight w:val="none"/>
          <w:lang w:val="en-US" w:eastAsia="zh-CN"/>
          <w14:textFill>
            <w14:solidFill>
              <w14:schemeClr w14:val="tx1"/>
            </w14:solidFill>
          </w14:textFill>
        </w:rPr>
        <w:t>自产的不含硫天然气</w:t>
      </w:r>
      <w:r>
        <w:rPr>
          <w:rFonts w:cs="Times New Roman"/>
          <w:bCs/>
          <w:color w:val="000000" w:themeColor="text1"/>
          <w:highlight w:val="none"/>
          <w14:textFill>
            <w14:solidFill>
              <w14:schemeClr w14:val="tx1"/>
            </w14:solidFill>
          </w14:textFill>
        </w:rPr>
        <w:t>，废气产生量较小，且通过自带的8m高排气筒排放，同时加强水套加热炉的保养维护，在采取上述措施后水套</w:t>
      </w:r>
      <w:r>
        <w:rPr>
          <w:rFonts w:hint="eastAsia" w:cs="Times New Roman"/>
          <w:bCs/>
          <w:color w:val="000000" w:themeColor="text1"/>
          <w:highlight w:val="none"/>
          <w:lang w:eastAsia="zh-CN"/>
          <w14:textFill>
            <w14:solidFill>
              <w14:schemeClr w14:val="tx1"/>
            </w14:solidFill>
          </w14:textFill>
        </w:rPr>
        <w:t>加热炉燃烧废气</w:t>
      </w:r>
      <w:r>
        <w:rPr>
          <w:rFonts w:cs="Times New Roman"/>
          <w:bCs/>
          <w:color w:val="000000" w:themeColor="text1"/>
          <w:highlight w:val="none"/>
          <w14:textFill>
            <w14:solidFill>
              <w14:schemeClr w14:val="tx1"/>
            </w14:solidFill>
          </w14:textFill>
        </w:rPr>
        <w:t>治理措施有效可行。</w:t>
      </w:r>
    </w:p>
    <w:p>
      <w:pPr>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2、火炬及放空系统长明灯燃烧废气治理措施</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w:t>
      </w:r>
      <w:r>
        <w:rPr>
          <w:rFonts w:ascii="Times New Roman" w:hAnsi="Times New Roman"/>
          <w:color w:val="000000" w:themeColor="text1"/>
          <w:sz w:val="24"/>
          <w:szCs w:val="24"/>
          <w:highlight w:val="none"/>
          <w14:textFill>
            <w14:solidFill>
              <w14:schemeClr w14:val="tx1"/>
            </w14:solidFill>
          </w14:textFill>
        </w:rPr>
        <w:t>火炬及放空系统</w:t>
      </w:r>
      <w:r>
        <w:rPr>
          <w:rFonts w:hint="eastAsia" w:ascii="Times New Roman" w:hAnsi="Times New Roman"/>
          <w:color w:val="000000" w:themeColor="text1"/>
          <w:sz w:val="24"/>
          <w:szCs w:val="24"/>
          <w:highlight w:val="none"/>
          <w:lang w:val="en-US" w:eastAsia="zh-CN"/>
          <w14:textFill>
            <w14:solidFill>
              <w14:schemeClr w14:val="tx1"/>
            </w14:solidFill>
          </w14:textFill>
        </w:rPr>
        <w:t>主要处理放空分液罐产生的有机废气、油罐大小呼吸排放有机废气和系统非正常情况放空的天然气，采用井口自产的经调压后天然气作为燃料，</w:t>
      </w:r>
      <w:r>
        <w:rPr>
          <w:rFonts w:cs="Times New Roman"/>
          <w:bCs/>
          <w:color w:val="000000" w:themeColor="text1"/>
          <w:highlight w:val="none"/>
          <w14:textFill>
            <w14:solidFill>
              <w14:schemeClr w14:val="tx1"/>
            </w14:solidFill>
          </w14:textFill>
        </w:rPr>
        <w:t>燃料气为</w:t>
      </w:r>
      <w:r>
        <w:rPr>
          <w:rFonts w:hint="eastAsia" w:cs="Times New Roman"/>
          <w:bCs/>
          <w:color w:val="000000" w:themeColor="text1"/>
          <w:highlight w:val="none"/>
          <w:lang w:val="en-US" w:eastAsia="zh-CN"/>
          <w14:textFill>
            <w14:solidFill>
              <w14:schemeClr w14:val="tx1"/>
            </w14:solidFill>
          </w14:textFill>
        </w:rPr>
        <w:t>自产的不含硫天然气</w:t>
      </w:r>
      <w:r>
        <w:rPr>
          <w:rFonts w:cs="Times New Roman"/>
          <w:bCs/>
          <w:color w:val="000000" w:themeColor="text1"/>
          <w:highlight w:val="none"/>
          <w14:textFill>
            <w14:solidFill>
              <w14:schemeClr w14:val="tx1"/>
            </w14:solidFill>
          </w14:textFill>
        </w:rPr>
        <w:t>，废气产生量较小，且通过</w:t>
      </w:r>
      <w:r>
        <w:rPr>
          <w:rFonts w:hint="eastAsia" w:cs="Times New Roman"/>
          <w:bCs/>
          <w:color w:val="000000" w:themeColor="text1"/>
          <w:highlight w:val="none"/>
          <w:lang w:val="en-US" w:eastAsia="zh-CN"/>
          <w14:textFill>
            <w14:solidFill>
              <w14:schemeClr w14:val="tx1"/>
            </w14:solidFill>
          </w14:textFill>
        </w:rPr>
        <w:t>1</w:t>
      </w:r>
      <w:r>
        <w:rPr>
          <w:rFonts w:cs="Times New Roman"/>
          <w:bCs/>
          <w:color w:val="000000" w:themeColor="text1"/>
          <w:highlight w:val="none"/>
          <w14:textFill>
            <w14:solidFill>
              <w14:schemeClr w14:val="tx1"/>
            </w14:solidFill>
          </w14:textFill>
        </w:rPr>
        <w:t>5m高的放空火炬排放，在采取上述措施后火炬及放空系统长明灯燃烧废气治理措施有效可行。</w:t>
      </w:r>
    </w:p>
    <w:p>
      <w:pPr>
        <w:ind w:firstLine="480"/>
        <w:rPr>
          <w:rFonts w:eastAsia="黑体" w:cs="Times New Roman"/>
          <w:color w:val="000000" w:themeColor="text1"/>
          <w:highlight w:val="none"/>
          <w14:textFill>
            <w14:solidFill>
              <w14:schemeClr w14:val="tx1"/>
            </w14:solidFill>
          </w14:textFill>
        </w:rPr>
      </w:pPr>
      <w:r>
        <w:rPr>
          <w:rFonts w:hint="eastAsia" w:eastAsia="黑体" w:cs="Times New Roman"/>
          <w:color w:val="000000" w:themeColor="text1"/>
          <w:highlight w:val="none"/>
          <w:lang w:val="en-US" w:eastAsia="zh-CN"/>
          <w14:textFill>
            <w14:solidFill>
              <w14:schemeClr w14:val="tx1"/>
            </w14:solidFill>
          </w14:textFill>
        </w:rPr>
        <w:t>3</w:t>
      </w:r>
      <w:r>
        <w:rPr>
          <w:rFonts w:eastAsia="黑体" w:cs="Times New Roman"/>
          <w:color w:val="000000" w:themeColor="text1"/>
          <w:highlight w:val="none"/>
          <w14:textFill>
            <w14:solidFill>
              <w14:schemeClr w14:val="tx1"/>
            </w14:solidFill>
          </w14:textFill>
        </w:rPr>
        <w:t>、</w:t>
      </w:r>
      <w:r>
        <w:rPr>
          <w:rFonts w:eastAsia="黑体" w:cs="Times New Roman"/>
          <w:color w:val="000000" w:themeColor="text1"/>
          <w:highlight w:val="none"/>
          <w:lang w:eastAsia="zh-CN"/>
          <w14:textFill>
            <w14:solidFill>
              <w14:schemeClr w14:val="tx1"/>
            </w14:solidFill>
          </w14:textFill>
        </w:rPr>
        <w:t>非正常工况放空废气</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项目</w:t>
      </w:r>
      <w:r>
        <w:rPr>
          <w:rFonts w:hint="eastAsia" w:cs="Times New Roman"/>
          <w:bCs/>
          <w:color w:val="000000" w:themeColor="text1"/>
          <w:highlight w:val="none"/>
          <w:lang w:val="en-US" w:eastAsia="zh-CN"/>
          <w14:textFill>
            <w14:solidFill>
              <w14:schemeClr w14:val="tx1"/>
            </w14:solidFill>
          </w14:textFill>
        </w:rPr>
        <w:t>井口高压或</w:t>
      </w:r>
      <w:r>
        <w:rPr>
          <w:rFonts w:cs="Times New Roman"/>
          <w:bCs/>
          <w:color w:val="000000" w:themeColor="text1"/>
          <w:highlight w:val="none"/>
          <w14:textFill>
            <w14:solidFill>
              <w14:schemeClr w14:val="tx1"/>
            </w14:solidFill>
          </w14:textFill>
        </w:rPr>
        <w:t>设备检修排放的</w:t>
      </w:r>
      <w:r>
        <w:rPr>
          <w:rFonts w:hint="eastAsia" w:cs="Times New Roman"/>
          <w:bCs/>
          <w:color w:val="000000" w:themeColor="text1"/>
          <w:highlight w:val="none"/>
          <w:lang w:val="en-US" w:eastAsia="zh-CN"/>
          <w14:textFill>
            <w14:solidFill>
              <w14:schemeClr w14:val="tx1"/>
            </w14:solidFill>
          </w14:textFill>
        </w:rPr>
        <w:t>废气少，</w:t>
      </w:r>
      <w:r>
        <w:rPr>
          <w:color w:val="000000" w:themeColor="text1"/>
          <w:highlight w:val="none"/>
          <w:lang w:eastAsia="zh-CN"/>
          <w14:textFill>
            <w14:solidFill>
              <w14:schemeClr w14:val="tx1"/>
            </w14:solidFill>
          </w14:textFill>
        </w:rPr>
        <w:t>通过放</w:t>
      </w:r>
      <w:r>
        <w:rPr>
          <w:rFonts w:hint="eastAsia"/>
          <w:color w:val="000000" w:themeColor="text1"/>
          <w:highlight w:val="none"/>
          <w:lang w:val="en-US" w:eastAsia="zh-CN"/>
          <w14:textFill>
            <w14:solidFill>
              <w14:schemeClr w14:val="tx1"/>
            </w14:solidFill>
          </w14:textFill>
        </w:rPr>
        <w:t>空</w:t>
      </w:r>
      <w:r>
        <w:rPr>
          <w:color w:val="000000" w:themeColor="text1"/>
          <w:highlight w:val="none"/>
          <w:lang w:eastAsia="zh-CN"/>
          <w14:textFill>
            <w14:solidFill>
              <w14:schemeClr w14:val="tx1"/>
            </w14:solidFill>
          </w14:textFill>
        </w:rPr>
        <w:t>管</w:t>
      </w:r>
      <w:r>
        <w:rPr>
          <w:rFonts w:hint="eastAsia"/>
          <w:color w:val="000000" w:themeColor="text1"/>
          <w:highlight w:val="none"/>
          <w:lang w:val="en-US" w:eastAsia="zh-CN"/>
          <w14:textFill>
            <w14:solidFill>
              <w14:schemeClr w14:val="tx1"/>
            </w14:solidFill>
          </w14:textFill>
        </w:rPr>
        <w:t>引至放空火炬燃烧排放</w:t>
      </w:r>
      <w:r>
        <w:rPr>
          <w:rFonts w:cs="Times New Roman"/>
          <w:bCs/>
          <w:color w:val="000000" w:themeColor="text1"/>
          <w:highlight w:val="none"/>
          <w14:textFill>
            <w14:solidFill>
              <w14:schemeClr w14:val="tx1"/>
            </w14:solidFill>
          </w14:textFill>
        </w:rPr>
        <w:t>，属间歇排放，通过</w:t>
      </w:r>
      <w:r>
        <w:rPr>
          <w:rFonts w:hint="eastAsia" w:cs="Times New Roman"/>
          <w:bCs/>
          <w:color w:val="000000" w:themeColor="text1"/>
          <w:highlight w:val="none"/>
          <w:lang w:val="en-US" w:eastAsia="zh-CN"/>
          <w14:textFill>
            <w14:solidFill>
              <w14:schemeClr w14:val="tx1"/>
            </w14:solidFill>
          </w14:textFill>
        </w:rPr>
        <w:t>1</w:t>
      </w:r>
      <w:r>
        <w:rPr>
          <w:rFonts w:cs="Times New Roman"/>
          <w:bCs/>
          <w:color w:val="000000" w:themeColor="text1"/>
          <w:highlight w:val="none"/>
          <w14:textFill>
            <w14:solidFill>
              <w14:schemeClr w14:val="tx1"/>
            </w14:solidFill>
          </w14:textFill>
        </w:rPr>
        <w:t>5m高的放空火炬点火燃烧</w:t>
      </w:r>
      <w:r>
        <w:rPr>
          <w:rFonts w:hint="eastAsia" w:cs="Times New Roman"/>
          <w:bCs/>
          <w:color w:val="000000" w:themeColor="text1"/>
          <w:highlight w:val="none"/>
          <w:lang w:val="en-US" w:eastAsia="zh-CN"/>
          <w14:textFill>
            <w14:solidFill>
              <w14:schemeClr w14:val="tx1"/>
            </w14:solidFill>
          </w14:textFill>
        </w:rPr>
        <w:t>后排放</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满足</w:t>
      </w:r>
      <w:r>
        <w:rPr>
          <w:rFonts w:ascii="Times New Roman" w:hAnsi="Times New Roman"/>
          <w:bCs/>
          <w:color w:val="000000" w:themeColor="text1"/>
          <w:sz w:val="24"/>
          <w:szCs w:val="24"/>
          <w:highlight w:val="none"/>
          <w:lang w:eastAsia="zh-CN"/>
          <w14:textFill>
            <w14:solidFill>
              <w14:schemeClr w14:val="tx1"/>
            </w14:solidFill>
          </w14:textFill>
        </w:rPr>
        <w:t>《陆上石油天然气开采工业大气污染物排放标准》（GB39728-2020）</w:t>
      </w:r>
      <w:r>
        <w:rPr>
          <w:rFonts w:hint="eastAsia" w:ascii="Times New Roman" w:hAnsi="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bCs/>
          <w:i/>
          <w:iCs/>
          <w:color w:val="000000" w:themeColor="text1"/>
          <w:sz w:val="24"/>
          <w:szCs w:val="24"/>
          <w:highlight w:val="none"/>
          <w:lang w:eastAsia="zh-CN"/>
          <w14:textFill>
            <w14:solidFill>
              <w14:schemeClr w14:val="tx1"/>
            </w14:solidFill>
          </w14:textFill>
        </w:rPr>
        <w:t>5.7.3 对油气田放空天然气应予以回收。不能回收或难以回收的，应经燃烧后放空；不能燃烧直接放空的，应报生态环境主管部门备案</w:t>
      </w:r>
      <w:r>
        <w:rPr>
          <w:rFonts w:hint="eastAsia" w:ascii="Times New Roman" w:hAnsi="Times New Roman"/>
          <w:bCs/>
          <w:color w:val="000000" w:themeColor="text1"/>
          <w:sz w:val="24"/>
          <w:szCs w:val="24"/>
          <w:highlight w:val="none"/>
          <w:lang w:eastAsia="zh-CN"/>
          <w14:textFill>
            <w14:solidFill>
              <w14:schemeClr w14:val="tx1"/>
            </w14:solidFill>
          </w14:textFill>
        </w:rPr>
        <w:t>）和《甲烷排放控制行动方案》（环气候〔2023〕67号）（</w:t>
      </w:r>
      <w:r>
        <w:rPr>
          <w:rFonts w:hint="eastAsia" w:ascii="Times New Roman" w:hAnsi="Times New Roman"/>
          <w:bCs/>
          <w:i/>
          <w:iCs/>
          <w:color w:val="000000" w:themeColor="text1"/>
          <w:sz w:val="24"/>
          <w:szCs w:val="24"/>
          <w:highlight w:val="none"/>
          <w:lang w:eastAsia="zh-CN"/>
          <w14:textFill>
            <w14:solidFill>
              <w14:schemeClr w14:val="tx1"/>
            </w14:solidFill>
          </w14:textFill>
        </w:rPr>
        <w:t>4.强化甲烷综合利用。促进油气田放空甲烷排放管控，鼓励企业因地制宜开展伴生气与放空气回收利用，不能回收或难以回收的，应经燃烧后放空。</w:t>
      </w:r>
      <w:r>
        <w:rPr>
          <w:rFonts w:hint="eastAsia" w:ascii="Times New Roman" w:hAnsi="Times New Roman"/>
          <w:bCs/>
          <w:color w:val="000000" w:themeColor="text1"/>
          <w:sz w:val="24"/>
          <w:szCs w:val="24"/>
          <w:highlight w:val="none"/>
          <w:lang w:eastAsia="zh-CN"/>
          <w14:textFill>
            <w14:solidFill>
              <w14:schemeClr w14:val="tx1"/>
            </w14:solidFill>
          </w14:textFill>
        </w:rPr>
        <w:t>）的相关要求</w:t>
      </w:r>
      <w:r>
        <w:rPr>
          <w:rFonts w:cs="Times New Roman"/>
          <w:bCs/>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因此本项目对</w:t>
      </w:r>
      <w:r>
        <w:rPr>
          <w:rFonts w:hint="eastAsia" w:cs="Times New Roman"/>
          <w:color w:val="000000" w:themeColor="text1"/>
          <w:highlight w:val="none"/>
          <w:lang w:val="en-US" w:eastAsia="zh-CN"/>
          <w14:textFill>
            <w14:solidFill>
              <w14:schemeClr w14:val="tx1"/>
            </w14:solidFill>
          </w14:textFill>
        </w:rPr>
        <w:t>非正常情况下放空的</w:t>
      </w:r>
      <w:r>
        <w:rPr>
          <w:rFonts w:cs="Times New Roman"/>
          <w:color w:val="000000" w:themeColor="text1"/>
          <w:highlight w:val="none"/>
          <w14:textFill>
            <w14:solidFill>
              <w14:schemeClr w14:val="tx1"/>
            </w14:solidFill>
          </w14:textFill>
        </w:rPr>
        <w:t>天然气采取</w:t>
      </w:r>
      <w:r>
        <w:rPr>
          <w:rFonts w:hint="eastAsia" w:cs="Times New Roman"/>
          <w:bCs/>
          <w:color w:val="000000" w:themeColor="text1"/>
          <w:highlight w:val="none"/>
          <w:lang w:val="en-US" w:eastAsia="zh-CN"/>
          <w14:textFill>
            <w14:solidFill>
              <w14:schemeClr w14:val="tx1"/>
            </w14:solidFill>
          </w14:textFill>
        </w:rPr>
        <w:t>1</w:t>
      </w:r>
      <w:r>
        <w:rPr>
          <w:rFonts w:cs="Times New Roman"/>
          <w:bCs/>
          <w:color w:val="000000" w:themeColor="text1"/>
          <w:highlight w:val="none"/>
          <w14:textFill>
            <w14:solidFill>
              <w14:schemeClr w14:val="tx1"/>
            </w14:solidFill>
          </w14:textFill>
        </w:rPr>
        <w:t>5m高</w:t>
      </w:r>
      <w:r>
        <w:rPr>
          <w:rFonts w:cs="Times New Roman"/>
          <w:color w:val="000000" w:themeColor="text1"/>
          <w:highlight w:val="none"/>
          <w14:textFill>
            <w14:solidFill>
              <w14:schemeClr w14:val="tx1"/>
            </w14:solidFill>
          </w14:textFill>
        </w:rPr>
        <w:t>的放空火炬点火燃烧是可行的。</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bookmarkStart w:id="457" w:name="_Hlk88248100"/>
      <w:r>
        <w:rPr>
          <w:rFonts w:ascii="Times New Roman" w:hAnsi="Times New Roman"/>
          <w:bCs/>
          <w:color w:val="000000" w:themeColor="text1"/>
          <w:kern w:val="2"/>
          <w:highlight w:val="none"/>
          <w:lang w:eastAsia="zh-CN"/>
          <w14:textFill>
            <w14:solidFill>
              <w14:schemeClr w14:val="tx1"/>
            </w14:solidFill>
          </w14:textFill>
        </w:rPr>
        <w:t>本项目试采井站废气采用的处理措施均为天然气开发项目处理过程中常用的处置措施，已在建设单位同类型天然气试采井站工程项目中广泛应用，各节点废气均能做到达标排放，不会改变区域环境功能，废气处理措施合理、可行。</w:t>
      </w:r>
      <w:bookmarkEnd w:id="45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58" w:name="_Toc120173220"/>
      <w:r>
        <w:rPr>
          <w:color w:val="000000" w:themeColor="text1"/>
          <w:highlight w:val="none"/>
          <w:lang w:eastAsia="zh-CN"/>
          <w14:textFill>
            <w14:solidFill>
              <w14:schemeClr w14:val="tx1"/>
            </w14:solidFill>
          </w14:textFill>
        </w:rPr>
        <w:t>废水污染物防治措施</w:t>
      </w:r>
      <w:bookmarkEnd w:id="458"/>
    </w:p>
    <w:p>
      <w:pPr>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1、治理措施</w:t>
      </w:r>
    </w:p>
    <w:p>
      <w:pPr>
        <w:ind w:firstLine="482"/>
        <w:rPr>
          <w:rFonts w:cs="Times New Roman"/>
          <w:b/>
          <w:color w:val="000000" w:themeColor="text1"/>
          <w:highlight w:val="none"/>
          <w14:textFill>
            <w14:solidFill>
              <w14:schemeClr w14:val="tx1"/>
            </w14:solidFill>
          </w14:textFill>
        </w:rPr>
      </w:pPr>
      <w:r>
        <w:rPr>
          <w:rFonts w:cs="Times New Roman"/>
          <w:b/>
          <w:color w:val="000000" w:themeColor="text1"/>
          <w:highlight w:val="none"/>
          <w14:textFill>
            <w14:solidFill>
              <w14:schemeClr w14:val="tx1"/>
            </w14:solidFill>
          </w14:textFill>
        </w:rPr>
        <w:t>（1）生活污水</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w:t>
      </w:r>
      <w:r>
        <w:rPr>
          <w:rFonts w:cs="Times New Roman"/>
          <w:color w:val="000000" w:themeColor="text1"/>
          <w:szCs w:val="24"/>
          <w:highlight w:val="none"/>
          <w14:textFill>
            <w14:solidFill>
              <w14:schemeClr w14:val="tx1"/>
            </w14:solidFill>
          </w14:textFill>
        </w:rPr>
        <w:t>试采期</w:t>
      </w:r>
      <w:r>
        <w:rPr>
          <w:rFonts w:hint="eastAsia" w:cs="Times New Roman"/>
          <w:color w:val="000000" w:themeColor="text1"/>
          <w:szCs w:val="24"/>
          <w:highlight w:val="none"/>
          <w14:textFill>
            <w14:solidFill>
              <w14:schemeClr w14:val="tx1"/>
            </w14:solidFill>
          </w14:textFill>
        </w:rPr>
        <w:t>为无人值守站场，无生活污水产生</w:t>
      </w:r>
      <w:r>
        <w:rPr>
          <w:rFonts w:cs="Times New Roman"/>
          <w:bCs/>
          <w:color w:val="000000" w:themeColor="text1"/>
          <w:highlight w:val="none"/>
          <w14:textFill>
            <w14:solidFill>
              <w14:schemeClr w14:val="tx1"/>
            </w14:solidFill>
          </w14:textFill>
        </w:rPr>
        <w:t>。</w:t>
      </w:r>
    </w:p>
    <w:p>
      <w:pPr>
        <w:ind w:firstLine="482"/>
        <w:rPr>
          <w:rFonts w:hint="eastAsia" w:eastAsia="宋体" w:cs="Times New Roman"/>
          <w:b/>
          <w:color w:val="000000" w:themeColor="text1"/>
          <w:highlight w:val="none"/>
          <w:lang w:eastAsia="zh-CN"/>
          <w14:textFill>
            <w14:solidFill>
              <w14:schemeClr w14:val="tx1"/>
            </w14:solidFill>
          </w14:textFill>
        </w:rPr>
      </w:pPr>
      <w:r>
        <w:rPr>
          <w:rFonts w:cs="Times New Roman"/>
          <w:b/>
          <w:color w:val="000000" w:themeColor="text1"/>
          <w:highlight w:val="none"/>
          <w14:textFill>
            <w14:solidFill>
              <w14:schemeClr w14:val="tx1"/>
            </w14:solidFill>
          </w14:textFill>
        </w:rPr>
        <w:t>（2）</w:t>
      </w:r>
      <w:r>
        <w:rPr>
          <w:rFonts w:hint="eastAsia" w:cs="Times New Roman"/>
          <w:b/>
          <w:color w:val="000000" w:themeColor="text1"/>
          <w:highlight w:val="none"/>
          <w:lang w:eastAsia="zh-CN"/>
          <w14:textFill>
            <w14:solidFill>
              <w14:schemeClr w14:val="tx1"/>
            </w14:solidFill>
          </w14:textFill>
        </w:rPr>
        <w:t>气田水</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本项目试采期地层水产生量预计最大为</w:t>
      </w:r>
      <w:r>
        <w:rPr>
          <w:rFonts w:hint="eastAsia" w:cs="Times New Roman"/>
          <w:bCs/>
          <w:color w:val="000000" w:themeColor="text1"/>
          <w:highlight w:val="none"/>
          <w:lang w:val="en-US" w:eastAsia="zh-CN"/>
          <w14:textFill>
            <w14:solidFill>
              <w14:schemeClr w14:val="tx1"/>
            </w14:solidFill>
          </w14:textFill>
        </w:rPr>
        <w:t>50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初期储层改造期间未返排完全压裂返排液会和气田水一起返排，预计共计约200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试采站</w:t>
      </w:r>
      <w:r>
        <w:rPr>
          <w:rFonts w:cs="Times New Roman"/>
          <w:bCs/>
          <w:color w:val="000000" w:themeColor="text1"/>
          <w:highlight w:val="none"/>
          <w14:textFill>
            <w14:solidFill>
              <w14:schemeClr w14:val="tx1"/>
            </w14:solidFill>
          </w14:textFill>
        </w:rPr>
        <w:t>内</w:t>
      </w:r>
      <w:r>
        <w:rPr>
          <w:rFonts w:hint="eastAsia" w:cs="Times New Roman"/>
          <w:bCs/>
          <w:color w:val="000000" w:themeColor="text1"/>
          <w:highlight w:val="none"/>
          <w:lang w:val="en-US" w:eastAsia="zh-CN"/>
          <w14:textFill>
            <w14:solidFill>
              <w14:schemeClr w14:val="tx1"/>
            </w14:solidFill>
          </w14:textFill>
        </w:rPr>
        <w:t>新建</w:t>
      </w:r>
      <w:r>
        <w:rPr>
          <w:rFonts w:cs="Times New Roman"/>
          <w:bCs/>
          <w:color w:val="000000" w:themeColor="text1"/>
          <w:highlight w:val="none"/>
          <w14:textFill>
            <w14:solidFill>
              <w14:schemeClr w14:val="tx1"/>
            </w14:solidFill>
          </w14:textFill>
        </w:rPr>
        <w:t>1个</w:t>
      </w:r>
      <w:r>
        <w:rPr>
          <w:rFonts w:hint="eastAsia" w:cs="Times New Roman"/>
          <w:bCs/>
          <w:color w:val="000000" w:themeColor="text1"/>
          <w:highlight w:val="none"/>
          <w:lang w:val="en-US" w:eastAsia="zh-CN"/>
          <w14:textFill>
            <w14:solidFill>
              <w14:schemeClr w14:val="tx1"/>
            </w14:solidFill>
          </w14:textFill>
        </w:rPr>
        <w:t>5</w:t>
      </w:r>
      <w:r>
        <w:rPr>
          <w:rFonts w:cs="Times New Roman"/>
          <w:bCs/>
          <w:color w:val="000000" w:themeColor="text1"/>
          <w:highlight w:val="none"/>
          <w14:textFill>
            <w14:solidFill>
              <w14:schemeClr w14:val="tx1"/>
            </w14:solidFill>
          </w14:textFill>
        </w:rPr>
        <w:t>0m</w:t>
      </w:r>
      <w:r>
        <w:rPr>
          <w:rFonts w:cs="Times New Roman"/>
          <w:bCs/>
          <w:color w:val="000000" w:themeColor="text1"/>
          <w:highlight w:val="none"/>
          <w:vertAlign w:val="superscript"/>
          <w14:textFill>
            <w14:solidFill>
              <w14:schemeClr w14:val="tx1"/>
            </w14:solidFill>
          </w14:textFill>
        </w:rPr>
        <w:t>3</w:t>
      </w:r>
      <w:r>
        <w:rPr>
          <w:rFonts w:hint="eastAsia" w:cs="Times New Roman"/>
          <w:bCs/>
          <w:color w:val="000000" w:themeColor="text1"/>
          <w:highlight w:val="none"/>
          <w:lang w:eastAsia="zh-CN"/>
          <w14:textFill>
            <w14:solidFill>
              <w14:schemeClr w14:val="tx1"/>
            </w14:solidFill>
          </w14:textFill>
        </w:rPr>
        <w:t>采出水罐</w:t>
      </w:r>
      <w:r>
        <w:rPr>
          <w:rFonts w:cs="Times New Roman"/>
          <w:bCs/>
          <w:color w:val="000000" w:themeColor="text1"/>
          <w:highlight w:val="none"/>
          <w14:textFill>
            <w14:solidFill>
              <w14:schemeClr w14:val="tx1"/>
            </w14:solidFill>
          </w14:textFill>
        </w:rPr>
        <w:t>进行收集</w:t>
      </w:r>
      <w:r>
        <w:rPr>
          <w:rFonts w:hint="eastAsia" w:cs="Times New Roman"/>
          <w:bCs/>
          <w:color w:val="000000" w:themeColor="text1"/>
          <w:highlight w:val="none"/>
          <w:lang w:val="en-US" w:eastAsia="zh-CN"/>
          <w14:textFill>
            <w14:solidFill>
              <w14:schemeClr w14:val="tx1"/>
            </w14:solidFill>
          </w14:textFill>
        </w:rPr>
        <w:t>暂存</w:t>
      </w:r>
      <w:r>
        <w:rPr>
          <w:rFonts w:cs="Times New Roman"/>
          <w:bCs/>
          <w:color w:val="000000" w:themeColor="text1"/>
          <w:highlight w:val="none"/>
          <w14:textFill>
            <w14:solidFill>
              <w14:schemeClr w14:val="tx1"/>
            </w14:solidFill>
          </w14:textFill>
        </w:rPr>
        <w:t>，定期</w:t>
      </w:r>
      <w:r>
        <w:rPr>
          <w:rFonts w:hint="eastAsia" w:cs="Times New Roman"/>
          <w:bCs/>
          <w:color w:val="000000" w:themeColor="text1"/>
          <w:highlight w:val="none"/>
          <w:lang w:val="en-US" w:eastAsia="zh-CN"/>
          <w14:textFill>
            <w14:solidFill>
              <w14:schemeClr w14:val="tx1"/>
            </w14:solidFill>
          </w14:textFill>
        </w:rPr>
        <w:t>通过拟建采出水管线</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eastAsia="zh-CN"/>
          <w14:textFill>
            <w14:solidFill>
              <w14:schemeClr w14:val="tx1"/>
            </w14:solidFill>
          </w14:textFill>
        </w:rPr>
        <w:t>雷页1试采站</w:t>
      </w:r>
      <w:r>
        <w:rPr>
          <w:rFonts w:hint="eastAsia"/>
          <w:color w:val="000000" w:themeColor="text1"/>
          <w:sz w:val="24"/>
          <w:highlight w:val="none"/>
          <w:lang w:val="en-US" w:eastAsia="zh-CN"/>
          <w14:textFill>
            <w14:solidFill>
              <w14:schemeClr w14:val="tx1"/>
            </w14:solidFill>
          </w14:textFill>
        </w:rPr>
        <w:t>缓冲罐暂存后外运处理，</w:t>
      </w:r>
      <w:r>
        <w:rPr>
          <w:rFonts w:cs="Times New Roman"/>
          <w:bCs/>
          <w:color w:val="000000" w:themeColor="text1"/>
          <w:highlight w:val="none"/>
          <w14:textFill>
            <w14:solidFill>
              <w14:schemeClr w14:val="tx1"/>
            </w14:solidFill>
          </w14:textFill>
        </w:rPr>
        <w:t>能保证井站污水罐对项目废水的收纳。井站设置</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于防渗区，做好</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的保养检查，杜绝</w:t>
      </w:r>
      <w:r>
        <w:rPr>
          <w:rFonts w:hint="eastAsia" w:cs="Times New Roman"/>
          <w:bCs/>
          <w:color w:val="000000" w:themeColor="text1"/>
          <w:highlight w:val="none"/>
          <w:lang w:eastAsia="zh-CN"/>
          <w14:textFill>
            <w14:solidFill>
              <w14:schemeClr w14:val="tx1"/>
            </w14:solidFill>
          </w14:textFill>
        </w:rPr>
        <w:t>污水泄漏。</w:t>
      </w:r>
      <w:r>
        <w:rPr>
          <w:rFonts w:hint="eastAsia" w:cs="Times New Roman"/>
          <w:bCs/>
          <w:color w:val="000000" w:themeColor="text1"/>
          <w:highlight w:val="none"/>
          <w:lang w:val="en-US" w:eastAsia="zh-CN"/>
          <w14:textFill>
            <w14:solidFill>
              <w14:schemeClr w14:val="tx1"/>
            </w14:solidFill>
          </w14:textFill>
        </w:rPr>
        <w:t>后</w:t>
      </w:r>
      <w:r>
        <w:rPr>
          <w:rFonts w:hint="eastAsia" w:cs="Times New Roman"/>
          <w:color w:val="000000" w:themeColor="text1"/>
          <w:szCs w:val="24"/>
          <w:highlight w:val="none"/>
          <w:lang w:val="en-US" w:eastAsia="zh-CN"/>
          <w14:textFill>
            <w14:solidFill>
              <w14:schemeClr w14:val="tx1"/>
            </w14:solidFill>
          </w14:textFill>
        </w:rPr>
        <w:t>经</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w:t>
      </w:r>
      <w:r>
        <w:rPr>
          <w:rFonts w:hint="eastAsia"/>
          <w:color w:val="000000" w:themeColor="text1"/>
          <w:sz w:val="24"/>
          <w:highlight w:val="none"/>
          <w:lang w:val="en-US" w:eastAsia="zh-CN"/>
          <w14:textFill>
            <w14:solidFill>
              <w14:schemeClr w14:val="tx1"/>
            </w14:solidFill>
          </w14:textFill>
        </w:rPr>
        <w:t>处理，</w:t>
      </w:r>
      <w:r>
        <w:rPr>
          <w:rFonts w:cs="Times New Roman"/>
          <w:color w:val="000000" w:themeColor="text1"/>
          <w:szCs w:val="24"/>
          <w:highlight w:val="none"/>
          <w14:textFill>
            <w14:solidFill>
              <w14:schemeClr w14:val="tx1"/>
            </w14:solidFill>
          </w14:textFill>
        </w:rPr>
        <w:t>不外排</w:t>
      </w:r>
      <w:r>
        <w:rPr>
          <w:rFonts w:hint="eastAsia" w:cs="Times New Roman"/>
          <w:bCs/>
          <w:color w:val="000000" w:themeColor="text1"/>
          <w:highlight w:val="none"/>
          <w:lang w:eastAsia="zh-CN"/>
          <w14:textFill>
            <w14:solidFill>
              <w14:schemeClr w14:val="tx1"/>
            </w14:solidFill>
          </w14:textFill>
        </w:rPr>
        <w:t>。</w:t>
      </w:r>
      <w:r>
        <w:rPr>
          <w:rFonts w:cs="Times New Roman"/>
          <w:bCs/>
          <w:color w:val="000000" w:themeColor="text1"/>
          <w:highlight w:val="none"/>
          <w14:textFill>
            <w14:solidFill>
              <w14:schemeClr w14:val="tx1"/>
            </w14:solidFill>
          </w14:textFill>
        </w:rPr>
        <w:t>应做好</w:t>
      </w:r>
      <w:r>
        <w:rPr>
          <w:rFonts w:hint="eastAsia" w:cs="Times New Roman"/>
          <w:bCs/>
          <w:color w:val="000000" w:themeColor="text1"/>
          <w:highlight w:val="none"/>
          <w:lang w:eastAsia="zh-CN"/>
          <w14:textFill>
            <w14:solidFill>
              <w14:schemeClr w14:val="tx1"/>
            </w14:solidFill>
          </w14:textFill>
        </w:rPr>
        <w:t>气田水</w:t>
      </w:r>
      <w:r>
        <w:rPr>
          <w:rFonts w:cs="Times New Roman"/>
          <w:bCs/>
          <w:color w:val="000000" w:themeColor="text1"/>
          <w:highlight w:val="none"/>
          <w14:textFill>
            <w14:solidFill>
              <w14:schemeClr w14:val="tx1"/>
            </w14:solidFill>
          </w14:textFill>
        </w:rPr>
        <w:t>转运计划，及时转运</w:t>
      </w:r>
      <w:r>
        <w:rPr>
          <w:rFonts w:hint="eastAsia" w:cs="Times New Roman"/>
          <w:bCs/>
          <w:color w:val="000000" w:themeColor="text1"/>
          <w:highlight w:val="none"/>
          <w:lang w:eastAsia="zh-CN"/>
          <w14:textFill>
            <w14:solidFill>
              <w14:schemeClr w14:val="tx1"/>
            </w14:solidFill>
          </w14:textFill>
        </w:rPr>
        <w:t>气田水（</w:t>
      </w:r>
      <w:r>
        <w:rPr>
          <w:rFonts w:hint="eastAsia" w:cs="Times New Roman"/>
          <w:bCs/>
          <w:color w:val="000000" w:themeColor="text1"/>
          <w:highlight w:val="none"/>
          <w:lang w:val="en-US" w:eastAsia="zh-CN"/>
          <w14:textFill>
            <w14:solidFill>
              <w14:schemeClr w14:val="tx1"/>
            </w14:solidFill>
          </w14:textFill>
        </w:rPr>
        <w:t>根据各井产水情况加快拉运周转，确保采出水罐废水收集到其容量75-80%时，由罐车及时拉运）</w:t>
      </w:r>
      <w:r>
        <w:rPr>
          <w:rFonts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能够</w:t>
      </w:r>
      <w:r>
        <w:rPr>
          <w:rFonts w:cs="Times New Roman"/>
          <w:bCs/>
          <w:color w:val="000000" w:themeColor="text1"/>
          <w:highlight w:val="none"/>
          <w14:textFill>
            <w14:solidFill>
              <w14:schemeClr w14:val="tx1"/>
            </w14:solidFill>
          </w14:textFill>
        </w:rPr>
        <w:t>确保废水得到有效处置。</w:t>
      </w:r>
    </w:p>
    <w:p>
      <w:pPr>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2、</w:t>
      </w:r>
      <w:r>
        <w:rPr>
          <w:rFonts w:hint="eastAsia" w:eastAsia="黑体" w:cs="Times New Roman"/>
          <w:color w:val="000000" w:themeColor="text1"/>
          <w:highlight w:val="none"/>
          <w:lang w:eastAsia="zh-CN"/>
          <w14:textFill>
            <w14:solidFill>
              <w14:schemeClr w14:val="tx1"/>
            </w14:solidFill>
          </w14:textFill>
        </w:rPr>
        <w:t>气田水</w:t>
      </w:r>
      <w:r>
        <w:rPr>
          <w:rFonts w:eastAsia="黑体" w:cs="Times New Roman"/>
          <w:color w:val="000000" w:themeColor="text1"/>
          <w:highlight w:val="none"/>
          <w14:textFill>
            <w14:solidFill>
              <w14:schemeClr w14:val="tx1"/>
            </w14:solidFill>
          </w14:textFill>
        </w:rPr>
        <w:t>依托措施的可行性分析</w:t>
      </w:r>
    </w:p>
    <w:p>
      <w:pPr>
        <w:ind w:firstLine="480"/>
        <w:rPr>
          <w:rFonts w:hint="eastAsia"/>
          <w:color w:val="000000" w:themeColor="text1"/>
          <w:highlight w:val="none"/>
          <w:lang w:val="en-US" w:eastAsia="zh-CN"/>
          <w14:textFill>
            <w14:solidFill>
              <w14:schemeClr w14:val="tx1"/>
            </w14:solidFill>
          </w14:textFill>
        </w:rPr>
      </w:pPr>
      <w:r>
        <w:rPr>
          <w:rFonts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eastAsia="zh-CN"/>
          <w14:textFill>
            <w14:solidFill>
              <w14:schemeClr w14:val="tx1"/>
            </w14:solidFill>
          </w14:textFill>
        </w:rPr>
        <w:t>气田水</w:t>
      </w:r>
      <w:r>
        <w:rPr>
          <w:rFonts w:hint="eastAsia" w:cs="Times New Roman"/>
          <w:bCs/>
          <w:color w:val="000000" w:themeColor="text1"/>
          <w:highlight w:val="none"/>
          <w:lang w:val="en-US" w:eastAsia="zh-CN"/>
          <w14:textFill>
            <w14:solidFill>
              <w14:schemeClr w14:val="tx1"/>
            </w14:solidFill>
          </w14:textFill>
        </w:rPr>
        <w:t>通过拟建采出水管线</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eastAsia="zh-CN"/>
          <w14:textFill>
            <w14:solidFill>
              <w14:schemeClr w14:val="tx1"/>
            </w14:solidFill>
          </w14:textFill>
        </w:rPr>
        <w:t>雷页1试采站</w:t>
      </w:r>
      <w:r>
        <w:rPr>
          <w:rFonts w:hint="eastAsia"/>
          <w:color w:val="000000" w:themeColor="text1"/>
          <w:sz w:val="24"/>
          <w:highlight w:val="none"/>
          <w:lang w:val="en-US" w:eastAsia="zh-CN"/>
          <w14:textFill>
            <w14:solidFill>
              <w14:schemeClr w14:val="tx1"/>
            </w14:solidFill>
          </w14:textFill>
        </w:rPr>
        <w:t>缓冲罐暂存，</w:t>
      </w:r>
      <w:r>
        <w:rPr>
          <w:rFonts w:hint="eastAsia" w:cs="Times New Roman"/>
          <w:bCs/>
          <w:color w:val="000000" w:themeColor="text1"/>
          <w:highlight w:val="none"/>
          <w:lang w:val="en-US" w:eastAsia="zh-CN"/>
          <w14:textFill>
            <w14:solidFill>
              <w14:schemeClr w14:val="tx1"/>
            </w14:solidFill>
          </w14:textFill>
        </w:rPr>
        <w:t>再</w:t>
      </w:r>
      <w:r>
        <w:rPr>
          <w:rFonts w:cs="Times New Roman"/>
          <w:bCs/>
          <w:color w:val="000000" w:themeColor="text1"/>
          <w:highlight w:val="none"/>
          <w14:textFill>
            <w14:solidFill>
              <w14:schemeClr w14:val="tx1"/>
            </w14:solidFill>
          </w14:textFill>
        </w:rPr>
        <w:t>用密闭罐车拉运至</w:t>
      </w:r>
      <w:r>
        <w:rPr>
          <w:rFonts w:hint="eastAsia" w:cs="Times New Roman"/>
          <w:bCs/>
          <w:color w:val="000000" w:themeColor="text1"/>
          <w:highlight w:val="none"/>
          <w:lang w:eastAsia="zh-CN"/>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经</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后期无压裂返排液返排时，则直接经</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w:t>
      </w:r>
      <w:r>
        <w:rPr>
          <w:rFonts w:hint="eastAsia"/>
          <w:color w:val="000000" w:themeColor="text1"/>
          <w:sz w:val="24"/>
          <w:highlight w:val="none"/>
          <w:lang w:val="en-US" w:eastAsia="zh-CN"/>
          <w14:textFill>
            <w14:solidFill>
              <w14:schemeClr w14:val="tx1"/>
            </w14:solidFill>
          </w14:textFill>
        </w:rPr>
        <w:t>处理</w:t>
      </w:r>
      <w:r>
        <w:rPr>
          <w:rFonts w:hint="eastAsia" w:cs="Times New Roman"/>
          <w:color w:val="000000" w:themeColor="text1"/>
          <w:szCs w:val="24"/>
          <w:highlight w:val="none"/>
          <w:lang w:eastAsia="zh-CN"/>
          <w14:textFill>
            <w14:solidFill>
              <w14:schemeClr w14:val="tx1"/>
            </w14:solidFill>
          </w14:textFill>
        </w:rPr>
        <w:t>。</w:t>
      </w:r>
      <w:r>
        <w:rPr>
          <w:rFonts w:cs="Times New Roman"/>
          <w:color w:val="000000" w:themeColor="text1"/>
          <w:highlight w:val="none"/>
          <w14:textFill>
            <w14:solidFill>
              <w14:schemeClr w14:val="tx1"/>
            </w14:solidFill>
          </w14:textFill>
        </w:rPr>
        <w:t>根据前文分析，</w:t>
      </w:r>
      <w:r>
        <w:rPr>
          <w:rFonts w:hint="eastAsia" w:cs="Times New Roman"/>
          <w:color w:val="000000" w:themeColor="text1"/>
          <w:szCs w:val="24"/>
          <w:highlight w:val="none"/>
          <w:lang w:val="en-US" w:eastAsia="zh-CN"/>
          <w14:textFill>
            <w14:solidFill>
              <w14:schemeClr w14:val="tx1"/>
            </w14:solidFill>
          </w14:textFill>
        </w:rPr>
        <w:t>本项目试采期间2口井的采出水量约50</w:t>
      </w:r>
      <w:r>
        <w:rPr>
          <w:rFonts w:hint="eastAsia" w:cs="Times New Roman"/>
          <w:color w:val="000000" w:themeColor="text1"/>
          <w:szCs w:val="24"/>
          <w:highlight w:val="none"/>
          <w:lang w:eastAsia="zh-CN"/>
          <w14:textFill>
            <w14:solidFill>
              <w14:schemeClr w14:val="tx1"/>
            </w14:solidFill>
          </w14:textFill>
        </w:rPr>
        <w:t>m</w:t>
      </w:r>
      <w:r>
        <w:rPr>
          <w:rFonts w:hint="eastAsia" w:cs="Times New Roman"/>
          <w:color w:val="000000" w:themeColor="text1"/>
          <w:szCs w:val="24"/>
          <w:highlight w:val="none"/>
          <w:vertAlign w:val="superscript"/>
          <w:lang w:eastAsia="zh-CN"/>
          <w14:textFill>
            <w14:solidFill>
              <w14:schemeClr w14:val="tx1"/>
            </w14:solidFill>
          </w14:textFill>
        </w:rPr>
        <w:t>3</w:t>
      </w:r>
      <w:r>
        <w:rPr>
          <w:rFonts w:hint="eastAsia" w:cs="Times New Roman"/>
          <w:color w:val="000000" w:themeColor="text1"/>
          <w:szCs w:val="24"/>
          <w:highlight w:val="none"/>
          <w:lang w:eastAsia="zh-CN"/>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初期储层改造期间未返排完全压裂返排液会和气田水一起返排，预计共计约200</w:t>
      </w:r>
      <w:r>
        <w:rPr>
          <w:rFonts w:cs="Times New Roman"/>
          <w:bCs/>
          <w:color w:val="000000" w:themeColor="text1"/>
          <w:highlight w:val="none"/>
          <w14:textFill>
            <w14:solidFill>
              <w14:schemeClr w14:val="tx1"/>
            </w14:solidFill>
          </w14:textFill>
        </w:rPr>
        <w:t>m</w:t>
      </w:r>
      <w:r>
        <w:rPr>
          <w:rFonts w:cs="Times New Roman"/>
          <w:bCs/>
          <w:color w:val="000000" w:themeColor="text1"/>
          <w:highlight w:val="none"/>
          <w:vertAlign w:val="superscript"/>
          <w14:textFill>
            <w14:solidFill>
              <w14:schemeClr w14:val="tx1"/>
            </w14:solidFill>
          </w14:textFill>
        </w:rPr>
        <w:t>3</w:t>
      </w:r>
      <w:r>
        <w:rPr>
          <w:rFonts w:cs="Times New Roman"/>
          <w:bCs/>
          <w:color w:val="000000" w:themeColor="text1"/>
          <w:highlight w:val="none"/>
          <w14:textFill>
            <w14:solidFill>
              <w14:schemeClr w14:val="tx1"/>
            </w14:solidFill>
          </w14:textFill>
        </w:rPr>
        <w:t>/d</w:t>
      </w:r>
      <w:r>
        <w:rPr>
          <w:rFonts w:hint="eastAsia" w:cs="Times New Roman"/>
          <w:bCs/>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，由于本项目新建的污水罐仅能暂存50m</w:t>
      </w:r>
      <w:r>
        <w:rPr>
          <w:rFonts w:hint="eastAsia" w:cs="Times New Roman"/>
          <w:color w:val="000000" w:themeColor="text1"/>
          <w:szCs w:val="24"/>
          <w:highlight w:val="none"/>
          <w:vertAlign w:val="superscript"/>
          <w:lang w:val="en-US" w:eastAsia="zh-CN"/>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废水，至少能满足本项目试采期1天（初期0.25天）采出水的暂存，因此，需要加强雷页1试采站内采出水的转运管理，合理安排本项目试采期采出水的外输计划（初期最少每天拉运4-5次，后期每天至少拉运1次）</w:t>
      </w:r>
      <w:r>
        <w:rPr>
          <w:rFonts w:cs="Times New Roman"/>
          <w:color w:val="000000" w:themeColor="text1"/>
          <w:szCs w:val="24"/>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本项目采出水的处理方式是可行的。</w:t>
      </w:r>
    </w:p>
    <w:p>
      <w:pPr>
        <w:pStyle w:val="250"/>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根据前文分析，</w:t>
      </w:r>
      <w:r>
        <w:rPr>
          <w:rFonts w:hint="eastAsia" w:cs="Times New Roman"/>
          <w:color w:val="000000" w:themeColor="text1"/>
          <w:highlight w:val="none"/>
          <w14:textFill>
            <w14:solidFill>
              <w14:schemeClr w14:val="tx1"/>
            </w14:solidFill>
          </w14:textFill>
        </w:rPr>
        <w:t>赵家坝污水处理站</w:t>
      </w:r>
      <w:r>
        <w:rPr>
          <w:rFonts w:cs="Times New Roman"/>
          <w:color w:val="000000" w:themeColor="text1"/>
          <w:highlight w:val="none"/>
          <w14:textFill>
            <w14:solidFill>
              <w14:schemeClr w14:val="tx1"/>
            </w14:solidFill>
          </w14:textFill>
        </w:rPr>
        <w:t>和</w:t>
      </w:r>
      <w:r>
        <w:rPr>
          <w:rFonts w:hint="eastAsia" w:cs="Times New Roman"/>
          <w:color w:val="000000" w:themeColor="text1"/>
          <w:highlight w:val="none"/>
          <w14:textFill>
            <w14:solidFill>
              <w14:schemeClr w14:val="tx1"/>
            </w14:solidFill>
          </w14:textFill>
        </w:rPr>
        <w:t>普光3井</w:t>
      </w:r>
      <w:r>
        <w:rPr>
          <w:rFonts w:cs="Times New Roman"/>
          <w:color w:val="000000" w:themeColor="text1"/>
          <w:highlight w:val="none"/>
          <w14:textFill>
            <w14:solidFill>
              <w14:schemeClr w14:val="tx1"/>
            </w14:solidFill>
          </w14:textFill>
        </w:rPr>
        <w:t>回注站接收处理能力满足试采期采气废水处理要求</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同时</w:t>
      </w:r>
      <w:r>
        <w:rPr>
          <w:rFonts w:hint="default" w:ascii="Times New Roman" w:hAnsi="Times New Roman" w:cs="Times New Roman"/>
          <w:color w:val="000000" w:themeColor="text1"/>
          <w:highlight w:val="none"/>
          <w:lang w:val="en-US" w:eastAsia="zh-CN"/>
          <w14:textFill>
            <w14:solidFill>
              <w14:schemeClr w14:val="tx1"/>
            </w14:solidFill>
          </w14:textFill>
        </w:rPr>
        <w:t>赵家坝污水处理站运行多年，工艺成熟稳定，水质能长期稳定达标，满足作业废水预处理要求；</w:t>
      </w:r>
      <w:r>
        <w:rPr>
          <w:rFonts w:hint="eastAsia" w:cs="Times New Roman"/>
          <w:color w:val="000000" w:themeColor="text1"/>
          <w:highlight w:val="none"/>
          <w:lang w:eastAsia="zh-CN"/>
          <w14:textFill>
            <w14:solidFill>
              <w14:schemeClr w14:val="tx1"/>
            </w14:solidFill>
          </w14:textFill>
        </w:rPr>
        <w:t>普光3井</w:t>
      </w:r>
      <w:r>
        <w:rPr>
          <w:rFonts w:hint="default" w:ascii="Times New Roman" w:hAnsi="Times New Roman" w:cs="Times New Roman"/>
          <w:color w:val="000000" w:themeColor="text1"/>
          <w:highlight w:val="none"/>
          <w14:textFill>
            <w14:solidFill>
              <w14:schemeClr w14:val="tx1"/>
            </w14:solidFill>
          </w14:textFill>
        </w:rPr>
        <w:t>已稳定运行</w:t>
      </w:r>
      <w:r>
        <w:rPr>
          <w:rFonts w:hint="eastAsia" w:cs="Times New Roman"/>
          <w:color w:val="000000" w:themeColor="text1"/>
          <w:highlight w:val="none"/>
          <w:lang w:val="en-US" w:eastAsia="zh-CN"/>
          <w14:textFill>
            <w14:solidFill>
              <w14:schemeClr w14:val="tx1"/>
            </w14:solidFill>
          </w14:textFill>
        </w:rPr>
        <w:t>多</w:t>
      </w:r>
      <w:r>
        <w:rPr>
          <w:rFonts w:hint="default" w:ascii="Times New Roman" w:hAnsi="Times New Roman" w:cs="Times New Roman"/>
          <w:color w:val="000000" w:themeColor="text1"/>
          <w:highlight w:val="none"/>
          <w14:textFill>
            <w14:solidFill>
              <w14:schemeClr w14:val="tx1"/>
            </w14:solidFill>
          </w14:textFill>
        </w:rPr>
        <w:t>年，地下空间结构稳定，运行期间未检测到地下空间发生结构变化，剩余日回注量远大于本项目钻井作业废水产生量，剩余储集空间较大，满足回注要求</w:t>
      </w:r>
      <w:r>
        <w:rPr>
          <w:rFonts w:hint="default" w:ascii="Times New Roman" w:hAnsi="Times New Roman" w:cs="Times New Roman"/>
          <w:bCs/>
          <w:color w:val="000000" w:themeColor="text1"/>
          <w:szCs w:val="24"/>
          <w:highlight w:val="none"/>
          <w14:textFill>
            <w14:solidFill>
              <w14:schemeClr w14:val="tx1"/>
            </w14:solidFill>
          </w14:textFill>
        </w:rPr>
        <w:t>。</w:t>
      </w:r>
    </w:p>
    <w:p>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此外，非正常工况井下作业废水产生频次为1次/a，单井排放量为50m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/a，2口井共计100m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w:t>
      </w:r>
      <w:r>
        <w:rPr>
          <w:rFonts w:hint="eastAsia" w:cs="Times New Roman"/>
          <w:bCs/>
          <w:color w:val="000000" w:themeColor="text1"/>
          <w:highlight w:val="none"/>
          <w:lang w:val="en-US" w:eastAsia="zh-CN"/>
          <w14:textFill>
            <w14:solidFill>
              <w14:schemeClr w14:val="tx1"/>
            </w14:solidFill>
          </w14:textFill>
        </w:rPr>
        <w:t>通过拟建采出水管线</w:t>
      </w:r>
      <w:r>
        <w:rPr>
          <w:rFonts w:ascii="Times New Roman" w:hAnsi="Times New Roman"/>
          <w:color w:val="000000" w:themeColor="text1"/>
          <w:sz w:val="24"/>
          <w:highlight w:val="none"/>
          <w:lang w:eastAsia="zh-CN"/>
          <w14:textFill>
            <w14:solidFill>
              <w14:schemeClr w14:val="tx1"/>
            </w14:solidFill>
          </w14:textFill>
        </w:rPr>
        <w:t>外输至</w:t>
      </w:r>
      <w:r>
        <w:rPr>
          <w:rFonts w:hint="eastAsia"/>
          <w:color w:val="000000" w:themeColor="text1"/>
          <w:sz w:val="24"/>
          <w:highlight w:val="none"/>
          <w:lang w:eastAsia="zh-CN"/>
          <w14:textFill>
            <w14:solidFill>
              <w14:schemeClr w14:val="tx1"/>
            </w14:solidFill>
          </w14:textFill>
        </w:rPr>
        <w:t>雷页1试采站</w:t>
      </w:r>
      <w:r>
        <w:rPr>
          <w:rFonts w:hint="eastAsia"/>
          <w:color w:val="000000" w:themeColor="text1"/>
          <w:sz w:val="24"/>
          <w:highlight w:val="none"/>
          <w:lang w:val="en-US" w:eastAsia="zh-CN"/>
          <w14:textFill>
            <w14:solidFill>
              <w14:schemeClr w14:val="tx1"/>
            </w14:solidFill>
          </w14:textFill>
        </w:rPr>
        <w:t>缓冲罐暂存后</w:t>
      </w:r>
      <w:r>
        <w:rPr>
          <w:rFonts w:cs="Times New Roman"/>
          <w:color w:val="000000" w:themeColor="text1"/>
          <w:highlight w:val="none"/>
          <w14:textFill>
            <w14:solidFill>
              <w14:schemeClr w14:val="tx1"/>
            </w14:solidFill>
          </w14:textFill>
        </w:rPr>
        <w:t>经</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不外排，根据前文分析，其废水量相对于气田水水量小得多，通过合理调配后能有效收集处置，因此措施可行。</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试采井站废水采用的处理措施为中石化在川东北地区常用的处置措施，已在建设单位同类型天然气试采井站工程项目中广泛应用，依托污水处理站专门为中石化钻采项目服务，运行稳定可靠，废水均能做到达标排放或有效回注，</w:t>
      </w:r>
      <w:r>
        <w:rPr>
          <w:rFonts w:hint="eastAsia" w:cs="Times New Roman"/>
          <w:bCs/>
          <w:color w:val="000000" w:themeColor="text1"/>
          <w:szCs w:val="24"/>
          <w:highlight w:val="none"/>
          <w:lang w:val="en-US" w:eastAsia="zh-CN"/>
          <w14:textFill>
            <w14:solidFill>
              <w14:schemeClr w14:val="tx1"/>
            </w14:solidFill>
          </w14:textFill>
        </w:rPr>
        <w:t>不外排，</w:t>
      </w:r>
      <w:r>
        <w:rPr>
          <w:rFonts w:cs="Times New Roman"/>
          <w:bCs/>
          <w:color w:val="000000" w:themeColor="text1"/>
          <w:szCs w:val="24"/>
          <w:highlight w:val="none"/>
          <w14:textFill>
            <w14:solidFill>
              <w14:schemeClr w14:val="tx1"/>
            </w14:solidFill>
          </w14:textFill>
        </w:rPr>
        <w:t>因此，废水处理措施合理、可行。</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59" w:name="6.2.2地下水防治措施可行性分析"/>
      <w:bookmarkEnd w:id="459"/>
      <w:bookmarkStart w:id="460" w:name="_Toc120173221"/>
      <w:r>
        <w:rPr>
          <w:color w:val="000000" w:themeColor="text1"/>
          <w:highlight w:val="none"/>
          <w:lang w:eastAsia="zh-CN"/>
          <w14:textFill>
            <w14:solidFill>
              <w14:schemeClr w14:val="tx1"/>
            </w14:solidFill>
          </w14:textFill>
        </w:rPr>
        <w:t>地下水和土壤环境防治措施可行性分析</w:t>
      </w:r>
      <w:bookmarkEnd w:id="460"/>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项目实施对地下水及土壤可能造成的影响主要发生在施工期间。试采期井站暂存废水等污染物较少，</w:t>
      </w:r>
      <w:r>
        <w:rPr>
          <w:rFonts w:hint="eastAsia" w:cs="Times New Roman"/>
          <w:bCs/>
          <w:color w:val="000000" w:themeColor="text1"/>
          <w:highlight w:val="none"/>
          <w:lang w:eastAsia="zh-CN"/>
          <w14:textFill>
            <w14:solidFill>
              <w14:schemeClr w14:val="tx1"/>
            </w14:solidFill>
          </w14:textFill>
        </w:rPr>
        <w:t>放空分液罐、采出水罐、</w:t>
      </w:r>
      <w:r>
        <w:rPr>
          <w:rFonts w:hint="eastAsia" w:cs="Times New Roman"/>
          <w:color w:val="000000" w:themeColor="text1"/>
          <w:szCs w:val="24"/>
          <w:highlight w:val="none"/>
          <w:lang w:val="en-US" w:eastAsia="zh-CN"/>
          <w14:textFill>
            <w14:solidFill>
              <w14:schemeClr w14:val="tx1"/>
            </w14:solidFill>
          </w14:textFill>
        </w:rPr>
        <w:t>外输管线</w:t>
      </w:r>
      <w:r>
        <w:rPr>
          <w:rFonts w:cs="Times New Roman"/>
          <w:bCs/>
          <w:color w:val="000000" w:themeColor="text1"/>
          <w:szCs w:val="24"/>
          <w:highlight w:val="none"/>
          <w14:textFill>
            <w14:solidFill>
              <w14:schemeClr w14:val="tx1"/>
            </w14:solidFill>
          </w14:textFill>
        </w:rPr>
        <w:t>进行了防渗和设置围堰，废水</w:t>
      </w:r>
      <w:r>
        <w:rPr>
          <w:rFonts w:hint="eastAsia" w:cs="Times New Roman"/>
          <w:bCs/>
          <w:color w:val="000000" w:themeColor="text1"/>
          <w:szCs w:val="24"/>
          <w:highlight w:val="none"/>
          <w:lang w:val="en-US" w:eastAsia="zh-CN"/>
          <w14:textFill>
            <w14:solidFill>
              <w14:schemeClr w14:val="tx1"/>
            </w14:solidFill>
          </w14:textFill>
        </w:rPr>
        <w:t>等污染物</w:t>
      </w:r>
      <w:r>
        <w:rPr>
          <w:rFonts w:cs="Times New Roman"/>
          <w:bCs/>
          <w:color w:val="000000" w:themeColor="text1"/>
          <w:szCs w:val="24"/>
          <w:highlight w:val="none"/>
          <w14:textFill>
            <w14:solidFill>
              <w14:schemeClr w14:val="tx1"/>
            </w14:solidFill>
          </w14:textFill>
        </w:rPr>
        <w:t>难以泄露，有完善的防漏洒措施，难以对地下水和土壤环境造成影响。</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地下水和土壤污染防治措施坚持</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源头控制、末端防治、污染监控、应急响应相结合</w:t>
      </w:r>
      <w:r>
        <w:rPr>
          <w:bCs/>
          <w:color w:val="000000" w:themeColor="text1"/>
          <w:kern w:val="2"/>
          <w:highlight w:val="none"/>
          <w:lang w:eastAsia="zh-CN"/>
          <w14:textFill>
            <w14:solidFill>
              <w14:schemeClr w14:val="tx1"/>
            </w14:solidFill>
          </w14:textFill>
        </w:rPr>
        <w:t>”</w:t>
      </w:r>
      <w:r>
        <w:rPr>
          <w:rFonts w:ascii="Times New Roman" w:hAnsi="Times New Roman"/>
          <w:bCs/>
          <w:color w:val="000000" w:themeColor="text1"/>
          <w:kern w:val="2"/>
          <w:highlight w:val="none"/>
          <w:lang w:eastAsia="zh-CN"/>
          <w14:textFill>
            <w14:solidFill>
              <w14:schemeClr w14:val="tx1"/>
            </w14:solidFill>
          </w14:textFill>
        </w:rPr>
        <w:t>的原则，即采取主动控制和被动控制相结合的措施。本项目试采期方井、</w:t>
      </w:r>
      <w:r>
        <w:rPr>
          <w:rFonts w:hint="eastAsia" w:ascii="Times New Roman" w:hAnsi="Times New Roman"/>
          <w:bCs/>
          <w:color w:val="000000" w:themeColor="text1"/>
          <w:highlight w:val="none"/>
          <w:lang w:eastAsia="zh-CN"/>
          <w14:textFill>
            <w14:solidFill>
              <w14:schemeClr w14:val="tx1"/>
            </w14:solidFill>
          </w14:textFill>
        </w:rPr>
        <w:t>放空分液罐、采出水罐、</w:t>
      </w:r>
      <w:r>
        <w:rPr>
          <w:rFonts w:ascii="Times New Roman" w:hAnsi="Times New Roman"/>
          <w:bCs/>
          <w:color w:val="000000" w:themeColor="text1"/>
          <w:kern w:val="2"/>
          <w:highlight w:val="none"/>
          <w:lang w:eastAsia="zh-CN"/>
          <w14:textFill>
            <w14:solidFill>
              <w14:schemeClr w14:val="tx1"/>
            </w14:solidFill>
          </w14:textFill>
        </w:rPr>
        <w:t>和流程区进行了分区分级防渗清污分流等措施，同时对井站外临时占地进行了生态恢复，进行监测合格后复耕复植，井站内空地采取硬化，井站内清污分流，能有效避免项目对地下水和土壤环境造成影响。在方井或</w:t>
      </w:r>
      <w:r>
        <w:rPr>
          <w:rFonts w:ascii="Times New Roman" w:hAnsi="Times New Roman"/>
          <w:bCs/>
          <w:color w:val="000000" w:themeColor="text1"/>
          <w:highlight w:val="none"/>
          <w:lang w:eastAsia="zh-CN"/>
          <w14:textFill>
            <w14:solidFill>
              <w14:schemeClr w14:val="tx1"/>
            </w14:solidFill>
          </w14:textFill>
        </w:rPr>
        <w:t>放空分液罐、采出水罐、</w:t>
      </w:r>
      <w:r>
        <w:rPr>
          <w:rFonts w:ascii="Times New Roman" w:hAnsi="Times New Roman"/>
          <w:bCs/>
          <w:color w:val="000000" w:themeColor="text1"/>
          <w:kern w:val="2"/>
          <w:highlight w:val="none"/>
          <w:lang w:eastAsia="zh-CN"/>
          <w14:textFill>
            <w14:solidFill>
              <w14:schemeClr w14:val="tx1"/>
            </w14:solidFill>
          </w14:textFill>
        </w:rPr>
        <w:t>垮塌或外溢、泄漏，防渗失效等极端情况下，本项目一般应设置备用放空分液罐、采出水罐，封闭外环沟，及时将泄漏的污水转移至备用放空分液罐、采出水罐或罐车转运处理，同时对事故进行处理恢复，降低污染范围和影响。</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根据《环境影响评价技术导则 地下水环境》（HJ610-2016）中分区防控措施和《石油化工工程防渗技术规范》（GB/T 50934）中的有关要求，本项目</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和</w:t>
      </w:r>
      <w:r>
        <w:rPr>
          <w:rFonts w:cs="Times New Roman"/>
          <w:color w:val="000000" w:themeColor="text1"/>
          <w:highlight w:val="none"/>
          <w14:textFill>
            <w14:solidFill>
              <w14:schemeClr w14:val="tx1"/>
            </w14:solidFill>
          </w14:textFill>
        </w:rPr>
        <w:t>生产流程区</w:t>
      </w:r>
      <w:r>
        <w:rPr>
          <w:rFonts w:cs="Times New Roman"/>
          <w:bCs/>
          <w:color w:val="000000" w:themeColor="text1"/>
          <w:highlight w:val="none"/>
          <w14:textFill>
            <w14:solidFill>
              <w14:schemeClr w14:val="tx1"/>
            </w14:solidFill>
          </w14:textFill>
        </w:rPr>
        <w:t>置于地面上，</w:t>
      </w:r>
      <w:r>
        <w:rPr>
          <w:rFonts w:hint="eastAsia" w:cs="Times New Roman"/>
          <w:bCs/>
          <w:color w:val="000000" w:themeColor="text1"/>
          <w:highlight w:val="none"/>
          <w:lang w:val="en-US" w:eastAsia="zh-CN"/>
          <w14:textFill>
            <w14:solidFill>
              <w14:schemeClr w14:val="tx1"/>
            </w14:solidFill>
          </w14:textFill>
        </w:rPr>
        <w:t>采出水管线有完善的监控截断装置，污水泄漏</w:t>
      </w:r>
      <w:r>
        <w:rPr>
          <w:rFonts w:cs="Times New Roman"/>
          <w:bCs/>
          <w:color w:val="000000" w:themeColor="text1"/>
          <w:highlight w:val="none"/>
          <w14:textFill>
            <w14:solidFill>
              <w14:schemeClr w14:val="tx1"/>
            </w14:solidFill>
          </w14:textFill>
        </w:rPr>
        <w:t>后可以及时发现处理</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污染控制难易程度为易</w:t>
      </w:r>
      <w:r>
        <w:rPr>
          <w:rFonts w:cs="Times New Roman"/>
          <w:bCs/>
          <w:color w:val="000000" w:themeColor="text1"/>
          <w:highlight w:val="none"/>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场地天然包气带防污性能为中，采出水等含持久性污染物，</w:t>
      </w:r>
      <w:r>
        <w:rPr>
          <w:rFonts w:cs="Times New Roman"/>
          <w:bCs/>
          <w:color w:val="000000" w:themeColor="text1"/>
          <w:highlight w:val="none"/>
          <w14:textFill>
            <w14:solidFill>
              <w14:schemeClr w14:val="tx1"/>
            </w14:solidFill>
          </w14:textFill>
        </w:rPr>
        <w:t>因此</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外输管线、</w:t>
      </w:r>
      <w:r>
        <w:rPr>
          <w:rFonts w:cs="Times New Roman"/>
          <w:bCs/>
          <w:color w:val="000000" w:themeColor="text1"/>
          <w:highlight w:val="none"/>
          <w14:textFill>
            <w14:solidFill>
              <w14:schemeClr w14:val="tx1"/>
            </w14:solidFill>
          </w14:textFill>
        </w:rPr>
        <w:t>生产流程区属于一般防渗区，</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和生产流程区建设选在钻井井场进行了重点防渗或一般防渗的区域进行建设，若</w:t>
      </w:r>
      <w:r>
        <w:rPr>
          <w:rFonts w:hint="eastAsia" w:cs="Times New Roman"/>
          <w:bCs/>
          <w:color w:val="000000" w:themeColor="text1"/>
          <w:highlight w:val="none"/>
          <w:lang w:eastAsia="zh-CN"/>
          <w14:textFill>
            <w14:solidFill>
              <w14:schemeClr w14:val="tx1"/>
            </w14:solidFill>
          </w14:textFill>
        </w:rPr>
        <w:t>上述</w:t>
      </w:r>
      <w:r>
        <w:rPr>
          <w:rFonts w:cs="Times New Roman"/>
          <w:bCs/>
          <w:color w:val="000000" w:themeColor="text1"/>
          <w:highlight w:val="none"/>
          <w14:textFill>
            <w14:solidFill>
              <w14:schemeClr w14:val="tx1"/>
            </w14:solidFill>
          </w14:textFill>
        </w:rPr>
        <w:t>防渗区无法满足建设时，应至少做一般防渗，并在</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罐区修建围堰，围堰内容积要足够储存</w:t>
      </w:r>
      <w:r>
        <w:rPr>
          <w:rFonts w:hint="eastAsia" w:cs="Times New Roman"/>
          <w:bCs/>
          <w:color w:val="000000" w:themeColor="text1"/>
          <w:highlight w:val="none"/>
          <w:lang w:eastAsia="zh-CN"/>
          <w14:textFill>
            <w14:solidFill>
              <w14:schemeClr w14:val="tx1"/>
            </w14:solidFill>
          </w14:textFill>
        </w:rPr>
        <w:t>放空分液罐、采出水罐</w:t>
      </w:r>
      <w:r>
        <w:rPr>
          <w:rFonts w:cs="Times New Roman"/>
          <w:bCs/>
          <w:color w:val="000000" w:themeColor="text1"/>
          <w:highlight w:val="none"/>
          <w14:textFill>
            <w14:solidFill>
              <w14:schemeClr w14:val="tx1"/>
            </w14:solidFill>
          </w14:textFill>
        </w:rPr>
        <w:t>泄露的污水</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采出水管线沿线基础进行一般防渗，</w:t>
      </w:r>
      <w:r>
        <w:rPr>
          <w:rFonts w:cs="Times New Roman"/>
          <w:bCs/>
          <w:color w:val="000000" w:themeColor="text1"/>
          <w:highlight w:val="none"/>
          <w14:textFill>
            <w14:solidFill>
              <w14:schemeClr w14:val="tx1"/>
            </w14:solidFill>
          </w14:textFill>
        </w:rPr>
        <w:t>因此</w:t>
      </w:r>
      <w:r>
        <w:rPr>
          <w:rFonts w:hint="eastAsia" w:cs="Times New Roman"/>
          <w:bCs/>
          <w:color w:val="000000" w:themeColor="text1"/>
          <w:highlight w:val="none"/>
          <w:lang w:eastAsia="zh-CN"/>
          <w14:textFill>
            <w14:solidFill>
              <w14:schemeClr w14:val="tx1"/>
            </w14:solidFill>
          </w14:textFill>
        </w:rPr>
        <w:t>放空分液罐、采出水罐</w:t>
      </w:r>
      <w:r>
        <w:rPr>
          <w:rFonts w:hint="eastAsia" w:cs="Times New Roman"/>
          <w:bCs/>
          <w:color w:val="000000" w:themeColor="text1"/>
          <w:highlight w:val="none"/>
          <w:lang w:val="en-US" w:eastAsia="zh-CN"/>
          <w14:textFill>
            <w14:solidFill>
              <w14:schemeClr w14:val="tx1"/>
            </w14:solidFill>
          </w14:textFill>
        </w:rPr>
        <w:t>和采出水管线</w:t>
      </w:r>
      <w:r>
        <w:rPr>
          <w:rFonts w:cs="Times New Roman"/>
          <w:bCs/>
          <w:color w:val="000000" w:themeColor="text1"/>
          <w:highlight w:val="none"/>
          <w14:textFill>
            <w14:solidFill>
              <w14:schemeClr w14:val="tx1"/>
            </w14:solidFill>
          </w14:textFill>
        </w:rPr>
        <w:t>的建设时可行有效的。</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试采井站地下水土壤污染防治措施为中石化在川东北地区常用的处置措施，已在建设单位同类型天然气试采井站工程项目中广泛应用，采气试采未发生过地下水和土壤污染事故，因此，地下水和土壤防治处理措施合理、可行。</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61" w:name="6.2.3噪声防治措施"/>
      <w:bookmarkEnd w:id="461"/>
      <w:bookmarkStart w:id="462" w:name="_Toc120173222"/>
      <w:r>
        <w:rPr>
          <w:color w:val="000000" w:themeColor="text1"/>
          <w:highlight w:val="none"/>
          <w:lang w:eastAsia="zh-CN"/>
          <w14:textFill>
            <w14:solidFill>
              <w14:schemeClr w14:val="tx1"/>
            </w14:solidFill>
          </w14:textFill>
        </w:rPr>
        <w:t>噪声防治措施</w:t>
      </w:r>
      <w:bookmarkEnd w:id="462"/>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根据泵的噪声频谱特性，采取的噪声控制措施为隔声、减震等，具体措施为：</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（1）平面布置时进行合理布局，控制气流速度，减少站场工艺管线的弯头、三通等管件，降低</w:t>
      </w:r>
      <w:r>
        <w:rPr>
          <w:rFonts w:hint="eastAsia" w:cs="Times New Roman"/>
          <w:bCs/>
          <w:color w:val="000000" w:themeColor="text1"/>
          <w:szCs w:val="24"/>
          <w:highlight w:val="none"/>
          <w14:textFill>
            <w14:solidFill>
              <w14:schemeClr w14:val="tx1"/>
            </w14:solidFill>
          </w14:textFill>
        </w:rPr>
        <w:t>试采</w:t>
      </w:r>
      <w:r>
        <w:rPr>
          <w:rFonts w:cs="Times New Roman"/>
          <w:bCs/>
          <w:color w:val="000000" w:themeColor="text1"/>
          <w:szCs w:val="24"/>
          <w:highlight w:val="none"/>
          <w14:textFill>
            <w14:solidFill>
              <w14:schemeClr w14:val="tx1"/>
            </w14:solidFill>
          </w14:textFill>
        </w:rPr>
        <w:t>站内噪声。</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（2）选用高效低噪声的水套加热炉、分离器和调压设备。</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（3）种植绿化隔声。</w:t>
      </w:r>
    </w:p>
    <w:p>
      <w:pPr>
        <w:tabs>
          <w:tab w:val="left" w:pos="0"/>
        </w:tabs>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试采期采取以上措施为中石化在川东北地区常用的处置措施，类比已在建设单位同类型天然气试采井站工程，项目试采期不会对声环境和敏感点（农户）造成噪声污染影响，因此，试采期噪声污染防治措施合理、可行。</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63" w:name="6.2.4固体废弃物处置措施"/>
      <w:bookmarkEnd w:id="463"/>
      <w:bookmarkStart w:id="464" w:name="_Toc120173223"/>
      <w:r>
        <w:rPr>
          <w:color w:val="000000" w:themeColor="text1"/>
          <w:highlight w:val="none"/>
          <w:lang w:eastAsia="zh-CN"/>
          <w14:textFill>
            <w14:solidFill>
              <w14:schemeClr w14:val="tx1"/>
            </w14:solidFill>
          </w14:textFill>
        </w:rPr>
        <w:t>固体废弃物处置措施</w:t>
      </w:r>
      <w:bookmarkEnd w:id="464"/>
    </w:p>
    <w:p>
      <w:pPr>
        <w:adjustRightInd w:val="0"/>
        <w:snapToGrid w:val="0"/>
        <w:spacing w:line="360" w:lineRule="auto"/>
        <w:ind w:firstLine="480" w:firstLineChars="200"/>
        <w:jc w:val="both"/>
        <w:rPr>
          <w:rFonts w:cs="Times New Roman"/>
          <w:bCs/>
          <w:color w:val="000000" w:themeColor="text1"/>
          <w:highlight w:val="none"/>
          <w14:textFill>
            <w14:solidFill>
              <w14:schemeClr w14:val="tx1"/>
            </w14:solidFill>
          </w14:textFill>
        </w:rPr>
      </w:pPr>
      <w:r>
        <w:rPr>
          <w:rFonts w:ascii="Times New Roman" w:hAnsi="Times New Roman"/>
          <w:bCs/>
          <w:color w:val="000000" w:themeColor="text1"/>
          <w:sz w:val="24"/>
          <w:highlight w:val="none"/>
          <w:lang w:eastAsia="zh-CN"/>
          <w14:textFill>
            <w14:solidFill>
              <w14:schemeClr w14:val="tx1"/>
            </w14:solidFill>
          </w14:textFill>
        </w:rPr>
        <w:t>本项目试采期无生活垃圾</w:t>
      </w:r>
      <w:r>
        <w:rPr>
          <w:rFonts w:hint="eastAsia" w:ascii="Times New Roman" w:hAnsi="Times New Roman"/>
          <w:bCs/>
          <w:color w:val="000000" w:themeColor="text1"/>
          <w:sz w:val="24"/>
          <w:highlight w:val="none"/>
          <w:lang w:eastAsia="zh-CN"/>
          <w14:textFill>
            <w14:solidFill>
              <w14:schemeClr w14:val="tx1"/>
            </w14:solidFill>
          </w14:textFill>
        </w:rPr>
        <w:t>、</w:t>
      </w:r>
      <w:r>
        <w:rPr>
          <w:rFonts w:hint="eastAsia" w:ascii="Times New Roman" w:hAnsi="Times New Roman"/>
          <w:bCs/>
          <w:color w:val="000000" w:themeColor="text1"/>
          <w:sz w:val="24"/>
          <w:highlight w:val="none"/>
          <w:lang w:val="en-US" w:eastAsia="zh-CN"/>
          <w14:textFill>
            <w14:solidFill>
              <w14:schemeClr w14:val="tx1"/>
            </w14:solidFill>
          </w14:textFill>
        </w:rPr>
        <w:t>清管废渣</w:t>
      </w:r>
      <w:r>
        <w:rPr>
          <w:rFonts w:ascii="Times New Roman" w:hAnsi="Times New Roman"/>
          <w:bCs/>
          <w:color w:val="000000" w:themeColor="text1"/>
          <w:sz w:val="24"/>
          <w:highlight w:val="none"/>
          <w:lang w:eastAsia="zh-CN"/>
          <w14:textFill>
            <w14:solidFill>
              <w14:schemeClr w14:val="tx1"/>
            </w14:solidFill>
          </w14:textFill>
        </w:rPr>
        <w:t>产生，</w:t>
      </w:r>
      <w:r>
        <w:rPr>
          <w:rFonts w:hint="eastAsia"/>
          <w:bCs/>
          <w:color w:val="000000" w:themeColor="text1"/>
          <w:sz w:val="24"/>
          <w:highlight w:val="none"/>
          <w:lang w:val="en-US" w:eastAsia="zh-CN"/>
          <w14:textFill>
            <w14:solidFill>
              <w14:schemeClr w14:val="tx1"/>
            </w14:solidFill>
          </w14:textFill>
        </w:rPr>
        <w:t>除砂器撬产生的砂土杂质</w:t>
      </w:r>
      <w:r>
        <w:rPr>
          <w:rFonts w:hint="default"/>
          <w:color w:val="000000" w:themeColor="text1"/>
          <w:szCs w:val="20"/>
          <w:highlight w:val="none"/>
          <w:lang w:val="en-US" w:eastAsia="zh-CN"/>
          <w14:textFill>
            <w14:solidFill>
              <w14:schemeClr w14:val="tx1"/>
            </w14:solidFill>
          </w14:textFill>
        </w:rPr>
        <w:t>定期</w:t>
      </w:r>
      <w:r>
        <w:rPr>
          <w:rFonts w:hint="default"/>
          <w:color w:val="000000" w:themeColor="text1"/>
          <w:szCs w:val="20"/>
          <w:highlight w:val="none"/>
          <w:lang w:eastAsia="zh-CN"/>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三甘醇脱水单元产生的</w:t>
      </w:r>
      <w:r>
        <w:rPr>
          <w:rFonts w:hint="eastAsia"/>
        </w:rPr>
        <w:t>废活性炭暂存于危险废物暂存间，定期交由资质单位处置</w:t>
      </w:r>
      <w:r>
        <w:rPr>
          <w:rFonts w:ascii="Times New Roman" w:hAnsi="Times New Roman"/>
          <w:color w:val="000000" w:themeColor="text1"/>
          <w:sz w:val="24"/>
          <w:szCs w:val="24"/>
          <w:highlight w:val="none"/>
          <w:lang w:eastAsia="zh-CN"/>
          <w14:textFill>
            <w14:solidFill>
              <w14:schemeClr w14:val="tx1"/>
            </w14:solidFill>
          </w14:textFill>
        </w:rPr>
        <w:t>，处置措施合理、可行</w:t>
      </w:r>
      <w:r>
        <w:rPr>
          <w:rFonts w:ascii="Times New Roman" w:hAnsi="Times New Roman"/>
          <w:bCs/>
          <w:color w:val="000000" w:themeColor="text1"/>
          <w:sz w:val="24"/>
          <w:highlight w:val="none"/>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65" w:name="_Toc120173224"/>
      <w:r>
        <w:rPr>
          <w:color w:val="000000" w:themeColor="text1"/>
          <w:highlight w:val="none"/>
          <w:lang w:eastAsia="zh-CN"/>
          <w14:textFill>
            <w14:solidFill>
              <w14:schemeClr w14:val="tx1"/>
            </w14:solidFill>
          </w14:textFill>
        </w:rPr>
        <w:t>陆生生物及其生态系统保护措施</w:t>
      </w:r>
      <w:bookmarkEnd w:id="465"/>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试采期不涉及新增占地，无新增固废和新增生活污水产生，因此试采期需管护好项目区植被恢复成效，防止新的水土流失情况发生。</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66" w:name="_Toc19422"/>
      <w:r>
        <w:rPr>
          <w:rFonts w:hint="eastAsia"/>
          <w:color w:val="000000" w:themeColor="text1"/>
          <w:highlight w:val="none"/>
          <w:lang w:eastAsia="zh-CN"/>
          <w14:textFill>
            <w14:solidFill>
              <w14:schemeClr w14:val="tx1"/>
            </w14:solidFill>
          </w14:textFill>
        </w:rPr>
        <w:t>项目完工及试采结束</w:t>
      </w:r>
      <w:r>
        <w:rPr>
          <w:color w:val="000000" w:themeColor="text1"/>
          <w:highlight w:val="none"/>
          <w:lang w:eastAsia="zh-CN"/>
          <w14:textFill>
            <w14:solidFill>
              <w14:schemeClr w14:val="tx1"/>
            </w14:solidFill>
          </w14:textFill>
        </w:rPr>
        <w:t>后环境保护措施及可行性分析</w:t>
      </w:r>
      <w:bookmarkEnd w:id="466"/>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（1）对拆除地面设施过程中产生的垃圾及时外运，送至指定的垃圾填埋场处理。</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（2）保留各类绿化、生态保护设施，以保持评价区生态环境功能不变。</w:t>
      </w:r>
    </w:p>
    <w:p>
      <w:pPr>
        <w:ind w:firstLine="480"/>
        <w:rPr>
          <w:rFonts w:hint="default" w:eastAsia="宋体" w:cs="Times New Roman"/>
          <w:bCs/>
          <w:color w:val="000000" w:themeColor="text1"/>
          <w:highlight w:val="none"/>
          <w:lang w:val="en-US" w:eastAsia="zh-CN"/>
          <w14:textFill>
            <w14:solidFill>
              <w14:schemeClr w14:val="tx1"/>
            </w14:solidFill>
          </w14:textFill>
        </w:rPr>
      </w:pP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3</w:t>
      </w:r>
      <w:r>
        <w:rPr>
          <w:rFonts w:hint="eastAsia" w:cs="Times New Roman"/>
          <w:bCs/>
          <w:color w:val="000000" w:themeColor="text1"/>
          <w:highlight w:val="none"/>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针对管线临时占用公益林情况，由于管线地面敷设，对公益林破坏相对较少，具备恢复为林地的条件，在临时占用公益林区域应采取种植原有林木生态恢复方式，在靠近管线附近小范围区域采用林区常见的灌草类植物进行生态恢复，将对公益林的影响降到最低。针对管线和场站对基本农田的占用，临时占地具备恢复条件后应及时严格按照复垦方案复垦，利用前期堆放的表土，</w:t>
      </w:r>
      <w:r>
        <w:rPr>
          <w:color w:val="000000" w:themeColor="text1"/>
          <w:sz w:val="24"/>
          <w:lang w:bidi="ar"/>
          <w14:textFill>
            <w14:solidFill>
              <w14:schemeClr w14:val="tx1"/>
            </w14:solidFill>
          </w14:textFill>
        </w:rPr>
        <w:t>分层复原</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及时复耕</w:t>
      </w:r>
      <w:r>
        <w:rPr>
          <w:color w:val="000000" w:themeColor="text1"/>
          <w:sz w:val="24"/>
          <w:lang w:bidi="ar"/>
          <w14:textFill>
            <w14:solidFill>
              <w14:schemeClr w14:val="tx1"/>
            </w14:solidFill>
          </w14:textFill>
        </w:rPr>
        <w:t>，减少因施工生土上翻导致耕层养分损失农作物减产的后果，同时要避免间断覆土造成的土层不坚实形成的水土流失等问题</w:t>
      </w:r>
      <w:r>
        <w:rPr>
          <w:rFonts w:hint="eastAsia"/>
          <w:color w:val="000000" w:themeColor="text1"/>
          <w:sz w:val="24"/>
          <w:lang w:eastAsia="zh-CN" w:bidi="ar"/>
          <w14:textFill>
            <w14:solidFill>
              <w14:schemeClr w14:val="tx1"/>
            </w14:solidFill>
          </w14:textFill>
        </w:rPr>
        <w:t>。</w:t>
      </w:r>
      <w:r>
        <w:rPr>
          <w:rFonts w:hint="eastAsia"/>
          <w:color w:val="000000" w:themeColor="text1"/>
          <w:sz w:val="24"/>
          <w:lang w:val="en-US" w:eastAsia="zh-CN" w:bidi="ar"/>
          <w14:textFill>
            <w14:solidFill>
              <w14:schemeClr w14:val="tx1"/>
            </w14:solidFill>
          </w14:textFill>
        </w:rPr>
        <w:t>类比同类地区的复垦效果，项目采取复垦措施后，临时占地生态能基本恢复到占用前的状态，措施可行。</w:t>
      </w:r>
    </w:p>
    <w:p>
      <w:pPr>
        <w:adjustRightInd w:val="0"/>
        <w:snapToGrid w:val="0"/>
        <w:spacing w:line="360" w:lineRule="auto"/>
        <w:ind w:firstLine="480" w:firstLineChars="200"/>
        <w:jc w:val="both"/>
        <w:rPr>
          <w:rFonts w:ascii="Times New Roman" w:hAnsi="Times New Roman"/>
          <w:bCs/>
          <w:color w:val="000000" w:themeColor="text1"/>
          <w:sz w:val="24"/>
          <w:szCs w:val="24"/>
          <w:lang w:eastAsia="zh-CN"/>
          <w14:textFill>
            <w14:solidFill>
              <w14:schemeClr w14:val="tx1"/>
            </w14:solidFill>
          </w14:textFill>
        </w:rPr>
      </w:pPr>
      <w:r>
        <w:rPr>
          <w:rFonts w:ascii="Times New Roman" w:hAnsi="Times New Roman"/>
          <w:bCs/>
          <w:color w:val="000000" w:themeColor="text1"/>
          <w:sz w:val="24"/>
          <w:szCs w:val="24"/>
          <w:lang w:eastAsia="zh-CN"/>
          <w14:textFill>
            <w14:solidFill>
              <w14:schemeClr w14:val="tx1"/>
            </w14:solidFill>
          </w14:textFill>
        </w:rPr>
        <w:t>（</w:t>
      </w:r>
      <w:r>
        <w:rPr>
          <w:rFonts w:hint="eastAsia" w:ascii="Times New Roman" w:hAnsi="Times New Roman"/>
          <w:bCs/>
          <w:color w:val="000000" w:themeColor="text1"/>
          <w:sz w:val="24"/>
          <w:szCs w:val="24"/>
          <w:lang w:val="en-US" w:eastAsia="zh-CN"/>
          <w14:textFill>
            <w14:solidFill>
              <w14:schemeClr w14:val="tx1"/>
            </w14:solidFill>
          </w14:textFill>
        </w:rPr>
        <w:t>4</w:t>
      </w:r>
      <w:r>
        <w:rPr>
          <w:rFonts w:ascii="Times New Roman" w:hAnsi="Times New Roman"/>
          <w:bCs/>
          <w:color w:val="000000" w:themeColor="text1"/>
          <w:sz w:val="24"/>
          <w:szCs w:val="24"/>
          <w:lang w:eastAsia="zh-CN"/>
          <w14:textFill>
            <w14:solidFill>
              <w14:schemeClr w14:val="tx1"/>
            </w14:solidFill>
          </w14:textFill>
        </w:rPr>
        <w:t>）</w:t>
      </w:r>
      <w:r>
        <w:rPr>
          <w:rFonts w:ascii="Times New Roman" w:hAnsi="Times New Roman"/>
          <w:bCs/>
          <w:color w:val="000000" w:themeColor="text1"/>
          <w:kern w:val="2"/>
          <w:sz w:val="24"/>
          <w:szCs w:val="24"/>
          <w:lang w:eastAsia="zh-CN"/>
          <w14:textFill>
            <w14:solidFill>
              <w14:schemeClr w14:val="tx1"/>
            </w14:solidFill>
          </w14:textFill>
        </w:rPr>
        <w:t>加强与拆除后原有占地复耕或生态恢复责任人员的沟通，若发现生态恢复未达到预期效果，则及时进行补种、施肥等措施，确保生态恢复达到目标要求，同时采取措施防止新的水土流失情况发生。</w:t>
      </w:r>
    </w:p>
    <w:p>
      <w:pPr>
        <w:ind w:firstLine="480"/>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评价认为，在采取了上述污染防治措施后，可减缓</w:t>
      </w:r>
      <w:r>
        <w:rPr>
          <w:rFonts w:hint="eastAsia" w:cs="Times New Roman"/>
          <w:color w:val="000000" w:themeColor="text1"/>
          <w:highlight w:val="none"/>
          <w14:textFill>
            <w14:solidFill>
              <w14:schemeClr w14:val="tx1"/>
            </w14:solidFill>
          </w14:textFill>
        </w:rPr>
        <w:t>项目完工及试采结束</w:t>
      </w:r>
      <w:r>
        <w:rPr>
          <w:rFonts w:cs="Times New Roman"/>
          <w:color w:val="000000" w:themeColor="text1"/>
          <w:highlight w:val="none"/>
          <w14:textFill>
            <w14:solidFill>
              <w14:schemeClr w14:val="tx1"/>
            </w14:solidFill>
          </w14:textFill>
        </w:rPr>
        <w:t>后</w:t>
      </w:r>
      <w:r>
        <w:rPr>
          <w:rFonts w:cs="Times New Roman"/>
          <w:bCs/>
          <w:color w:val="000000" w:themeColor="text1"/>
          <w:highlight w:val="none"/>
          <w14:textFill>
            <w14:solidFill>
              <w14:schemeClr w14:val="tx1"/>
            </w14:solidFill>
          </w14:textFill>
        </w:rPr>
        <w:t>对环境的影响，措施可行。</w:t>
      </w:r>
    </w:p>
    <w:p>
      <w:pPr>
        <w:pStyle w:val="2"/>
        <w:spacing w:before="480" w:beforeLines="200" w:after="0" w:line="480" w:lineRule="auto"/>
        <w:ind w:firstLine="560"/>
        <w:rPr>
          <w:b/>
          <w:color w:val="000000" w:themeColor="text1"/>
          <w:szCs w:val="28"/>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bookmarkStart w:id="467" w:name="_bookmark34"/>
      <w:bookmarkEnd w:id="467"/>
      <w:bookmarkStart w:id="468" w:name="第七章_环境影响经济损益分析"/>
      <w:bookmarkEnd w:id="468"/>
    </w:p>
    <w:p>
      <w:pPr>
        <w:pStyle w:val="2"/>
        <w:rPr>
          <w:color w:val="000000" w:themeColor="text1"/>
          <w:highlight w:val="none"/>
          <w:lang w:eastAsia="zh-CN"/>
          <w14:textFill>
            <w14:solidFill>
              <w14:schemeClr w14:val="tx1"/>
            </w14:solidFill>
          </w14:textFill>
        </w:rPr>
      </w:pPr>
      <w:bookmarkStart w:id="469" w:name="_Toc23105"/>
      <w:r>
        <w:rPr>
          <w:color w:val="000000" w:themeColor="text1"/>
          <w:highlight w:val="none"/>
          <w:lang w:eastAsia="zh-CN"/>
          <w14:textFill>
            <w14:solidFill>
              <w14:schemeClr w14:val="tx1"/>
            </w14:solidFill>
          </w14:textFill>
        </w:rPr>
        <w:t>环境影响经济损益分析</w:t>
      </w:r>
      <w:bookmarkEnd w:id="469"/>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环境经济损益分析主要任务是衡量建设项目要投入的环保投资所能收到的环境保护效果，本评价环境经济损益分析主要研究工程环境经济损益情况，除需计算用于控制污染所需投资和费用外，还同时核算可能收到的环境与经济效益。</w:t>
      </w:r>
    </w:p>
    <w:p>
      <w:pPr>
        <w:pStyle w:val="3"/>
        <w:spacing w:before="120"/>
        <w:rPr>
          <w:color w:val="000000" w:themeColor="text1"/>
          <w:highlight w:val="none"/>
          <w:lang w:eastAsia="zh-CN"/>
          <w14:textFill>
            <w14:solidFill>
              <w14:schemeClr w14:val="tx1"/>
            </w14:solidFill>
          </w14:textFill>
        </w:rPr>
      </w:pPr>
      <w:bookmarkStart w:id="470" w:name="_bookmark35"/>
      <w:bookmarkEnd w:id="470"/>
      <w:bookmarkStart w:id="471" w:name="7.1环保投资估算"/>
      <w:bookmarkEnd w:id="471"/>
      <w:bookmarkStart w:id="472" w:name="_Toc1223"/>
      <w:r>
        <w:rPr>
          <w:color w:val="000000" w:themeColor="text1"/>
          <w:highlight w:val="none"/>
          <w:lang w:eastAsia="zh-CN"/>
          <w14:textFill>
            <w14:solidFill>
              <w14:schemeClr w14:val="tx1"/>
            </w14:solidFill>
          </w14:textFill>
        </w:rPr>
        <w:t>环保投资估算</w:t>
      </w:r>
      <w:bookmarkEnd w:id="472"/>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本项目总投资</w:t>
      </w:r>
      <w:r>
        <w:rPr>
          <w:rFonts w:hint="eastAsia" w:cs="Times New Roman"/>
          <w:color w:val="000000" w:themeColor="text1"/>
          <w:szCs w:val="24"/>
          <w:highlight w:val="none"/>
          <w:lang w:val="en-US" w:eastAsia="zh-CN"/>
          <w14:textFill>
            <w14:solidFill>
              <w14:schemeClr w14:val="tx1"/>
            </w14:solidFill>
          </w14:textFill>
        </w:rPr>
        <w:t>***万元</w:t>
      </w:r>
      <w:r>
        <w:rPr>
          <w:rFonts w:cs="Times New Roman"/>
          <w:bCs/>
          <w:color w:val="000000" w:themeColor="text1"/>
          <w:szCs w:val="24"/>
          <w:highlight w:val="none"/>
          <w14:textFill>
            <w14:solidFill>
              <w14:schemeClr w14:val="tx1"/>
            </w14:solidFill>
          </w14:textFill>
        </w:rPr>
        <w:t>，</w:t>
      </w:r>
      <w:bookmarkStart w:id="473" w:name="_Hlk156337410"/>
      <w:r>
        <w:rPr>
          <w:rFonts w:cs="Times New Roman"/>
          <w:bCs/>
          <w:color w:val="000000" w:themeColor="text1"/>
          <w:szCs w:val="24"/>
          <w:highlight w:val="none"/>
          <w14:textFill>
            <w14:solidFill>
              <w14:schemeClr w14:val="tx1"/>
            </w14:solidFill>
          </w14:textFill>
        </w:rPr>
        <w:t>环保投资</w:t>
      </w:r>
      <w:r>
        <w:rPr>
          <w:rFonts w:hint="eastAsia" w:cs="Times New Roman"/>
          <w:bCs/>
          <w:color w:val="000000" w:themeColor="text1"/>
          <w:szCs w:val="24"/>
          <w:highlight w:val="none"/>
          <w:lang w:val="en-US" w:eastAsia="zh-CN"/>
          <w14:textFill>
            <w14:solidFill>
              <w14:schemeClr w14:val="tx1"/>
            </w14:solidFill>
          </w14:textFill>
        </w:rPr>
        <w:t>***万元</w:t>
      </w:r>
      <w:r>
        <w:rPr>
          <w:rFonts w:cs="Times New Roman"/>
          <w:bCs/>
          <w:color w:val="000000" w:themeColor="text1"/>
          <w:szCs w:val="24"/>
          <w:highlight w:val="none"/>
          <w14:textFill>
            <w14:solidFill>
              <w14:schemeClr w14:val="tx1"/>
            </w14:solidFill>
          </w14:textFill>
        </w:rPr>
        <w:t>，占总投资的</w:t>
      </w:r>
      <w:bookmarkEnd w:id="473"/>
      <w:r>
        <w:rPr>
          <w:rFonts w:hint="eastAsia" w:cs="Times New Roman"/>
          <w:bCs/>
          <w:color w:val="000000" w:themeColor="text1"/>
          <w:szCs w:val="24"/>
          <w:highlight w:val="none"/>
          <w:lang w:val="en-US" w:eastAsia="zh-CN"/>
          <w14:textFill>
            <w14:solidFill>
              <w14:schemeClr w14:val="tx1"/>
            </w14:solidFill>
          </w14:textFill>
        </w:rPr>
        <w:t>2.44%</w:t>
      </w:r>
      <w:r>
        <w:rPr>
          <w:rFonts w:cs="Times New Roman"/>
          <w:bCs/>
          <w:color w:val="000000" w:themeColor="text1"/>
          <w:szCs w:val="24"/>
          <w:highlight w:val="none"/>
          <w14:textFill>
            <w14:solidFill>
              <w14:schemeClr w14:val="tx1"/>
            </w14:solidFill>
          </w14:textFill>
        </w:rPr>
        <w:t>。环保投资主要用于废水治理、固体废物处理、噪声污染防治，以及施工迹地生态恢复等，符合该项目的实际特点。具体情况见</w:t>
      </w:r>
      <w:r>
        <w:rPr>
          <w:rFonts w:cs="Times New Roman"/>
          <w:bCs/>
          <w:color w:val="000000" w:themeColor="text1"/>
          <w:szCs w:val="24"/>
          <w:highlight w:val="none"/>
          <w14:textFill>
            <w14:solidFill>
              <w14:schemeClr w14:val="tx1"/>
            </w14:solidFill>
          </w14:textFill>
        </w:rPr>
        <w:fldChar w:fldCharType="begin"/>
      </w:r>
      <w:r>
        <w:rPr>
          <w:rFonts w:cs="Times New Roman"/>
          <w:bCs/>
          <w:color w:val="000000" w:themeColor="text1"/>
          <w:szCs w:val="24"/>
          <w:highlight w:val="none"/>
          <w14:textFill>
            <w14:solidFill>
              <w14:schemeClr w14:val="tx1"/>
            </w14:solidFill>
          </w14:textFill>
        </w:rPr>
        <w:instrText xml:space="preserve"> REF _Ref142859751 \h  \* MERGEFORMAT </w:instrText>
      </w:r>
      <w:r>
        <w:rPr>
          <w:rFonts w:cs="Times New Roman"/>
          <w:bCs/>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bCs/>
          <w:color w:val="000000" w:themeColor="text1"/>
          <w:szCs w:val="24"/>
          <w:highlight w:val="none"/>
          <w14:textFill>
            <w14:solidFill>
              <w14:schemeClr w14:val="tx1"/>
            </w14:solidFill>
          </w14:textFill>
        </w:rPr>
        <w:fldChar w:fldCharType="end"/>
      </w:r>
      <w:r>
        <w:rPr>
          <w:rFonts w:cs="Times New Roman"/>
          <w:bCs/>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474" w:name="_Ref142859751"/>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474"/>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本项目环保措施及投资估算一览表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0"/>
        <w:gridCol w:w="6245"/>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项目</w:t>
            </w:r>
          </w:p>
        </w:tc>
        <w:tc>
          <w:tcPr>
            <w:tcW w:w="6245"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内容</w:t>
            </w:r>
          </w:p>
        </w:tc>
        <w:tc>
          <w:tcPr>
            <w:tcW w:w="99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废气治理</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施工期：土石方覆盖材料，洒水降尘；放喷设施（套）、放喷池等</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w:t>
            </w:r>
            <w:r>
              <w:rPr>
                <w:rFonts w:hint="default"/>
                <w:color w:val="000000" w:themeColor="text1"/>
                <w:szCs w:val="20"/>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试采期：水套加热炉、放空火炬保养维护</w:t>
            </w:r>
          </w:p>
        </w:tc>
        <w:tc>
          <w:tcPr>
            <w:tcW w:w="997"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eastAsia"/>
                <w:color w:val="000000" w:themeColor="text1"/>
                <w:szCs w:val="20"/>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废水治理</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eastAsia" w:eastAsia="宋体"/>
                <w:color w:val="000000" w:themeColor="text1"/>
                <w:szCs w:val="20"/>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施工期：新建环保厕所，钻前施工废水沉淀池，泥浆不落地系统，废水转运，</w:t>
            </w:r>
            <w:r>
              <w:rPr>
                <w:rFonts w:hint="eastAsia"/>
                <w:color w:val="000000" w:themeColor="text1"/>
                <w:szCs w:val="20"/>
                <w:highlight w:val="none"/>
                <w14:textFill>
                  <w14:solidFill>
                    <w14:schemeClr w14:val="tx1"/>
                  </w14:solidFill>
                </w14:textFill>
              </w:rPr>
              <w:t>放喷</w:t>
            </w:r>
            <w:r>
              <w:rPr>
                <w:rFonts w:hint="default"/>
                <w:color w:val="000000" w:themeColor="text1"/>
                <w:szCs w:val="20"/>
                <w:highlight w:val="none"/>
                <w14:textFill>
                  <w14:solidFill>
                    <w14:schemeClr w14:val="tx1"/>
                  </w14:solidFill>
                </w14:textFill>
              </w:rPr>
              <w:t>池</w:t>
            </w:r>
          </w:p>
        </w:tc>
        <w:tc>
          <w:tcPr>
            <w:tcW w:w="997"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w:t>
            </w:r>
            <w:r>
              <w:rPr>
                <w:rFonts w:hint="eastAsia"/>
                <w:color w:val="000000" w:themeColor="text1"/>
                <w:szCs w:val="20"/>
                <w:highlight w:val="none"/>
                <w:lang w:val="en-US" w:eastAsia="zh-CN"/>
                <w14:textFill>
                  <w14:solidFill>
                    <w14:schemeClr w14:val="tx1"/>
                  </w14:solidFill>
                </w14:textFill>
              </w:rPr>
              <w:t>新建</w:t>
            </w:r>
            <w:r>
              <w:rPr>
                <w:rFonts w:hint="default"/>
                <w:color w:val="000000" w:themeColor="text1"/>
                <w:szCs w:val="20"/>
                <w:highlight w:val="none"/>
                <w14:textFill>
                  <w14:solidFill>
                    <w14:schemeClr w14:val="tx1"/>
                  </w14:solidFill>
                </w14:textFill>
              </w:rPr>
              <w:t>的1个</w:t>
            </w:r>
            <w:r>
              <w:rPr>
                <w:rFonts w:hint="eastAsia"/>
                <w:color w:val="000000" w:themeColor="text1"/>
                <w:szCs w:val="20"/>
                <w:highlight w:val="none"/>
                <w:lang w:val="en-US" w:eastAsia="zh-CN"/>
                <w14:textFill>
                  <w14:solidFill>
                    <w14:schemeClr w14:val="tx1"/>
                  </w14:solidFill>
                </w14:textFill>
              </w:rPr>
              <w:t>5</w:t>
            </w:r>
            <w:r>
              <w:rPr>
                <w:rFonts w:hint="default"/>
                <w:color w:val="000000" w:themeColor="text1"/>
                <w:szCs w:val="20"/>
                <w:highlight w:val="none"/>
                <w14:textFill>
                  <w14:solidFill>
                    <w14:schemeClr w14:val="tx1"/>
                  </w14:solidFill>
                </w14:textFill>
              </w:rPr>
              <w:t>0m</w:t>
            </w:r>
            <w:r>
              <w:rPr>
                <w:rFonts w:hint="default"/>
                <w:color w:val="000000" w:themeColor="text1"/>
                <w:szCs w:val="20"/>
                <w:highlight w:val="none"/>
                <w:vertAlign w:val="superscript"/>
                <w14:textFill>
                  <w14:solidFill>
                    <w14:schemeClr w14:val="tx1"/>
                  </w14:solidFill>
                </w14:textFill>
              </w:rPr>
              <w:t>3</w:t>
            </w:r>
            <w:r>
              <w:rPr>
                <w:rFonts w:hint="eastAsia"/>
                <w:color w:val="000000" w:themeColor="text1"/>
                <w:szCs w:val="20"/>
                <w:highlight w:val="none"/>
                <w:lang w:eastAsia="zh-CN"/>
                <w14:textFill>
                  <w14:solidFill>
                    <w14:schemeClr w14:val="tx1"/>
                  </w14:solidFill>
                </w14:textFill>
              </w:rPr>
              <w:t>采出水罐</w:t>
            </w:r>
            <w:r>
              <w:rPr>
                <w:rFonts w:hint="default"/>
                <w:color w:val="000000" w:themeColor="text1"/>
                <w:szCs w:val="20"/>
                <w:highlight w:val="none"/>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放空分液罐、采出水罐、</w:t>
            </w:r>
            <w:r>
              <w:rPr>
                <w:rFonts w:hint="default"/>
                <w:color w:val="000000" w:themeColor="text1"/>
                <w:szCs w:val="20"/>
                <w:highlight w:val="none"/>
                <w14:textFill>
                  <w14:solidFill>
                    <w14:schemeClr w14:val="tx1"/>
                  </w14:solidFill>
                </w14:textFill>
              </w:rPr>
              <w:t>防渗，废水定期转运</w:t>
            </w:r>
          </w:p>
        </w:tc>
        <w:tc>
          <w:tcPr>
            <w:tcW w:w="997"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噪声治理</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施工期：合理安排施工作业时间；选用低噪声设备；发电机、泥浆泵等设置隔声、吸声棚；为柴油机安装消声器和减震基础等</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试采期：合理布局，基础减振等</w:t>
            </w:r>
          </w:p>
        </w:tc>
        <w:tc>
          <w:tcPr>
            <w:tcW w:w="997"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固废治理</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施工期：土石方回填；生活垃圾交市政环卫部门统一处理；施工废料由施工方回收利用或统一清运；泥浆不落地系统；钻井泥浆及钻井固废转运处置，废油桶收集及暂存</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26</w:t>
            </w:r>
            <w:r>
              <w:rPr>
                <w:rFonts w:hint="default"/>
                <w:color w:val="000000" w:themeColor="text1"/>
                <w:szCs w:val="20"/>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w:t>
            </w:r>
            <w:r>
              <w:rPr>
                <w:rFonts w:hint="eastAsia"/>
                <w:color w:val="000000" w:themeColor="text1"/>
                <w:szCs w:val="20"/>
                <w:highlight w:val="none"/>
                <w:lang w:eastAsia="zh-CN"/>
                <w14:textFill>
                  <w14:solidFill>
                    <w14:schemeClr w14:val="tx1"/>
                  </w14:solidFill>
                </w14:textFill>
              </w:rPr>
              <w:t>三甘醇脱水单元产生的废活性炭暂存于危险废物暂存间，定期交由资质单位处置</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地下水及土壤防治措施</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施工期：清污分流，排水沟，弃土场覆盖围挡，分区分级防渗，污染监测</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试采期：清污分流，分区分级防渗，污染监测</w:t>
            </w:r>
          </w:p>
        </w:tc>
        <w:tc>
          <w:tcPr>
            <w:tcW w:w="997"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14:textFill>
                  <w14:solidFill>
                    <w14:schemeClr w14:val="tx1"/>
                  </w14:solidFill>
                </w14:textFill>
              </w:rPr>
              <w:t>5</w:t>
            </w:r>
            <w:r>
              <w:rPr>
                <w:rFonts w:hint="eastAsia"/>
                <w:color w:val="000000" w:themeColor="text1"/>
                <w:szCs w:val="20"/>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生态恢复</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青苗（林木）赔偿，临时占地施工迹地地表恢复等</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w:t>
            </w:r>
            <w:r>
              <w:rPr>
                <w:rFonts w:hint="default"/>
                <w:color w:val="000000" w:themeColor="text1"/>
                <w:szCs w:val="20"/>
                <w:highlight w:val="none"/>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污染监控</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施工期环境监测，正常时例行监测，污染发生时加密监测</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试采期环境监测，正常时例行监测，污染发生时加密监测</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eastAsia"/>
                <w:color w:val="000000" w:themeColor="text1"/>
                <w:szCs w:val="20"/>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风险防控措施</w:t>
            </w: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w:t>
            </w:r>
            <w:r>
              <w:rPr>
                <w:rFonts w:hint="eastAsia"/>
                <w:color w:val="000000" w:themeColor="text1"/>
                <w:szCs w:val="20"/>
                <w:highlight w:val="none"/>
                <w14:textFill>
                  <w14:solidFill>
                    <w14:schemeClr w14:val="tx1"/>
                  </w14:solidFill>
                </w14:textFill>
              </w:rPr>
              <w:t>井喷事故风险的应急处置措施、</w:t>
            </w:r>
            <w:r>
              <w:rPr>
                <w:rFonts w:hint="eastAsia"/>
                <w:color w:val="000000" w:themeColor="text1"/>
                <w:szCs w:val="20"/>
                <w:highlight w:val="none"/>
                <w:lang w:eastAsia="zh-CN"/>
                <w14:textFill>
                  <w14:solidFill>
                    <w14:schemeClr w14:val="tx1"/>
                  </w14:solidFill>
                </w14:textFill>
              </w:rPr>
              <w:t>制定</w:t>
            </w:r>
            <w:r>
              <w:rPr>
                <w:rFonts w:hint="eastAsia"/>
                <w:color w:val="000000" w:themeColor="text1"/>
                <w:szCs w:val="20"/>
                <w:highlight w:val="none"/>
                <w14:textFill>
                  <w14:solidFill>
                    <w14:schemeClr w14:val="tx1"/>
                  </w14:solidFill>
                </w14:textFill>
              </w:rPr>
              <w:t>应急处置预案、环境风险应急预案等；</w:t>
            </w:r>
            <w:r>
              <w:rPr>
                <w:rFonts w:hint="default"/>
                <w:color w:val="000000" w:themeColor="text1"/>
                <w:szCs w:val="20"/>
                <w:highlight w:val="none"/>
                <w14:textFill>
                  <w14:solidFill>
                    <w14:schemeClr w14:val="tx1"/>
                  </w14:solidFill>
                </w14:textFill>
              </w:rPr>
              <w:t>地表水三级防控，分区防渗，测试放喷应急措施等</w:t>
            </w:r>
          </w:p>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试采期：清污分流，分区分级防渗，污染监测</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6245"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风向标、环保管理、事故人员撤离等修订应急预案并定期演练，加强站内设备及管线的巡线</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98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合计</w:t>
            </w:r>
          </w:p>
        </w:tc>
        <w:tc>
          <w:tcPr>
            <w:tcW w:w="6245"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997"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r>
    </w:tbl>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75" w:name="_bookmark36"/>
      <w:bookmarkEnd w:id="475"/>
      <w:bookmarkStart w:id="476" w:name="7.2“三效益”分析"/>
      <w:bookmarkEnd w:id="476"/>
      <w:bookmarkStart w:id="477" w:name="_Toc16805"/>
      <w:r>
        <w:rPr>
          <w:rFonts w:hint="eastAsia" w:ascii="黑体" w:hAnsi="黑体" w:eastAsia="黑体" w:cs="黑体"/>
          <w:color w:val="000000" w:themeColor="text1"/>
          <w:highlight w:val="none"/>
          <w:lang w:eastAsia="zh-CN"/>
          <w14:textFill>
            <w14:solidFill>
              <w14:schemeClr w14:val="tx1"/>
            </w14:solidFill>
          </w14:textFill>
        </w:rPr>
        <w:t>“三效益”</w:t>
      </w:r>
      <w:r>
        <w:rPr>
          <w:color w:val="000000" w:themeColor="text1"/>
          <w:highlight w:val="none"/>
          <w:lang w:eastAsia="zh-CN"/>
          <w14:textFill>
            <w14:solidFill>
              <w14:schemeClr w14:val="tx1"/>
            </w14:solidFill>
          </w14:textFill>
        </w:rPr>
        <w:t>分析</w:t>
      </w:r>
      <w:bookmarkEnd w:id="477"/>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78" w:name="7.2.1经济效益"/>
      <w:bookmarkEnd w:id="478"/>
      <w:bookmarkStart w:id="479" w:name="_Toc120173229"/>
      <w:r>
        <w:rPr>
          <w:color w:val="000000" w:themeColor="text1"/>
          <w:highlight w:val="none"/>
          <w:lang w:eastAsia="zh-CN"/>
          <w14:textFill>
            <w14:solidFill>
              <w14:schemeClr w14:val="tx1"/>
            </w14:solidFill>
          </w14:textFill>
        </w:rPr>
        <w:t>经济效益</w:t>
      </w:r>
      <w:bookmarkEnd w:id="479"/>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内部效益：中国石油化工股份有限公司中原油田普光分公司项目总投资</w:t>
      </w:r>
      <w:r>
        <w:rPr>
          <w:rFonts w:hint="eastAsia" w:cs="Times New Roman"/>
          <w:color w:val="000000" w:themeColor="text1"/>
          <w:szCs w:val="24"/>
          <w:highlight w:val="none"/>
          <w:lang w:val="en-US" w:eastAsia="zh-CN"/>
          <w14:textFill>
            <w14:solidFill>
              <w14:schemeClr w14:val="tx1"/>
            </w14:solidFill>
          </w14:textFill>
        </w:rPr>
        <w:t>***万元</w:t>
      </w:r>
      <w:r>
        <w:rPr>
          <w:rFonts w:cs="Times New Roman"/>
          <w:color w:val="000000" w:themeColor="text1"/>
          <w:szCs w:val="24"/>
          <w:highlight w:val="none"/>
          <w14:textFill>
            <w14:solidFill>
              <w14:schemeClr w14:val="tx1"/>
            </w14:solidFill>
          </w14:textFill>
        </w:rPr>
        <w:t>建设本项目，</w:t>
      </w:r>
      <w:r>
        <w:rPr>
          <w:rFonts w:ascii="Times New Roman" w:hAnsi="Times New Roman"/>
          <w:color w:val="000000" w:themeColor="text1"/>
          <w:sz w:val="24"/>
          <w:szCs w:val="24"/>
          <w:highlight w:val="none"/>
          <w:lang w:eastAsia="zh-CN"/>
          <w14:textFill>
            <w14:solidFill>
              <w14:schemeClr w14:val="tx1"/>
            </w14:solidFill>
          </w14:textFill>
        </w:rPr>
        <w:t>产气规模预计</w:t>
      </w:r>
      <w:r>
        <w:rPr>
          <w:rFonts w:hint="eastAsia"/>
          <w:color w:val="000000" w:themeColor="text1"/>
          <w:sz w:val="24"/>
          <w:szCs w:val="24"/>
          <w:highlight w:val="none"/>
          <w:lang w:val="en-US" w:eastAsia="zh-CN"/>
          <w14:textFill>
            <w14:solidFill>
              <w14:schemeClr w14:val="tx1"/>
            </w14:solidFill>
          </w14:textFill>
        </w:rPr>
        <w:t>20</w:t>
      </w:r>
      <w:r>
        <w:rPr>
          <w:rFonts w:ascii="Times New Roman" w:hAnsi="Times New Roman"/>
          <w:color w:val="000000" w:themeColor="text1"/>
          <w:sz w:val="24"/>
          <w:szCs w:val="24"/>
          <w:highlight w:val="none"/>
          <w:lang w:eastAsia="zh-CN"/>
          <w14:textFill>
            <w14:solidFill>
              <w14:schemeClr w14:val="tx1"/>
            </w14:solidFill>
          </w14:textFill>
        </w:rPr>
        <w:t>×10</w:t>
      </w:r>
      <w:r>
        <w:rPr>
          <w:rFonts w:ascii="Times New Roman" w:hAnsi="Times New Roman"/>
          <w:color w:val="000000" w:themeColor="text1"/>
          <w:sz w:val="24"/>
          <w:szCs w:val="24"/>
          <w:highlight w:val="none"/>
          <w:vertAlign w:val="superscript"/>
          <w:lang w:eastAsia="zh-CN"/>
          <w14:textFill>
            <w14:solidFill>
              <w14:schemeClr w14:val="tx1"/>
            </w14:solidFill>
          </w14:textFill>
        </w:rPr>
        <w:t>4</w:t>
      </w:r>
      <w:r>
        <w:rPr>
          <w:rFonts w:ascii="Times New Roman" w:hAnsi="Times New Roman"/>
          <w:color w:val="000000" w:themeColor="text1"/>
          <w:sz w:val="24"/>
          <w:szCs w:val="24"/>
          <w:highlight w:val="none"/>
          <w:lang w:eastAsia="zh-CN"/>
          <w14:textFill>
            <w14:solidFill>
              <w14:schemeClr w14:val="tx1"/>
            </w14:solidFill>
          </w14:textFill>
        </w:rPr>
        <w:t>m</w:t>
      </w:r>
      <w:r>
        <w:rPr>
          <w:rFonts w:ascii="Times New Roman" w:hAnsi="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color w:val="000000" w:themeColor="text1"/>
          <w:sz w:val="24"/>
          <w:szCs w:val="24"/>
          <w:highlight w:val="none"/>
          <w:lang w:eastAsia="zh-CN"/>
          <w14:textFill>
            <w14:solidFill>
              <w14:schemeClr w14:val="tx1"/>
            </w14:solidFill>
          </w14:textFill>
        </w:rPr>
        <w:t>/d</w:t>
      </w:r>
      <w:r>
        <w:rPr>
          <w:rFonts w:hint="eastAsia"/>
          <w:color w:val="000000" w:themeColor="text1"/>
          <w:sz w:val="24"/>
          <w:szCs w:val="24"/>
          <w:highlight w:val="none"/>
          <w:lang w:eastAsia="zh-CN"/>
          <w14:textFill>
            <w14:solidFill>
              <w14:schemeClr w14:val="tx1"/>
            </w14:solidFill>
          </w14:textFill>
        </w:rPr>
        <w:t>。</w:t>
      </w:r>
      <w:r>
        <w:rPr>
          <w:rFonts w:cs="Times New Roman"/>
          <w:color w:val="000000" w:themeColor="text1"/>
          <w:szCs w:val="24"/>
          <w:highlight w:val="none"/>
          <w14:textFill>
            <w14:solidFill>
              <w14:schemeClr w14:val="tx1"/>
            </w14:solidFill>
          </w14:textFill>
        </w:rPr>
        <w:t>本项目经济效益较好，具有较强的盈利能力和偿债能力，在财务上是可行的。</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外部效果：根据有关资料，每万立方天然气用于工业，平均可创产值2.650万元；每万立方天然气用于城市民用可节约城市供煤运费补贴640元。因此本项目实施可为社会创造工业产值和节约运煤补贴。</w:t>
      </w:r>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从内部经济效益和外部经济效益来看，该工程的投产将普光气田内天然气资源的优势转化为经济优势，可大大增加地方利税收入，企业也将获得巨大的利润，为该地区带来巨大的天然气化工等方面经济效益。</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80" w:name="7.2.2社会效益"/>
      <w:bookmarkEnd w:id="480"/>
      <w:bookmarkStart w:id="481" w:name="_Toc120173230"/>
      <w:r>
        <w:rPr>
          <w:color w:val="000000" w:themeColor="text1"/>
          <w:highlight w:val="none"/>
          <w:lang w:eastAsia="zh-CN"/>
          <w14:textFill>
            <w14:solidFill>
              <w14:schemeClr w14:val="tx1"/>
            </w14:solidFill>
          </w14:textFill>
        </w:rPr>
        <w:t>社会效益</w:t>
      </w:r>
      <w:bookmarkEnd w:id="481"/>
    </w:p>
    <w:p>
      <w:pPr>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根据项目建设内容，社会环境影响分析见</w:t>
      </w:r>
      <w:r>
        <w:rPr>
          <w:rFonts w:cs="Times New Roman"/>
          <w:color w:val="000000" w:themeColor="text1"/>
          <w:szCs w:val="24"/>
          <w:highlight w:val="none"/>
          <w14:textFill>
            <w14:solidFill>
              <w14:schemeClr w14:val="tx1"/>
            </w14:solidFill>
          </w14:textFill>
        </w:rPr>
        <w:fldChar w:fldCharType="begin"/>
      </w:r>
      <w:r>
        <w:rPr>
          <w:rFonts w:cs="Times New Roman"/>
          <w:color w:val="000000" w:themeColor="text1"/>
          <w:szCs w:val="24"/>
          <w:highlight w:val="none"/>
          <w14:textFill>
            <w14:solidFill>
              <w14:schemeClr w14:val="tx1"/>
            </w14:solidFill>
          </w14:textFill>
        </w:rPr>
        <w:instrText xml:space="preserve"> REF _Ref142859760 \h  \* MERGEFORMAT </w:instrText>
      </w:r>
      <w:r>
        <w:rPr>
          <w:rFonts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8.2</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rFonts w:cs="Times New Roman"/>
          <w:color w:val="000000" w:themeColor="text1"/>
          <w:szCs w:val="24"/>
          <w:highlight w:val="none"/>
          <w14:textFill>
            <w14:solidFill>
              <w14:schemeClr w14:val="tx1"/>
            </w14:solidFill>
          </w14:textFill>
        </w:rPr>
        <w:fldChar w:fldCharType="end"/>
      </w:r>
      <w:r>
        <w:rPr>
          <w:rFonts w:cs="Times New Roman"/>
          <w:color w:val="000000" w:themeColor="text1"/>
          <w:szCs w:val="24"/>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482" w:name="_Ref142859760"/>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482"/>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社会环境影响一览表</w:t>
      </w:r>
    </w:p>
    <w:tbl>
      <w:tblPr>
        <w:tblStyle w:val="52"/>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4586"/>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95"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环境影响因素</w:t>
            </w:r>
          </w:p>
        </w:tc>
        <w:tc>
          <w:tcPr>
            <w:tcW w:w="3327"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负面影响</w:t>
            </w:r>
          </w:p>
        </w:tc>
        <w:tc>
          <w:tcPr>
            <w:tcW w:w="462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放喷管线出口位置修建放喷池，建挡墙减小热辐射影响。会对周边农作物产生轻度影响，本项目放喷池周边的植被主要为</w:t>
            </w:r>
            <w:r>
              <w:rPr>
                <w:rFonts w:hint="eastAsia"/>
                <w:color w:val="000000" w:themeColor="text1"/>
                <w:szCs w:val="20"/>
                <w:highlight w:val="none"/>
                <w:lang w:eastAsia="zh-CN"/>
                <w14:textFill>
                  <w14:solidFill>
                    <w14:schemeClr w14:val="tx1"/>
                  </w14:solidFill>
                </w14:textFill>
              </w:rPr>
              <w:t>杂木</w:t>
            </w:r>
            <w:r>
              <w:rPr>
                <w:rFonts w:hint="default"/>
                <w:color w:val="000000" w:themeColor="text1"/>
                <w:szCs w:val="20"/>
                <w:highlight w:val="none"/>
                <w14:textFill>
                  <w14:solidFill>
                    <w14:schemeClr w14:val="tx1"/>
                  </w14:solidFill>
                </w14:textFill>
              </w:rPr>
              <w:t>和灌木林地。</w:t>
            </w:r>
          </w:p>
        </w:tc>
        <w:tc>
          <w:tcPr>
            <w:tcW w:w="3327"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对热辐射破坏的植被进行补偿。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4629"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钻井噪声影响、测试防喷影响需要以及钻遇含硫地层对居民进行临时撤离。对居民生产生活产生轻度的影响。雨水冲入耕地或林地对农业生产、植被生长产生轻度影响。</w:t>
            </w:r>
          </w:p>
        </w:tc>
        <w:tc>
          <w:tcPr>
            <w:tcW w:w="3327"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通过协调补偿方式解决。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正面影响</w:t>
            </w:r>
          </w:p>
        </w:tc>
        <w:tc>
          <w:tcPr>
            <w:tcW w:w="0" w:type="auto"/>
            <w:gridSpan w:val="2"/>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天然气属于清洁能源，天然气的开采可以缓解用气紧张，增加企业经济效益，促进社会、经济发展，增大区域清洁能源的使用，对调整能源结构、缓解地区能源缺口有积极意义。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gridSpan w:val="2"/>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项目钻井前会对乡村公路做维护及改建，加强了当地交通基础设施建设，改善交通条件。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0" w:type="auto"/>
            <w:gridSpan w:val="2"/>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拟建井站位于农村地区，有富余劳动力，本工程建设可带来一定的就业机会，解决当地部分人员就业，增加当地居民收入，促进本地经济发展。</w:t>
            </w:r>
          </w:p>
        </w:tc>
      </w:tr>
    </w:tbl>
    <w:p>
      <w:pPr>
        <w:pStyle w:val="21"/>
        <w:spacing w:before="120" w:beforeLines="5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从上表可看出，虽然项目建设存在一定的社会环境负面影响，在采取相应的环保措施后，负面影响降低或可避免，为社会环境所接受；而项目对调整社会能源结构、促进当地经济发展、改善当地交通状况等社会环境正面影响很明显，从总体来看，项目正面影响远高于负面影响，为社会环境所接受</w:t>
      </w:r>
      <w:r>
        <w:rPr>
          <w:rFonts w:ascii="Times New Roman" w:hAnsi="Times New Roman"/>
          <w:bCs/>
          <w:color w:val="000000" w:themeColor="text1"/>
          <w:kern w:val="2"/>
          <w:highlight w:val="none"/>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83" w:name="7.2.3环境效益"/>
      <w:bookmarkEnd w:id="483"/>
      <w:bookmarkStart w:id="484" w:name="_Toc120173231"/>
      <w:r>
        <w:rPr>
          <w:color w:val="000000" w:themeColor="text1"/>
          <w:highlight w:val="none"/>
          <w:lang w:eastAsia="zh-CN"/>
          <w14:textFill>
            <w14:solidFill>
              <w14:schemeClr w14:val="tx1"/>
            </w14:solidFill>
          </w14:textFill>
        </w:rPr>
        <w:t>环境效益</w:t>
      </w:r>
      <w:bookmarkEnd w:id="484"/>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天然气利用可以减少环境空气污染物的排放量，改善环境空气质量。本项目在减轻大气环境影响方面效益显著，与燃油和燃煤相比具有更高的环境效益。</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我国的能源结构以煤炭为主，以煤为主的能源结构是造成大气污染的主要原因。根据世界各国污染治理的经验，减轻大气污染措施之一就是用无污染或低污染的优质能源替代煤炭。燃烧天然气排放的CO、NO</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、SO</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、灰分大大低于煤和原油的排放量。天然气燃烧可以节省NO</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、SO</w:t>
      </w:r>
      <w:r>
        <w:rPr>
          <w:rFonts w:ascii="Times New Roman" w:hAnsi="Times New Roman"/>
          <w:bCs/>
          <w:color w:val="000000" w:themeColor="text1"/>
          <w:kern w:val="2"/>
          <w:highlight w:val="none"/>
          <w:vertAlign w:val="subscript"/>
          <w:lang w:eastAsia="zh-CN"/>
          <w14:textFill>
            <w14:solidFill>
              <w14:schemeClr w14:val="tx1"/>
            </w14:solidFill>
          </w14:textFill>
        </w:rPr>
        <w:t>2</w:t>
      </w:r>
      <w:r>
        <w:rPr>
          <w:rFonts w:ascii="Times New Roman" w:hAnsi="Times New Roman"/>
          <w:bCs/>
          <w:color w:val="000000" w:themeColor="text1"/>
          <w:kern w:val="2"/>
          <w:highlight w:val="none"/>
          <w:lang w:eastAsia="zh-CN"/>
          <w14:textFill>
            <w14:solidFill>
              <w14:schemeClr w14:val="tx1"/>
            </w14:solidFill>
          </w14:textFill>
        </w:rPr>
        <w:t>、烟尘、固体废物等处理费用，减少燃煤灰渣引起的土地占用。因此本项目的建设将很大程度上减少了燃煤等对环境的污染影响，带来较好的环境效益。</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85" w:name="_bookmark37"/>
      <w:bookmarkEnd w:id="485"/>
      <w:bookmarkStart w:id="486" w:name="7.3环境经济损益分析结论"/>
      <w:bookmarkEnd w:id="486"/>
      <w:bookmarkStart w:id="487" w:name="_Toc20912"/>
      <w:r>
        <w:rPr>
          <w:color w:val="000000" w:themeColor="text1"/>
          <w:highlight w:val="none"/>
          <w:lang w:eastAsia="zh-CN"/>
          <w14:textFill>
            <w14:solidFill>
              <w14:schemeClr w14:val="tx1"/>
            </w14:solidFill>
          </w14:textFill>
        </w:rPr>
        <w:t>环境经济损益分析结论</w:t>
      </w:r>
      <w:bookmarkEnd w:id="487"/>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经济效益显著，项目建设符合社会效益、经济效益和环境效益统一的原则，环保投资小，由此可见，工程可衡量的环境损失远远小于工程带来的经济效益、环境效益和社会效益，工程的建设实现了经济效益、环境效益和社会效益的统一。</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的实施，可以改善用气地区能源结构，天然气替代煤炭燃烧，减少因燃煤造成的环境污染，改善大气环境质量，本项目对环境的影响，从长远角度考虑，有利于环境质量改善，正面影响大于负面影响；天然气的应用，对提高人民生活质量、加快国民经济的发展产生积极作用，同时会为社会上缴大量税金，社会效益明显。本项目建设是可行的，符合社会、经济与环境协调发展的原则。</w:t>
      </w:r>
    </w:p>
    <w:p>
      <w:pPr>
        <w:pStyle w:val="2"/>
        <w:spacing w:before="480" w:beforeLines="200" w:after="0" w:line="480" w:lineRule="auto"/>
        <w:ind w:firstLine="560"/>
        <w:rPr>
          <w:b/>
          <w:color w:val="000000" w:themeColor="text1"/>
          <w:szCs w:val="28"/>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
        <w:rPr>
          <w:b/>
          <w:color w:val="000000" w:themeColor="text1"/>
          <w:highlight w:val="none"/>
          <w:lang w:eastAsia="zh-CN"/>
          <w14:textFill>
            <w14:solidFill>
              <w14:schemeClr w14:val="tx1"/>
            </w14:solidFill>
          </w14:textFill>
        </w:rPr>
      </w:pPr>
      <w:bookmarkStart w:id="488" w:name="_Toc13348"/>
      <w:r>
        <w:rPr>
          <w:color w:val="000000" w:themeColor="text1"/>
          <w:highlight w:val="none"/>
          <w:lang w:eastAsia="zh-CN"/>
          <w14:textFill>
            <w14:solidFill>
              <w14:schemeClr w14:val="tx1"/>
            </w14:solidFill>
          </w14:textFill>
        </w:rPr>
        <w:t>清洁生产与总量控制</w:t>
      </w:r>
      <w:bookmarkEnd w:id="488"/>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89" w:name="_Toc15042"/>
      <w:r>
        <w:rPr>
          <w:color w:val="000000" w:themeColor="text1"/>
          <w:highlight w:val="none"/>
          <w:lang w:eastAsia="zh-CN"/>
          <w14:textFill>
            <w14:solidFill>
              <w14:schemeClr w14:val="tx1"/>
            </w14:solidFill>
          </w14:textFill>
        </w:rPr>
        <w:t>清洁生产分析</w:t>
      </w:r>
      <w:bookmarkEnd w:id="489"/>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目前，天然气开采业建设项目未被纳入</w:t>
      </w:r>
      <w:r>
        <w:rPr>
          <w:rFonts w:hint="eastAsia"/>
          <w:color w:val="000000" w:themeColor="text1"/>
          <w:highlight w:val="none"/>
          <w14:textFill>
            <w14:solidFill>
              <w14:schemeClr w14:val="tx1"/>
            </w14:solidFill>
          </w14:textFill>
        </w:rPr>
        <w:t>生态环境部</w:t>
      </w:r>
      <w:r>
        <w:rPr>
          <w:color w:val="000000" w:themeColor="text1"/>
          <w:highlight w:val="none"/>
          <w14:textFill>
            <w14:solidFill>
              <w14:schemeClr w14:val="tx1"/>
            </w14:solidFill>
          </w14:textFill>
        </w:rPr>
        <w:t>颁布的重点行业清洁生产标准目录中，根据对清洁生产评价评标体系查询，未发现针对天然气开采的清洁生产评价体系，故本评价从天然气开采建设的各个环节出发，对本项目的产品、原材料、工艺技术的清洁性以及三废治理工艺的先进性进行分析比较，并提出清洁生产措施和建议等。</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kern w:val="2"/>
          <w:highlight w:val="none"/>
          <w:lang w:eastAsia="zh-CN"/>
          <w14:textFill>
            <w14:solidFill>
              <w14:schemeClr w14:val="tx1"/>
            </w14:solidFill>
          </w14:textFill>
        </w:rPr>
      </w:pPr>
      <w:bookmarkStart w:id="490" w:name="_Toc120173235"/>
      <w:r>
        <w:rPr>
          <w:color w:val="000000" w:themeColor="text1"/>
          <w:highlight w:val="none"/>
          <w:lang w:eastAsia="zh-CN"/>
          <w14:textFill>
            <w14:solidFill>
              <w14:schemeClr w14:val="tx1"/>
            </w14:solidFill>
          </w14:textFill>
        </w:rPr>
        <w:t>工艺技术选择合理性分析</w:t>
      </w:r>
      <w:bookmarkEnd w:id="490"/>
    </w:p>
    <w:p>
      <w:pPr>
        <w:pStyle w:val="21"/>
        <w:ind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本项目以网电为动力，只有在停电等紧急情况下才启用柴油发电机供电，可减少柴油机废气排放。柴油发电机主要能源为柴油，项目设置多台柴油机进行组合，使柴油机运行功率最接近钻井所需要的动力功率，让柴油机运行时可处于高效运行状态，以减少柴油的使用量和减少废气排放。柴油机效率达到国内清洁生产先进水平。</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钻井液</w:t>
      </w:r>
      <w:r>
        <w:rPr>
          <w:rFonts w:hint="eastAsia"/>
          <w:color w:val="000000" w:themeColor="text1"/>
          <w:highlight w:val="none"/>
          <w:lang w:val="en-US" w:eastAsia="zh-CN"/>
          <w14:textFill>
            <w14:solidFill>
              <w14:schemeClr w14:val="tx1"/>
            </w14:solidFill>
          </w14:textFill>
        </w:rPr>
        <w:t>优先</w:t>
      </w:r>
      <w:r>
        <w:rPr>
          <w:color w:val="000000" w:themeColor="text1"/>
          <w:highlight w:val="none"/>
          <w14:textFill>
            <w14:solidFill>
              <w14:schemeClr w14:val="tx1"/>
            </w14:solidFill>
          </w14:textFill>
        </w:rPr>
        <w:t>采用较清洁的水基钻井液为主，不含重金属，并且可根据不同地层性质和地下压力进行组份调整，能较好地满足钻井需要。符合清洁生产的要求。</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kern w:val="2"/>
          <w:highlight w:val="none"/>
          <w:lang w:eastAsia="zh-CN"/>
          <w14:textFill>
            <w14:solidFill>
              <w14:schemeClr w14:val="tx1"/>
            </w14:solidFill>
          </w14:textFill>
        </w:rPr>
      </w:pPr>
      <w:bookmarkStart w:id="491" w:name="_Toc120173236"/>
      <w:r>
        <w:rPr>
          <w:color w:val="000000" w:themeColor="text1"/>
          <w:highlight w:val="none"/>
          <w:lang w:eastAsia="zh-CN"/>
          <w14:textFill>
            <w14:solidFill>
              <w14:schemeClr w14:val="tx1"/>
            </w14:solidFill>
          </w14:textFill>
        </w:rPr>
        <w:t>产品的清洁性分析</w:t>
      </w:r>
      <w:bookmarkEnd w:id="491"/>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项目产品为天然气，属清洁、优质、具有竞争力的能源和化工原料。天然气单位热量所产生的温室气体CO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只是煤炭的一半左右，比石油少三分之一，天然气与电力比较，在燃料费用上的节省是显著的，但投资费用较大；与焦炭、原煤比较，虽无价格优势，但环保性和产品质量优势明显；与汽油、液化气相比，其价格和环境性能也有明显优势，天然气替代工业用油和液化石油气，有直接的经济效益，容易被用户接受，同时技改的投资少，属清洁产品。</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92" w:name="_Toc120173237"/>
      <w:r>
        <w:rPr>
          <w:color w:val="000000" w:themeColor="text1"/>
          <w:highlight w:val="none"/>
          <w:lang w:eastAsia="zh-CN"/>
          <w14:textFill>
            <w14:solidFill>
              <w14:schemeClr w14:val="tx1"/>
            </w14:solidFill>
          </w14:textFill>
        </w:rPr>
        <w:t>清洁生产措施</w:t>
      </w:r>
      <w:bookmarkEnd w:id="492"/>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（1）废水处理措施</w:t>
      </w:r>
    </w:p>
    <w:p>
      <w:pPr>
        <w:ind w:firstLine="480"/>
        <w:rPr>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本项目钻井废水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初期雨水、洗井废水</w:t>
      </w:r>
      <w:r>
        <w:rPr>
          <w:rFonts w:hint="default" w:ascii="Times New Roman" w:hAnsi="Times New Roman" w:cs="Times New Roman"/>
          <w:color w:val="000000" w:themeColor="text1"/>
          <w:highlight w:val="none"/>
          <w14:textFill>
            <w14:solidFill>
              <w14:schemeClr w14:val="tx1"/>
            </w14:solidFill>
          </w14:textFill>
        </w:rPr>
        <w:t>和压裂返排液</w:t>
      </w:r>
      <w:r>
        <w:rPr>
          <w:rFonts w:hint="eastAsia" w:cs="Times New Roman"/>
          <w:color w:val="000000" w:themeColor="text1"/>
          <w:highlight w:val="none"/>
          <w:lang w:val="en-US" w:eastAsia="zh-CN"/>
          <w14:textFill>
            <w14:solidFill>
              <w14:schemeClr w14:val="tx1"/>
            </w14:solidFill>
          </w14:textFill>
        </w:rPr>
        <w:t>等</w:t>
      </w:r>
      <w:r>
        <w:rPr>
          <w:color w:val="000000" w:themeColor="text1"/>
          <w:highlight w:val="none"/>
          <w14:textFill>
            <w14:solidFill>
              <w14:schemeClr w14:val="tx1"/>
            </w14:solidFill>
          </w14:textFill>
        </w:rPr>
        <w:t>通过在井场内或井场间回用实现最大程度回用，做到正常工况下无压裂液外排，若不能回用的压裂液全部</w:t>
      </w:r>
      <w:r>
        <w:rPr>
          <w:rFonts w:hint="eastAsia"/>
          <w:bCs/>
          <w:color w:val="000000" w:themeColor="text1"/>
          <w:szCs w:val="24"/>
          <w:highlight w:val="none"/>
          <w:lang w:val="en-US" w:eastAsia="zh-CN"/>
          <w14:textFill>
            <w14:solidFill>
              <w14:schemeClr w14:val="tx1"/>
            </w14:solidFill>
          </w14:textFill>
        </w:rPr>
        <w:t>外输</w:t>
      </w:r>
      <w:r>
        <w:rPr>
          <w:rFonts w:hint="eastAsia"/>
          <w:color w:val="000000" w:themeColor="text1"/>
          <w:highlight w:val="none"/>
          <w:lang w:val="en-US" w:eastAsia="zh-CN"/>
          <w14:textFill>
            <w14:solidFill>
              <w14:schemeClr w14:val="tx1"/>
            </w14:solidFill>
          </w14:textFill>
        </w:rPr>
        <w:t>雷页1试采站内缓冲罐暂存</w:t>
      </w:r>
      <w:r>
        <w:rPr>
          <w:bCs/>
          <w:color w:val="000000" w:themeColor="text1"/>
          <w:szCs w:val="24"/>
          <w:highlight w:val="none"/>
          <w14:textFill>
            <w14:solidFill>
              <w14:schemeClr w14:val="tx1"/>
            </w14:solidFill>
          </w14:textFill>
        </w:rPr>
        <w:t>，然后通过密闭罐车拉运至</w:t>
      </w:r>
      <w:r>
        <w:rPr>
          <w:rFonts w:hint="eastAsia"/>
          <w:bCs/>
          <w:color w:val="000000" w:themeColor="text1"/>
          <w:szCs w:val="24"/>
          <w:highlight w:val="none"/>
          <w:lang w:eastAsia="zh-CN"/>
          <w14:textFill>
            <w14:solidFill>
              <w14:schemeClr w14:val="tx1"/>
            </w14:solidFill>
          </w14:textFill>
        </w:rPr>
        <w:t>赵家坝污水处理站</w:t>
      </w:r>
      <w:r>
        <w:rPr>
          <w:bCs/>
          <w:color w:val="000000" w:themeColor="text1"/>
          <w:szCs w:val="24"/>
          <w:highlight w:val="none"/>
          <w14:textFill>
            <w14:solidFill>
              <w14:schemeClr w14:val="tx1"/>
            </w14:solidFill>
          </w14:textFill>
        </w:rPr>
        <w:t>达到《气田水回注方法》（SY/T 6596-2016）中注入水基本要求后管输至</w:t>
      </w:r>
      <w:r>
        <w:rPr>
          <w:rFonts w:hint="eastAsia"/>
          <w:bCs/>
          <w:color w:val="000000" w:themeColor="text1"/>
          <w:szCs w:val="24"/>
          <w:highlight w:val="none"/>
          <w:lang w:eastAsia="zh-CN"/>
          <w14:textFill>
            <w14:solidFill>
              <w14:schemeClr w14:val="tx1"/>
            </w14:solidFill>
          </w14:textFill>
        </w:rPr>
        <w:t>普光3井回注站</w:t>
      </w:r>
      <w:r>
        <w:rPr>
          <w:bCs/>
          <w:color w:val="000000" w:themeColor="text1"/>
          <w:szCs w:val="24"/>
          <w:highlight w:val="none"/>
          <w14:textFill>
            <w14:solidFill>
              <w14:schemeClr w14:val="tx1"/>
            </w14:solidFill>
          </w14:textFill>
        </w:rPr>
        <w:t>回注处理，不外排</w:t>
      </w:r>
      <w:r>
        <w:rPr>
          <w:color w:val="000000" w:themeColor="text1"/>
          <w:highlight w:val="none"/>
          <w14:textFill>
            <w14:solidFill>
              <w14:schemeClr w14:val="tx1"/>
            </w14:solidFill>
          </w14:textFill>
        </w:rPr>
        <w:t>，对地表水和浅层地下水无影响。</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（2）施工期生活污水</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井场钻井建设施工阶段生活污水</w:t>
      </w:r>
      <w:r>
        <w:rPr>
          <w:rFonts w:ascii="Times New Roman" w:hAnsi="Times New Roman"/>
          <w:color w:val="000000" w:themeColor="text1"/>
          <w:highlight w:val="none"/>
          <w:lang w:eastAsia="zh-CN"/>
          <w14:textFill>
            <w14:solidFill>
              <w14:schemeClr w14:val="tx1"/>
            </w14:solidFill>
          </w14:textFill>
        </w:rPr>
        <w:t>经生态厕所收集后定期由密闭罐车拉运至周边生活污水处理厂处理</w:t>
      </w:r>
      <w:r>
        <w:rPr>
          <w:rFonts w:ascii="Times New Roman" w:hAnsi="Times New Roman"/>
          <w:bCs/>
          <w:color w:val="000000" w:themeColor="text1"/>
          <w:kern w:val="2"/>
          <w:highlight w:val="none"/>
          <w:lang w:eastAsia="zh-CN"/>
          <w14:textFill>
            <w14:solidFill>
              <w14:schemeClr w14:val="tx1"/>
            </w14:solidFill>
          </w14:textFill>
        </w:rPr>
        <w:t>。</w:t>
      </w:r>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（3）废气处置措施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本项目正常工况下均采取带压采输气，</w:t>
      </w:r>
      <w:r>
        <w:rPr>
          <w:rFonts w:hint="eastAsia"/>
          <w:color w:val="000000" w:themeColor="text1"/>
          <w:highlight w:val="none"/>
          <w:lang w:val="en-US" w:eastAsia="zh-CN"/>
          <w14:textFill>
            <w14:solidFill>
              <w14:schemeClr w14:val="tx1"/>
            </w14:solidFill>
          </w14:textFill>
        </w:rPr>
        <w:t>无组织废气少。水套加热炉和放空火炬使用自产不含硫天然气为燃料</w:t>
      </w:r>
      <w:r>
        <w:rPr>
          <w:color w:val="000000" w:themeColor="text1"/>
          <w:highlight w:val="none"/>
          <w14:textFill>
            <w14:solidFill>
              <w14:schemeClr w14:val="tx1"/>
            </w14:solidFill>
          </w14:textFill>
        </w:rPr>
        <w:t>，</w:t>
      </w:r>
      <w:bookmarkStart w:id="493" w:name="_Hlk91002276"/>
      <w:r>
        <w:rPr>
          <w:rFonts w:hint="eastAsia"/>
          <w:color w:val="000000" w:themeColor="text1"/>
          <w:highlight w:val="none"/>
          <w:lang w:val="en-US" w:eastAsia="zh-CN"/>
          <w14:textFill>
            <w14:solidFill>
              <w14:schemeClr w14:val="tx1"/>
            </w14:solidFill>
          </w14:textFill>
        </w:rPr>
        <w:t>放空</w:t>
      </w:r>
      <w:r>
        <w:rPr>
          <w:color w:val="000000" w:themeColor="text1"/>
          <w:highlight w:val="none"/>
          <w14:textFill>
            <w14:solidFill>
              <w14:schemeClr w14:val="tx1"/>
            </w14:solidFill>
          </w14:textFill>
        </w:rPr>
        <w:t>废气采用引至</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5m高的放空火炬点火燃烧方式燃烧后排放。</w:t>
      </w:r>
      <w:bookmarkEnd w:id="493"/>
    </w:p>
    <w:p>
      <w:pPr>
        <w:pStyle w:val="21"/>
        <w:spacing w:before="0"/>
        <w:ind w:left="0" w:firstLine="482"/>
        <w:jc w:val="both"/>
        <w:rPr>
          <w:rFonts w:ascii="Times New Roman" w:hAnsi="Times New Roman"/>
          <w:b/>
          <w:color w:val="000000" w:themeColor="text1"/>
          <w:kern w:val="2"/>
          <w:highlight w:val="none"/>
          <w:lang w:eastAsia="zh-CN"/>
          <w14:textFill>
            <w14:solidFill>
              <w14:schemeClr w14:val="tx1"/>
            </w14:solidFill>
          </w14:textFill>
        </w:rPr>
      </w:pPr>
      <w:r>
        <w:rPr>
          <w:rFonts w:ascii="Times New Roman" w:hAnsi="Times New Roman"/>
          <w:b/>
          <w:color w:val="000000" w:themeColor="text1"/>
          <w:kern w:val="2"/>
          <w:highlight w:val="none"/>
          <w:lang w:eastAsia="zh-CN"/>
          <w14:textFill>
            <w14:solidFill>
              <w14:schemeClr w14:val="tx1"/>
            </w14:solidFill>
          </w14:textFill>
        </w:rPr>
        <w:t>（4）固体废物处理措施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钻井液采用水基泥浆，并采用钻井液闭环管理系统，对钻井泥浆进行循环使用，完井后产生的废泥浆和岩屑定期用密闭罐车及时就近交给依法取得生态环境部门关于利用和处置相关工业固体废物项目环评批复、具有处理处置相应固体废物能力并配套建设有废气、废水、固废等污染物治理设施的单位进行资源化利用；整个过程产生的少量废油优先综合利用后交给具有相应资质的单位处理，无固废外排。</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494" w:name="_Toc120173238"/>
      <w:r>
        <w:rPr>
          <w:color w:val="000000" w:themeColor="text1"/>
          <w:highlight w:val="none"/>
          <w:lang w:eastAsia="zh-CN"/>
          <w14:textFill>
            <w14:solidFill>
              <w14:schemeClr w14:val="tx1"/>
            </w14:solidFill>
          </w14:textFill>
        </w:rPr>
        <w:t>清洁生产结论</w:t>
      </w:r>
      <w:bookmarkEnd w:id="494"/>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贯彻了清洁生产原则，符合清洁生产的要求及国家目前有关节能减排要求。为保持良好的清洁生产水平，鉴于钻井工程属高风险行业，本评价建议主要是加强管理，减少生产中的跑、冒、滴、漏现象，同时按照钻井行业规范做好井控和防喷措施，做好现场的应急措施。加强人员培训，</w:t>
      </w:r>
      <w:r>
        <w:rPr>
          <w:rFonts w:hint="eastAsia"/>
          <w:color w:val="000000" w:themeColor="text1"/>
          <w:highlight w:val="none"/>
          <w:lang w:eastAsia="zh-CN"/>
          <w14:textFill>
            <w14:solidFill>
              <w14:schemeClr w14:val="tx1"/>
            </w14:solidFill>
          </w14:textFill>
        </w:rPr>
        <w:t>增强</w:t>
      </w:r>
      <w:r>
        <w:rPr>
          <w:color w:val="000000" w:themeColor="text1"/>
          <w:highlight w:val="none"/>
          <w14:textFill>
            <w14:solidFill>
              <w14:schemeClr w14:val="tx1"/>
            </w14:solidFill>
          </w14:textFill>
        </w:rPr>
        <w:t>职工清洁生产意识，尽可能的避免环境风险事故的发生，将本项目清洁生产维持在国内先进水平。</w:t>
      </w:r>
    </w:p>
    <w:p>
      <w:pPr>
        <w:pStyle w:val="3"/>
        <w:spacing w:before="120"/>
        <w:rPr>
          <w:color w:val="000000" w:themeColor="text1"/>
          <w:highlight w:val="none"/>
          <w:lang w:eastAsia="zh-CN"/>
          <w14:textFill>
            <w14:solidFill>
              <w14:schemeClr w14:val="tx1"/>
            </w14:solidFill>
          </w14:textFill>
        </w:rPr>
      </w:pPr>
      <w:bookmarkStart w:id="495" w:name="_Toc23799"/>
      <w:r>
        <w:rPr>
          <w:color w:val="000000" w:themeColor="text1"/>
          <w:highlight w:val="none"/>
          <w:lang w:eastAsia="zh-CN"/>
          <w14:textFill>
            <w14:solidFill>
              <w14:schemeClr w14:val="tx1"/>
            </w14:solidFill>
          </w14:textFill>
        </w:rPr>
        <w:t>总量控制</w:t>
      </w:r>
      <w:bookmarkEnd w:id="495"/>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本项目为天然气开发勘探项目，根据《关于做好固定污染源排污许可清理整顿和2020年排污许可发证登记工作的通知》（环办环评函〔2019〕939号）和《固定污染源排污许可分类管理名录》（2019年版），本项目实行登记管理。中国石油化工股份有限公司中原油田普光分公司在达州地区各个集气站场均无总量控制指标要求，水套加热炉、</w:t>
      </w:r>
      <w:r>
        <w:rPr>
          <w:rFonts w:hint="eastAsia" w:cs="Times New Roman"/>
          <w:bCs/>
          <w:color w:val="000000" w:themeColor="text1"/>
          <w:szCs w:val="24"/>
          <w:highlight w:val="none"/>
          <w:lang w:val="en-US" w:eastAsia="zh-CN"/>
          <w14:textFill>
            <w14:solidFill>
              <w14:schemeClr w14:val="tx1"/>
            </w14:solidFill>
          </w14:textFill>
        </w:rPr>
        <w:t>放空火炬</w:t>
      </w:r>
      <w:r>
        <w:rPr>
          <w:rFonts w:cs="Times New Roman"/>
          <w:bCs/>
          <w:color w:val="000000" w:themeColor="text1"/>
          <w:szCs w:val="24"/>
          <w:highlight w:val="none"/>
          <w14:textFill>
            <w14:solidFill>
              <w14:schemeClr w14:val="tx1"/>
            </w14:solidFill>
          </w14:textFill>
        </w:rPr>
        <w:t>系统按要求缴纳环保税，因此本评价建议本项目不核定大气总量指标。</w:t>
      </w:r>
    </w:p>
    <w:p>
      <w:pPr>
        <w:ind w:firstLine="480"/>
        <w:rPr>
          <w:rFonts w:cs="Times New Roman"/>
          <w:bCs/>
          <w:color w:val="000000" w:themeColor="text1"/>
          <w:highlight w:val="none"/>
          <w14:textFill>
            <w14:solidFill>
              <w14:schemeClr w14:val="tx1"/>
            </w14:solidFill>
          </w14:textFill>
        </w:rPr>
      </w:pPr>
      <w:bookmarkStart w:id="496" w:name="_bookmark38"/>
      <w:bookmarkEnd w:id="496"/>
      <w:bookmarkStart w:id="497" w:name="第八章_环境管理与环境监测"/>
      <w:bookmarkEnd w:id="497"/>
      <w:r>
        <w:rPr>
          <w:rFonts w:hint="eastAsia" w:cs="Times New Roman"/>
          <w:bCs/>
          <w:color w:val="000000" w:themeColor="text1"/>
          <w:szCs w:val="24"/>
          <w:highlight w:val="none"/>
          <w:lang w:val="en-US" w:eastAsia="zh-CN"/>
          <w14:textFill>
            <w14:solidFill>
              <w14:schemeClr w14:val="tx1"/>
            </w14:solidFill>
          </w14:textFill>
        </w:rPr>
        <w:t>施工期</w:t>
      </w:r>
      <w:r>
        <w:rPr>
          <w:rFonts w:hint="default" w:ascii="Times New Roman" w:hAnsi="Times New Roman" w:cs="Times New Roman"/>
          <w:bCs/>
          <w:color w:val="000000" w:themeColor="text1"/>
          <w:szCs w:val="24"/>
          <w:highlight w:val="none"/>
          <w14:textFill>
            <w14:solidFill>
              <w14:schemeClr w14:val="tx1"/>
            </w14:solidFill>
          </w14:textFill>
        </w:rPr>
        <w:t>项目钻井废水、</w:t>
      </w:r>
      <w:r>
        <w:rPr>
          <w:rFonts w:hint="eastAsia" w:cs="Times New Roman"/>
          <w:bCs/>
          <w:color w:val="000000" w:themeColor="text1"/>
          <w:szCs w:val="24"/>
          <w:highlight w:val="none"/>
          <w:lang w:val="en-US" w:eastAsia="zh-CN"/>
          <w14:textFill>
            <w14:solidFill>
              <w14:schemeClr w14:val="tx1"/>
            </w14:solidFill>
          </w14:textFill>
        </w:rPr>
        <w:t>初期雨水、</w:t>
      </w:r>
      <w:r>
        <w:rPr>
          <w:rFonts w:hint="default" w:ascii="Times New Roman" w:hAnsi="Times New Roman" w:cs="Times New Roman"/>
          <w:bCs/>
          <w:color w:val="000000" w:themeColor="text1"/>
          <w:szCs w:val="24"/>
          <w:highlight w:val="none"/>
          <w14:textFill>
            <w14:solidFill>
              <w14:schemeClr w14:val="tx1"/>
            </w14:solidFill>
          </w14:textFill>
        </w:rPr>
        <w:t>洗井废水和压裂返排液</w:t>
      </w:r>
      <w:r>
        <w:rPr>
          <w:rFonts w:hint="eastAsia" w:cs="Times New Roman"/>
          <w:bCs/>
          <w:color w:val="000000" w:themeColor="text1"/>
          <w:szCs w:val="24"/>
          <w:highlight w:val="none"/>
          <w:lang w:val="en-US" w:eastAsia="zh-CN"/>
          <w14:textFill>
            <w14:solidFill>
              <w14:schemeClr w14:val="tx1"/>
            </w14:solidFill>
          </w14:textFill>
        </w:rPr>
        <w:t>等尽量回用，不能回用部分</w:t>
      </w:r>
      <w:r>
        <w:rPr>
          <w:rFonts w:hint="default" w:ascii="Times New Roman" w:hAnsi="Times New Roman" w:cs="Times New Roman"/>
          <w:bCs/>
          <w:color w:val="000000" w:themeColor="text1"/>
          <w:szCs w:val="24"/>
          <w:highlight w:val="none"/>
          <w14:textFill>
            <w14:solidFill>
              <w14:schemeClr w14:val="tx1"/>
            </w14:solidFill>
          </w14:textFill>
        </w:rPr>
        <w:t>通过</w:t>
      </w:r>
      <w:r>
        <w:rPr>
          <w:rFonts w:hint="default" w:ascii="Times New Roman" w:hAnsi="Times New Roman"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hint="default" w:ascii="Times New Roman" w:hAnsi="Times New Roman" w:cs="Times New Roman"/>
          <w:color w:val="000000" w:themeColor="text1"/>
          <w:szCs w:val="24"/>
          <w:highlight w:val="none"/>
          <w14:textFill>
            <w14:solidFill>
              <w14:schemeClr w14:val="tx1"/>
            </w14:solidFill>
          </w14:textFill>
        </w:rPr>
        <w:t>达标后管输至</w:t>
      </w:r>
      <w:r>
        <w:rPr>
          <w:rFonts w:hint="eastAsia" w:cs="Times New Roman"/>
          <w:color w:val="000000" w:themeColor="text1"/>
          <w:szCs w:val="24"/>
          <w:highlight w:val="none"/>
          <w:lang w:eastAsia="zh-CN"/>
          <w14:textFill>
            <w14:solidFill>
              <w14:schemeClr w14:val="tx1"/>
            </w14:solidFill>
          </w14:textFill>
        </w:rPr>
        <w:t>普光3井回注站</w:t>
      </w:r>
      <w:r>
        <w:rPr>
          <w:rFonts w:hint="default" w:ascii="Times New Roman" w:hAnsi="Times New Roman" w:cs="Times New Roman"/>
          <w:color w:val="000000" w:themeColor="text1"/>
          <w:szCs w:val="24"/>
          <w:highlight w:val="none"/>
          <w14:textFill>
            <w14:solidFill>
              <w14:schemeClr w14:val="tx1"/>
            </w14:solidFill>
          </w14:textFill>
        </w:rPr>
        <w:t>回注，不外排</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试采期</w:t>
      </w:r>
      <w:r>
        <w:rPr>
          <w:rFonts w:hint="eastAsia" w:cs="Times New Roman"/>
          <w:bCs/>
          <w:color w:val="000000" w:themeColor="text1"/>
          <w:szCs w:val="24"/>
          <w:highlight w:val="none"/>
          <w:lang w:eastAsia="zh-CN"/>
          <w14:textFill>
            <w14:solidFill>
              <w14:schemeClr w14:val="tx1"/>
            </w14:solidFill>
          </w14:textFill>
        </w:rPr>
        <w:t>气田水（含初期压裂返排液）</w:t>
      </w:r>
      <w:r>
        <w:rPr>
          <w:rFonts w:hint="eastAsia" w:cs="Times New Roman"/>
          <w:bCs/>
          <w:color w:val="000000" w:themeColor="text1"/>
          <w:szCs w:val="24"/>
          <w:highlight w:val="none"/>
          <w:lang w:val="en-US" w:eastAsia="zh-CN"/>
          <w14:textFill>
            <w14:solidFill>
              <w14:schemeClr w14:val="tx1"/>
            </w14:solidFill>
          </w14:textFill>
        </w:rPr>
        <w:t>通过新建管道外输至雷页1试采站暂存最终</w:t>
      </w:r>
      <w:r>
        <w:rPr>
          <w:rFonts w:cs="Times New Roman"/>
          <w:color w:val="000000" w:themeColor="text1"/>
          <w:szCs w:val="24"/>
          <w:highlight w:val="none"/>
          <w14:textFill>
            <w14:solidFill>
              <w14:schemeClr w14:val="tx1"/>
            </w14:solidFill>
          </w14:textFill>
        </w:rPr>
        <w:t>密闭罐车拉运至</w:t>
      </w:r>
      <w:r>
        <w:rPr>
          <w:rFonts w:hint="eastAsia" w:cs="Times New Roman"/>
          <w:color w:val="000000" w:themeColor="text1"/>
          <w:szCs w:val="24"/>
          <w:highlight w:val="none"/>
          <w:lang w:eastAsia="zh-CN"/>
          <w14:textFill>
            <w14:solidFill>
              <w14:schemeClr w14:val="tx1"/>
            </w14:solidFill>
          </w14:textFill>
        </w:rPr>
        <w:t>赵家坝污水处理站</w:t>
      </w:r>
      <w:r>
        <w:rPr>
          <w:rFonts w:cs="Times New Roman"/>
          <w:color w:val="000000" w:themeColor="text1"/>
          <w:szCs w:val="24"/>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管输至</w:t>
      </w:r>
      <w:r>
        <w:rPr>
          <w:rFonts w:hint="eastAsia" w:cs="Times New Roman"/>
          <w:color w:val="000000" w:themeColor="text1"/>
          <w:szCs w:val="24"/>
          <w:highlight w:val="none"/>
          <w:lang w:eastAsia="zh-CN"/>
          <w14:textFill>
            <w14:solidFill>
              <w14:schemeClr w14:val="tx1"/>
            </w14:solidFill>
          </w14:textFill>
        </w:rPr>
        <w:t>普光3井回注站</w:t>
      </w:r>
      <w:r>
        <w:rPr>
          <w:rFonts w:cs="Times New Roman"/>
          <w:color w:val="000000" w:themeColor="text1"/>
          <w:szCs w:val="24"/>
          <w:highlight w:val="none"/>
          <w14:textFill>
            <w14:solidFill>
              <w14:schemeClr w14:val="tx1"/>
            </w14:solidFill>
          </w14:textFill>
        </w:rPr>
        <w:t>回注，不外排</w:t>
      </w:r>
      <w:r>
        <w:rPr>
          <w:rFonts w:cs="Times New Roman"/>
          <w:bCs/>
          <w:color w:val="000000" w:themeColor="text1"/>
          <w:szCs w:val="24"/>
          <w:highlight w:val="none"/>
          <w14:textFill>
            <w14:solidFill>
              <w14:schemeClr w14:val="tx1"/>
            </w14:solidFill>
          </w14:textFill>
        </w:rPr>
        <w:t>。本项目处理后回注的废水不计算总量，处理后外排的废水的总量纳入依托的废水处理设施总量指标。</w:t>
      </w:r>
    </w:p>
    <w:p>
      <w:pPr>
        <w:ind w:firstLine="480"/>
        <w:rPr>
          <w:rFonts w:cs="Times New Roman"/>
          <w:color w:val="000000" w:themeColor="text1"/>
          <w:szCs w:val="24"/>
          <w:highlight w:val="none"/>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
        <w:rPr>
          <w:b/>
          <w:color w:val="000000" w:themeColor="text1"/>
          <w:highlight w:val="none"/>
          <w:lang w:eastAsia="zh-CN"/>
          <w14:textFill>
            <w14:solidFill>
              <w14:schemeClr w14:val="tx1"/>
            </w14:solidFill>
          </w14:textFill>
        </w:rPr>
      </w:pPr>
      <w:bookmarkStart w:id="498" w:name="_Toc28511"/>
      <w:r>
        <w:rPr>
          <w:color w:val="000000" w:themeColor="text1"/>
          <w:highlight w:val="none"/>
          <w:lang w:eastAsia="zh-CN"/>
          <w14:textFill>
            <w14:solidFill>
              <w14:schemeClr w14:val="tx1"/>
            </w14:solidFill>
          </w14:textFill>
        </w:rPr>
        <w:t>环境管理与环境监测</w:t>
      </w:r>
      <w:bookmarkEnd w:id="498"/>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499" w:name="_bookmark39"/>
      <w:bookmarkEnd w:id="499"/>
      <w:bookmarkStart w:id="500" w:name="8.1环境管理"/>
      <w:bookmarkEnd w:id="500"/>
      <w:bookmarkStart w:id="501" w:name="_Toc15228"/>
      <w:r>
        <w:rPr>
          <w:color w:val="000000" w:themeColor="text1"/>
          <w:highlight w:val="none"/>
          <w:lang w:eastAsia="zh-CN"/>
          <w14:textFill>
            <w14:solidFill>
              <w14:schemeClr w14:val="tx1"/>
            </w14:solidFill>
          </w14:textFill>
        </w:rPr>
        <w:t>环境管理</w:t>
      </w:r>
      <w:bookmarkEnd w:id="501"/>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02" w:name="8.1.1环境管理的目的和意义"/>
      <w:bookmarkEnd w:id="502"/>
      <w:bookmarkStart w:id="503" w:name="_Toc120173242"/>
      <w:r>
        <w:rPr>
          <w:color w:val="000000" w:themeColor="text1"/>
          <w:highlight w:val="none"/>
          <w:lang w:eastAsia="zh-CN"/>
          <w14:textFill>
            <w14:solidFill>
              <w14:schemeClr w14:val="tx1"/>
            </w14:solidFill>
          </w14:textFill>
        </w:rPr>
        <w:t>环境管理的目的和意义</w:t>
      </w:r>
      <w:bookmarkEnd w:id="503"/>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管理是协调经济、社会、环境有序发展的重要手段。环境管理就是以环境科学理论为基础，运用经济、法律、技术、行政、教育等手段去约束人类的社会经济活动，达到不超出环境容量的极限，又能满足人类日益增长的物质生活需要，并使经济发展与生态环境维持在相互可以接受的水平。实践证明，要解决好建设项目的环境问题，首先必须强化其环境管理。</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项目建成后应加强环境管理工作，按照国家的环保政策，建立环境管理制度，治理污染源，减少污染物的排放，最大限度地减少项目施工期和试采期对周围环境的不利影响，实现经济效益、社会效益和环境效益的统一。</w:t>
      </w:r>
    </w:p>
    <w:p>
      <w:pPr>
        <w:pStyle w:val="4"/>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04" w:name="8.1.2环境管理机构及职责"/>
      <w:bookmarkEnd w:id="504"/>
      <w:bookmarkStart w:id="505" w:name="_Toc120173243"/>
      <w:r>
        <w:rPr>
          <w:color w:val="000000" w:themeColor="text1"/>
          <w:highlight w:val="none"/>
          <w:lang w:eastAsia="zh-CN"/>
          <w14:textFill>
            <w14:solidFill>
              <w14:schemeClr w14:val="tx1"/>
            </w14:solidFill>
          </w14:textFill>
        </w:rPr>
        <w:t>施工期环境管理</w:t>
      </w:r>
      <w:bookmarkEnd w:id="505"/>
    </w:p>
    <w:p>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val="0"/>
          <w:color w:val="000000" w:themeColor="text1"/>
          <w:highlight w:val="none"/>
          <w14:textFill>
            <w14:solidFill>
              <w14:schemeClr w14:val="tx1"/>
            </w14:solidFill>
          </w14:textFill>
        </w:rPr>
      </w:pPr>
      <w:bookmarkStart w:id="506" w:name="8.1.4运营期环境管理"/>
      <w:bookmarkEnd w:id="506"/>
      <w:r>
        <w:rPr>
          <w:rFonts w:hint="default" w:ascii="Times New Roman" w:hAnsi="Times New Roman" w:eastAsia="黑体" w:cs="Times New Roman"/>
          <w:b w:val="0"/>
          <w:bCs w:val="0"/>
          <w:color w:val="000000" w:themeColor="text1"/>
          <w:highlight w:val="none"/>
          <w14:textFill>
            <w14:solidFill>
              <w14:schemeClr w14:val="tx1"/>
            </w14:solidFill>
          </w14:textFill>
        </w:rPr>
        <w:t>1、建立有效的环保措施落实监督检查机制</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于井场井站涉及钻前、钻井、压裂和试采运营四个阶段，建设单位应设专人负责监督不同施工单位在各自实施阶段过程中的环境保护工作，同时监督施工单位落实环境保护措施。在施工承包合同中，应该包括有关环境保护条款，如生态保护措施，水土保持措施，施工设备排放的废气、噪声控制措施和环境保护目标，环境监控措施，环保专项资金的落实等。</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在钻井施工阶段重点监督检查如下环保措施：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1）泥浆不落地处理环保措施的执行和运行情况，确保措施有效、可靠、可行；</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2）按照环保设计和环评文件要求，监督检查废水、固废严禁外排措施的执行情况；</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3）监督检查环境风险防范措施、应急预案、应急演练、地下水跟踪监测计划等制度措施制定和执行情况。</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在储层改造阶段重点监督检查如下环保措施：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1）阶段取水，避免对当地水资源的占用影响当地河流水体生境；</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2）返排液收集、转运、处置措施执行情况；</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3）分区防渗措施可靠性情况，监督检查是否发生污染泄漏并及时整改。</w:t>
      </w:r>
    </w:p>
    <w:p>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2、建立有效的环境管理机构</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方应设专人负责各作业单元HSE管理制度的贯彻执行，主要职责在于监督承包商履行承包合同，监督作业进程。制定作业环境保护规定。根据施工作业合同中有关环保要求和各作业特点，分别制定各项环保措施。如在施工过程中，要求在保证安全和顺利施工的情况下，减少对土地的征用及植被、作物的人为破坏，禁止猎杀野生动物；在车辆运输中，要事先确定路线，防止车辆油料及物料装运泄漏等。</w:t>
      </w:r>
    </w:p>
    <w:p>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3、建立完善的环保工作计划</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1）在施工前制定环境保护规划</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收集施工地区现有的自然生态环境、社会环境状况以及当地政府有关环境保护的法规等，作为制定规划的依据。重点考虑生态、野生动物、植物等。</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2）进行环境保护培训</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在施工前需对全体员工进行环境保护知识和环保意识培训，并结合施工计划提出具体的环保措施。</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3）紧急情况处理计划</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计划中要考虑施工中可能出现的紧急情况，并明确处理紧急情况的协调及提交相关的恢复措施报告。</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4）施工结束后的恢复计划</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施工前必须制定恢复计划，主要包括：收集所有的施工材料废弃物和生活废弃物、填实污水坑并用土压实，尽量恢复工区内的自然排水通道，营地</w:t>
      </w:r>
      <w:r>
        <w:rPr>
          <w:rFonts w:hint="eastAsia"/>
          <w:color w:val="000000" w:themeColor="text1"/>
          <w:highlight w:val="none"/>
          <w:lang w:eastAsia="zh-CN"/>
          <w14:textFill>
            <w14:solidFill>
              <w14:schemeClr w14:val="tx1"/>
            </w14:solidFill>
          </w14:textFill>
        </w:rPr>
        <w:t>拆除</w:t>
      </w:r>
      <w:r>
        <w:rPr>
          <w:color w:val="000000" w:themeColor="text1"/>
          <w:highlight w:val="none"/>
          <w14:textFill>
            <w14:solidFill>
              <w14:schemeClr w14:val="tx1"/>
            </w14:solidFill>
          </w14:textFill>
        </w:rPr>
        <w:t>后不留废弃物品，并对现场作业环境和营地环境恢复情况进行回访等。</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07" w:name="_Toc120173244"/>
      <w:r>
        <w:rPr>
          <w:color w:val="000000" w:themeColor="text1"/>
          <w:highlight w:val="none"/>
          <w:lang w:eastAsia="zh-CN"/>
          <w14:textFill>
            <w14:solidFill>
              <w14:schemeClr w14:val="tx1"/>
            </w14:solidFill>
          </w14:textFill>
        </w:rPr>
        <w:t>试采期环境管理</w:t>
      </w:r>
      <w:bookmarkEnd w:id="507"/>
    </w:p>
    <w:p>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1、加强环保设备的管理</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建立环保</w:t>
      </w:r>
      <w:r>
        <w:rPr>
          <w:rFonts w:hint="eastAsia"/>
          <w:color w:val="000000" w:themeColor="text1"/>
          <w:highlight w:val="none"/>
          <w:lang w:eastAsia="zh-CN"/>
          <w14:textFill>
            <w14:solidFill>
              <w14:schemeClr w14:val="tx1"/>
            </w14:solidFill>
          </w14:textFill>
        </w:rPr>
        <w:t>设备台账</w:t>
      </w:r>
      <w:r>
        <w:rPr>
          <w:color w:val="000000" w:themeColor="text1"/>
          <w:highlight w:val="none"/>
          <w14:textFill>
            <w14:solidFill>
              <w14:schemeClr w14:val="tx1"/>
            </w14:solidFill>
          </w14:textFill>
        </w:rPr>
        <w:t>，制定主要环保设备的操作规程及安排专门操作人员，建立重点处理设备的“环保运行记录”等。</w:t>
      </w:r>
    </w:p>
    <w:p>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黑体" w:cs="Times New Roman"/>
          <w:b w:val="0"/>
          <w:bCs w:val="0"/>
          <w:color w:val="000000" w:themeColor="text1"/>
          <w:highlight w:val="none"/>
          <w14:textFill>
            <w14:solidFill>
              <w14:schemeClr w14:val="tx1"/>
            </w14:solidFill>
          </w14:textFill>
        </w:rPr>
      </w:pPr>
      <w:r>
        <w:rPr>
          <w:rFonts w:hint="default" w:ascii="Times New Roman" w:hAnsi="Times New Roman" w:eastAsia="黑体" w:cs="Times New Roman"/>
          <w:b w:val="0"/>
          <w:bCs w:val="0"/>
          <w:color w:val="000000" w:themeColor="text1"/>
          <w:highlight w:val="none"/>
          <w14:textFill>
            <w14:solidFill>
              <w14:schemeClr w14:val="tx1"/>
            </w14:solidFill>
          </w14:textFill>
        </w:rPr>
        <w:t>2、落实管理制度</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除加强环保设备的基础管理外，尚需狠抓制度的落实，制定环保经济责任制考核制度，以提高各部门对环境保护的责任感。</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项目试采期，环境管理除做好监督与检查站场各项环保设施的运行和维护等工作外，工作重点应针对工艺装置或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08" w:name="_Toc16853"/>
      <w:r>
        <w:rPr>
          <w:color w:val="000000" w:themeColor="text1"/>
          <w:highlight w:val="none"/>
          <w:lang w:eastAsia="zh-CN"/>
          <w14:textFill>
            <w14:solidFill>
              <w14:schemeClr w14:val="tx1"/>
            </w14:solidFill>
          </w14:textFill>
        </w:rPr>
        <w:t>污染物排放清单</w:t>
      </w:r>
      <w:bookmarkEnd w:id="508"/>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根据《建设项目环境影</w:t>
      </w:r>
      <w:r>
        <w:rPr>
          <w:color w:val="000000" w:themeColor="text1"/>
          <w:highlight w:val="none"/>
          <w:lang w:eastAsia="zh-CN"/>
          <w14:textFill>
            <w14:solidFill>
              <w14:schemeClr w14:val="tx1"/>
            </w14:solidFill>
          </w14:textFill>
        </w:rPr>
        <w:t>响评价技术导则 总纲》（HJ2.1-2016）相关要求，</w:t>
      </w:r>
      <w:r>
        <w:rPr>
          <w:rFonts w:hint="eastAsia"/>
          <w:color w:val="000000" w:themeColor="text1"/>
          <w:highlight w:val="none"/>
          <w:lang w:eastAsia="zh-CN"/>
          <w14:textFill>
            <w14:solidFill>
              <w14:schemeClr w14:val="tx1"/>
            </w14:solidFill>
          </w14:textFill>
        </w:rPr>
        <w:t>建设项目</w:t>
      </w:r>
      <w:r>
        <w:rPr>
          <w:color w:val="000000" w:themeColor="text1"/>
          <w:highlight w:val="none"/>
          <w:lang w:eastAsia="zh-CN"/>
          <w14:textFill>
            <w14:solidFill>
              <w14:schemeClr w14:val="tx1"/>
            </w14:solidFill>
          </w14:textFill>
        </w:rPr>
        <w:t>应给出污染物排放清单，明确污染物排放的管理要求。包括工程组成及原辅材料组分要求，建设项</w:t>
      </w:r>
      <w:r>
        <w:rPr>
          <w:rFonts w:ascii="Times New Roman" w:hAnsi="Times New Roman"/>
          <w:bCs/>
          <w:color w:val="000000" w:themeColor="text1"/>
          <w:kern w:val="2"/>
          <w:highlight w:val="none"/>
          <w:lang w:eastAsia="zh-CN"/>
          <w14:textFill>
            <w14:solidFill>
              <w14:schemeClr w14:val="tx1"/>
            </w14:solidFill>
          </w14:textFill>
        </w:rPr>
        <w:t>目拟采取的环境保护措施及主要运行参数，排放的污染物种类、放浓度和总量指标，污染物排放的分时段要求，排污口信息，执行的环境标准，环境风险防范措施以及环境监测等。提出应向社会公开的信息内容。本项目污染物排放具体见</w:t>
      </w:r>
      <w:r>
        <w:rPr>
          <w:rFonts w:ascii="Times New Roman" w:hAnsi="Times New Roman"/>
          <w:bCs/>
          <w:color w:val="000000" w:themeColor="text1"/>
          <w:kern w:val="2"/>
          <w:highlight w:val="none"/>
          <w:lang w:eastAsia="zh-CN"/>
          <w14:textFill>
            <w14:solidFill>
              <w14:schemeClr w14:val="tx1"/>
            </w14:solidFill>
          </w14:textFill>
        </w:rPr>
        <w:fldChar w:fldCharType="begin"/>
      </w:r>
      <w:r>
        <w:rPr>
          <w:rFonts w:ascii="Times New Roman" w:hAnsi="Times New Roman"/>
          <w:bCs/>
          <w:color w:val="000000" w:themeColor="text1"/>
          <w:kern w:val="2"/>
          <w:highlight w:val="none"/>
          <w:lang w:eastAsia="zh-CN"/>
          <w14:textFill>
            <w14:solidFill>
              <w14:schemeClr w14:val="tx1"/>
            </w14:solidFill>
          </w14:textFill>
        </w:rPr>
        <w:instrText xml:space="preserve"> REF _Ref142859786 \h  \* MERGEFORMAT </w:instrText>
      </w:r>
      <w:r>
        <w:rPr>
          <w:rFonts w:ascii="Times New Roman" w:hAnsi="Times New Roman"/>
          <w:bCs/>
          <w:color w:val="000000" w:themeColor="text1"/>
          <w:kern w:val="2"/>
          <w:highlight w:val="none"/>
          <w:lang w:eastAsia="zh-CN"/>
          <w14:textFill>
            <w14:solidFill>
              <w14:schemeClr w14:val="tx1"/>
            </w14:solidFill>
          </w14:textFill>
        </w:rPr>
        <w:fldChar w:fldCharType="separate"/>
      </w:r>
      <w:r>
        <w:rPr>
          <w:rFonts w:hint="eastAsia" w:ascii="Times New Roman" w:hAnsi="Times New Roman"/>
          <w:bCs/>
          <w:color w:val="000000" w:themeColor="text1"/>
          <w:kern w:val="2"/>
          <w:highlight w:val="none"/>
          <w:lang w:eastAsia="zh-CN"/>
          <w14:textFill>
            <w14:solidFill>
              <w14:schemeClr w14:val="tx1"/>
            </w14:solidFill>
          </w14:textFill>
        </w:rPr>
        <w:t>表</w:t>
      </w:r>
      <w:r>
        <w:rPr>
          <w:rFonts w:ascii="Times New Roman" w:hAnsi="Times New Roman"/>
          <w:bCs/>
          <w:color w:val="000000" w:themeColor="text1"/>
          <w:kern w:val="2"/>
          <w:highlight w:val="none"/>
          <w:lang w:eastAsia="zh-CN"/>
          <w14:textFill>
            <w14:solidFill>
              <w14:schemeClr w14:val="tx1"/>
            </w14:solidFill>
          </w14:textFill>
        </w:rPr>
        <w:t>10.2</w:t>
      </w:r>
      <w:r>
        <w:rPr>
          <w:rFonts w:ascii="Times New Roman" w:hAnsi="Times New Roman"/>
          <w:bCs/>
          <w:color w:val="000000" w:themeColor="text1"/>
          <w:kern w:val="2"/>
          <w:highlight w:val="none"/>
          <w:lang w:eastAsia="zh-CN"/>
          <w14:textFill>
            <w14:solidFill>
              <w14:schemeClr w14:val="tx1"/>
            </w14:solidFill>
          </w14:textFill>
        </w:rPr>
        <w:noBreakHyphen/>
      </w:r>
      <w:r>
        <w:rPr>
          <w:rFonts w:ascii="Times New Roman" w:hAnsi="Times New Roman"/>
          <w:bCs/>
          <w:color w:val="000000" w:themeColor="text1"/>
          <w:kern w:val="2"/>
          <w:highlight w:val="none"/>
          <w:lang w:eastAsia="zh-CN"/>
          <w14:textFill>
            <w14:solidFill>
              <w14:schemeClr w14:val="tx1"/>
            </w14:solidFill>
          </w14:textFill>
        </w:rPr>
        <w:t>1</w:t>
      </w:r>
      <w:r>
        <w:rPr>
          <w:rFonts w:ascii="Times New Roman" w:hAnsi="Times New Roman"/>
          <w:bCs/>
          <w:color w:val="000000" w:themeColor="text1"/>
          <w:kern w:val="2"/>
          <w:highlight w:val="none"/>
          <w:lang w:eastAsia="zh-CN"/>
          <w14:textFill>
            <w14:solidFill>
              <w14:schemeClr w14:val="tx1"/>
            </w14:solidFill>
          </w14:textFill>
        </w:rPr>
        <w:fldChar w:fldCharType="end"/>
      </w:r>
      <w:r>
        <w:rPr>
          <w:rFonts w:ascii="Times New Roman" w:hAnsi="Times New Roman"/>
          <w:bCs/>
          <w:color w:val="000000" w:themeColor="text1"/>
          <w:kern w:val="2"/>
          <w:highlight w:val="none"/>
          <w:lang w:eastAsia="zh-CN"/>
          <w14:textFill>
            <w14:solidFill>
              <w14:schemeClr w14:val="tx1"/>
            </w14:solidFill>
          </w14:textFill>
        </w:rPr>
        <w:t>。</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p>
    <w:p>
      <w:pPr>
        <w:pStyle w:val="201"/>
        <w:spacing w:before="120"/>
        <w:rPr>
          <w:color w:val="000000" w:themeColor="text1"/>
          <w:highlight w:val="none"/>
          <w14:textFill>
            <w14:solidFill>
              <w14:schemeClr w14:val="tx1"/>
            </w14:solidFill>
          </w14:textFill>
        </w:rPr>
      </w:pPr>
      <w:bookmarkStart w:id="509" w:name="_Ref142859786"/>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509"/>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本项目污染物排放清单一览表</w:t>
      </w:r>
    </w:p>
    <w:tbl>
      <w:tblPr>
        <w:tblStyle w:val="52"/>
        <w:tblW w:w="13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1418"/>
        <w:gridCol w:w="1276"/>
        <w:gridCol w:w="881"/>
        <w:gridCol w:w="801"/>
        <w:gridCol w:w="970"/>
        <w:gridCol w:w="3726"/>
        <w:gridCol w:w="851"/>
        <w:gridCol w:w="2268"/>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6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w:t>
            </w:r>
            <w:r>
              <w:rPr>
                <w:rFonts w:hint="default"/>
                <w:b/>
                <w:bCs/>
                <w:color w:val="000000" w:themeColor="text1"/>
                <w:w w:val="99"/>
                <w:szCs w:val="20"/>
                <w:highlight w:val="none"/>
                <w14:textFill>
                  <w14:solidFill>
                    <w14:schemeClr w14:val="tx1"/>
                  </w14:solidFill>
                </w14:textFill>
              </w:rPr>
              <w:t>物</w:t>
            </w:r>
          </w:p>
        </w:tc>
        <w:tc>
          <w:tcPr>
            <w:tcW w:w="2694" w:type="dxa"/>
            <w:gridSpan w:val="2"/>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污染物种类</w:t>
            </w:r>
          </w:p>
        </w:tc>
        <w:tc>
          <w:tcPr>
            <w:tcW w:w="88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排放浓度mg/m</w:t>
            </w:r>
            <w:r>
              <w:rPr>
                <w:rFonts w:hint="default"/>
                <w:b/>
                <w:bCs/>
                <w:color w:val="000000" w:themeColor="text1"/>
                <w:szCs w:val="20"/>
                <w:highlight w:val="none"/>
                <w:vertAlign w:val="superscript"/>
                <w14:textFill>
                  <w14:solidFill>
                    <w14:schemeClr w14:val="tx1"/>
                  </w14:solidFill>
                </w14:textFill>
              </w:rPr>
              <w:t>3</w:t>
            </w:r>
          </w:p>
        </w:tc>
        <w:tc>
          <w:tcPr>
            <w:tcW w:w="80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排放速率kg/h</w:t>
            </w:r>
          </w:p>
        </w:tc>
        <w:tc>
          <w:tcPr>
            <w:tcW w:w="97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排放量t/a</w:t>
            </w:r>
          </w:p>
        </w:tc>
        <w:tc>
          <w:tcPr>
            <w:tcW w:w="372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环保措施</w:t>
            </w:r>
          </w:p>
        </w:tc>
        <w:tc>
          <w:tcPr>
            <w:tcW w:w="851"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运行参数</w:t>
            </w:r>
          </w:p>
        </w:tc>
        <w:tc>
          <w:tcPr>
            <w:tcW w:w="226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pacing w:val="-4"/>
                <w:szCs w:val="20"/>
                <w:highlight w:val="none"/>
                <w14:textFill>
                  <w14:solidFill>
                    <w14:schemeClr w14:val="tx1"/>
                  </w14:solidFill>
                </w14:textFill>
              </w:rPr>
              <w:t>处理效果、执行标准或拟达</w:t>
            </w:r>
            <w:r>
              <w:rPr>
                <w:rFonts w:hint="default"/>
                <w:b/>
                <w:bCs/>
                <w:color w:val="000000" w:themeColor="text1"/>
                <w:szCs w:val="20"/>
                <w:highlight w:val="none"/>
                <w14:textFill>
                  <w14:solidFill>
                    <w14:schemeClr w14:val="tx1"/>
                  </w14:solidFill>
                </w14:textFill>
              </w:rPr>
              <w:t>要求</w:t>
            </w:r>
          </w:p>
        </w:tc>
        <w:tc>
          <w:tcPr>
            <w:tcW w:w="572"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Cs w:val="20"/>
                <w:highlight w:val="none"/>
                <w14:textFill>
                  <w14:solidFill>
                    <w14:schemeClr w14:val="tx1"/>
                  </w14:solidFill>
                </w14:textFill>
              </w:rPr>
            </w:pPr>
            <w:r>
              <w:rPr>
                <w:rFonts w:hint="default"/>
                <w:b/>
                <w:bCs/>
                <w:color w:val="000000" w:themeColor="text1"/>
                <w:szCs w:val="20"/>
                <w:highlight w:val="none"/>
                <w14:textFill>
                  <w14:solidFill>
                    <w14:schemeClr w14:val="tx1"/>
                  </w14:solidFill>
                </w14:textFill>
              </w:rPr>
              <w:t>总量控制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大气污染物</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施工扬尘</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position w:val="2"/>
                <w:szCs w:val="20"/>
                <w:highlight w:val="none"/>
                <w14:textFill>
                  <w14:solidFill>
                    <w14:schemeClr w14:val="tx1"/>
                  </w14:solidFill>
                </w14:textFill>
              </w:rPr>
              <w:t>TSP</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定期洒水抑尘</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施工期，白天</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对周围环境影响很小</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施工机械和运输车辆尾气、压裂作业废气</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CO、NOx等</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选用尾气排放达标机械车辆，加强保养维护</w:t>
            </w:r>
          </w:p>
        </w:tc>
        <w:tc>
          <w:tcPr>
            <w:tcW w:w="851"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施工期，白天</w:t>
            </w:r>
          </w:p>
        </w:tc>
        <w:tc>
          <w:tcPr>
            <w:tcW w:w="2268" w:type="dxa"/>
            <w:tcBorders>
              <w:top w:val="single" w:color="auto" w:sz="4" w:space="0"/>
              <w:left w:val="single" w:color="auto" w:sz="4" w:space="0"/>
              <w:bottom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对周围环境影响很小</w:t>
            </w:r>
          </w:p>
        </w:tc>
        <w:tc>
          <w:tcPr>
            <w:tcW w:w="572" w:type="dxa"/>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无组织挥发性废气</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无组织挥发性有机物</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51" w:type="dxa"/>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钻井期</w:t>
            </w:r>
          </w:p>
        </w:tc>
        <w:tc>
          <w:tcPr>
            <w:tcW w:w="2268" w:type="dxa"/>
            <w:tcBorders>
              <w:top w:val="single" w:color="auto" w:sz="4" w:space="0"/>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满足《陆上石油天然气开采工业大气污染物排放标准》（GB39728—2020）要求</w:t>
            </w:r>
          </w:p>
        </w:tc>
        <w:tc>
          <w:tcPr>
            <w:tcW w:w="572" w:type="dxa"/>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备用柴油发电机尾气</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NOx</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150</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1.17</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vMerge w:val="restart"/>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自带消烟除尘装置处理后经6m高排气筒排放</w:t>
            </w:r>
          </w:p>
        </w:tc>
        <w:tc>
          <w:tcPr>
            <w:tcW w:w="851"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偶尔</w:t>
            </w:r>
          </w:p>
        </w:tc>
        <w:tc>
          <w:tcPr>
            <w:tcW w:w="2268"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对周围环境影响很小</w:t>
            </w:r>
          </w:p>
        </w:tc>
        <w:tc>
          <w:tcPr>
            <w:tcW w:w="572" w:type="dxa"/>
            <w:vMerge w:val="restart"/>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SO</w:t>
            </w:r>
            <w:r>
              <w:rPr>
                <w:rFonts w:hint="default"/>
                <w:color w:val="000000" w:themeColor="text1"/>
                <w:szCs w:val="20"/>
                <w:highlight w:val="none"/>
                <w:vertAlign w:val="subscript"/>
                <w14:textFill>
                  <w14:solidFill>
                    <w14:schemeClr w14:val="tx1"/>
                  </w14:solidFill>
                </w14:textFill>
              </w:rPr>
              <w:t>2</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1.0</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0.008</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vMerge w:val="continue"/>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1"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68"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Merge w:val="continue"/>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TSP</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41</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0.33</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3726" w:type="dxa"/>
            <w:vMerge w:val="continue"/>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1"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68"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Merge w:val="continue"/>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加热炉、火炬长明灯等燃烧产生的烟气</w:t>
            </w:r>
          </w:p>
        </w:tc>
        <w:tc>
          <w:tcPr>
            <w:tcW w:w="1276"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烟气</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1249.93</w:t>
            </w:r>
            <w:r>
              <w:rPr>
                <w:rFonts w:hint="default" w:ascii="Times New Roman" w:hAnsi="Times New Roman"/>
                <w:bCs/>
                <w:color w:val="000000" w:themeColor="text1"/>
                <w:sz w:val="21"/>
                <w:szCs w:val="21"/>
                <w:highlight w:val="none"/>
                <w14:textFill>
                  <w14:solidFill>
                    <w14:schemeClr w14:val="tx1"/>
                  </w14:solidFill>
                </w14:textFill>
              </w:rPr>
              <w:t>万Nm</w:t>
            </w:r>
            <w:r>
              <w:rPr>
                <w:rFonts w:hint="default" w:ascii="Times New Roman" w:hAnsi="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bCs/>
                <w:color w:val="000000" w:themeColor="text1"/>
                <w:sz w:val="21"/>
                <w:szCs w:val="21"/>
                <w:highlight w:val="none"/>
                <w14:textFill>
                  <w14:solidFill>
                    <w14:schemeClr w14:val="tx1"/>
                  </w14:solidFill>
                </w14:textFill>
              </w:rPr>
              <w:t>/a</w:t>
            </w:r>
          </w:p>
        </w:tc>
        <w:tc>
          <w:tcPr>
            <w:tcW w:w="3726" w:type="dxa"/>
            <w:vMerge w:val="restart"/>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水套加热炉燃烧废气通过自带8m高排气筒排放；火炬长明灯等燃烧产生的烟气经</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14:textFill>
                  <w14:solidFill>
                    <w14:schemeClr w14:val="tx1"/>
                  </w14:solidFill>
                </w14:textFill>
              </w:rPr>
              <w:t>5m高放空火炬点火燃烧排放</w:t>
            </w:r>
          </w:p>
        </w:tc>
        <w:tc>
          <w:tcPr>
            <w:tcW w:w="851"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全年</w:t>
            </w:r>
          </w:p>
        </w:tc>
        <w:tc>
          <w:tcPr>
            <w:tcW w:w="2268" w:type="dxa"/>
            <w:vMerge w:val="restart"/>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《锅炉大气污染物排放标准》（GB13271-2014）与《大气污染物综合排放标准》（GB16297-1996）</w:t>
            </w:r>
          </w:p>
        </w:tc>
        <w:tc>
          <w:tcPr>
            <w:tcW w:w="572" w:type="dxa"/>
            <w:vMerge w:val="restart"/>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NOx</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0.</w:t>
            </w:r>
            <w:r>
              <w:rPr>
                <w:rFonts w:hint="eastAsia"/>
                <w:color w:val="000000" w:themeColor="text1"/>
                <w:szCs w:val="20"/>
                <w:highlight w:val="none"/>
                <w:lang w:val="en-US" w:eastAsia="zh-CN"/>
                <w14:textFill>
                  <w14:solidFill>
                    <w14:schemeClr w14:val="tx1"/>
                  </w14:solidFill>
                </w14:textFill>
              </w:rPr>
              <w:t>7515</w:t>
            </w:r>
            <w:r>
              <w:rPr>
                <w:rFonts w:hint="default"/>
                <w:color w:val="000000" w:themeColor="text1"/>
                <w:szCs w:val="20"/>
                <w:highlight w:val="none"/>
                <w14:textFill>
                  <w14:solidFill>
                    <w14:schemeClr w14:val="tx1"/>
                  </w14:solidFill>
                </w14:textFill>
              </w:rPr>
              <w:t>t/a</w:t>
            </w:r>
          </w:p>
        </w:tc>
        <w:tc>
          <w:tcPr>
            <w:tcW w:w="3726" w:type="dxa"/>
            <w:vMerge w:val="continue"/>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1"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268"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Merge w:val="continue"/>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非正常工况放空废气</w:t>
            </w:r>
          </w:p>
        </w:tc>
        <w:tc>
          <w:tcPr>
            <w:tcW w:w="1276"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非甲烷总烃</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r>
              <w:rPr>
                <w:rFonts w:hint="eastAsia"/>
                <w:bCs/>
                <w:color w:val="000000" w:themeColor="text1"/>
                <w:sz w:val="21"/>
                <w:szCs w:val="21"/>
                <w:highlight w:val="none"/>
                <w:lang w:val="en-US" w:eastAsia="zh-CN"/>
                <w14:textFill>
                  <w14:solidFill>
                    <w14:schemeClr w14:val="tx1"/>
                  </w14:solidFill>
                </w14:textFill>
              </w:rPr>
              <w:t>（</w:t>
            </w:r>
            <w:r>
              <w:rPr>
                <w:rFonts w:hint="default"/>
                <w:color w:val="000000" w:themeColor="text1"/>
                <w:szCs w:val="20"/>
                <w:highlight w:val="none"/>
                <w14:textFill>
                  <w14:solidFill>
                    <w14:schemeClr w14:val="tx1"/>
                  </w14:solidFill>
                </w14:textFill>
              </w:rPr>
              <w:t>NOx</w:t>
            </w:r>
            <w:r>
              <w:rPr>
                <w:rFonts w:hint="eastAsia"/>
                <w:bCs/>
                <w:color w:val="000000" w:themeColor="text1"/>
                <w:sz w:val="21"/>
                <w:szCs w:val="21"/>
                <w:highlight w:val="none"/>
                <w:lang w:val="en-US" w:eastAsia="zh-CN"/>
                <w14:textFill>
                  <w14:solidFill>
                    <w14:schemeClr w14:val="tx1"/>
                  </w14:solidFill>
                </w14:textFill>
              </w:rPr>
              <w:t>）</w:t>
            </w:r>
          </w:p>
        </w:tc>
        <w:tc>
          <w:tcPr>
            <w:tcW w:w="3726" w:type="dxa"/>
            <w:tcBorders>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引至放空火炬燃烧排放</w:t>
            </w:r>
          </w:p>
        </w:tc>
        <w:tc>
          <w:tcPr>
            <w:tcW w:w="851" w:type="dxa"/>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偶尔</w:t>
            </w:r>
          </w:p>
        </w:tc>
        <w:tc>
          <w:tcPr>
            <w:tcW w:w="2268" w:type="dxa"/>
            <w:vMerge w:val="continue"/>
            <w:tcBorders>
              <w:left w:val="single" w:color="auto" w:sz="4" w:space="0"/>
              <w:righ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tcBorders>
              <w:left w:val="single" w:color="auto" w:sz="4" w:space="0"/>
            </w:tcBorders>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水污染物</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钻井废水</w:t>
            </w:r>
          </w:p>
        </w:tc>
        <w:tc>
          <w:tcPr>
            <w:tcW w:w="127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石油类、悬浮物、COD及氯化物等</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72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约90%回用于区块内钻井或压裂液配置，剩余的转运预处理后回注</w:t>
            </w:r>
          </w:p>
        </w:tc>
        <w:tc>
          <w:tcPr>
            <w:tcW w:w="85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钻井期定期转运</w:t>
            </w:r>
          </w:p>
        </w:tc>
        <w:tc>
          <w:tcPr>
            <w:tcW w:w="226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污水全部回用或回注</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洗井废水</w:t>
            </w:r>
          </w:p>
        </w:tc>
        <w:tc>
          <w:tcPr>
            <w:tcW w:w="127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r>
              <w:rPr>
                <w:rFonts w:hint="default"/>
                <w:color w:val="000000" w:themeColor="text1"/>
                <w:szCs w:val="20"/>
                <w:highlight w:val="none"/>
                <w14:textFill>
                  <w14:solidFill>
                    <w14:schemeClr w14:val="tx1"/>
                  </w14:solidFill>
                </w14:textFill>
              </w:rPr>
              <w:t>00m</w:t>
            </w:r>
            <w:r>
              <w:rPr>
                <w:rFonts w:hint="default"/>
                <w:color w:val="000000" w:themeColor="text1"/>
                <w:szCs w:val="20"/>
                <w:highlight w:val="none"/>
                <w:vertAlign w:val="superscript"/>
                <w14:textFill>
                  <w14:solidFill>
                    <w14:schemeClr w14:val="tx1"/>
                  </w14:solidFill>
                </w14:textFill>
              </w:rPr>
              <w:t>3</w:t>
            </w:r>
          </w:p>
        </w:tc>
        <w:tc>
          <w:tcPr>
            <w:tcW w:w="372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w w:val="99"/>
                <w:szCs w:val="20"/>
                <w:highlight w:val="none"/>
                <w14:textFill>
                  <w14:solidFill>
                    <w14:schemeClr w14:val="tx1"/>
                  </w14:solidFill>
                </w14:textFill>
              </w:rPr>
            </w:pPr>
          </w:p>
        </w:tc>
        <w:tc>
          <w:tcPr>
            <w:tcW w:w="226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压裂返排液</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石油类、悬浮物、COD等</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59778</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72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w w:val="99"/>
                <w:szCs w:val="20"/>
                <w:highlight w:val="none"/>
                <w14:textFill>
                  <w14:solidFill>
                    <w14:schemeClr w14:val="tx1"/>
                  </w14:solidFill>
                </w14:textFill>
              </w:rPr>
            </w:pPr>
          </w:p>
        </w:tc>
        <w:tc>
          <w:tcPr>
            <w:tcW w:w="226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钻井生活污水</w:t>
            </w:r>
          </w:p>
        </w:tc>
        <w:tc>
          <w:tcPr>
            <w:tcW w:w="1276"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COD</w:t>
            </w:r>
            <w:r>
              <w:rPr>
                <w:rFonts w:hint="default"/>
                <w:color w:val="000000" w:themeColor="text1"/>
                <w:szCs w:val="20"/>
                <w:highlight w:val="none"/>
                <w:vertAlign w:val="subscript"/>
                <w14:textFill>
                  <w14:solidFill>
                    <w14:schemeClr w14:val="tx1"/>
                  </w14:solidFill>
                </w14:textFill>
              </w:rPr>
              <w:t>Cr</w:t>
            </w:r>
            <w:r>
              <w:rPr>
                <w:rFonts w:hint="default"/>
                <w:color w:val="000000" w:themeColor="text1"/>
                <w:szCs w:val="20"/>
                <w:highlight w:val="none"/>
                <w14:textFill>
                  <w14:solidFill>
                    <w14:schemeClr w14:val="tx1"/>
                  </w14:solidFill>
                </w14:textFill>
              </w:rPr>
              <w:t>、BOD</w:t>
            </w:r>
            <w:r>
              <w:rPr>
                <w:rFonts w:hint="default"/>
                <w:color w:val="000000" w:themeColor="text1"/>
                <w:szCs w:val="20"/>
                <w:highlight w:val="none"/>
                <w:vertAlign w:val="subscript"/>
                <w14:textFill>
                  <w14:solidFill>
                    <w14:schemeClr w14:val="tx1"/>
                  </w14:solidFill>
                </w14:textFill>
              </w:rPr>
              <w:t>5</w:t>
            </w:r>
            <w:r>
              <w:rPr>
                <w:rFonts w:hint="default"/>
                <w:color w:val="000000" w:themeColor="text1"/>
                <w:szCs w:val="20"/>
                <w:highlight w:val="none"/>
                <w14:textFill>
                  <w14:solidFill>
                    <w14:schemeClr w14:val="tx1"/>
                  </w14:solidFill>
                </w14:textFill>
              </w:rPr>
              <w:t>、SS等</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2.88m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/d</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生活污水经生态厕所收集后定期由密闭罐车拉运至周边生活污水处理厂处理</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w w:val="99"/>
                <w:szCs w:val="20"/>
                <w:highlight w:val="none"/>
                <w14:textFill>
                  <w14:solidFill>
                    <w14:schemeClr w14:val="tx1"/>
                  </w14:solidFill>
                </w14:textFill>
              </w:rPr>
            </w:pPr>
          </w:p>
        </w:tc>
        <w:tc>
          <w:tcPr>
            <w:tcW w:w="226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有效收集处理，无乱排</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钻前生活污水</w:t>
            </w:r>
          </w:p>
        </w:tc>
        <w:tc>
          <w:tcPr>
            <w:tcW w:w="1276"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利用农户已有的设施进行收集处置</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w w:val="99"/>
                <w:szCs w:val="20"/>
                <w:highlight w:val="none"/>
                <w14:textFill>
                  <w14:solidFill>
                    <w14:schemeClr w14:val="tx1"/>
                  </w14:solidFill>
                </w14:textFill>
              </w:rPr>
            </w:pPr>
          </w:p>
        </w:tc>
        <w:tc>
          <w:tcPr>
            <w:tcW w:w="226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钻前施工废水</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SS和石油类</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少量</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经隔油池沉淀处理后回用于洒水降尘</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w:t>
            </w:r>
          </w:p>
        </w:tc>
        <w:tc>
          <w:tcPr>
            <w:tcW w:w="226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气田水</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石油类、悬浮物、COD及氯化物等</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80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970" w:type="dxa"/>
            <w:vAlign w:val="center"/>
          </w:tcPr>
          <w:p>
            <w:pPr>
              <w:pStyle w:val="295"/>
              <w:keepNext w:val="0"/>
              <w:keepLines w:val="0"/>
              <w:widowControl/>
              <w:suppressLineNumbers w:val="0"/>
              <w:spacing w:before="0" w:beforeAutospacing="0" w:after="0" w:afterAutospacing="0"/>
              <w:ind w:left="0" w:right="0"/>
              <w:rPr>
                <w:rFonts w:hint="default"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50</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r>
              <w:rPr>
                <w:rFonts w:hint="default"/>
                <w:color w:val="000000" w:themeColor="text1"/>
                <w:szCs w:val="20"/>
                <w:highlight w:val="none"/>
                <w14:textFill>
                  <w14:solidFill>
                    <w14:schemeClr w14:val="tx1"/>
                  </w14:solidFill>
                </w14:textFill>
              </w:rPr>
              <w:t>/d</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初期可达200m</w:t>
            </w:r>
            <w:r>
              <w:rPr>
                <w:rFonts w:hint="eastAsia"/>
                <w:color w:val="000000" w:themeColor="text1"/>
                <w:szCs w:val="20"/>
                <w:highlight w:val="none"/>
                <w:vertAlign w:val="superscript"/>
                <w:lang w:val="en-US" w:eastAsia="zh-CN"/>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/d）</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外输至</w:t>
            </w:r>
            <w:r>
              <w:rPr>
                <w:rFonts w:hint="eastAsia"/>
                <w:color w:val="000000" w:themeColor="text1"/>
                <w:szCs w:val="20"/>
                <w:highlight w:val="none"/>
                <w:lang w:eastAsia="zh-CN"/>
                <w14:textFill>
                  <w14:solidFill>
                    <w14:schemeClr w14:val="tx1"/>
                  </w14:solidFill>
                </w14:textFill>
              </w:rPr>
              <w:t>雷页1试采站</w:t>
            </w:r>
            <w:r>
              <w:rPr>
                <w:rFonts w:hint="eastAsia"/>
                <w:color w:val="000000" w:themeColor="text1"/>
                <w:szCs w:val="20"/>
                <w:highlight w:val="none"/>
                <w:lang w:val="en-US" w:eastAsia="zh-CN"/>
                <w14:textFill>
                  <w14:solidFill>
                    <w14:schemeClr w14:val="tx1"/>
                  </w14:solidFill>
                </w14:textFill>
              </w:rPr>
              <w:t>暂存后</w:t>
            </w:r>
            <w:r>
              <w:rPr>
                <w:rFonts w:hint="default"/>
                <w:color w:val="000000" w:themeColor="text1"/>
                <w:szCs w:val="20"/>
                <w:highlight w:val="none"/>
                <w14:textFill>
                  <w14:solidFill>
                    <w14:schemeClr w14:val="tx1"/>
                  </w14:solidFill>
                </w14:textFill>
              </w:rPr>
              <w:t>拉运至</w:t>
            </w:r>
            <w:r>
              <w:rPr>
                <w:rFonts w:hint="eastAsia"/>
                <w:color w:val="000000" w:themeColor="text1"/>
                <w:szCs w:val="20"/>
                <w:highlight w:val="none"/>
                <w:lang w:eastAsia="zh-CN"/>
                <w14:textFill>
                  <w14:solidFill>
                    <w14:schemeClr w14:val="tx1"/>
                  </w14:solidFill>
                </w14:textFill>
              </w:rPr>
              <w:t>赵家坝污水处理站</w:t>
            </w:r>
            <w:r>
              <w:rPr>
                <w:rFonts w:hint="default"/>
                <w:color w:val="000000" w:themeColor="text1"/>
                <w:szCs w:val="20"/>
                <w:highlight w:val="none"/>
                <w14:textFill>
                  <w14:solidFill>
                    <w14:schemeClr w14:val="tx1"/>
                  </w14:solidFill>
                </w14:textFill>
              </w:rPr>
              <w:t>达标后</w:t>
            </w:r>
            <w:r>
              <w:rPr>
                <w:rFonts w:hint="eastAsia"/>
                <w:color w:val="000000" w:themeColor="text1"/>
                <w:szCs w:val="20"/>
                <w:highlight w:val="none"/>
                <w14:textFill>
                  <w14:solidFill>
                    <w14:schemeClr w14:val="tx1"/>
                  </w14:solidFill>
                </w14:textFill>
              </w:rPr>
              <w:t>（达</w:t>
            </w:r>
            <w:r>
              <w:rPr>
                <w:rFonts w:hint="default"/>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rFonts w:hint="default"/>
                <w:color w:val="000000" w:themeColor="text1"/>
                <w:szCs w:val="20"/>
                <w:highlight w:val="none"/>
                <w14:textFill>
                  <w14:solidFill>
                    <w14:schemeClr w14:val="tx1"/>
                  </w14:solidFill>
                </w14:textFill>
              </w:rPr>
              <w:t>管输至</w:t>
            </w:r>
            <w:r>
              <w:rPr>
                <w:rFonts w:hint="eastAsia"/>
                <w:color w:val="000000" w:themeColor="text1"/>
                <w:szCs w:val="20"/>
                <w:highlight w:val="none"/>
                <w:lang w:eastAsia="zh-CN"/>
                <w14:textFill>
                  <w14:solidFill>
                    <w14:schemeClr w14:val="tx1"/>
                  </w14:solidFill>
                </w14:textFill>
              </w:rPr>
              <w:t>普光3井回注站</w:t>
            </w:r>
            <w:r>
              <w:rPr>
                <w:rFonts w:hint="default"/>
                <w:color w:val="000000" w:themeColor="text1"/>
                <w:szCs w:val="20"/>
                <w:highlight w:val="none"/>
                <w14:textFill>
                  <w14:solidFill>
                    <w14:schemeClr w14:val="tx1"/>
                  </w14:solidFill>
                </w14:textFill>
              </w:rPr>
              <w:t>回注，不外排</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试采期定期转运</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污水全部回注</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噪声污染物</w:t>
            </w: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施工期设备噪声</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1771"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75～103dB（A）</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选用低噪声设备、加强维护保养，置于钻井井场内，基础安装减振垫层，柴油发电机设置于室内</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连续/间断</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pacing w:val="-4"/>
                <w:szCs w:val="20"/>
                <w:highlight w:val="none"/>
                <w14:textFill>
                  <w14:solidFill>
                    <w14:schemeClr w14:val="tx1"/>
                  </w14:solidFill>
                </w14:textFill>
              </w:rPr>
              <w:t>不扰民</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试采期噪声</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噪声</w:t>
            </w:r>
          </w:p>
        </w:tc>
        <w:tc>
          <w:tcPr>
            <w:tcW w:w="88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w w:val="99"/>
                <w:szCs w:val="20"/>
                <w:highlight w:val="none"/>
                <w14:textFill>
                  <w14:solidFill>
                    <w14:schemeClr w14:val="tx1"/>
                  </w14:solidFill>
                </w14:textFill>
              </w:rPr>
              <w:t>—</w:t>
            </w:r>
          </w:p>
        </w:tc>
        <w:tc>
          <w:tcPr>
            <w:tcW w:w="1771"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＜55dB（A）</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设备选型时选择低噪声设备，设置减震基础；站内工艺管道的设计考虑合理的流速，减少气流噪声；站内设备合理布局</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连续</w:t>
            </w:r>
          </w:p>
        </w:tc>
        <w:tc>
          <w:tcPr>
            <w:tcW w:w="2268"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pacing w:val="-4"/>
                <w:szCs w:val="20"/>
                <w:highlight w:val="none"/>
                <w14:textFill>
                  <w14:solidFill>
                    <w14:schemeClr w14:val="tx1"/>
                  </w14:solidFill>
                </w14:textFill>
              </w:rPr>
            </w:pPr>
            <w:r>
              <w:rPr>
                <w:rFonts w:hint="default"/>
                <w:color w:val="000000" w:themeColor="text1"/>
                <w:spacing w:val="-4"/>
                <w:szCs w:val="20"/>
                <w:highlight w:val="none"/>
                <w14:textFill>
                  <w14:solidFill>
                    <w14:schemeClr w14:val="tx1"/>
                  </w14:solidFill>
                </w14:textFill>
              </w:rPr>
              <w:t>《工业企业厂界环境噪声排放标准》（GB12348-2008）2类标准</w:t>
            </w:r>
          </w:p>
        </w:tc>
        <w:tc>
          <w:tcPr>
            <w:tcW w:w="572"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562"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固体废物</w:t>
            </w:r>
          </w:p>
        </w:tc>
        <w:tc>
          <w:tcPr>
            <w:tcW w:w="141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施工期固废</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清水岩屑</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205.51m</w:t>
            </w:r>
            <w:r>
              <w:rPr>
                <w:rFonts w:hint="default"/>
                <w:color w:val="000000" w:themeColor="text1"/>
                <w:szCs w:val="20"/>
                <w:highlight w:val="none"/>
                <w:vertAlign w:val="superscript"/>
                <w14:textFill>
                  <w14:solidFill>
                    <w14:schemeClr w14:val="tx1"/>
                  </w14:solidFill>
                </w14:textFill>
              </w:rPr>
              <w:t>3</w:t>
            </w:r>
          </w:p>
        </w:tc>
        <w:tc>
          <w:tcPr>
            <w:tcW w:w="3726" w:type="dxa"/>
            <w:vMerge w:val="restart"/>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经泥浆不落地工艺进行固液分离后及时就近交给依法取得生态环境部门关于利用和处置相关工业固体废物项目环评批复、具有处理处置相应固体废物能力并配套建设有废气、废水、固废等污染物治理设施的单位进行资源化利用（或油基岩屑、废油基泥浆交由资质单位处置）</w:t>
            </w:r>
          </w:p>
        </w:tc>
        <w:tc>
          <w:tcPr>
            <w:tcW w:w="851"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钻井期定期转运</w:t>
            </w:r>
          </w:p>
        </w:tc>
        <w:tc>
          <w:tcPr>
            <w:tcW w:w="2840" w:type="dxa"/>
            <w:gridSpan w:val="2"/>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妥善处置，不会对环境造成二次污染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水基钻井固废</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8145.234t</w:t>
            </w:r>
          </w:p>
        </w:tc>
        <w:tc>
          <w:tcPr>
            <w:tcW w:w="3726" w:type="dxa"/>
            <w:vMerge w:val="continue"/>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5" w:hRule="atLeast"/>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油基钻井固废</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1005.54m</w:t>
            </w:r>
            <w:r>
              <w:rPr>
                <w:rFonts w:hint="default"/>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r>
              <w:rPr>
                <w:rFonts w:hint="default"/>
                <w:color w:val="000000" w:themeColor="text1"/>
                <w:szCs w:val="21"/>
                <w:highlight w:val="none"/>
                <w14:textFill>
                  <w14:solidFill>
                    <w14:schemeClr w14:val="tx1"/>
                  </w14:solidFill>
                </w14:textFill>
              </w:rPr>
              <w:t>废油基泥浆、油基岩屑</w:t>
            </w:r>
            <w:r>
              <w:rPr>
                <w:rFonts w:hint="eastAsia"/>
                <w:color w:val="000000" w:themeColor="text1"/>
                <w:szCs w:val="21"/>
                <w:highlight w:val="none"/>
                <w14:textFill>
                  <w14:solidFill>
                    <w14:schemeClr w14:val="tx1"/>
                  </w14:solidFill>
                </w14:textFill>
              </w:rPr>
              <w:t>）</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三开采用</w:t>
            </w:r>
            <w:r>
              <w:rPr>
                <w:rFonts w:hint="default"/>
                <w:color w:val="000000" w:themeColor="text1"/>
                <w:szCs w:val="21"/>
                <w:highlight w:val="none"/>
                <w14:textFill>
                  <w14:solidFill>
                    <w14:schemeClr w14:val="tx1"/>
                  </w14:solidFill>
                </w14:textFill>
              </w:rPr>
              <w:t>油基钻井废泥浆、岩屑暂存于新建的60m</w:t>
            </w:r>
            <w:r>
              <w:rPr>
                <w:rFonts w:hint="default"/>
                <w:color w:val="000000" w:themeColor="text1"/>
                <w:szCs w:val="21"/>
                <w:highlight w:val="none"/>
                <w:vertAlign w:val="superscript"/>
                <w14:textFill>
                  <w14:solidFill>
                    <w14:schemeClr w14:val="tx1"/>
                  </w14:solidFill>
                </w14:textFill>
              </w:rPr>
              <w:t>2</w:t>
            </w:r>
            <w:r>
              <w:rPr>
                <w:rFonts w:hint="default"/>
                <w:color w:val="000000" w:themeColor="text1"/>
                <w:szCs w:val="21"/>
                <w:highlight w:val="none"/>
                <w14:textFill>
                  <w14:solidFill>
                    <w14:schemeClr w14:val="tx1"/>
                  </w14:solidFill>
                </w14:textFill>
              </w:rPr>
              <w:t>危险废物暂存场所（采取必要的防风、防晒、防雨、防漏、防渗、防腐以及其他环境污染防治措施，不得露天堆放危险废物），泥浆和油基钻井岩屑</w:t>
            </w:r>
            <w:r>
              <w:rPr>
                <w:rFonts w:hint="eastAsia"/>
                <w:color w:val="000000" w:themeColor="text1"/>
                <w:szCs w:val="21"/>
                <w:highlight w:val="none"/>
                <w:lang w:eastAsia="zh-CN"/>
                <w14:textFill>
                  <w14:solidFill>
                    <w14:schemeClr w14:val="tx1"/>
                  </w14:solidFill>
                </w14:textFill>
              </w:rPr>
              <w:t>及时</w:t>
            </w:r>
            <w:r>
              <w:rPr>
                <w:rFonts w:hint="default"/>
                <w:color w:val="000000" w:themeColor="text1"/>
                <w:szCs w:val="21"/>
                <w:highlight w:val="none"/>
                <w14:textFill>
                  <w14:solidFill>
                    <w14:schemeClr w14:val="tx1"/>
                  </w14:solidFill>
                </w14:textFill>
              </w:rPr>
              <w:t>交由有资质的单位处置</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14:textFill>
                  <w14:solidFill>
                    <w14:schemeClr w14:val="tx1"/>
                  </w14:solidFill>
                </w14:textFill>
              </w:rPr>
            </w:pPr>
            <w:r>
              <w:rPr>
                <w:rFonts w:hint="default"/>
                <w:color w:val="000000" w:themeColor="text1"/>
                <w:szCs w:val="20"/>
                <w:highlight w:val="none"/>
                <w14:textFill>
                  <w14:solidFill>
                    <w14:schemeClr w14:val="tx1"/>
                  </w14:solidFill>
                </w14:textFill>
              </w:rPr>
              <w:t>废油</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1.4</w:t>
            </w:r>
            <w:r>
              <w:rPr>
                <w:rFonts w:hint="default"/>
                <w:color w:val="000000" w:themeColor="text1"/>
                <w:szCs w:val="20"/>
                <w:highlight w:val="none"/>
                <w14:textFill>
                  <w14:solidFill>
                    <w14:schemeClr w14:val="tx1"/>
                  </w14:solidFill>
                </w14:textFill>
              </w:rPr>
              <w:t>m</w:t>
            </w:r>
            <w:r>
              <w:rPr>
                <w:rFonts w:hint="default"/>
                <w:color w:val="000000" w:themeColor="text1"/>
                <w:szCs w:val="20"/>
                <w:highlight w:val="none"/>
                <w:vertAlign w:val="superscript"/>
                <w14:textFill>
                  <w14:solidFill>
                    <w14:schemeClr w14:val="tx1"/>
                  </w14:solidFill>
                </w14:textFill>
              </w:rPr>
              <w:t>3</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通过设置废油桶收集，暂存于泥浆不落地装置区临时堆放区内，</w:t>
            </w:r>
            <w:r>
              <w:rPr>
                <w:rFonts w:hint="eastAsia"/>
                <w:color w:val="000000" w:themeColor="text1"/>
                <w:szCs w:val="20"/>
                <w:highlight w:val="none"/>
                <w14:textFill>
                  <w14:solidFill>
                    <w14:schemeClr w14:val="tx1"/>
                  </w14:solidFill>
                </w14:textFill>
              </w:rPr>
              <w:t>最终</w:t>
            </w:r>
            <w:r>
              <w:rPr>
                <w:rFonts w:hint="default"/>
                <w:color w:val="000000" w:themeColor="text1"/>
                <w:szCs w:val="20"/>
                <w:highlight w:val="none"/>
                <w14:textFill>
                  <w14:solidFill>
                    <w14:schemeClr w14:val="tx1"/>
                  </w14:solidFill>
                </w14:textFill>
              </w:rPr>
              <w:t>由钻井队综合利用或交由有资质的单位处理</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废含油抹布手套</w:t>
            </w:r>
            <w:r>
              <w:rPr>
                <w:rFonts w:hint="eastAsia"/>
                <w:color w:val="000000" w:themeColor="text1"/>
                <w:szCs w:val="20"/>
                <w:highlight w:val="none"/>
                <w:lang w:val="en-US" w:eastAsia="zh-CN"/>
                <w14:textFill>
                  <w14:solidFill>
                    <w14:schemeClr w14:val="tx1"/>
                  </w14:solidFill>
                </w14:textFill>
              </w:rPr>
              <w:t>等含油固废</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少量</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通过设置废油桶收集，暂存于泥浆不落地装置区临时堆放区内，交由有资质的单位处理</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废包装材料</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2.0t</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集中收集后部分回用，剩余的送当地废品回收站处理</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生活垃圾</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22.5kg/d</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集中收集，交由当地环卫部门处置</w:t>
            </w:r>
          </w:p>
        </w:tc>
        <w:tc>
          <w:tcPr>
            <w:tcW w:w="851"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钻前、完井搬迁与</w:t>
            </w:r>
            <w:r>
              <w:rPr>
                <w:rFonts w:hint="eastAsia"/>
                <w:color w:val="000000" w:themeColor="text1"/>
                <w:szCs w:val="20"/>
                <w:highlight w:val="none"/>
                <w14:textFill>
                  <w14:solidFill>
                    <w14:schemeClr w14:val="tx1"/>
                  </w14:solidFill>
                </w14:textFill>
              </w:rPr>
              <w:t>试采</w:t>
            </w:r>
            <w:r>
              <w:rPr>
                <w:rFonts w:hint="default"/>
                <w:color w:val="000000" w:themeColor="text1"/>
                <w:szCs w:val="20"/>
                <w:highlight w:val="none"/>
                <w14:textFill>
                  <w14:solidFill>
                    <w14:schemeClr w14:val="tx1"/>
                  </w14:solidFill>
                </w14:textFill>
              </w:rPr>
              <w:t>站</w:t>
            </w:r>
            <w:r>
              <w:rPr>
                <w:rFonts w:hint="eastAsia"/>
                <w:color w:val="000000" w:themeColor="text1"/>
                <w:szCs w:val="20"/>
                <w:highlight w:val="none"/>
                <w14:textFill>
                  <w14:solidFill>
                    <w14:schemeClr w14:val="tx1"/>
                  </w14:solidFill>
                </w14:textFill>
              </w:rPr>
              <w:t>、集输管道等</w:t>
            </w:r>
            <w:r>
              <w:rPr>
                <w:rFonts w:hint="default"/>
                <w:color w:val="000000" w:themeColor="text1"/>
                <w:szCs w:val="20"/>
                <w:highlight w:val="none"/>
                <w14:textFill>
                  <w14:solidFill>
                    <w14:schemeClr w14:val="tx1"/>
                  </w14:solidFill>
                </w14:textFill>
              </w:rPr>
              <w:t>建设建筑垃圾</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7</w:t>
            </w:r>
            <w:r>
              <w:rPr>
                <w:rFonts w:hint="eastAsia"/>
                <w:color w:val="000000" w:themeColor="text1"/>
                <w:szCs w:val="20"/>
                <w:highlight w:val="none"/>
                <w14:textFill>
                  <w14:solidFill>
                    <w14:schemeClr w14:val="tx1"/>
                  </w14:solidFill>
                </w14:textFill>
              </w:rPr>
              <w:t>0t</w:t>
            </w:r>
          </w:p>
        </w:tc>
        <w:tc>
          <w:tcPr>
            <w:tcW w:w="3726" w:type="dxa"/>
            <w:vAlign w:val="center"/>
          </w:tcPr>
          <w:p>
            <w:pPr>
              <w:pStyle w:val="295"/>
              <w:keepNext w:val="0"/>
              <w:keepLines w:val="0"/>
              <w:widowControl/>
              <w:suppressLineNumbers w:val="0"/>
              <w:spacing w:before="0" w:beforeAutospacing="0" w:after="0" w:afterAutospacing="0"/>
              <w:ind w:left="0" w:right="0"/>
              <w:jc w:val="left"/>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施工队伍统一收集清运至政府指定地方</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完井搬迁期</w:t>
            </w: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试采期固废</w:t>
            </w: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三甘醇脱水单元产生的废活性炭</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lang w:eastAsia="zh-CN"/>
                <w14:textFill>
                  <w14:solidFill>
                    <w14:schemeClr w14:val="tx1"/>
                  </w14:solidFill>
                </w14:textFill>
              </w:rPr>
              <w:t>0.</w:t>
            </w:r>
            <w:r>
              <w:rPr>
                <w:rFonts w:hint="eastAsia"/>
                <w:color w:val="000000" w:themeColor="text1"/>
                <w:szCs w:val="20"/>
                <w:highlight w:val="none"/>
                <w:lang w:val="en-US" w:eastAsia="zh-CN"/>
                <w14:textFill>
                  <w14:solidFill>
                    <w14:schemeClr w14:val="tx1"/>
                  </w14:solidFill>
                </w14:textFill>
              </w:rPr>
              <w:t>1</w:t>
            </w:r>
            <w:r>
              <w:rPr>
                <w:rFonts w:hint="default"/>
                <w:color w:val="000000" w:themeColor="text1"/>
                <w:szCs w:val="20"/>
                <w:highlight w:val="none"/>
                <w:lang w:eastAsia="zh-CN"/>
                <w14:textFill>
                  <w14:solidFill>
                    <w14:schemeClr w14:val="tx1"/>
                  </w14:solidFill>
                </w14:textFill>
              </w:rPr>
              <w:t>27t/a</w:t>
            </w:r>
          </w:p>
        </w:tc>
        <w:tc>
          <w:tcPr>
            <w:tcW w:w="372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color w:val="000000" w:themeColor="text1"/>
                <w:szCs w:val="20"/>
                <w:highlight w:val="none"/>
                <w:lang w:eastAsia="zh-CN"/>
                <w14:textFill>
                  <w14:solidFill>
                    <w14:schemeClr w14:val="tx1"/>
                  </w14:solidFill>
                </w14:textFill>
              </w:rPr>
              <w:t>暂存于危险废物暂存间，定期交由资质单位处置</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间断/偶尔</w:t>
            </w: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2"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418"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27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除砂器杂质</w:t>
            </w:r>
          </w:p>
        </w:tc>
        <w:tc>
          <w:tcPr>
            <w:tcW w:w="2652" w:type="dxa"/>
            <w:gridSpan w:val="3"/>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少量</w:t>
            </w:r>
          </w:p>
        </w:tc>
        <w:tc>
          <w:tcPr>
            <w:tcW w:w="372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lang w:eastAsia="zh-CN"/>
                <w14:textFill>
                  <w14:solidFill>
                    <w14:schemeClr w14:val="tx1"/>
                  </w14:solidFill>
                </w14:textFill>
              </w:rPr>
            </w:pPr>
            <w:r>
              <w:rPr>
                <w:rFonts w:hint="default"/>
                <w:color w:val="000000" w:themeColor="text1"/>
                <w:szCs w:val="20"/>
                <w:highlight w:val="none"/>
                <w:lang w:val="en-US" w:eastAsia="zh-CN"/>
                <w14:textFill>
                  <w14:solidFill>
                    <w14:schemeClr w14:val="tx1"/>
                  </w14:solidFill>
                </w14:textFill>
              </w:rPr>
              <w:t>定期</w:t>
            </w:r>
            <w:r>
              <w:rPr>
                <w:rFonts w:hint="default"/>
                <w:color w:val="000000" w:themeColor="text1"/>
                <w:szCs w:val="20"/>
                <w:highlight w:val="none"/>
                <w:lang w:eastAsia="zh-CN"/>
                <w14:textFill>
                  <w14:solidFill>
                    <w14:schemeClr w14:val="tx1"/>
                  </w14:solidFill>
                </w14:textFill>
              </w:rPr>
              <w:t>就近交给依法取得生态环境部门关于利用和处置相关工业固体废物项目环评批复、具有处理处置相应固体废物能力并配套建设有废气、废水、固废等污染物治理设施的单位进行资源化利用。</w:t>
            </w:r>
          </w:p>
        </w:tc>
        <w:tc>
          <w:tcPr>
            <w:tcW w:w="851"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间断/偶尔</w:t>
            </w:r>
          </w:p>
        </w:tc>
        <w:tc>
          <w:tcPr>
            <w:tcW w:w="2840"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pStyle w:val="3"/>
        <w:spacing w:before="120"/>
        <w:ind w:firstLine="480"/>
        <w:rPr>
          <w:color w:val="000000" w:themeColor="text1"/>
          <w:szCs w:val="24"/>
          <w:highlight w:val="none"/>
          <w:lang w:eastAsia="zh-CN"/>
          <w14:textFill>
            <w14:solidFill>
              <w14:schemeClr w14:val="tx1"/>
            </w14:solidFill>
          </w14:textFill>
        </w:rPr>
        <w:sectPr>
          <w:pgSz w:w="16840" w:h="11910" w:orient="landscape"/>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bookmarkStart w:id="510" w:name="_bookmark40"/>
      <w:bookmarkEnd w:id="510"/>
      <w:bookmarkStart w:id="511" w:name="8.2环境监测"/>
      <w:bookmarkEnd w:id="511"/>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12" w:name="_Toc22708"/>
      <w:r>
        <w:rPr>
          <w:color w:val="000000" w:themeColor="text1"/>
          <w:highlight w:val="none"/>
          <w:lang w:eastAsia="zh-CN"/>
          <w14:textFill>
            <w14:solidFill>
              <w14:schemeClr w14:val="tx1"/>
            </w14:solidFill>
          </w14:textFill>
        </w:rPr>
        <w:t>环境监测</w:t>
      </w:r>
      <w:bookmarkEnd w:id="512"/>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13" w:name="_Toc120173247"/>
      <w:r>
        <w:rPr>
          <w:color w:val="000000" w:themeColor="text1"/>
          <w:highlight w:val="none"/>
          <w:lang w:eastAsia="zh-CN"/>
          <w14:textFill>
            <w14:solidFill>
              <w14:schemeClr w14:val="tx1"/>
            </w14:solidFill>
          </w14:textFill>
        </w:rPr>
        <w:t>监测计划</w:t>
      </w:r>
      <w:bookmarkEnd w:id="513"/>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本评价的预测结论来看，项目单位在建设施工过程及运行过程中的环境影响，除采取必要的工程性措施控制外，更需通过环境管理来解决。而环境监测是环境管理重要的手段之一。今后，通过周围环境质量及企业生产污染排放的实时监控，可正确、迅速、完整地为建设单位日常环境管理及制定环境污染事故应急措施提供必要数据。</w:t>
      </w:r>
    </w:p>
    <w:p>
      <w:pPr>
        <w:ind w:firstLine="480"/>
        <w:rPr>
          <w:color w:val="000000" w:themeColor="text1"/>
          <w:highlight w:val="none"/>
          <w14:textFill>
            <w14:solidFill>
              <w14:schemeClr w14:val="tx1"/>
            </w14:solidFill>
          </w14:textFill>
        </w:rPr>
      </w:pPr>
      <w:bookmarkStart w:id="514" w:name="8.2.1监测计划"/>
      <w:bookmarkEnd w:id="514"/>
      <w:r>
        <w:rPr>
          <w:color w:val="000000" w:themeColor="text1"/>
          <w:highlight w:val="none"/>
          <w14:textFill>
            <w14:solidFill>
              <w14:schemeClr w14:val="tx1"/>
            </w14:solidFill>
          </w14:textFill>
        </w:rPr>
        <w:t>根据天然气试采对区域环境可能产生的影响，确定本项目环境监测对象为土壤、水、气、声。监测范围一般根据各种污染因子对环境产生的影响范围而定，具体范围可参见环境影响范围。</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本项目正常施工或生产期间开展定期监测，在事故时进行应急监测。参照《排污单位自行监测技术指南 总则》（HJ819-2017）、《工业企业土壤和地下水自行监测 技术指南（试行）》（HJ1209-2021）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《排污单位自行监测技术指南 陆上石油天然气开采工业》（HJ1248—2022）</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szCs w:val="32"/>
          <w:highlight w:val="none"/>
          <w14:textFill>
            <w14:solidFill>
              <w14:schemeClr w14:val="tx1"/>
            </w14:solidFill>
          </w14:textFill>
        </w:rPr>
        <w:t>《地下水环境监测技术规范》（HJ 164-2020）</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szCs w:val="32"/>
          <w:highlight w:val="none"/>
          <w14:textFill>
            <w14:solidFill>
              <w14:schemeClr w14:val="tx1"/>
            </w14:solidFill>
          </w14:textFill>
        </w:rPr>
        <w:t>《突发环境事件应急监测技术规范》（HJ 589-2021）</w:t>
      </w:r>
      <w:r>
        <w:rPr>
          <w:color w:val="000000" w:themeColor="text1"/>
          <w:highlight w:val="none"/>
          <w14:textFill>
            <w14:solidFill>
              <w14:schemeClr w14:val="tx1"/>
            </w14:solidFill>
          </w14:textFill>
        </w:rPr>
        <w:t>中的有关规定要求，针对本项目产排污特点，制定本项目的监测计划。</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根据项目的特点，环境监测重点为井场场界噪声值、最近居民点的噪声值和场界周边CH</w:t>
      </w:r>
      <w:r>
        <w:rPr>
          <w:color w:val="000000" w:themeColor="text1"/>
          <w:highlight w:val="none"/>
          <w:vertAlign w:val="subscript"/>
          <w14:textFill>
            <w14:solidFill>
              <w14:schemeClr w14:val="tx1"/>
            </w14:solidFill>
          </w14:textFill>
        </w:rPr>
        <w:t>4</w:t>
      </w:r>
      <w:r>
        <w:rPr>
          <w:color w:val="000000" w:themeColor="text1"/>
          <w:highlight w:val="none"/>
          <w14:textFill>
            <w14:solidFill>
              <w14:schemeClr w14:val="tx1"/>
            </w14:solidFill>
          </w14:textFill>
        </w:rPr>
        <w:t>浓度。</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在钻入气层后根据钻井出现井喷、井漏、井涌、气侵等情况检测CH</w:t>
      </w:r>
      <w:r>
        <w:rPr>
          <w:color w:val="000000" w:themeColor="text1"/>
          <w:highlight w:val="none"/>
          <w:vertAlign w:val="subscript"/>
          <w14:textFill>
            <w14:solidFill>
              <w14:schemeClr w14:val="tx1"/>
            </w14:solidFill>
          </w14:textFill>
        </w:rPr>
        <w:t>4</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S浓度，测试和事故放喷时根据事故控制情况监测CH</w:t>
      </w:r>
      <w:r>
        <w:rPr>
          <w:color w:val="000000" w:themeColor="text1"/>
          <w:highlight w:val="none"/>
          <w:vertAlign w:val="subscript"/>
          <w14:textFill>
            <w14:solidFill>
              <w14:schemeClr w14:val="tx1"/>
            </w14:solidFill>
          </w14:textFill>
        </w:rPr>
        <w:t>4</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S浓度，监测点位设在井场场界、放喷口周围以及最近居民点处。</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噪声监测设在场界处和最近居民点处（井场周边200m范围内无居民点，因此可根据实际情况考虑是否对敏感点进行监测），钻井期间分别监测昼间、夜间各1次，试采期间每年昼间、夜间各监测1次。</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本次评价建议建设单位开展土壤环境跟踪监测，主要设置下游监控点和上游背景点。</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地下水监测设置在周边有代表性的水井，</w:t>
      </w:r>
      <w:r>
        <w:rPr>
          <w:rFonts w:hint="eastAsia"/>
          <w:color w:val="000000" w:themeColor="text1"/>
          <w:highlight w:val="none"/>
          <w:lang w:val="en-US" w:eastAsia="zh-CN"/>
          <w14:textFill>
            <w14:solidFill>
              <w14:schemeClr w14:val="tx1"/>
            </w14:solidFill>
          </w14:textFill>
        </w:rPr>
        <w:t>根据</w:t>
      </w:r>
      <w:r>
        <w:rPr>
          <w:rFonts w:hint="eastAsia" w:cs="Times New Roman"/>
          <w:color w:val="000000" w:themeColor="text1"/>
          <w:szCs w:val="32"/>
          <w:highlight w:val="none"/>
          <w14:textFill>
            <w14:solidFill>
              <w14:schemeClr w14:val="tx1"/>
            </w14:solidFill>
          </w14:textFill>
        </w:rPr>
        <w:t>《地下水环境监测技术规范》（HJ 164-2020）</w:t>
      </w:r>
      <w:r>
        <w:rPr>
          <w:rFonts w:hint="eastAsia" w:cs="Times New Roman"/>
          <w:color w:val="000000" w:themeColor="text1"/>
          <w:szCs w:val="32"/>
          <w:highlight w:val="none"/>
          <w:lang w:val="en-US" w:eastAsia="zh-CN"/>
          <w14:textFill>
            <w14:solidFill>
              <w14:schemeClr w14:val="tx1"/>
            </w14:solidFill>
          </w14:textFill>
        </w:rPr>
        <w:t>要求，</w:t>
      </w:r>
      <w:r>
        <w:rPr>
          <w:rFonts w:hint="eastAsia"/>
          <w:color w:val="000000" w:themeColor="text1"/>
          <w:highlight w:val="none"/>
          <w:lang w:val="en-US" w:eastAsia="zh-CN"/>
          <w14:textFill>
            <w14:solidFill>
              <w14:schemeClr w14:val="tx1"/>
            </w14:solidFill>
          </w14:textFill>
        </w:rPr>
        <w:t>应选用经常使用的民井和生产井，井的出水量宜大于0.3L/s，对于装有水泵的井，不能选用以油为泵润滑剂的水井。在</w:t>
      </w:r>
      <w:r>
        <w:rPr>
          <w:color w:val="000000" w:themeColor="text1"/>
          <w:highlight w:val="none"/>
          <w14:textFill>
            <w14:solidFill>
              <w14:schemeClr w14:val="tx1"/>
            </w14:solidFill>
          </w14:textFill>
        </w:rPr>
        <w:t>按照</w:t>
      </w:r>
      <w:r>
        <w:rPr>
          <w:rFonts w:hint="eastAsia"/>
          <w:color w:val="000000" w:themeColor="text1"/>
          <w:highlight w:val="none"/>
          <w:lang w:val="en-US" w:eastAsia="zh-CN"/>
          <w14:textFill>
            <w14:solidFill>
              <w14:schemeClr w14:val="tx1"/>
            </w14:solidFill>
          </w14:textFill>
        </w:rPr>
        <w:t>监测</w:t>
      </w:r>
      <w:r>
        <w:rPr>
          <w:color w:val="000000" w:themeColor="text1"/>
          <w:highlight w:val="none"/>
          <w14:textFill>
            <w14:solidFill>
              <w14:schemeClr w14:val="tx1"/>
            </w14:solidFill>
          </w14:textFill>
        </w:rPr>
        <w:t>计划对环境进行跟踪监测后，建设单位应按相关规定对监测结果及时建立档案。如发现异常或发生事故，加密监测频次，并根据污染物特征增加监测项目，并分析污染原因，及时采取应急措施。监测计划见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REF _Ref142859803 \h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w:t>
      </w:r>
    </w:p>
    <w:p>
      <w:pPr>
        <w:pStyle w:val="201"/>
        <w:spacing w:before="120"/>
        <w:rPr>
          <w:color w:val="000000" w:themeColor="text1"/>
          <w:highlight w:val="none"/>
          <w14:textFill>
            <w14:solidFill>
              <w14:schemeClr w14:val="tx1"/>
            </w14:solidFill>
          </w14:textFill>
        </w:rPr>
      </w:pPr>
      <w:bookmarkStart w:id="515" w:name="_Ref142859803"/>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bookmarkEnd w:id="515"/>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本项目环境监测计划</w:t>
      </w:r>
    </w:p>
    <w:tbl>
      <w:tblPr>
        <w:tblStyle w:val="5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83"/>
        <w:gridCol w:w="1958"/>
        <w:gridCol w:w="1473"/>
        <w:gridCol w:w="1606"/>
        <w:gridCol w:w="11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98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环境要素</w:t>
            </w:r>
          </w:p>
        </w:tc>
        <w:tc>
          <w:tcPr>
            <w:tcW w:w="1958"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监测点位</w:t>
            </w:r>
          </w:p>
        </w:tc>
        <w:tc>
          <w:tcPr>
            <w:tcW w:w="1473"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监测项目</w:t>
            </w:r>
          </w:p>
        </w:tc>
        <w:tc>
          <w:tcPr>
            <w:tcW w:w="1606"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监测频次</w:t>
            </w:r>
          </w:p>
        </w:tc>
        <w:tc>
          <w:tcPr>
            <w:tcW w:w="11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监测时段</w:t>
            </w:r>
          </w:p>
        </w:tc>
        <w:tc>
          <w:tcPr>
            <w:tcW w:w="1100" w:type="dxa"/>
            <w:vAlign w:val="center"/>
          </w:tcPr>
          <w:p>
            <w:pPr>
              <w:pStyle w:val="295"/>
              <w:keepNext w:val="0"/>
              <w:keepLines w:val="0"/>
              <w:widowControl/>
              <w:suppressLineNumbers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土壤</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本项目在放喷池下游处设置1处表层土壤监测点</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pH值、铜、六价铬、铅、镉、汞、砷、镍、石油烃（C</w:t>
            </w:r>
            <w:r>
              <w:rPr>
                <w:rFonts w:hint="default"/>
                <w:color w:val="000000" w:themeColor="text1"/>
                <w:sz w:val="21"/>
                <w:szCs w:val="21"/>
                <w:highlight w:val="none"/>
                <w:vertAlign w:val="subscript"/>
                <w14:textFill>
                  <w14:solidFill>
                    <w14:schemeClr w14:val="tx1"/>
                  </w14:solidFill>
                </w14:textFill>
              </w:rPr>
              <w:t>10</w:t>
            </w:r>
            <w:r>
              <w:rPr>
                <w:rFonts w:hint="default"/>
                <w:color w:val="000000" w:themeColor="text1"/>
                <w:sz w:val="21"/>
                <w:szCs w:val="21"/>
                <w:highlight w:val="none"/>
                <w14:textFill>
                  <w14:solidFill>
                    <w14:schemeClr w14:val="tx1"/>
                  </w14:solidFill>
                </w14:textFill>
              </w:rPr>
              <w:t>-C</w:t>
            </w:r>
            <w:r>
              <w:rPr>
                <w:rFonts w:hint="default"/>
                <w:color w:val="000000" w:themeColor="text1"/>
                <w:sz w:val="21"/>
                <w:szCs w:val="21"/>
                <w:highlight w:val="none"/>
                <w:vertAlign w:val="subscript"/>
                <w14:textFill>
                  <w14:solidFill>
                    <w14:schemeClr w14:val="tx1"/>
                  </w14:solidFill>
                </w14:textFill>
              </w:rPr>
              <w:t>40</w:t>
            </w:r>
            <w:r>
              <w:rPr>
                <w:rFonts w:hint="default"/>
                <w:color w:val="000000" w:themeColor="text1"/>
                <w:sz w:val="21"/>
                <w:szCs w:val="21"/>
                <w:highlight w:val="none"/>
                <w14:textFill>
                  <w14:solidFill>
                    <w14:schemeClr w14:val="tx1"/>
                  </w14:solidFill>
                </w14:textFill>
              </w:rPr>
              <w:t>）、全盐量等</w:t>
            </w:r>
          </w:p>
        </w:tc>
        <w:tc>
          <w:tcPr>
            <w:tcW w:w="1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1次/年</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定期</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HJ1209-2021</w:t>
            </w:r>
            <w:r>
              <w:rPr>
                <w:rFonts w:hint="eastAsia"/>
                <w:color w:val="000000" w:themeColor="text1"/>
                <w:sz w:val="21"/>
                <w:szCs w:val="21"/>
                <w:highlight w:val="none"/>
                <w14:textFill>
                  <w14:solidFill>
                    <w14:schemeClr w14:val="tx1"/>
                  </w14:solidFill>
                </w14:textFill>
              </w:rPr>
              <w:t>、HJ</w:t>
            </w:r>
            <w:r>
              <w:rPr>
                <w:rFonts w:hint="default"/>
                <w:color w:val="000000" w:themeColor="text1"/>
                <w:sz w:val="21"/>
                <w:szCs w:val="21"/>
                <w:highlight w:val="none"/>
                <w14:textFill>
                  <w14:solidFill>
                    <w14:schemeClr w14:val="tx1"/>
                  </w14:solidFill>
                </w14:textFill>
              </w:rPr>
              <w:t>964-2018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大气</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井场场界、放喷口周围、最近居民点处</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CH</w:t>
            </w:r>
            <w:r>
              <w:rPr>
                <w:rFonts w:hint="default"/>
                <w:color w:val="000000" w:themeColor="text1"/>
                <w:sz w:val="21"/>
                <w:szCs w:val="21"/>
                <w:highlight w:val="none"/>
                <w:vertAlign w:val="subscript"/>
                <w14:textFill>
                  <w14:solidFill>
                    <w14:schemeClr w14:val="tx1"/>
                  </w14:solidFill>
                </w14:textFill>
              </w:rPr>
              <w:t>4</w:t>
            </w:r>
          </w:p>
        </w:tc>
        <w:tc>
          <w:tcPr>
            <w:tcW w:w="1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测试和事故放喷时根据事故控制情况布置监测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事故过程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井场场界、最近居民点处</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TSP</w:t>
            </w:r>
          </w:p>
        </w:tc>
        <w:tc>
          <w:tcPr>
            <w:tcW w:w="1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施工阶段1-2次</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施工阶段</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噪声</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场界处</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场界噪声</w:t>
            </w:r>
          </w:p>
        </w:tc>
        <w:tc>
          <w:tcPr>
            <w:tcW w:w="1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钻井期间分别监测昼间、夜间各1次；</w:t>
            </w:r>
            <w:r>
              <w:rPr>
                <w:rFonts w:hint="default"/>
                <w:snapToGrid w:val="0"/>
                <w:color w:val="000000" w:themeColor="text1"/>
                <w:sz w:val="21"/>
                <w:szCs w:val="21"/>
                <w:highlight w:val="none"/>
                <w14:textFill>
                  <w14:solidFill>
                    <w14:schemeClr w14:val="tx1"/>
                  </w14:solidFill>
                </w14:textFill>
              </w:rPr>
              <w:t>试采期每季度监测1次，根据监测结果，若场站内声源装置稳定运行且厂界环境噪声远低于标准限值的小型场站可不开展厂界环境噪声监测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投诉时对投诉敏感点监测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HJ1248—2022等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地表水</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废水泄露地表水体时被污染水体</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pH、COD、BOD</w:t>
            </w:r>
            <w:r>
              <w:rPr>
                <w:rFonts w:hint="default"/>
                <w:color w:val="000000" w:themeColor="text1"/>
                <w:sz w:val="21"/>
                <w:szCs w:val="21"/>
                <w:highlight w:val="none"/>
                <w:vertAlign w:val="subscript"/>
                <w14:textFill>
                  <w14:solidFill>
                    <w14:schemeClr w14:val="tx1"/>
                  </w14:solidFill>
                </w14:textFill>
              </w:rPr>
              <w:t>5</w:t>
            </w:r>
            <w:r>
              <w:rPr>
                <w:rFonts w:hint="default"/>
                <w:color w:val="000000" w:themeColor="text1"/>
                <w:sz w:val="21"/>
                <w:szCs w:val="21"/>
                <w:highlight w:val="none"/>
                <w14:textFill>
                  <w14:solidFill>
                    <w14:schemeClr w14:val="tx1"/>
                  </w14:solidFill>
                </w14:textFill>
              </w:rPr>
              <w:t>、氨氮、硫化物、石油类、氯化物</w:t>
            </w:r>
            <w:r>
              <w:rPr>
                <w:rFonts w:hint="default"/>
                <w:bCs/>
                <w:color w:val="000000" w:themeColor="text1"/>
                <w:sz w:val="21"/>
                <w:szCs w:val="21"/>
                <w:highlight w:val="none"/>
                <w14:textFill>
                  <w14:solidFill>
                    <w14:schemeClr w14:val="tx1"/>
                  </w14:solidFill>
                </w14:textFill>
              </w:rPr>
              <w:t>等</w:t>
            </w:r>
          </w:p>
        </w:tc>
        <w:tc>
          <w:tcPr>
            <w:tcW w:w="1606"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实时监控</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事故过程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雨水</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雨水排放口</w:t>
            </w:r>
          </w:p>
        </w:tc>
        <w:tc>
          <w:tcPr>
            <w:tcW w:w="1473"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COD、石油类</w:t>
            </w:r>
          </w:p>
        </w:tc>
        <w:tc>
          <w:tcPr>
            <w:tcW w:w="2706" w:type="dxa"/>
            <w:gridSpan w:val="2"/>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有流动水排放时按季度监测，如监测一年无异常情况，可放宽至每年开展一次监测</w:t>
            </w:r>
          </w:p>
        </w:tc>
        <w:tc>
          <w:tcPr>
            <w:tcW w:w="1100" w:type="dxa"/>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HJ1248-2022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restart"/>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地下水</w:t>
            </w:r>
          </w:p>
        </w:tc>
        <w:tc>
          <w:tcPr>
            <w:tcW w:w="1958"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1#</w:t>
            </w:r>
            <w:r>
              <w:rPr>
                <w:rFonts w:hint="default"/>
                <w:color w:val="000000" w:themeColor="text1"/>
                <w:szCs w:val="20"/>
                <w:highlight w:val="none"/>
                <w:lang w:val="en-US" w:eastAsia="zh-CN"/>
                <w14:textFill>
                  <w14:solidFill>
                    <w14:schemeClr w14:val="tx1"/>
                  </w14:solidFill>
                </w14:textFill>
              </w:rPr>
              <w:t>新建</w:t>
            </w:r>
            <w:r>
              <w:rPr>
                <w:rFonts w:hint="eastAsia"/>
                <w:color w:val="000000" w:themeColor="text1"/>
                <w:szCs w:val="20"/>
                <w:highlight w:val="none"/>
                <w:lang w:val="en-US" w:eastAsia="zh-CN"/>
                <w14:textFill>
                  <w14:solidFill>
                    <w14:schemeClr w14:val="tx1"/>
                  </w14:solidFill>
                </w14:textFill>
              </w:rPr>
              <w:t>雷页1试验井组</w:t>
            </w:r>
            <w:r>
              <w:rPr>
                <w:rFonts w:hint="eastAsia" w:cs="Times New Roman"/>
                <w:color w:val="000000" w:themeColor="text1"/>
                <w:sz w:val="21"/>
                <w:szCs w:val="21"/>
                <w14:textFill>
                  <w14:solidFill>
                    <w14:schemeClr w14:val="tx1"/>
                  </w14:solidFill>
                </w14:textFill>
              </w:rPr>
              <w:t>中心</w:t>
            </w:r>
            <w:r>
              <w:rPr>
                <w:rFonts w:hint="default" w:cs="Times New Roman"/>
                <w:color w:val="000000" w:themeColor="text1"/>
                <w:sz w:val="21"/>
                <w:szCs w:val="21"/>
                <w14:textFill>
                  <w14:solidFill>
                    <w14:schemeClr w14:val="tx1"/>
                  </w14:solidFill>
                </w14:textFill>
              </w:rPr>
              <w:t>西南侧</w:t>
            </w:r>
            <w:r>
              <w:rPr>
                <w:rFonts w:hint="eastAsia"/>
                <w:color w:val="000000" w:themeColor="text1"/>
                <w:szCs w:val="20"/>
                <w:highlight w:val="none"/>
                <w:lang w:val="en-US" w:eastAsia="zh-CN"/>
                <w14:textFill>
                  <w14:solidFill>
                    <w14:schemeClr w14:val="tx1"/>
                  </w14:solidFill>
                </w14:textFill>
              </w:rPr>
              <w:t>489</w:t>
            </w:r>
            <w:r>
              <w:rPr>
                <w:rFonts w:hint="default"/>
                <w:color w:val="000000" w:themeColor="text1"/>
                <w:szCs w:val="20"/>
                <w:highlight w:val="none"/>
                <w:lang w:val="en-US" w:eastAsia="zh-CN"/>
                <w14:textFill>
                  <w14:solidFill>
                    <w14:schemeClr w14:val="tx1"/>
                  </w14:solidFill>
                </w14:textFill>
              </w:rPr>
              <w:t>m</w:t>
            </w:r>
            <w:r>
              <w:rPr>
                <w:rFonts w:hint="eastAsia"/>
                <w:color w:val="000000" w:themeColor="text1"/>
                <w:szCs w:val="20"/>
                <w:highlight w:val="none"/>
                <w:lang w:val="en-US" w:eastAsia="zh-CN"/>
                <w14:textFill>
                  <w14:solidFill>
                    <w14:schemeClr w14:val="tx1"/>
                  </w14:solidFill>
                </w14:textFill>
              </w:rPr>
              <w:t>泉水点</w:t>
            </w:r>
          </w:p>
        </w:tc>
        <w:tc>
          <w:tcPr>
            <w:tcW w:w="1473" w:type="dxa"/>
            <w:vMerge w:val="restart"/>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 w:val="21"/>
                <w:szCs w:val="21"/>
                <w:highlight w:val="none"/>
                <w14:textFill>
                  <w14:solidFill>
                    <w14:schemeClr w14:val="tx1"/>
                  </w14:solidFill>
                </w14:textFill>
              </w:rPr>
            </w:pPr>
            <w:r>
              <w:rPr>
                <w:rFonts w:hint="default"/>
                <w:snapToGrid w:val="0"/>
                <w:color w:val="000000" w:themeColor="text1"/>
                <w:sz w:val="21"/>
                <w:szCs w:val="21"/>
                <w:highlight w:val="none"/>
                <w14:textFill>
                  <w14:solidFill>
                    <w14:schemeClr w14:val="tx1"/>
                  </w14:solidFill>
                </w14:textFill>
              </w:rPr>
              <w:t>pH值、总硬度、六价铬、铁、锰、耗氧量、TDS、COD、石油类、氯化物</w:t>
            </w:r>
          </w:p>
        </w:tc>
        <w:tc>
          <w:tcPr>
            <w:tcW w:w="2706" w:type="dxa"/>
            <w:gridSpan w:val="2"/>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snapToGrid w:val="0"/>
                <w:color w:val="000000" w:themeColor="text1"/>
                <w:sz w:val="21"/>
                <w:szCs w:val="21"/>
                <w:highlight w:val="none"/>
                <w14:textFill>
                  <w14:solidFill>
                    <w14:schemeClr w14:val="tx1"/>
                  </w14:solidFill>
                </w14:textFill>
              </w:rPr>
              <w:t>开工前</w:t>
            </w:r>
            <w:r>
              <w:rPr>
                <w:rFonts w:hint="eastAsia"/>
                <w:snapToGrid w:val="0"/>
                <w:color w:val="000000" w:themeColor="text1"/>
                <w:sz w:val="21"/>
                <w:szCs w:val="21"/>
                <w:highlight w:val="none"/>
                <w14:textFill>
                  <w14:solidFill>
                    <w14:schemeClr w14:val="tx1"/>
                  </w14:solidFill>
                </w14:textFill>
              </w:rPr>
              <w:t>环评阶段</w:t>
            </w:r>
            <w:r>
              <w:rPr>
                <w:rFonts w:hint="default"/>
                <w:snapToGrid w:val="0"/>
                <w:color w:val="000000" w:themeColor="text1"/>
                <w:sz w:val="21"/>
                <w:szCs w:val="21"/>
                <w:highlight w:val="none"/>
                <w14:textFill>
                  <w14:solidFill>
                    <w14:schemeClr w14:val="tx1"/>
                  </w14:solidFill>
                </w14:textFill>
              </w:rPr>
              <w:t>1次，完钻后</w:t>
            </w:r>
            <w:r>
              <w:rPr>
                <w:rFonts w:hint="eastAsia"/>
                <w:snapToGrid w:val="0"/>
                <w:color w:val="000000" w:themeColor="text1"/>
                <w:sz w:val="21"/>
                <w:szCs w:val="21"/>
                <w:highlight w:val="none"/>
                <w14:textFill>
                  <w14:solidFill>
                    <w14:schemeClr w14:val="tx1"/>
                  </w14:solidFill>
                </w14:textFill>
              </w:rPr>
              <w:t>竣工环保验收时</w:t>
            </w:r>
            <w:r>
              <w:rPr>
                <w:rFonts w:hint="default"/>
                <w:snapToGrid w:val="0"/>
                <w:color w:val="000000" w:themeColor="text1"/>
                <w:sz w:val="21"/>
                <w:szCs w:val="21"/>
                <w:highlight w:val="none"/>
                <w14:textFill>
                  <w14:solidFill>
                    <w14:schemeClr w14:val="tx1"/>
                  </w14:solidFill>
                </w14:textFill>
              </w:rPr>
              <w:t>1次，发生事故时加密监测；试采期每年对</w:t>
            </w:r>
            <w:r>
              <w:rPr>
                <w:rFonts w:hint="eastAsia"/>
                <w:snapToGrid w:val="0"/>
                <w:color w:val="000000" w:themeColor="text1"/>
                <w:sz w:val="21"/>
                <w:szCs w:val="21"/>
                <w:highlight w:val="none"/>
                <w:lang w:val="en-US" w:eastAsia="zh-CN"/>
                <w14:textFill>
                  <w14:solidFill>
                    <w14:schemeClr w14:val="tx1"/>
                  </w14:solidFill>
                </w14:textFill>
              </w:rPr>
              <w:t>1</w:t>
            </w:r>
            <w:r>
              <w:rPr>
                <w:rFonts w:hint="default"/>
                <w:snapToGrid w:val="0"/>
                <w:color w:val="000000" w:themeColor="text1"/>
                <w:sz w:val="21"/>
                <w:szCs w:val="21"/>
                <w:highlight w:val="none"/>
                <w14:textFill>
                  <w14:solidFill>
                    <w14:schemeClr w14:val="tx1"/>
                  </w14:solidFill>
                </w14:textFill>
              </w:rPr>
              <w:t>#点位例行监测</w:t>
            </w:r>
            <w:r>
              <w:rPr>
                <w:rFonts w:hint="eastAsia"/>
                <w:snapToGrid w:val="0"/>
                <w:color w:val="000000" w:themeColor="text1"/>
                <w:sz w:val="21"/>
                <w:szCs w:val="21"/>
                <w:highlight w:val="none"/>
                <w14:textFill>
                  <w14:solidFill>
                    <w14:schemeClr w14:val="tx1"/>
                  </w14:solidFill>
                </w14:textFill>
              </w:rPr>
              <w:t>两</w:t>
            </w:r>
            <w:r>
              <w:rPr>
                <w:rFonts w:hint="default"/>
                <w:snapToGrid w:val="0"/>
                <w:color w:val="000000" w:themeColor="text1"/>
                <w:sz w:val="21"/>
                <w:szCs w:val="21"/>
                <w:highlight w:val="none"/>
                <w14:textFill>
                  <w14:solidFill>
                    <w14:schemeClr w14:val="tx1"/>
                  </w14:solidFill>
                </w14:textFill>
              </w:rPr>
              <w:t>次，事故时加密监测</w:t>
            </w:r>
          </w:p>
        </w:tc>
        <w:tc>
          <w:tcPr>
            <w:tcW w:w="1100" w:type="dxa"/>
            <w:vMerge w:val="restart"/>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HJ1209-2021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958"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snapToGrid w:val="0"/>
                <w:color w:val="000000" w:themeColor="text1"/>
                <w:sz w:val="21"/>
                <w:szCs w:val="21"/>
                <w:highlight w:val="none"/>
                <w14:textFill>
                  <w14:solidFill>
                    <w14:schemeClr w14:val="tx1"/>
                  </w14:solidFill>
                </w14:textFill>
              </w:rPr>
            </w:pPr>
            <w:r>
              <w:rPr>
                <w:rFonts w:hint="default"/>
                <w:color w:val="000000" w:themeColor="text1"/>
                <w:szCs w:val="20"/>
                <w:highlight w:val="none"/>
                <w14:textFill>
                  <w14:solidFill>
                    <w14:schemeClr w14:val="tx1"/>
                  </w14:solidFill>
                </w14:textFill>
              </w:rPr>
              <w:t>2#</w:t>
            </w:r>
            <w:r>
              <w:rPr>
                <w:rFonts w:hint="eastAsia"/>
                <w:color w:val="000000" w:themeColor="text1"/>
                <w:szCs w:val="20"/>
                <w:highlight w:val="none"/>
                <w:lang w:eastAsia="zh-CN"/>
                <w14:textFill>
                  <w14:solidFill>
                    <w14:schemeClr w14:val="tx1"/>
                  </w14:solidFill>
                </w14:textFill>
              </w:rPr>
              <w:t>普</w:t>
            </w:r>
            <w:r>
              <w:rPr>
                <w:rFonts w:hint="eastAsia"/>
                <w:color w:val="000000" w:themeColor="text1"/>
                <w:szCs w:val="20"/>
                <w:highlight w:val="none"/>
                <w:lang w:val="en-US" w:eastAsia="zh-CN"/>
                <w14:textFill>
                  <w14:solidFill>
                    <w14:schemeClr w14:val="tx1"/>
                  </w14:solidFill>
                </w14:textFill>
              </w:rPr>
              <w:t>建雷页1试验井组东侧379m</w:t>
            </w:r>
            <w:r>
              <w:rPr>
                <w:rFonts w:hint="eastAsia"/>
                <w:color w:val="000000" w:themeColor="text1"/>
                <w:szCs w:val="20"/>
                <w:highlight w:val="none"/>
                <w14:textFill>
                  <w14:solidFill>
                    <w14:schemeClr w14:val="tx1"/>
                  </w14:solidFill>
                </w14:textFill>
              </w:rPr>
              <w:t>泉水点</w:t>
            </w:r>
          </w:p>
        </w:tc>
        <w:tc>
          <w:tcPr>
            <w:tcW w:w="1473"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 w:val="21"/>
                <w:szCs w:val="21"/>
                <w:highlight w:val="none"/>
                <w14:textFill>
                  <w14:solidFill>
                    <w14:schemeClr w14:val="tx1"/>
                  </w14:solidFill>
                </w14:textFill>
              </w:rPr>
            </w:pPr>
          </w:p>
        </w:tc>
        <w:tc>
          <w:tcPr>
            <w:tcW w:w="2706"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1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958" w:type="dxa"/>
            <w:shd w:val="clear" w:color="auto" w:fill="FFFFFF"/>
            <w:vAlign w:val="center"/>
          </w:tcPr>
          <w:p>
            <w:pPr>
              <w:pStyle w:val="295"/>
              <w:keepNext w:val="0"/>
              <w:keepLines w:val="0"/>
              <w:widowControl/>
              <w:suppressLineNumbers w:val="0"/>
              <w:spacing w:before="0" w:beforeAutospacing="0" w:after="0" w:afterAutospacing="0"/>
              <w:ind w:left="0" w:leftChars="0" w:right="0" w:rightChars="0"/>
              <w:rPr>
                <w:rFonts w:hint="default"/>
                <w:color w:val="000000" w:themeColor="text1"/>
                <w:sz w:val="21"/>
                <w:szCs w:val="2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3#</w:t>
            </w:r>
            <w:r>
              <w:rPr>
                <w:rFonts w:hint="eastAsia"/>
                <w:color w:val="000000" w:themeColor="text1"/>
                <w:szCs w:val="20"/>
                <w:highlight w:val="none"/>
                <w:lang w:val="en-US" w:eastAsia="zh-CN"/>
                <w14:textFill>
                  <w14:solidFill>
                    <w14:schemeClr w14:val="tx1"/>
                  </w14:solidFill>
                </w14:textFill>
              </w:rPr>
              <w:t>新建雷页1试验井组东北侧89m泉水点</w:t>
            </w:r>
          </w:p>
        </w:tc>
        <w:tc>
          <w:tcPr>
            <w:tcW w:w="1473" w:type="dxa"/>
            <w:vMerge w:val="continue"/>
            <w:vAlign w:val="center"/>
          </w:tcPr>
          <w:p>
            <w:pPr>
              <w:pStyle w:val="295"/>
              <w:keepNext w:val="0"/>
              <w:keepLines w:val="0"/>
              <w:widowControl/>
              <w:suppressLineNumbers w:val="0"/>
              <w:spacing w:before="0" w:beforeAutospacing="0" w:after="0" w:afterAutospacing="0"/>
              <w:ind w:left="0" w:right="0"/>
              <w:rPr>
                <w:rFonts w:hint="default"/>
                <w:snapToGrid w:val="0"/>
                <w:color w:val="000000" w:themeColor="text1"/>
                <w:sz w:val="21"/>
                <w:szCs w:val="21"/>
                <w:highlight w:val="none"/>
                <w14:textFill>
                  <w14:solidFill>
                    <w14:schemeClr w14:val="tx1"/>
                  </w14:solidFill>
                </w14:textFill>
              </w:rPr>
            </w:pPr>
          </w:p>
        </w:tc>
        <w:tc>
          <w:tcPr>
            <w:tcW w:w="2706" w:type="dxa"/>
            <w:gridSpan w:val="2"/>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100" w:type="dxa"/>
            <w:vMerge w:val="continue"/>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83" w:type="dxa"/>
            <w:vMerge w:val="continue"/>
            <w:shd w:val="clear" w:color="auto" w:fill="FFFFFF"/>
            <w:vAlign w:val="center"/>
          </w:tcPr>
          <w:p>
            <w:pPr>
              <w:pStyle w:val="295"/>
              <w:keepNext w:val="0"/>
              <w:keepLines w:val="0"/>
              <w:widowControl/>
              <w:suppressLineNumbers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7237" w:type="dxa"/>
            <w:gridSpan w:val="5"/>
            <w:shd w:val="clear" w:color="auto" w:fill="FFFFFF"/>
            <w:vAlign w:val="center"/>
          </w:tcPr>
          <w:p>
            <w:pPr>
              <w:pStyle w:val="295"/>
              <w:keepNext w:val="0"/>
              <w:keepLines w:val="0"/>
              <w:widowControl/>
              <w:suppressLineNumbers w:val="0"/>
              <w:spacing w:before="0" w:beforeAutospacing="0" w:after="0" w:afterAutospacing="0"/>
              <w:ind w:left="0" w:right="0"/>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建议建设单位在后期开展井场地质勘探时，可保留1个井场地下水流向下游的钻孔用作后期地下水环境质量跟踪监测井</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按照</w:t>
            </w:r>
            <w:r>
              <w:rPr>
                <w:rFonts w:hint="eastAsia" w:cs="Times New Roman"/>
                <w:color w:val="000000" w:themeColor="text1"/>
                <w:szCs w:val="32"/>
                <w:highlight w:val="none"/>
                <w14:textFill>
                  <w14:solidFill>
                    <w14:schemeClr w14:val="tx1"/>
                  </w14:solidFill>
                </w14:textFill>
              </w:rPr>
              <w:t>《地下水环境监测技术规范》（HJ 164-2020）</w:t>
            </w:r>
            <w:r>
              <w:rPr>
                <w:rFonts w:hint="eastAsia" w:cs="Times New Roman"/>
                <w:color w:val="000000" w:themeColor="text1"/>
                <w:szCs w:val="32"/>
                <w:highlight w:val="none"/>
                <w:lang w:val="en-US" w:eastAsia="zh-CN"/>
                <w14:textFill>
                  <w14:solidFill>
                    <w14:schemeClr w14:val="tx1"/>
                  </w14:solidFill>
                </w14:textFill>
              </w:rPr>
              <w:t>中“5.1.1环境监测井建设要求”建设。</w:t>
            </w:r>
          </w:p>
        </w:tc>
      </w:tr>
    </w:tbl>
    <w:p>
      <w:pPr>
        <w:pStyle w:val="4"/>
        <w:keepNext/>
        <w:keepLines/>
        <w:pageBreakBefore w:val="0"/>
        <w:widowControl w:val="0"/>
        <w:kinsoku/>
        <w:wordWrap/>
        <w:overflowPunct/>
        <w:topLinePunct w:val="0"/>
        <w:autoSpaceDE/>
        <w:autoSpaceDN/>
        <w:bidi w:val="0"/>
        <w:adjustRightInd w:val="0"/>
        <w:snapToGrid w:val="0"/>
        <w:spacing w:before="164" w:beforeLines="50"/>
        <w:textAlignment w:val="auto"/>
        <w:rPr>
          <w:b/>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生态</w:t>
      </w:r>
      <w:r>
        <w:rPr>
          <w:color w:val="000000" w:themeColor="text1"/>
          <w:highlight w:val="none"/>
          <w:lang w:eastAsia="zh-CN"/>
          <w14:textFill>
            <w14:solidFill>
              <w14:schemeClr w14:val="tx1"/>
            </w14:solidFill>
          </w14:textFill>
        </w:rPr>
        <w:t>监测</w:t>
      </w:r>
      <w:r>
        <w:rPr>
          <w:rFonts w:hint="eastAsia"/>
          <w:color w:val="000000" w:themeColor="text1"/>
          <w:highlight w:val="none"/>
          <w:lang w:eastAsia="zh-CN"/>
          <w14:textFill>
            <w14:solidFill>
              <w14:schemeClr w14:val="tx1"/>
            </w14:solidFill>
          </w14:textFill>
        </w:rPr>
        <w:t>计划</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生态环境管理和监控是政府环境保护机构依据国家和地方</w:t>
      </w:r>
      <w:r>
        <w:rPr>
          <w:rFonts w:hint="eastAsia"/>
          <w:bCs/>
          <w:color w:val="000000" w:themeColor="text1"/>
          <w:highlight w:val="none"/>
          <w:lang w:eastAsia="zh-CN"/>
          <w14:textFill>
            <w14:solidFill>
              <w14:schemeClr w14:val="tx1"/>
            </w14:solidFill>
          </w14:textFill>
        </w:rPr>
        <w:t>制定</w:t>
      </w:r>
      <w:r>
        <w:rPr>
          <w:bCs/>
          <w:color w:val="000000" w:themeColor="text1"/>
          <w:highlight w:val="none"/>
          <w14:textFill>
            <w14:solidFill>
              <w14:schemeClr w14:val="tx1"/>
            </w14:solidFill>
          </w14:textFill>
        </w:rPr>
        <w:t>的有关自然资源和生态保护的法律、法规、条例、技术规范、标准等所进行的行政工作。因此，接受环境管理和监管是建设单位日常工作的一个重要组成部分。本评价根据项目建设的性质、规模、生态影响的程度和范围、项目所在地的自然、经济、社会等因素提出如下生态监控目标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cs="Times New Roman"/>
          <w:bCs/>
          <w:color w:val="000000" w:themeColor="text1"/>
          <w:highlight w:val="none"/>
          <w14:textFill>
            <w14:solidFill>
              <w14:schemeClr w14:val="tx1"/>
            </w14:solidFill>
          </w14:textFill>
        </w:rPr>
      </w:pPr>
      <w:r>
        <w:rPr>
          <w:rFonts w:cs="Times New Roman"/>
          <w:bCs/>
          <w:color w:val="000000" w:themeColor="text1"/>
          <w:highlight w:val="none"/>
          <w14:textFill>
            <w14:solidFill>
              <w14:schemeClr w14:val="tx1"/>
            </w14:solidFill>
          </w14:textFill>
        </w:rPr>
        <w:t>监测目标：</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①防止区内自然体系生产能力进一步下降；</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lang w:eastAsia="ja-JP"/>
          <w14:textFill>
            <w14:solidFill>
              <w14:schemeClr w14:val="tx1"/>
            </w14:solidFill>
          </w14:textFill>
        </w:rPr>
        <w:t>②</w:t>
      </w:r>
      <w:r>
        <w:rPr>
          <w:bCs/>
          <w:color w:val="000000" w:themeColor="text1"/>
          <w:highlight w:val="none"/>
          <w14:textFill>
            <w14:solidFill>
              <w14:schemeClr w14:val="tx1"/>
            </w14:solidFill>
          </w14:textFill>
        </w:rPr>
        <w:t>防止区内水土流失日趋严重；</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lang w:eastAsia="ja-JP"/>
          <w14:textFill>
            <w14:solidFill>
              <w14:schemeClr w14:val="tx1"/>
            </w14:solidFill>
          </w14:textFill>
        </w:rPr>
        <w:t>③</w:t>
      </w:r>
      <w:r>
        <w:rPr>
          <w:bCs/>
          <w:color w:val="000000" w:themeColor="text1"/>
          <w:highlight w:val="none"/>
          <w14:textFill>
            <w14:solidFill>
              <w14:schemeClr w14:val="tx1"/>
            </w14:solidFill>
          </w14:textFill>
        </w:rPr>
        <w:t>防止区内人类活动给自然体系增加更大的压力。</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监测要求：</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（一）监测物种类别</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1、陆生植物</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rFonts w:hint="default"/>
          <w:bCs/>
          <w:color w:val="000000" w:themeColor="text1"/>
          <w:highlight w:val="none"/>
          <w:lang w:val="en-US" w:eastAsia="zh-CN"/>
          <w14:textFill>
            <w14:solidFill>
              <w14:schemeClr w14:val="tx1"/>
            </w14:solidFill>
          </w14:textFill>
        </w:rPr>
        <w:t>监测陆生植被物种主要为评价区的马尾松、麻栎、青冈、栓皮栎为主的乔木林植被，野桐、盐肤木、芒、白茅为主的灌草丛植被。</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2、陆生动物</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两栖类主要为：常见的蛙类和蟾蜍类。</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爬行类主要为：蜥蜴类、蛇类和壁虎类。</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鸟类主要为：雉科、鸦科、雀科、鹭科、雉科及燕科的鸟类。</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兽类主要为：食肉目鼬科，啮齿目鼠科，兔形目兔科的中小型兽类。</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（二）监测范围</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包括陆生植被监测、植被恢复效果监测、陆生动物监测。</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 陆生植被监测</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监测内容及方法：根据陆生生物组成设置固定样地5个，根据各样线群落面积确定设置的样地数量，着重调查植物的水平分布变化趋势。此外，监测过程中应密切关注外来入侵种的种类、数量、入侵速度。</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监测时间及频次：常规监测。</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2、植被恢复效果监测</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监测内容：项目退役后，植被恢复初期，在各施工迹地设置1-2个20m×20m或5m×5m的小样方，对小样方内植物生长情况进行调查，包括植物成活率、萌发情况、幼树长势、植被覆盖率、植物种类变化等。</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监测时间及频次：常规监测。</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 xml:space="preserve">3、陆生动物监测 </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监测内容及方法：根据陆生生物组成设置固定样线3-4条，统计兽类、鸟类、两栖类、爬行类的物种出现率。还可进行民间访问和市场调查来了解野生动物的情况。</w:t>
      </w:r>
    </w:p>
    <w:p>
      <w:pPr>
        <w:pStyle w:val="13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监测频次：常规监测。</w:t>
      </w:r>
    </w:p>
    <w:p>
      <w:pPr>
        <w:pStyle w:val="4"/>
        <w:keepNext/>
        <w:keepLines/>
        <w:pageBreakBefore w:val="0"/>
        <w:widowControl w:val="0"/>
        <w:kinsoku/>
        <w:wordWrap/>
        <w:overflowPunct/>
        <w:topLinePunct w:val="0"/>
        <w:autoSpaceDE/>
        <w:autoSpaceDN/>
        <w:bidi w:val="0"/>
        <w:adjustRightInd w:val="0"/>
        <w:snapToGrid w:val="0"/>
        <w:spacing w:before="0" w:beforeLines="0"/>
        <w:textAlignment w:val="auto"/>
        <w:rPr>
          <w:b/>
          <w:color w:val="000000" w:themeColor="text1"/>
          <w:highlight w:val="none"/>
          <w:lang w:eastAsia="zh-CN"/>
          <w14:textFill>
            <w14:solidFill>
              <w14:schemeClr w14:val="tx1"/>
            </w14:solidFill>
          </w14:textFill>
        </w:rPr>
      </w:pPr>
      <w:bookmarkStart w:id="516" w:name="_Toc120173248"/>
      <w:r>
        <w:rPr>
          <w:color w:val="000000" w:themeColor="text1"/>
          <w:highlight w:val="none"/>
          <w:lang w:eastAsia="zh-CN"/>
          <w14:textFill>
            <w14:solidFill>
              <w14:schemeClr w14:val="tx1"/>
            </w14:solidFill>
          </w14:textFill>
        </w:rPr>
        <w:t>应急监测</w:t>
      </w:r>
      <w:bookmarkEnd w:id="516"/>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本项目主要存在</w:t>
      </w:r>
      <w:r>
        <w:rPr>
          <w:rFonts w:hint="eastAsia"/>
          <w:color w:val="000000" w:themeColor="text1"/>
          <w:highlight w:val="none"/>
          <w14:textFill>
            <w14:solidFill>
              <w14:schemeClr w14:val="tx1"/>
            </w14:solidFill>
          </w14:textFill>
        </w:rPr>
        <w:t>试采</w:t>
      </w:r>
      <w:r>
        <w:rPr>
          <w:color w:val="000000" w:themeColor="text1"/>
          <w:highlight w:val="none"/>
          <w14:textFill>
            <w14:solidFill>
              <w14:schemeClr w14:val="tx1"/>
            </w14:solidFill>
          </w14:textFill>
        </w:rPr>
        <w:t>站场天然气泄漏（天然气泄漏或火灾、爆炸或重大环境污染）、污水泄漏、油类物质泄漏等事故。因此，在发生事故时应当进行应急监测。</w:t>
      </w:r>
    </w:p>
    <w:p>
      <w:pPr>
        <w:ind w:firstLine="480"/>
        <w:rPr>
          <w:rFonts w:hint="eastAsia" w:cs="Times New Roman"/>
          <w:color w:val="000000" w:themeColor="text1"/>
          <w:szCs w:val="32"/>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参考</w:t>
      </w:r>
      <w:r>
        <w:rPr>
          <w:rFonts w:hint="eastAsia" w:cs="Times New Roman"/>
          <w:color w:val="000000" w:themeColor="text1"/>
          <w:szCs w:val="32"/>
          <w:highlight w:val="none"/>
          <w14:textFill>
            <w14:solidFill>
              <w14:schemeClr w14:val="tx1"/>
            </w14:solidFill>
          </w14:textFill>
        </w:rPr>
        <w:t>《突发环境事件应急监测技术规范》（HJ 589-2021）</w:t>
      </w:r>
      <w:r>
        <w:rPr>
          <w:rFonts w:hint="eastAsia" w:cs="Times New Roman"/>
          <w:color w:val="000000" w:themeColor="text1"/>
          <w:szCs w:val="32"/>
          <w:highlight w:val="none"/>
          <w:lang w:eastAsia="zh-CN"/>
          <w14:textFill>
            <w14:solidFill>
              <w14:schemeClr w14:val="tx1"/>
            </w14:solidFill>
          </w14:textFill>
        </w:rPr>
        <w:t>，</w:t>
      </w:r>
      <w:r>
        <w:rPr>
          <w:rFonts w:hint="eastAsia" w:cs="Times New Roman"/>
          <w:color w:val="000000" w:themeColor="text1"/>
          <w:szCs w:val="32"/>
          <w:highlight w:val="none"/>
          <w:lang w:val="en-US" w:eastAsia="zh-CN"/>
          <w14:textFill>
            <w14:solidFill>
              <w14:schemeClr w14:val="tx1"/>
            </w14:solidFill>
          </w14:textFill>
        </w:rPr>
        <w:t>在发生风险事故后，根据污染态势初步判别结果，编制应急监测方案。应急监测方案应包括但不限于突发环境事件概况、监测布点及距事发地距离、监测断面（点位）经纬度及示意图、监测频次、监测项目、监测方法、评价标准或要求、质量保证和质量控制、数据报送要求、人员分工及联系方式、安全防护等方面内容。</w:t>
      </w:r>
    </w:p>
    <w:p>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断面（点）的设置一般以突发环境事件发生地及可能受影响的环境区域为主，同时应注重人群和生活环境、事件发生地周围重要生态环境保护目标及环境敏感点，重点关注对饮用水水源地、人群活动区域的空气、农田土壤、自然保护区、风景名胜区及其他需要特殊保护的区域的影响，合理设置监测断面（点），判断污染团（带）位置、反映污染变化趋势、了解应急处置效果。应根据突发环境事件应急处置情况动态及时更新调整布设点位。对被突发环境事件所污染的地表水、大气、土壤和地下水应设置对照断面（点）、控制断面（点），对地表水和地下水还应设置削减断面（点），布点要确保能够获取足够的有代表性的信息，同时应考虑采样的安全性和可行性。</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应急监测包括污染纠纷的监测和污染事故的应急监测等。工程施工单位未落实环境保护措施发生污染事故或公众举报与投诉，以及风险事故发生时，环境监测部门应立刻进行现场监测，并通知当地环保部门赴事故现场进行调查，做到及时提供事故监测分析报告，以便及时做出整改并采取补救措施，使事故造成的不良环境影响降至最低。</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对事故监测可根据事故性质、事故影响大小等具体情况监测气、土壤、水等，并以监测报告的形式上报上级部门。</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17" w:name="8.3排污口规范化管理"/>
      <w:bookmarkEnd w:id="517"/>
      <w:bookmarkStart w:id="518" w:name="8.2.2监测实施单位"/>
      <w:bookmarkEnd w:id="518"/>
      <w:bookmarkStart w:id="519" w:name="_bookmark41"/>
      <w:bookmarkEnd w:id="519"/>
      <w:bookmarkStart w:id="520" w:name="_Toc5219"/>
      <w:r>
        <w:rPr>
          <w:color w:val="000000" w:themeColor="text1"/>
          <w:highlight w:val="none"/>
          <w:lang w:eastAsia="zh-CN"/>
          <w14:textFill>
            <w14:solidFill>
              <w14:schemeClr w14:val="tx1"/>
            </w14:solidFill>
          </w14:textFill>
        </w:rPr>
        <w:t>排污许可申请</w:t>
      </w:r>
      <w:bookmarkEnd w:id="520"/>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w:t>
      </w:r>
      <w:r>
        <w:rPr>
          <w:rFonts w:hint="eastAsia"/>
          <w:color w:val="000000" w:themeColor="text1"/>
          <w:highlight w:val="none"/>
          <w:lang w:eastAsia="zh-CN"/>
          <w14:textFill>
            <w14:solidFill>
              <w14:schemeClr w14:val="tx1"/>
            </w14:solidFill>
          </w14:textFill>
        </w:rPr>
        <w:t>天然气勘探及试采项目</w:t>
      </w:r>
      <w:r>
        <w:rPr>
          <w:color w:val="000000" w:themeColor="text1"/>
          <w:highlight w:val="none"/>
          <w14:textFill>
            <w14:solidFill>
              <w14:schemeClr w14:val="tx1"/>
            </w14:solidFill>
          </w14:textFill>
        </w:rPr>
        <w:t>，根据《固定污染源排污许可分类管理名录》（2019年版）可知，本项目为登记管理的行业，因此不需申请排污许可证，只需登记备案。</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21" w:name="_bookmark43"/>
      <w:bookmarkEnd w:id="521"/>
      <w:bookmarkStart w:id="522" w:name="8.5环保设施竣工验收"/>
      <w:bookmarkEnd w:id="522"/>
      <w:bookmarkStart w:id="523" w:name="8.4环境监理"/>
      <w:bookmarkEnd w:id="523"/>
      <w:bookmarkStart w:id="524" w:name="_Toc20913"/>
      <w:r>
        <w:rPr>
          <w:color w:val="000000" w:themeColor="text1"/>
          <w:highlight w:val="none"/>
          <w:lang w:eastAsia="zh-CN"/>
          <w14:textFill>
            <w14:solidFill>
              <w14:schemeClr w14:val="tx1"/>
            </w14:solidFill>
          </w14:textFill>
        </w:rPr>
        <w:t>竣工</w:t>
      </w:r>
      <w:r>
        <w:rPr>
          <w:rFonts w:hint="eastAsia"/>
          <w:color w:val="000000" w:themeColor="text1"/>
          <w:highlight w:val="none"/>
          <w:lang w:eastAsia="zh-CN"/>
          <w14:textFill>
            <w14:solidFill>
              <w14:schemeClr w14:val="tx1"/>
            </w14:solidFill>
          </w14:textFill>
        </w:rPr>
        <w:t>环境保护</w:t>
      </w:r>
      <w:r>
        <w:rPr>
          <w:color w:val="000000" w:themeColor="text1"/>
          <w:highlight w:val="none"/>
          <w:lang w:eastAsia="zh-CN"/>
          <w14:textFill>
            <w14:solidFill>
              <w14:schemeClr w14:val="tx1"/>
            </w14:solidFill>
          </w14:textFill>
        </w:rPr>
        <w:t>验收</w:t>
      </w:r>
      <w:bookmarkEnd w:id="524"/>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加强建设项目竣工环境保护验收管理，监督落实环境保护设施与建设项目主体工程同时设计、同时投产、同时使用，防治环境污染，根据《建设项目竣工环境保护验收暂行办法》（国环规环评〔2017〕4号）等相关文件要求，建设单位应积极自主开展环境保护验收。</w:t>
      </w:r>
    </w:p>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施工期竣工环境保护验收措施及要求一览表</w:t>
      </w:r>
    </w:p>
    <w:tbl>
      <w:tblPr>
        <w:tblStyle w:val="9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0"/>
        <w:gridCol w:w="553"/>
        <w:gridCol w:w="1264"/>
        <w:gridCol w:w="5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b/>
                <w:bCs/>
                <w:color w:val="000000" w:themeColor="text1"/>
                <w:szCs w:val="22"/>
                <w:highlight w:val="none"/>
                <w:lang w:eastAsia="en-US"/>
                <w14:textFill>
                  <w14:solidFill>
                    <w14:schemeClr w14:val="tx1"/>
                  </w14:solidFill>
                </w14:textFill>
              </w:rPr>
            </w:pPr>
            <w:r>
              <w:rPr>
                <w:b/>
                <w:bCs/>
                <w:color w:val="000000" w:themeColor="text1"/>
                <w:szCs w:val="22"/>
                <w:highlight w:val="none"/>
                <w:lang w:eastAsia="en-US"/>
                <w14:textFill>
                  <w14:solidFill>
                    <w14:schemeClr w14:val="tx1"/>
                  </w14:solidFill>
                </w14:textFill>
              </w:rPr>
              <w:t>分项</w:t>
            </w: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b/>
                <w:bCs/>
                <w:color w:val="000000" w:themeColor="text1"/>
                <w:szCs w:val="22"/>
                <w:highlight w:val="none"/>
                <w:lang w:eastAsia="en-US"/>
                <w14:textFill>
                  <w14:solidFill>
                    <w14:schemeClr w14:val="tx1"/>
                  </w14:solidFill>
                </w14:textFill>
              </w:rPr>
            </w:pPr>
            <w:r>
              <w:rPr>
                <w:b/>
                <w:bCs/>
                <w:color w:val="000000" w:themeColor="text1"/>
                <w:szCs w:val="22"/>
                <w:highlight w:val="none"/>
                <w:lang w:eastAsia="en-US"/>
                <w14:textFill>
                  <w14:solidFill>
                    <w14:schemeClr w14:val="tx1"/>
                  </w14:solidFill>
                </w14:textFill>
              </w:rPr>
              <w:t>验收项目及位置</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b/>
                <w:bCs/>
                <w:color w:val="000000" w:themeColor="text1"/>
                <w:szCs w:val="22"/>
                <w:highlight w:val="none"/>
                <w:lang w:eastAsia="en-US"/>
                <w14:textFill>
                  <w14:solidFill>
                    <w14:schemeClr w14:val="tx1"/>
                  </w14:solidFill>
                </w14:textFill>
              </w:rPr>
            </w:pPr>
            <w:r>
              <w:rPr>
                <w:b/>
                <w:bCs/>
                <w:color w:val="000000" w:themeColor="text1"/>
                <w:szCs w:val="22"/>
                <w:highlight w:val="none"/>
                <w:lang w:eastAsia="en-US"/>
                <w14:textFill>
                  <w14:solidFill>
                    <w14:schemeClr w14:val="tx1"/>
                  </w14:solidFill>
                </w14:textFill>
              </w:rPr>
              <w:t>验收指标及要求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环境</w:t>
            </w:r>
            <w:r>
              <w:rPr>
                <w:color w:val="000000" w:themeColor="text1"/>
                <w:spacing w:val="-103"/>
                <w:szCs w:val="22"/>
                <w:highlight w:val="none"/>
                <w:lang w:eastAsia="en-US"/>
                <w14:textFill>
                  <w14:solidFill>
                    <w14:schemeClr w14:val="tx1"/>
                  </w14:solidFill>
                </w14:textFill>
              </w:rPr>
              <w:t xml:space="preserve"> </w:t>
            </w:r>
            <w:r>
              <w:rPr>
                <w:color w:val="000000" w:themeColor="text1"/>
                <w:szCs w:val="22"/>
                <w:highlight w:val="none"/>
                <w:lang w:eastAsia="en-US"/>
                <w14:textFill>
                  <w14:solidFill>
                    <w14:schemeClr w14:val="tx1"/>
                  </w14:solidFill>
                </w14:textFill>
              </w:rPr>
              <w:t>管理</w:t>
            </w: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环境管理制度</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8"/>
                <w:szCs w:val="22"/>
                <w:highlight w:val="none"/>
                <w:lang w:eastAsia="zh-CN"/>
                <w14:textFill>
                  <w14:solidFill>
                    <w14:schemeClr w14:val="tx1"/>
                  </w14:solidFill>
                </w14:textFill>
              </w:rPr>
              <w:t>具有环保机构，环保资料和档案齐全。建立各类废水、岩屑、</w:t>
            </w:r>
            <w:r>
              <w:rPr>
                <w:color w:val="000000" w:themeColor="text1"/>
                <w:spacing w:val="-58"/>
                <w:szCs w:val="22"/>
                <w:highlight w:val="none"/>
                <w:lang w:eastAsia="zh-CN"/>
                <w14:textFill>
                  <w14:solidFill>
                    <w14:schemeClr w14:val="tx1"/>
                  </w14:solidFill>
                </w14:textFill>
              </w:rPr>
              <w:t xml:space="preserve"> </w:t>
            </w:r>
            <w:r>
              <w:rPr>
                <w:color w:val="000000" w:themeColor="text1"/>
                <w:szCs w:val="22"/>
                <w:highlight w:val="none"/>
                <w:lang w:eastAsia="zh-CN"/>
                <w14:textFill>
                  <w14:solidFill>
                    <w14:schemeClr w14:val="tx1"/>
                  </w14:solidFill>
                </w14:textFill>
              </w:rPr>
              <w:t>泥浆等转移联单制度，提供完整的交接清单资料备查</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环境风险管理</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3"/>
                <w:szCs w:val="22"/>
                <w:highlight w:val="none"/>
                <w:lang w:eastAsia="zh-CN"/>
                <w14:textFill>
                  <w14:solidFill>
                    <w14:schemeClr w14:val="tx1"/>
                  </w14:solidFill>
                </w14:textFill>
              </w:rPr>
              <w:t>具备符合行业规范和环评要求的环境风险应急预案并定期</w:t>
            </w:r>
            <w:r>
              <w:rPr>
                <w:color w:val="000000" w:themeColor="text1"/>
                <w:spacing w:val="-2"/>
                <w:szCs w:val="22"/>
                <w:highlight w:val="none"/>
                <w:lang w:eastAsia="zh-CN"/>
                <w14:textFill>
                  <w14:solidFill>
                    <w14:schemeClr w14:val="tx1"/>
                  </w14:solidFill>
                </w14:textFill>
              </w:rPr>
              <w:t>培训、演练，建立与当地村、乡镇、县相关部门联动机制</w:t>
            </w:r>
            <w:r>
              <w:rPr>
                <w:rFonts w:hint="eastAsia"/>
                <w:color w:val="000000" w:themeColor="text1"/>
                <w:spacing w:val="-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pacing w:val="2"/>
                <w:szCs w:val="22"/>
                <w:highlight w:val="none"/>
                <w:lang w:eastAsia="en-US"/>
                <w14:textFill>
                  <w14:solidFill>
                    <w14:schemeClr w14:val="tx1"/>
                  </w14:solidFill>
                </w14:textFill>
              </w:rPr>
              <w:t>污染防</w:t>
            </w:r>
            <w:r>
              <w:rPr>
                <w:color w:val="000000" w:themeColor="text1"/>
                <w:szCs w:val="22"/>
                <w:highlight w:val="none"/>
                <w:lang w:eastAsia="en-US"/>
                <w14:textFill>
                  <w14:solidFill>
                    <w14:schemeClr w14:val="tx1"/>
                  </w14:solidFill>
                </w14:textFill>
              </w:rPr>
              <w:t>治措施</w:t>
            </w:r>
          </w:p>
        </w:tc>
        <w:tc>
          <w:tcPr>
            <w:tcW w:w="553"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废水</w:t>
            </w: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钻前施工废水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ascii="Times New Roman" w:hAnsi="Times New Roman" w:eastAsia="宋体" w:cs="Times New Roman"/>
                <w:color w:val="000000" w:themeColor="text1"/>
                <w:spacing w:val="-4"/>
                <w:kern w:val="2"/>
                <w:sz w:val="21"/>
                <w:szCs w:val="22"/>
                <w:highlight w:val="none"/>
                <w:lang w:val="en-US" w:eastAsia="zh-CN" w:bidi="ar-SA"/>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沉淀后洒水降尘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pacing w:val="2"/>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钻前生活污水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ascii="Times New Roman" w:hAnsi="Times New Roman" w:eastAsia="宋体" w:cs="Times New Roman"/>
                <w:color w:val="000000" w:themeColor="text1"/>
                <w:spacing w:val="-4"/>
                <w:kern w:val="2"/>
                <w:sz w:val="21"/>
                <w:szCs w:val="22"/>
                <w:highlight w:val="none"/>
                <w:lang w:val="en-US" w:eastAsia="zh-CN" w:bidi="ar-SA"/>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利用当地居民厕所收集处置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pacing w:val="2"/>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2"/>
                <w:highlight w:val="none"/>
                <w:lang w:eastAsia="zh-CN"/>
                <w14:textFill>
                  <w14:solidFill>
                    <w14:schemeClr w14:val="tx1"/>
                  </w14:solidFill>
                </w14:textFill>
              </w:rPr>
              <w:t>钻井废水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ascii="Times New Roman" w:hAnsi="Times New Roman" w:eastAsia="宋体" w:cs="Times New Roman"/>
                <w:color w:val="000000" w:themeColor="text1"/>
                <w:spacing w:val="-4"/>
                <w:kern w:val="2"/>
                <w:sz w:val="21"/>
                <w:szCs w:val="22"/>
                <w:highlight w:val="none"/>
                <w:lang w:val="en-US" w:eastAsia="zh-CN" w:bidi="ar-SA"/>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部分回用，剩余的</w:t>
            </w:r>
            <w:r>
              <w:rPr>
                <w:rFonts w:hint="eastAsia" w:cs="Times New Roman"/>
                <w:color w:val="000000" w:themeColor="text1"/>
                <w:szCs w:val="24"/>
                <w:highlight w:val="none"/>
                <w:lang w:val="en-US" w:eastAsia="zh-CN"/>
                <w14:textFill>
                  <w14:solidFill>
                    <w14:schemeClr w14:val="tx1"/>
                  </w14:solidFill>
                </w14:textFill>
              </w:rPr>
              <w:t>暂存于清洁生产操作平台的废水罐内，定期装车拉运至赵家坝污水处理站处理达标后经普光3井回注站回注，不外排。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pacing w:val="2"/>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2"/>
                <w:highlight w:val="none"/>
                <w:lang w:eastAsia="zh-CN"/>
                <w14:textFill>
                  <w14:solidFill>
                    <w14:schemeClr w14:val="tx1"/>
                  </w14:solidFill>
                </w14:textFill>
              </w:rPr>
              <w:t>洗井废水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ascii="Times New Roman" w:hAnsi="Times New Roman" w:eastAsia="宋体" w:cs="Times New Roman"/>
                <w:color w:val="000000" w:themeColor="text1"/>
                <w:spacing w:val="-4"/>
                <w:kern w:val="2"/>
                <w:sz w:val="21"/>
                <w:szCs w:val="22"/>
                <w:highlight w:val="none"/>
                <w:lang w:val="en-US" w:eastAsia="zh-CN" w:bidi="ar-SA"/>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部分回用，剩余的</w:t>
            </w:r>
            <w:r>
              <w:rPr>
                <w:rFonts w:hint="eastAsia" w:cs="Times New Roman"/>
                <w:color w:val="000000" w:themeColor="text1"/>
                <w:szCs w:val="24"/>
                <w:highlight w:val="none"/>
                <w:lang w:val="en-US" w:eastAsia="zh-CN"/>
                <w14:textFill>
                  <w14:solidFill>
                    <w14:schemeClr w14:val="tx1"/>
                  </w14:solidFill>
                </w14:textFill>
              </w:rPr>
              <w:t>暂存于清洁生产操作平台的废水罐内，定期装车拉运至赵家坝污水处理站处理达标后经普光3井回注站回注，不外排。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pacing w:val="2"/>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eastAsia"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2"/>
                <w:highlight w:val="none"/>
                <w:lang w:eastAsia="zh-CN"/>
                <w14:textFill>
                  <w14:solidFill>
                    <w14:schemeClr w14:val="tx1"/>
                  </w14:solidFill>
                </w14:textFill>
              </w:rPr>
              <w:t>压裂返排液</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eastAsia" w:ascii="Times New Roman" w:hAnsi="Times New Roman" w:eastAsia="宋体" w:cs="Times New Roman"/>
                <w:color w:val="000000" w:themeColor="text1"/>
                <w:spacing w:val="-4"/>
                <w:kern w:val="2"/>
                <w:sz w:val="21"/>
                <w:szCs w:val="22"/>
                <w:highlight w:val="none"/>
                <w:lang w:val="en-US" w:eastAsia="zh-CN" w:bidi="ar-SA"/>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部分回用，剩余的</w:t>
            </w:r>
            <w:r>
              <w:rPr>
                <w:rFonts w:hint="eastAsia" w:cs="Times New Roman"/>
                <w:color w:val="000000" w:themeColor="text1"/>
                <w:szCs w:val="24"/>
                <w:highlight w:val="none"/>
                <w:lang w:val="en-US" w:eastAsia="zh-CN"/>
                <w14:textFill>
                  <w14:solidFill>
                    <w14:schemeClr w14:val="tx1"/>
                  </w14:solidFill>
                </w14:textFill>
              </w:rPr>
              <w:t>暂存于放喷池、压裂液储罐内，定期装车拉运至赵家坝污水处理站处理达标后经普光3井回注站回注，不外排。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pacing w:val="2"/>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试压废水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cs="Times New Roman"/>
                <w:color w:val="000000" w:themeColor="text1"/>
                <w:spacing w:val="-4"/>
                <w:szCs w:val="22"/>
                <w:highlight w:val="none"/>
                <w:lang w:val="en-US" w:eastAsia="zh-CN"/>
                <w14:textFill>
                  <w14:solidFill>
                    <w14:schemeClr w14:val="tx1"/>
                  </w14:solidFill>
                </w14:textFill>
              </w:rPr>
            </w:pPr>
            <w:r>
              <w:rPr>
                <w:rFonts w:hint="eastAsia" w:cs="Times New Roman"/>
                <w:color w:val="000000" w:themeColor="text1"/>
                <w:spacing w:val="-4"/>
                <w:szCs w:val="22"/>
                <w:highlight w:val="none"/>
                <w:lang w:val="en-US" w:eastAsia="zh-CN"/>
                <w14:textFill>
                  <w14:solidFill>
                    <w14:schemeClr w14:val="tx1"/>
                  </w14:solidFill>
                </w14:textFill>
              </w:rPr>
              <w:t>沉淀后回用于洒水降尘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场地雨水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4"/>
                <w:szCs w:val="22"/>
                <w:highlight w:val="none"/>
                <w:lang w:eastAsia="zh-CN"/>
                <w14:textFill>
                  <w14:solidFill>
                    <w14:schemeClr w14:val="tx1"/>
                  </w14:solidFill>
                </w14:textFill>
              </w:rPr>
              <w:t>井场清污分流，井场四周设置排水沟，并设置集污坑，雨水</w:t>
            </w:r>
            <w:r>
              <w:rPr>
                <w:color w:val="000000" w:themeColor="text1"/>
                <w:spacing w:val="-2"/>
                <w:szCs w:val="22"/>
                <w:highlight w:val="none"/>
                <w:lang w:eastAsia="zh-CN"/>
                <w14:textFill>
                  <w14:solidFill>
                    <w14:schemeClr w14:val="tx1"/>
                  </w14:solidFill>
                </w14:textFill>
              </w:rPr>
              <w:t>依靠井站设置的地面坡度，就地散排至排水沟，排出场外。</w:t>
            </w:r>
            <w:r>
              <w:rPr>
                <w:color w:val="000000" w:themeColor="text1"/>
                <w:spacing w:val="-4"/>
                <w:szCs w:val="22"/>
                <w:highlight w:val="none"/>
                <w:lang w:eastAsia="zh-CN"/>
                <w14:textFill>
                  <w14:solidFill>
                    <w14:schemeClr w14:val="tx1"/>
                  </w14:solidFill>
                </w14:textFill>
              </w:rPr>
              <w:t>若场内雨水被污染流入外环沟，则需封闭外环沟由作业队伍</w:t>
            </w:r>
            <w:r>
              <w:rPr>
                <w:color w:val="000000" w:themeColor="text1"/>
                <w:szCs w:val="22"/>
                <w:highlight w:val="none"/>
                <w:lang w:eastAsia="zh-CN"/>
                <w14:textFill>
                  <w14:solidFill>
                    <w14:schemeClr w14:val="tx1"/>
                  </w14:solidFill>
                </w14:textFill>
              </w:rPr>
              <w:t>从集水坑抽汲至废水收集罐或放喷池</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钻井工程、储层改造工程和油气集输工程</w:t>
            </w:r>
            <w:r>
              <w:rPr>
                <w:color w:val="000000" w:themeColor="text1"/>
                <w:szCs w:val="22"/>
                <w:highlight w:val="none"/>
                <w:lang w:eastAsia="en-US"/>
                <w14:textFill>
                  <w14:solidFill>
                    <w14:schemeClr w14:val="tx1"/>
                  </w14:solidFill>
                </w14:textFill>
              </w:rPr>
              <w:t>生活污水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4"/>
                <w:szCs w:val="22"/>
                <w:highlight w:val="none"/>
                <w:lang w:eastAsia="zh-CN"/>
                <w14:textFill>
                  <w14:solidFill>
                    <w14:schemeClr w14:val="tx1"/>
                  </w14:solidFill>
                </w14:textFill>
              </w:rPr>
              <w:t>经生态厕所收集后定期由密闭罐车拉运至周边生活污水处理厂处理</w:t>
            </w:r>
            <w:r>
              <w:rPr>
                <w:rFonts w:hint="eastAsia"/>
                <w:color w:val="000000" w:themeColor="text1"/>
                <w:spacing w:val="-4"/>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地下水</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按要求分区防渗；按要求进行跟踪监测</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废气</w:t>
            </w: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施工扬尘</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2"/>
                <w:szCs w:val="22"/>
                <w:highlight w:val="none"/>
                <w:lang w:eastAsia="zh-CN"/>
                <w14:textFill>
                  <w14:solidFill>
                    <w14:schemeClr w14:val="tx1"/>
                  </w14:solidFill>
                </w14:textFill>
              </w:rPr>
              <w:t>施工场地围挡、洒水，运输车辆覆盖</w:t>
            </w:r>
            <w:r>
              <w:rPr>
                <w:rFonts w:hint="eastAsia"/>
                <w:color w:val="000000" w:themeColor="text1"/>
                <w:spacing w:val="-2"/>
                <w:szCs w:val="22"/>
                <w:highlight w:val="none"/>
                <w:lang w:eastAsia="zh-CN"/>
                <w14:textFill>
                  <w14:solidFill>
                    <w14:schemeClr w14:val="tx1"/>
                  </w14:solidFill>
                </w14:textFill>
              </w:rPr>
              <w:t>篷布</w:t>
            </w:r>
            <w:r>
              <w:rPr>
                <w:color w:val="000000" w:themeColor="text1"/>
                <w:spacing w:val="-2"/>
                <w:szCs w:val="22"/>
                <w:highlight w:val="none"/>
                <w:lang w:eastAsia="zh-CN"/>
                <w14:textFill>
                  <w14:solidFill>
                    <w14:schemeClr w14:val="tx1"/>
                  </w14:solidFill>
                </w14:textFill>
              </w:rPr>
              <w:t>，施工营地内设</w:t>
            </w:r>
            <w:r>
              <w:rPr>
                <w:color w:val="000000" w:themeColor="text1"/>
                <w:szCs w:val="22"/>
                <w:highlight w:val="none"/>
                <w:lang w:eastAsia="zh-CN"/>
                <w14:textFill>
                  <w14:solidFill>
                    <w14:schemeClr w14:val="tx1"/>
                  </w14:solidFill>
                </w14:textFill>
              </w:rPr>
              <w:t>1套车辆冲洗装置</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备用柴油发电机尾气</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pacing w:val="-2"/>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仅在网电无法使用时使用，自带消烟除尘装置处理后6m高排气筒排放</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压裂作业车辆机械尾气</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采用合格燃油、加强设备保养减少尾气排放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油气集输工程焊接烟尘</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rFonts w:hint="default" w:ascii="Times New Roman" w:hAnsi="Times New Roman" w:cs="Times New Roman"/>
                <w:color w:val="000000" w:themeColor="text1"/>
                <w:szCs w:val="24"/>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自带焊烟净化器处理后排放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储层改造工程测试放喷</w:t>
            </w:r>
            <w:r>
              <w:rPr>
                <w:color w:val="000000" w:themeColor="text1"/>
                <w:szCs w:val="22"/>
                <w:highlight w:val="none"/>
                <w:lang w:eastAsia="en-US"/>
                <w14:textFill>
                  <w14:solidFill>
                    <w14:schemeClr w14:val="tx1"/>
                  </w14:solidFill>
                </w14:textFill>
              </w:rPr>
              <w:t>废气试</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4"/>
                <w:szCs w:val="22"/>
                <w:highlight w:val="none"/>
                <w:lang w:eastAsia="zh-CN"/>
                <w14:textFill>
                  <w14:solidFill>
                    <w14:schemeClr w14:val="tx1"/>
                  </w14:solidFill>
                </w14:textFill>
              </w:rPr>
              <w:t>采用地面灼烧处理，建设放喷设施（套）、放喷池等，无固定、长期污染源</w:t>
            </w:r>
            <w:r>
              <w:rPr>
                <w:rFonts w:hint="eastAsia"/>
                <w:color w:val="000000" w:themeColor="text1"/>
                <w:spacing w:val="-4"/>
                <w:szCs w:val="22"/>
                <w:highlight w:val="none"/>
                <w:lang w:eastAsia="zh-CN"/>
                <w14:textFill>
                  <w14:solidFill>
                    <w14:schemeClr w14:val="tx1"/>
                  </w14:solidFill>
                </w14:textFill>
              </w:rPr>
              <w:t>，测试</w:t>
            </w:r>
            <w:r>
              <w:rPr>
                <w:color w:val="000000" w:themeColor="text1"/>
                <w:szCs w:val="20"/>
                <w:highlight w:val="none"/>
                <w:lang w:eastAsia="zh-CN"/>
                <w14:textFill>
                  <w14:solidFill>
                    <w14:schemeClr w14:val="tx1"/>
                  </w14:solidFill>
                </w14:textFill>
              </w:rPr>
              <w:t>放喷期间应临时撤离放喷口周边500m的居民</w:t>
            </w:r>
            <w:r>
              <w:rPr>
                <w:color w:val="000000" w:themeColor="text1"/>
                <w:spacing w:val="-4"/>
                <w:szCs w:val="22"/>
                <w:highlight w:val="none"/>
                <w:lang w:eastAsia="zh-CN"/>
                <w14:textFill>
                  <w14:solidFill>
                    <w14:schemeClr w14:val="tx1"/>
                  </w14:solidFill>
                </w14:textFill>
              </w:rPr>
              <w:t>，通过区域环境质量监测确保区域环境功能</w:t>
            </w:r>
            <w:r>
              <w:rPr>
                <w:color w:val="000000" w:themeColor="text1"/>
                <w:szCs w:val="22"/>
                <w:highlight w:val="none"/>
                <w:lang w:eastAsia="zh-CN"/>
                <w14:textFill>
                  <w14:solidFill>
                    <w14:schemeClr w14:val="tx1"/>
                  </w14:solidFill>
                </w14:textFill>
              </w:rPr>
              <w:t>未发生改变</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事故放喷通过专用的放喷管线将天然气引至放喷池进行点火放喷，并建立警戒点进行24小时警戒，严禁居民靠近。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固废</w:t>
            </w: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清水岩屑</w:t>
            </w:r>
          </w:p>
        </w:tc>
        <w:tc>
          <w:tcPr>
            <w:tcW w:w="5555"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pacing w:val="3"/>
                <w:szCs w:val="22"/>
                <w:highlight w:val="none"/>
                <w:lang w:eastAsia="zh-CN"/>
                <w14:textFill>
                  <w14:solidFill>
                    <w14:schemeClr w14:val="tx1"/>
                  </w14:solidFill>
                </w14:textFill>
              </w:rPr>
            </w:pPr>
            <w:r>
              <w:rPr>
                <w:color w:val="000000" w:themeColor="text1"/>
                <w:spacing w:val="3"/>
                <w:szCs w:val="22"/>
                <w:highlight w:val="none"/>
                <w:lang w:eastAsia="zh-CN"/>
                <w14:textFill>
                  <w14:solidFill>
                    <w14:schemeClr w14:val="tx1"/>
                  </w14:solidFill>
                </w14:textFill>
              </w:rPr>
              <w:t>经泥浆不落地工艺进行固液分离后</w:t>
            </w:r>
            <w:r>
              <w:rPr>
                <w:color w:val="000000" w:themeColor="text1"/>
                <w:szCs w:val="20"/>
                <w:highlight w:val="none"/>
                <w:lang w:eastAsia="zh-CN"/>
                <w14:textFill>
                  <w14:solidFill>
                    <w14:schemeClr w14:val="tx1"/>
                  </w14:solidFill>
                </w14:textFill>
              </w:rPr>
              <w:t>暂存于</w:t>
            </w:r>
            <w:r>
              <w:rPr>
                <w:rFonts w:hint="eastAsia"/>
                <w:color w:val="000000" w:themeColor="text1"/>
                <w:szCs w:val="20"/>
                <w:highlight w:val="none"/>
                <w:lang w:eastAsia="zh-CN"/>
                <w14:textFill>
                  <w14:solidFill>
                    <w14:schemeClr w14:val="tx1"/>
                  </w14:solidFill>
                </w14:textFill>
              </w:rPr>
              <w:t>钻井固废暂存区</w:t>
            </w:r>
            <w:r>
              <w:rPr>
                <w:rFonts w:hint="eastAsia"/>
                <w:color w:val="000000" w:themeColor="text1"/>
                <w:spacing w:val="3"/>
                <w:szCs w:val="22"/>
                <w:highlight w:val="none"/>
                <w:lang w:eastAsia="zh-CN"/>
                <w14:textFill>
                  <w14:solidFill>
                    <w14:schemeClr w14:val="tx1"/>
                  </w14:solidFill>
                </w14:textFill>
              </w:rPr>
              <w:t>，</w:t>
            </w:r>
            <w:r>
              <w:rPr>
                <w:color w:val="000000" w:themeColor="text1"/>
                <w:spacing w:val="3"/>
                <w:szCs w:val="22"/>
                <w:highlight w:val="none"/>
                <w:lang w:eastAsia="zh-CN"/>
                <w14:textFill>
                  <w14:solidFill>
                    <w14:schemeClr w14:val="tx1"/>
                  </w14:solidFill>
                </w14:textFill>
              </w:rPr>
              <w:t>及时就近交给依法取得生态环境部门关于利用和处置相关工业固体废物项目环评批复、具有处理处置相应固体废物能力并配套建设有废气、废水、固废等污染物治理设施的单位进行资源化利用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000000" w:themeColor="text1"/>
                <w:spacing w:val="3"/>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水基钻井固废</w:t>
            </w:r>
          </w:p>
        </w:tc>
        <w:tc>
          <w:tcPr>
            <w:tcW w:w="5555"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pacing w:val="3"/>
                <w:szCs w:val="22"/>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rFonts w:hint="eastAsia"/>
                <w:color w:val="000000" w:themeColor="text1"/>
                <w:szCs w:val="22"/>
                <w:highlight w:val="none"/>
                <w:lang w:eastAsia="zh-CN"/>
                <w14:textFill>
                  <w14:solidFill>
                    <w14:schemeClr w14:val="tx1"/>
                  </w14:solidFill>
                </w14:textFill>
              </w:rPr>
              <w:t>油基钻井废泥浆、岩屑</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pacing w:val="3"/>
                <w:szCs w:val="22"/>
                <w:highlight w:val="none"/>
                <w:lang w:eastAsia="zh-CN"/>
                <w14:textFill>
                  <w14:solidFill>
                    <w14:schemeClr w14:val="tx1"/>
                  </w14:solidFill>
                </w14:textFill>
              </w:rPr>
            </w:pPr>
            <w:r>
              <w:rPr>
                <w:color w:val="000000" w:themeColor="text1"/>
                <w:szCs w:val="20"/>
                <w:highlight w:val="none"/>
                <w:lang w:eastAsia="zh-CN"/>
                <w14:textFill>
                  <w14:solidFill>
                    <w14:schemeClr w14:val="tx1"/>
                  </w14:solidFill>
                </w14:textFill>
              </w:rPr>
              <w:t>油基钻井废泥浆、岩屑暂存于危险废物暂存场所（</w:t>
            </w:r>
            <w:r>
              <w:rPr>
                <w:rFonts w:hint="eastAsia"/>
                <w:color w:val="000000" w:themeColor="text1"/>
                <w:szCs w:val="20"/>
                <w:highlight w:val="none"/>
                <w:lang w:eastAsia="zh-CN"/>
                <w14:textFill>
                  <w14:solidFill>
                    <w14:schemeClr w14:val="tx1"/>
                  </w14:solidFill>
                </w14:textFill>
              </w:rPr>
              <w:t>若使用油基岩屑钻井时设置，</w:t>
            </w:r>
            <w:r>
              <w:rPr>
                <w:color w:val="000000" w:themeColor="text1"/>
                <w:szCs w:val="20"/>
                <w:highlight w:val="none"/>
                <w:lang w:eastAsia="zh-CN"/>
                <w14:textFill>
                  <w14:solidFill>
                    <w14:schemeClr w14:val="tx1"/>
                  </w14:solidFill>
                </w14:textFill>
              </w:rPr>
              <w:t>共用1处，采取必要的防风、防晒、防雨、防漏、防渗、防腐以及其他环境污染防治措施，不得露天堆放危险废物），泥浆和油基钻井岩屑及时交由有资质的单位处置</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生活垃圾</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0"/>
                <w:highlight w:val="none"/>
                <w:lang w:eastAsia="zh-CN"/>
                <w14:textFill>
                  <w14:solidFill>
                    <w14:schemeClr w14:val="tx1"/>
                  </w14:solidFill>
                </w14:textFill>
              </w:rPr>
              <w:t>生活垃圾设置垃圾桶集中收集，交由当地环卫部门处置</w:t>
            </w:r>
            <w:r>
              <w:rPr>
                <w:rFonts w:hint="eastAsia"/>
                <w:color w:val="000000" w:themeColor="text1"/>
                <w:szCs w:val="20"/>
                <w:highlight w:val="none"/>
                <w:lang w:eastAsia="zh-CN"/>
                <w14:textFill>
                  <w14:solidFill>
                    <w14:schemeClr w14:val="tx1"/>
                  </w14:solidFill>
                </w14:textFill>
              </w:rPr>
              <w:t>。</w:t>
            </w:r>
            <w:r>
              <w:rPr>
                <w:color w:val="000000" w:themeColor="text1"/>
                <w:szCs w:val="22"/>
                <w:highlight w:val="none"/>
                <w:lang w:eastAsia="zh-CN"/>
                <w14:textFill>
                  <w14:solidFill>
                    <w14:schemeClr w14:val="tx1"/>
                  </w14:solidFill>
                </w14:textFill>
              </w:rPr>
              <w:t>按当地环卫部门要求妥善处理，现场无遗留</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废包装材料</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回收利用或送当地废品回收站，现场无遗留</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en-US"/>
                <w14:textFill>
                  <w14:solidFill>
                    <w14:schemeClr w14:val="tx1"/>
                  </w14:solidFill>
                </w14:textFill>
              </w:rPr>
              <w:t>废油</w:t>
            </w:r>
            <w:r>
              <w:rPr>
                <w:rFonts w:hint="eastAsia"/>
                <w:color w:val="000000" w:themeColor="text1"/>
                <w:szCs w:val="22"/>
                <w:highlight w:val="none"/>
                <w:lang w:eastAsia="zh-CN"/>
                <w14:textFill>
                  <w14:solidFill>
                    <w14:schemeClr w14:val="tx1"/>
                  </w14:solidFill>
                </w14:textFill>
              </w:rPr>
              <w:t>、</w:t>
            </w:r>
            <w:r>
              <w:rPr>
                <w:rFonts w:hint="default"/>
                <w:color w:val="000000" w:themeColor="text1"/>
                <w:szCs w:val="20"/>
                <w:highlight w:val="none"/>
                <w:lang w:val="en-US" w:eastAsia="zh-CN"/>
                <w14:textFill>
                  <w14:solidFill>
                    <w14:schemeClr w14:val="tx1"/>
                  </w14:solidFill>
                </w14:textFill>
              </w:rPr>
              <w:t>含油抹布和手套</w:t>
            </w:r>
            <w:r>
              <w:rPr>
                <w:color w:val="000000" w:themeColor="text1"/>
                <w:szCs w:val="22"/>
                <w:highlight w:val="none"/>
                <w:lang w:eastAsia="zh-CN"/>
                <w14:textFill>
                  <w14:solidFill>
                    <w14:schemeClr w14:val="tx1"/>
                  </w14:solidFill>
                </w14:textFill>
              </w:rPr>
              <w:t>等含油固废</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4"/>
                <w:szCs w:val="22"/>
                <w:highlight w:val="none"/>
                <w:lang w:eastAsia="zh-CN"/>
                <w14:textFill>
                  <w14:solidFill>
                    <w14:schemeClr w14:val="tx1"/>
                  </w14:solidFill>
                </w14:textFill>
              </w:rPr>
              <w:t>收集并综合利用，若不能全部回用，剩余废油和含油抹布手套一起交有</w:t>
            </w:r>
            <w:r>
              <w:rPr>
                <w:color w:val="000000" w:themeColor="text1"/>
                <w:szCs w:val="22"/>
                <w:highlight w:val="none"/>
                <w:lang w:eastAsia="zh-CN"/>
                <w14:textFill>
                  <w14:solidFill>
                    <w14:schemeClr w14:val="tx1"/>
                  </w14:solidFill>
                </w14:textFill>
              </w:rPr>
              <w:t>资质的单位进行处理，现场无遗留</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rFonts w:hint="eastAsia" w:eastAsia="宋体"/>
                <w:color w:val="000000" w:themeColor="text1"/>
                <w:szCs w:val="22"/>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油气集输工程</w:t>
            </w:r>
            <w:r>
              <w:rPr>
                <w:rFonts w:hint="default"/>
                <w:color w:val="000000" w:themeColor="text1"/>
                <w:szCs w:val="20"/>
                <w:highlight w:val="none"/>
                <w14:textFill>
                  <w14:solidFill>
                    <w14:schemeClr w14:val="tx1"/>
                  </w14:solidFill>
                </w14:textFill>
              </w:rPr>
              <w:t>废焊条、废材料桶等</w:t>
            </w:r>
            <w:r>
              <w:rPr>
                <w:rFonts w:hint="eastAsia"/>
                <w:color w:val="000000" w:themeColor="text1"/>
                <w:szCs w:val="20"/>
                <w:highlight w:val="none"/>
                <w:lang w:val="en-US" w:eastAsia="zh-CN"/>
                <w14:textFill>
                  <w14:solidFill>
                    <w14:schemeClr w14:val="tx1"/>
                  </w14:solidFill>
                </w14:textFill>
              </w:rPr>
              <w:t>废材料</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pacing w:val="-4"/>
                <w:szCs w:val="22"/>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由施工单位带走处置，不在现场暂存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建筑垃圾</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pacing w:val="-4"/>
                <w:szCs w:val="22"/>
                <w:highlight w:val="none"/>
                <w:lang w:eastAsia="zh-CN"/>
                <w14:textFill>
                  <w14:solidFill>
                    <w14:schemeClr w14:val="tx1"/>
                  </w14:solidFill>
                </w14:textFill>
              </w:rPr>
              <w:t>可回收利用部分收集后回用，剩余不可回收部分</w:t>
            </w:r>
            <w:r>
              <w:rPr>
                <w:rFonts w:hint="eastAsia"/>
                <w:color w:val="000000" w:themeColor="text1"/>
                <w:szCs w:val="20"/>
                <w:highlight w:val="none"/>
                <w:lang w:eastAsia="zh-CN"/>
                <w14:textFill>
                  <w14:solidFill>
                    <w14:schemeClr w14:val="tx1"/>
                  </w14:solidFill>
                </w14:textFill>
              </w:rPr>
              <w:t>由施工队伍统一收集清运至政府指定地方。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553"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2"/>
                <w:highlight w:val="none"/>
                <w:lang w:eastAsia="en-US"/>
                <w14:textFill>
                  <w14:solidFill>
                    <w14:schemeClr w14:val="tx1"/>
                  </w14:solidFill>
                </w14:textFill>
              </w:rPr>
              <w:t>噪声</w:t>
            </w:r>
          </w:p>
        </w:tc>
        <w:tc>
          <w:tcPr>
            <w:tcW w:w="1264" w:type="dxa"/>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钻井、压裂及测试放喷噪声</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rFonts w:hint="eastAsia"/>
                <w:color w:val="000000" w:themeColor="text1"/>
                <w:spacing w:val="-4"/>
                <w:szCs w:val="22"/>
                <w:highlight w:val="none"/>
                <w:lang w:eastAsia="zh-CN"/>
                <w14:textFill>
                  <w14:solidFill>
                    <w14:schemeClr w14:val="tx1"/>
                  </w14:solidFill>
                </w14:textFill>
              </w:rPr>
              <w:t>优先选用网电，选用低噪声设备，</w:t>
            </w:r>
            <w:r>
              <w:rPr>
                <w:color w:val="000000" w:themeColor="text1"/>
                <w:spacing w:val="-4"/>
                <w:szCs w:val="22"/>
                <w:highlight w:val="none"/>
                <w:lang w:eastAsia="zh-CN"/>
                <w14:textFill>
                  <w14:solidFill>
                    <w14:schemeClr w14:val="tx1"/>
                  </w14:solidFill>
                </w14:textFill>
              </w:rPr>
              <w:t>备用发电机设置发电机房，采用特殊的减震，并安装吸声材料；为钻机提供动力的柴油机安装消声</w:t>
            </w:r>
            <w:r>
              <w:rPr>
                <w:color w:val="000000" w:themeColor="text1"/>
                <w:spacing w:val="-2"/>
                <w:szCs w:val="22"/>
                <w:highlight w:val="none"/>
                <w:lang w:eastAsia="zh-CN"/>
                <w14:textFill>
                  <w14:solidFill>
                    <w14:schemeClr w14:val="tx1"/>
                  </w14:solidFill>
                </w14:textFill>
              </w:rPr>
              <w:t>装置和设置减震基础；钻井设备、泥浆泵基础设置减震垫；</w:t>
            </w:r>
            <w:r>
              <w:rPr>
                <w:color w:val="000000" w:themeColor="text1"/>
                <w:spacing w:val="-55"/>
                <w:szCs w:val="22"/>
                <w:highlight w:val="none"/>
                <w:lang w:eastAsia="zh-CN"/>
                <w14:textFill>
                  <w14:solidFill>
                    <w14:schemeClr w14:val="tx1"/>
                  </w14:solidFill>
                </w14:textFill>
              </w:rPr>
              <w:t xml:space="preserve"> </w:t>
            </w:r>
            <w:r>
              <w:rPr>
                <w:color w:val="000000" w:themeColor="text1"/>
                <w:spacing w:val="-4"/>
                <w:szCs w:val="22"/>
                <w:highlight w:val="none"/>
                <w:lang w:eastAsia="zh-CN"/>
                <w14:textFill>
                  <w14:solidFill>
                    <w14:schemeClr w14:val="tx1"/>
                  </w14:solidFill>
                </w14:textFill>
              </w:rPr>
              <w:t>空压机和增压机安装在房间内，隔声并安装减震垫层等防治</w:t>
            </w:r>
            <w:r>
              <w:rPr>
                <w:color w:val="000000" w:themeColor="text1"/>
                <w:szCs w:val="22"/>
                <w:highlight w:val="none"/>
                <w:lang w:eastAsia="zh-CN"/>
                <w14:textFill>
                  <w14:solidFill>
                    <w14:schemeClr w14:val="tx1"/>
                  </w14:solidFill>
                </w14:textFill>
              </w:rPr>
              <w:t>措施，做好沟通协调工作，取得居民谅解，避免噪声扰民和环保投诉</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restart"/>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生态保护措施</w:t>
            </w: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表土堆场</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rFonts w:hint="eastAsia"/>
                <w:color w:val="000000" w:themeColor="text1"/>
                <w:szCs w:val="22"/>
                <w:highlight w:val="none"/>
                <w:lang w:eastAsia="zh-CN"/>
                <w14:textFill>
                  <w14:solidFill>
                    <w14:schemeClr w14:val="tx1"/>
                  </w14:solidFill>
                </w14:textFill>
              </w:rPr>
              <w:t>按照要求设置表土堆场，将施工期井场工程产生的表土集中堆放，用于结束后的覆土、复耕工作。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color w:val="000000" w:themeColor="text1"/>
                <w:szCs w:val="20"/>
                <w:highlight w:val="none"/>
                <w:lang w:eastAsia="en-US"/>
                <w14:textFill>
                  <w14:solidFill>
                    <w14:schemeClr w14:val="tx1"/>
                  </w14:solidFill>
                </w14:textFill>
              </w:rPr>
              <w:t>生态保护</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0"/>
                <w:highlight w:val="none"/>
                <w:lang w:eastAsia="zh-CN"/>
                <w14:textFill>
                  <w14:solidFill>
                    <w14:schemeClr w14:val="tx1"/>
                  </w14:solidFill>
                </w14:textFill>
              </w:rPr>
              <w:t>新建放喷池，建挡墙较小热辐射影响；对热辐射破坏的植被进行</w:t>
            </w:r>
            <w:r>
              <w:rPr>
                <w:rFonts w:hint="eastAsia"/>
                <w:color w:val="000000" w:themeColor="text1"/>
                <w:szCs w:val="20"/>
                <w:highlight w:val="none"/>
                <w:lang w:eastAsia="zh-CN"/>
                <w14:textFill>
                  <w14:solidFill>
                    <w14:schemeClr w14:val="tx1"/>
                  </w14:solidFill>
                </w14:textFill>
              </w:rPr>
              <w:t>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0" w:type="dxa"/>
            <w:vMerge w:val="continue"/>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p>
        </w:tc>
        <w:tc>
          <w:tcPr>
            <w:tcW w:w="1817" w:type="dxa"/>
            <w:gridSpan w:val="2"/>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场地水土流失控制措施</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井场表面铺一层碎石有效地防止雨水冲刷、场地四周修建排 水沟（已硬化区域除外）；道路沿线修建可靠的护坡、堡坎、排水沟等水保措施</w:t>
            </w:r>
            <w:r>
              <w:rPr>
                <w:rFonts w:hint="eastAsia"/>
                <w:color w:val="000000" w:themeColor="text1"/>
                <w:szCs w:val="22"/>
                <w:highlight w:val="none"/>
                <w:lang w:eastAsia="zh-CN"/>
                <w14:textFill>
                  <w14:solidFill>
                    <w14:schemeClr w14:val="tx1"/>
                  </w14:solidFill>
                </w14:textFill>
              </w:rPr>
              <w:t>；工程施工迹地进行恢复；管道开挖后的临时占地进行恢复。</w:t>
            </w:r>
            <w:r>
              <w:rPr>
                <w:color w:val="000000" w:themeColor="text1"/>
                <w:szCs w:val="20"/>
                <w:highlight w:val="none"/>
                <w:lang w:eastAsia="zh-CN"/>
                <w14:textFill>
                  <w14:solidFill>
                    <w14:schemeClr w14:val="tx1"/>
                  </w14:solidFill>
                </w14:textFill>
              </w:rPr>
              <w:t>根据《中华人民共和国土地管理法》规</w:t>
            </w:r>
            <w:r>
              <w:rPr>
                <w:rFonts w:hint="eastAsia"/>
                <w:color w:val="000000" w:themeColor="text1"/>
                <w:szCs w:val="20"/>
                <w:highlight w:val="none"/>
                <w:lang w:eastAsia="zh-CN"/>
                <w14:textFill>
                  <w14:solidFill>
                    <w14:schemeClr w14:val="tx1"/>
                  </w14:solidFill>
                </w14:textFill>
              </w:rPr>
              <w:t>定和</w:t>
            </w:r>
            <w:r>
              <w:rPr>
                <w:color w:val="000000" w:themeColor="text1"/>
                <w:szCs w:val="20"/>
                <w:highlight w:val="none"/>
                <w:lang w:eastAsia="zh-CN"/>
                <w14:textFill>
                  <w14:solidFill>
                    <w14:schemeClr w14:val="tx1"/>
                  </w14:solidFill>
                </w14:textFill>
              </w:rPr>
              <w:t>相关地方规定对工程占地进行补偿</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67" w:type="dxa"/>
            <w:gridSpan w:val="3"/>
            <w:vAlign w:val="center"/>
          </w:tcPr>
          <w:p>
            <w:pPr>
              <w:pStyle w:val="295"/>
              <w:keepNext w:val="0"/>
              <w:keepLines w:val="0"/>
              <w:pageBreakBefore w:val="0"/>
              <w:widowControl/>
              <w:kinsoku/>
              <w:wordWrap/>
              <w:overflowPunct/>
              <w:topLinePunct w:val="0"/>
              <w:autoSpaceDE/>
              <w:autoSpaceDN/>
              <w:bidi w:val="0"/>
              <w:adjustRightInd w:val="0"/>
              <w:snapToGrid w:val="0"/>
              <w:textAlignment w:val="baseline"/>
              <w:rPr>
                <w:color w:val="000000" w:themeColor="text1"/>
                <w:szCs w:val="22"/>
                <w:highlight w:val="none"/>
                <w:lang w:eastAsia="en-US"/>
                <w14:textFill>
                  <w14:solidFill>
                    <w14:schemeClr w14:val="tx1"/>
                  </w14:solidFill>
                </w14:textFill>
              </w:rPr>
            </w:pPr>
            <w:r>
              <w:rPr>
                <w:rFonts w:hint="eastAsia"/>
                <w:color w:val="000000" w:themeColor="text1"/>
                <w:szCs w:val="22"/>
                <w:highlight w:val="none"/>
                <w:lang w:eastAsia="zh-CN"/>
                <w14:textFill>
                  <w14:solidFill>
                    <w14:schemeClr w14:val="tx1"/>
                  </w14:solidFill>
                </w14:textFill>
              </w:rPr>
              <w:t>环境风险</w:t>
            </w:r>
          </w:p>
        </w:tc>
        <w:tc>
          <w:tcPr>
            <w:tcW w:w="5555" w:type="dxa"/>
            <w:vAlign w:val="center"/>
          </w:tcPr>
          <w:p>
            <w:pPr>
              <w:pStyle w:val="295"/>
              <w:keepNext w:val="0"/>
              <w:keepLines w:val="0"/>
              <w:pageBreakBefore w:val="0"/>
              <w:widowControl/>
              <w:kinsoku/>
              <w:wordWrap/>
              <w:overflowPunct/>
              <w:topLinePunct w:val="0"/>
              <w:autoSpaceDE/>
              <w:autoSpaceDN/>
              <w:bidi w:val="0"/>
              <w:adjustRightInd w:val="0"/>
              <w:snapToGrid w:val="0"/>
              <w:jc w:val="left"/>
              <w:textAlignment w:val="baseline"/>
              <w:rPr>
                <w:color w:val="000000" w:themeColor="text1"/>
                <w:szCs w:val="22"/>
                <w:highlight w:val="none"/>
                <w:lang w:eastAsia="zh-CN"/>
                <w14:textFill>
                  <w14:solidFill>
                    <w14:schemeClr w14:val="tx1"/>
                  </w14:solidFill>
                </w14:textFill>
              </w:rPr>
            </w:pPr>
            <w:r>
              <w:rPr>
                <w:color w:val="000000" w:themeColor="text1"/>
                <w:szCs w:val="20"/>
                <w:highlight w:val="none"/>
                <w:lang w:eastAsia="zh-CN"/>
                <w14:textFill>
                  <w14:solidFill>
                    <w14:schemeClr w14:val="tx1"/>
                  </w14:solidFill>
                </w14:textFill>
              </w:rPr>
              <w:t>泥浆储备罐罐区</w:t>
            </w:r>
            <w:r>
              <w:rPr>
                <w:rFonts w:hint="eastAsia"/>
                <w:color w:val="000000" w:themeColor="text1"/>
                <w:szCs w:val="20"/>
                <w:highlight w:val="none"/>
                <w:lang w:eastAsia="zh-CN"/>
                <w14:textFill>
                  <w14:solidFill>
                    <w14:schemeClr w14:val="tx1"/>
                  </w14:solidFill>
                </w14:textFill>
              </w:rPr>
              <w:t>、</w:t>
            </w:r>
            <w:r>
              <w:rPr>
                <w:color w:val="000000" w:themeColor="text1"/>
                <w:szCs w:val="20"/>
                <w:highlight w:val="none"/>
                <w:lang w:eastAsia="zh-CN"/>
                <w14:textFill>
                  <w14:solidFill>
                    <w14:schemeClr w14:val="tx1"/>
                  </w14:solidFill>
                </w14:textFill>
              </w:rPr>
              <w:t>柴油罐区周边设置</w:t>
            </w:r>
            <w:r>
              <w:rPr>
                <w:rFonts w:hint="eastAsia"/>
                <w:color w:val="000000" w:themeColor="text1"/>
                <w:szCs w:val="20"/>
                <w:highlight w:val="none"/>
                <w:lang w:eastAsia="zh-CN"/>
                <w14:textFill>
                  <w14:solidFill>
                    <w14:schemeClr w14:val="tx1"/>
                  </w14:solidFill>
                </w14:textFill>
              </w:rPr>
              <w:t>围堰。</w:t>
            </w:r>
          </w:p>
        </w:tc>
      </w:tr>
    </w:tbl>
    <w:p>
      <w:pPr>
        <w:pStyle w:val="201"/>
        <w:spacing w:before="1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STYLEREF 2 \s</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noBreakHyphen/>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SEQ 表 \* ARABIC \s 2</w:instrText>
      </w:r>
      <w:r>
        <w:rPr>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试采期竣工环保验收措施及要求一览表</w:t>
      </w:r>
    </w:p>
    <w:tbl>
      <w:tblPr>
        <w:tblStyle w:val="9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3"/>
        <w:gridCol w:w="631"/>
        <w:gridCol w:w="1183"/>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3" w:type="dxa"/>
            <w:vAlign w:val="center"/>
          </w:tcPr>
          <w:p>
            <w:pPr>
              <w:pStyle w:val="295"/>
              <w:rPr>
                <w:b/>
                <w:bCs/>
                <w:color w:val="000000" w:themeColor="text1"/>
                <w:szCs w:val="22"/>
                <w:highlight w:val="none"/>
                <w:lang w:eastAsia="zh-CN"/>
                <w14:textFill>
                  <w14:solidFill>
                    <w14:schemeClr w14:val="tx1"/>
                  </w14:solidFill>
                </w14:textFill>
              </w:rPr>
            </w:pPr>
            <w:r>
              <w:rPr>
                <w:b/>
                <w:bCs/>
                <w:color w:val="000000" w:themeColor="text1"/>
                <w:szCs w:val="22"/>
                <w:highlight w:val="none"/>
                <w:lang w:eastAsia="zh-CN"/>
                <w14:textFill>
                  <w14:solidFill>
                    <w14:schemeClr w14:val="tx1"/>
                  </w14:solidFill>
                </w14:textFill>
              </w:rPr>
              <w:t>分项</w:t>
            </w:r>
          </w:p>
        </w:tc>
        <w:tc>
          <w:tcPr>
            <w:tcW w:w="1814" w:type="dxa"/>
            <w:gridSpan w:val="2"/>
            <w:vAlign w:val="center"/>
          </w:tcPr>
          <w:p>
            <w:pPr>
              <w:pStyle w:val="295"/>
              <w:rPr>
                <w:b/>
                <w:bCs/>
                <w:color w:val="000000" w:themeColor="text1"/>
                <w:szCs w:val="22"/>
                <w:highlight w:val="none"/>
                <w:lang w:eastAsia="zh-CN"/>
                <w14:textFill>
                  <w14:solidFill>
                    <w14:schemeClr w14:val="tx1"/>
                  </w14:solidFill>
                </w14:textFill>
              </w:rPr>
            </w:pPr>
            <w:r>
              <w:rPr>
                <w:b/>
                <w:bCs/>
                <w:color w:val="000000" w:themeColor="text1"/>
                <w:szCs w:val="22"/>
                <w:highlight w:val="none"/>
                <w:lang w:eastAsia="zh-CN"/>
                <w14:textFill>
                  <w14:solidFill>
                    <w14:schemeClr w14:val="tx1"/>
                  </w14:solidFill>
                </w14:textFill>
              </w:rPr>
              <w:t>验收项目及位置</w:t>
            </w:r>
          </w:p>
        </w:tc>
        <w:tc>
          <w:tcPr>
            <w:tcW w:w="5545" w:type="dxa"/>
            <w:vAlign w:val="center"/>
          </w:tcPr>
          <w:p>
            <w:pPr>
              <w:pStyle w:val="295"/>
              <w:rPr>
                <w:b/>
                <w:bCs/>
                <w:color w:val="000000" w:themeColor="text1"/>
                <w:szCs w:val="22"/>
                <w:highlight w:val="none"/>
                <w:lang w:eastAsia="zh-CN"/>
                <w14:textFill>
                  <w14:solidFill>
                    <w14:schemeClr w14:val="tx1"/>
                  </w14:solidFill>
                </w14:textFill>
              </w:rPr>
            </w:pPr>
            <w:r>
              <w:rPr>
                <w:b/>
                <w:bCs/>
                <w:color w:val="000000" w:themeColor="text1"/>
                <w:szCs w:val="22"/>
                <w:highlight w:val="none"/>
                <w:lang w:eastAsia="zh-CN"/>
                <w14:textFill>
                  <w14:solidFill>
                    <w14:schemeClr w14:val="tx1"/>
                  </w14:solidFill>
                </w14:textFill>
              </w:rPr>
              <w:t>验收指标及要求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restart"/>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环境管理</w:t>
            </w:r>
          </w:p>
        </w:tc>
        <w:tc>
          <w:tcPr>
            <w:tcW w:w="1814" w:type="dxa"/>
            <w:gridSpan w:val="2"/>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环境管理制度</w:t>
            </w:r>
          </w:p>
        </w:tc>
        <w:tc>
          <w:tcPr>
            <w:tcW w:w="5545"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具有环保机构，环保资料和档案齐全。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1814" w:type="dxa"/>
            <w:gridSpan w:val="2"/>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环境风险管理</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具备符合行业规范和环评要求的环境风险应急预案并定期培训、演练，建立与当地村、乡镇、县相关部门联动机制。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restart"/>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污染防治措施</w:t>
            </w:r>
          </w:p>
        </w:tc>
        <w:tc>
          <w:tcPr>
            <w:tcW w:w="631"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废水</w:t>
            </w:r>
          </w:p>
        </w:tc>
        <w:tc>
          <w:tcPr>
            <w:tcW w:w="1183"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气田水</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暂存于</w:t>
            </w:r>
            <w:r>
              <w:rPr>
                <w:rFonts w:hint="eastAsia"/>
                <w:color w:val="000000" w:themeColor="text1"/>
                <w:szCs w:val="22"/>
                <w:highlight w:val="none"/>
                <w:lang w:eastAsia="zh-CN"/>
                <w14:textFill>
                  <w14:solidFill>
                    <w14:schemeClr w14:val="tx1"/>
                  </w14:solidFill>
                </w14:textFill>
              </w:rPr>
              <w:t>采出水罐</w:t>
            </w:r>
            <w:r>
              <w:rPr>
                <w:color w:val="000000" w:themeColor="text1"/>
                <w:szCs w:val="22"/>
                <w:highlight w:val="none"/>
                <w:lang w:eastAsia="zh-CN"/>
                <w14:textFill>
                  <w14:solidFill>
                    <w14:schemeClr w14:val="tx1"/>
                  </w14:solidFill>
                </w14:textFill>
              </w:rPr>
              <w:t>后及时</w:t>
            </w:r>
            <w:r>
              <w:rPr>
                <w:rFonts w:hint="eastAsia"/>
                <w:color w:val="000000" w:themeColor="text1"/>
                <w:szCs w:val="22"/>
                <w:highlight w:val="none"/>
                <w:lang w:val="en-US" w:eastAsia="zh-CN"/>
                <w14:textFill>
                  <w14:solidFill>
                    <w14:schemeClr w14:val="tx1"/>
                  </w14:solidFill>
                </w14:textFill>
              </w:rPr>
              <w:t>外输至雷页1试采站再</w:t>
            </w:r>
            <w:r>
              <w:rPr>
                <w:color w:val="000000" w:themeColor="text1"/>
                <w:szCs w:val="22"/>
                <w:highlight w:val="none"/>
                <w:lang w:eastAsia="zh-CN"/>
                <w14:textFill>
                  <w14:solidFill>
                    <w14:schemeClr w14:val="tx1"/>
                  </w14:solidFill>
                </w14:textFill>
              </w:rPr>
              <w:t>通过密闭罐车拉运至</w:t>
            </w:r>
            <w:r>
              <w:rPr>
                <w:rFonts w:hint="eastAsia"/>
                <w:color w:val="000000" w:themeColor="text1"/>
                <w:szCs w:val="22"/>
                <w:highlight w:val="none"/>
                <w:lang w:eastAsia="zh-CN"/>
                <w14:textFill>
                  <w14:solidFill>
                    <w14:schemeClr w14:val="tx1"/>
                  </w14:solidFill>
                </w14:textFill>
              </w:rPr>
              <w:t>赵家坝污水处理站</w:t>
            </w:r>
            <w:r>
              <w:rPr>
                <w:color w:val="000000" w:themeColor="text1"/>
                <w:szCs w:val="22"/>
                <w:highlight w:val="none"/>
                <w:lang w:eastAsia="zh-CN"/>
                <w14:textFill>
                  <w14:solidFill>
                    <w14:schemeClr w14:val="tx1"/>
                  </w14:solidFill>
                </w14:textFill>
              </w:rPr>
              <w:t>达标后</w:t>
            </w:r>
            <w:r>
              <w:rPr>
                <w:rFonts w:hint="eastAsia"/>
                <w:color w:val="000000" w:themeColor="text1"/>
                <w:szCs w:val="22"/>
                <w:highlight w:val="none"/>
                <w:lang w:eastAsia="zh-CN"/>
                <w14:textFill>
                  <w14:solidFill>
                    <w14:schemeClr w14:val="tx1"/>
                  </w14:solidFill>
                </w14:textFill>
              </w:rPr>
              <w:t>（达</w:t>
            </w:r>
            <w:r>
              <w:rPr>
                <w:bCs/>
                <w:color w:val="000000" w:themeColor="text1"/>
                <w:szCs w:val="24"/>
                <w:highlight w:val="none"/>
                <w:lang w:eastAsia="zh-CN"/>
                <w14:textFill>
                  <w14:solidFill>
                    <w14:schemeClr w14:val="tx1"/>
                  </w14:solidFill>
                </w14:textFill>
              </w:rPr>
              <w:t>《气田水回注方法》（SY/T 6596-2016）中注入水基本要求</w:t>
            </w:r>
            <w:r>
              <w:rPr>
                <w:rFonts w:hint="eastAsia"/>
                <w:bCs/>
                <w:color w:val="000000" w:themeColor="text1"/>
                <w:szCs w:val="24"/>
                <w:highlight w:val="none"/>
                <w:lang w:eastAsia="zh-CN"/>
                <w14:textFill>
                  <w14:solidFill>
                    <w14:schemeClr w14:val="tx1"/>
                  </w14:solidFill>
                </w14:textFill>
              </w:rPr>
              <w:t>）</w:t>
            </w:r>
            <w:r>
              <w:rPr>
                <w:color w:val="000000" w:themeColor="text1"/>
                <w:szCs w:val="22"/>
                <w:highlight w:val="none"/>
                <w:lang w:eastAsia="zh-CN"/>
                <w14:textFill>
                  <w14:solidFill>
                    <w14:schemeClr w14:val="tx1"/>
                  </w14:solidFill>
                </w14:textFill>
              </w:rPr>
              <w:t>管输至</w:t>
            </w:r>
            <w:r>
              <w:rPr>
                <w:rFonts w:hint="eastAsia"/>
                <w:color w:val="000000" w:themeColor="text1"/>
                <w:szCs w:val="22"/>
                <w:highlight w:val="none"/>
                <w:lang w:eastAsia="zh-CN"/>
                <w14:textFill>
                  <w14:solidFill>
                    <w14:schemeClr w14:val="tx1"/>
                  </w14:solidFill>
                </w14:textFill>
              </w:rPr>
              <w:t>普光3井回注站</w:t>
            </w:r>
            <w:r>
              <w:rPr>
                <w:color w:val="000000" w:themeColor="text1"/>
                <w:szCs w:val="22"/>
                <w:highlight w:val="none"/>
                <w:lang w:eastAsia="zh-CN"/>
                <w14:textFill>
                  <w14:solidFill>
                    <w14:schemeClr w14:val="tx1"/>
                  </w14:solidFill>
                </w14:textFill>
              </w:rPr>
              <w:t>回注，不排入附近地表水体</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1814" w:type="dxa"/>
            <w:gridSpan w:val="2"/>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地下水</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按要求分区防渗；按要求进行跟踪监测</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Merge w:val="restart"/>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废气</w:t>
            </w:r>
          </w:p>
        </w:tc>
        <w:tc>
          <w:tcPr>
            <w:tcW w:w="1183"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火炬及放空系统长明灯燃烧废气</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通过</w:t>
            </w:r>
            <w:r>
              <w:rPr>
                <w:rFonts w:hint="eastAsia"/>
                <w:color w:val="000000" w:themeColor="text1"/>
                <w:szCs w:val="22"/>
                <w:highlight w:val="none"/>
                <w:lang w:val="en-US" w:eastAsia="zh-CN"/>
                <w14:textFill>
                  <w14:solidFill>
                    <w14:schemeClr w14:val="tx1"/>
                  </w14:solidFill>
                </w14:textFill>
              </w:rPr>
              <w:t>1</w:t>
            </w:r>
            <w:r>
              <w:rPr>
                <w:color w:val="000000" w:themeColor="text1"/>
                <w:szCs w:val="22"/>
                <w:highlight w:val="none"/>
                <w:lang w:eastAsia="zh-CN"/>
                <w14:textFill>
                  <w14:solidFill>
                    <w14:schemeClr w14:val="tx1"/>
                  </w14:solidFill>
                </w14:textFill>
              </w:rPr>
              <w:t>5m高放空火炬排放</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1183" w:type="dxa"/>
            <w:vAlign w:val="center"/>
          </w:tcPr>
          <w:p>
            <w:pPr>
              <w:pStyle w:val="295"/>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油罐挥发废气</w:t>
            </w:r>
          </w:p>
        </w:tc>
        <w:tc>
          <w:tcPr>
            <w:tcW w:w="5545" w:type="dxa"/>
            <w:vAlign w:val="center"/>
          </w:tcPr>
          <w:p>
            <w:pPr>
              <w:pStyle w:val="295"/>
              <w:jc w:val="left"/>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罐为固定顶罐，密闭措施良好。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1183" w:type="dxa"/>
            <w:vAlign w:val="center"/>
          </w:tcPr>
          <w:p>
            <w:pPr>
              <w:pStyle w:val="295"/>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非正常放空废气</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引至放空火炬系统燃烧后</w:t>
            </w:r>
            <w:r>
              <w:rPr>
                <w:color w:val="000000" w:themeColor="text1"/>
                <w:szCs w:val="22"/>
                <w:highlight w:val="none"/>
                <w:lang w:eastAsia="zh-CN"/>
                <w14:textFill>
                  <w14:solidFill>
                    <w14:schemeClr w14:val="tx1"/>
                  </w14:solidFill>
                </w14:textFill>
              </w:rPr>
              <w:t>通过</w:t>
            </w:r>
            <w:r>
              <w:rPr>
                <w:rFonts w:hint="eastAsia"/>
                <w:color w:val="000000" w:themeColor="text1"/>
                <w:szCs w:val="22"/>
                <w:highlight w:val="none"/>
                <w:lang w:val="en-US" w:eastAsia="zh-CN"/>
                <w14:textFill>
                  <w14:solidFill>
                    <w14:schemeClr w14:val="tx1"/>
                  </w14:solidFill>
                </w14:textFill>
              </w:rPr>
              <w:t>1</w:t>
            </w:r>
            <w:r>
              <w:rPr>
                <w:color w:val="000000" w:themeColor="text1"/>
                <w:szCs w:val="22"/>
                <w:highlight w:val="none"/>
                <w:lang w:eastAsia="zh-CN"/>
                <w14:textFill>
                  <w14:solidFill>
                    <w14:schemeClr w14:val="tx1"/>
                  </w14:solidFill>
                </w14:textFill>
              </w:rPr>
              <w:t>5m高放空火炬排放</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1183"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水套加热炉燃烧废气</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水套加热炉燃用净化后的反输天然气，水套加热炉废气经自带排气筒排放，排气筒高度8m</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Align w:val="center"/>
          </w:tcPr>
          <w:p>
            <w:pPr>
              <w:pStyle w:val="295"/>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固废</w:t>
            </w:r>
          </w:p>
        </w:tc>
        <w:tc>
          <w:tcPr>
            <w:tcW w:w="1183" w:type="dxa"/>
            <w:vAlign w:val="center"/>
          </w:tcPr>
          <w:p>
            <w:pPr>
              <w:pStyle w:val="295"/>
              <w:rPr>
                <w:rFonts w:hint="default"/>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试采期固废</w:t>
            </w:r>
          </w:p>
        </w:tc>
        <w:tc>
          <w:tcPr>
            <w:tcW w:w="5545" w:type="dxa"/>
            <w:vAlign w:val="center"/>
          </w:tcPr>
          <w:p>
            <w:pPr>
              <w:pStyle w:val="295"/>
              <w:jc w:val="left"/>
              <w:rPr>
                <w:rFonts w:hint="eastAsia" w:eastAsia="宋体"/>
                <w:color w:val="000000" w:themeColor="text1"/>
                <w:szCs w:val="22"/>
                <w:highlight w:val="none"/>
                <w:lang w:eastAsia="zh-CN"/>
                <w14:textFill>
                  <w14:solidFill>
                    <w14:schemeClr w14:val="tx1"/>
                  </w14:solidFill>
                </w14:textFill>
              </w:rPr>
            </w:pPr>
            <w:r>
              <w:rPr>
                <w:rFonts w:hint="default"/>
                <w:color w:val="000000" w:themeColor="text1"/>
                <w:szCs w:val="20"/>
                <w:highlight w:val="none"/>
                <w14:textFill>
                  <w14:solidFill>
                    <w14:schemeClr w14:val="tx1"/>
                  </w14:solidFill>
                </w14:textFill>
              </w:rPr>
              <w:t>妥善处置，</w:t>
            </w:r>
            <w:r>
              <w:rPr>
                <w:rFonts w:hint="eastAsia"/>
                <w:color w:val="000000" w:themeColor="text1"/>
                <w:szCs w:val="20"/>
                <w:highlight w:val="none"/>
                <w:lang w:val="en-US" w:eastAsia="zh-CN"/>
                <w14:textFill>
                  <w14:solidFill>
                    <w14:schemeClr w14:val="tx1"/>
                  </w14:solidFill>
                </w14:textFill>
              </w:rPr>
              <w:t>未</w:t>
            </w:r>
            <w:r>
              <w:rPr>
                <w:rFonts w:hint="default"/>
                <w:color w:val="000000" w:themeColor="text1"/>
                <w:szCs w:val="20"/>
                <w:highlight w:val="none"/>
                <w14:textFill>
                  <w14:solidFill>
                    <w14:schemeClr w14:val="tx1"/>
                  </w14:solidFill>
                </w14:textFill>
              </w:rPr>
              <w:t>对环境造成二次污染</w:t>
            </w:r>
            <w:r>
              <w:rPr>
                <w:rFonts w:hint="eastAsia"/>
                <w:color w:val="000000" w:themeColor="text1"/>
                <w:szCs w:val="20"/>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Merge w:val="continue"/>
            <w:vAlign w:val="center"/>
          </w:tcPr>
          <w:p>
            <w:pPr>
              <w:pStyle w:val="295"/>
              <w:rPr>
                <w:color w:val="000000" w:themeColor="text1"/>
                <w:szCs w:val="22"/>
                <w:highlight w:val="none"/>
                <w:lang w:eastAsia="zh-CN"/>
                <w14:textFill>
                  <w14:solidFill>
                    <w14:schemeClr w14:val="tx1"/>
                  </w14:solidFill>
                </w14:textFill>
              </w:rPr>
            </w:pPr>
          </w:p>
        </w:tc>
        <w:tc>
          <w:tcPr>
            <w:tcW w:w="631"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噪声</w:t>
            </w:r>
          </w:p>
        </w:tc>
        <w:tc>
          <w:tcPr>
            <w:tcW w:w="1183"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试采期噪声</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泵机组和电机处设隔声罩，厂界噪声满足《工业企业厂界环 境噪声排放标准》（GB12348-2008）2类标准要求</w:t>
            </w:r>
            <w:r>
              <w:rPr>
                <w:rFonts w:hint="eastAsia"/>
                <w:color w:val="000000" w:themeColor="text1"/>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3" w:type="dxa"/>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生态保护措施</w:t>
            </w:r>
          </w:p>
        </w:tc>
        <w:tc>
          <w:tcPr>
            <w:tcW w:w="1814" w:type="dxa"/>
            <w:gridSpan w:val="2"/>
            <w:vAlign w:val="center"/>
          </w:tcPr>
          <w:p>
            <w:pPr>
              <w:pStyle w:val="295"/>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临时占地恢复</w:t>
            </w:r>
          </w:p>
        </w:tc>
        <w:tc>
          <w:tcPr>
            <w:tcW w:w="5545" w:type="dxa"/>
            <w:vAlign w:val="center"/>
          </w:tcPr>
          <w:p>
            <w:pPr>
              <w:pStyle w:val="295"/>
              <w:jc w:val="left"/>
              <w:rPr>
                <w:color w:val="000000" w:themeColor="text1"/>
                <w:szCs w:val="22"/>
                <w:highlight w:val="none"/>
                <w:lang w:eastAsia="zh-CN"/>
                <w14:textFill>
                  <w14:solidFill>
                    <w14:schemeClr w14:val="tx1"/>
                  </w14:solidFill>
                </w14:textFill>
              </w:rPr>
            </w:pPr>
            <w:r>
              <w:rPr>
                <w:color w:val="000000" w:themeColor="text1"/>
                <w:szCs w:val="22"/>
                <w:highlight w:val="none"/>
                <w:lang w:eastAsia="zh-CN"/>
                <w14:textFill>
                  <w14:solidFill>
                    <w14:schemeClr w14:val="tx1"/>
                  </w14:solidFill>
                </w14:textFill>
              </w:rPr>
              <w:t>本项目</w:t>
            </w:r>
            <w:r>
              <w:rPr>
                <w:rFonts w:hint="eastAsia"/>
                <w:color w:val="000000" w:themeColor="text1"/>
                <w:szCs w:val="22"/>
                <w:highlight w:val="none"/>
                <w:lang w:eastAsia="zh-CN"/>
                <w14:textFill>
                  <w14:solidFill>
                    <w14:schemeClr w14:val="tx1"/>
                  </w14:solidFill>
                </w14:textFill>
              </w:rPr>
              <w:t>在</w:t>
            </w:r>
            <w:r>
              <w:rPr>
                <w:color w:val="000000" w:themeColor="text1"/>
                <w:szCs w:val="22"/>
                <w:highlight w:val="none"/>
                <w:lang w:eastAsia="zh-CN"/>
                <w14:textFill>
                  <w14:solidFill>
                    <w14:schemeClr w14:val="tx1"/>
                  </w14:solidFill>
                </w14:textFill>
              </w:rPr>
              <w:t>施工结束后立即对施工期</w:t>
            </w:r>
            <w:r>
              <w:rPr>
                <w:rFonts w:hint="eastAsia"/>
                <w:color w:val="000000" w:themeColor="text1"/>
                <w:szCs w:val="22"/>
                <w:highlight w:val="none"/>
                <w:lang w:val="en-US" w:eastAsia="zh-CN"/>
                <w14:textFill>
                  <w14:solidFill>
                    <w14:schemeClr w14:val="tx1"/>
                  </w14:solidFill>
                </w14:textFill>
              </w:rPr>
              <w:t>临时占地</w:t>
            </w:r>
            <w:r>
              <w:rPr>
                <w:color w:val="000000" w:themeColor="text1"/>
                <w:szCs w:val="22"/>
                <w:highlight w:val="none"/>
                <w:lang w:eastAsia="zh-CN"/>
                <w14:textFill>
                  <w14:solidFill>
                    <w14:schemeClr w14:val="tx1"/>
                  </w14:solidFill>
                </w14:textFill>
              </w:rPr>
              <w:t>进行复垦</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试采</w:t>
            </w:r>
            <w:r>
              <w:rPr>
                <w:color w:val="000000" w:themeColor="text1"/>
                <w:szCs w:val="20"/>
                <w:highlight w:val="none"/>
                <w:lang w:eastAsia="zh-CN"/>
                <w14:textFill>
                  <w14:solidFill>
                    <w14:schemeClr w14:val="tx1"/>
                  </w14:solidFill>
                </w14:textFill>
              </w:rPr>
              <w:t>站场周边修建排水沟，进行绿化建设</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管线周边复垦复植</w:t>
            </w:r>
            <w:r>
              <w:rPr>
                <w:rFonts w:hint="eastAsia"/>
                <w:color w:val="000000" w:themeColor="text1"/>
                <w:szCs w:val="20"/>
                <w:highlight w:val="none"/>
                <w:lang w:eastAsia="zh-CN"/>
                <w14:textFill>
                  <w14:solidFill>
                    <w14:schemeClr w14:val="tx1"/>
                  </w14:solidFill>
                </w14:textFill>
              </w:rPr>
              <w:t>。</w:t>
            </w:r>
          </w:p>
        </w:tc>
      </w:tr>
    </w:tbl>
    <w:p>
      <w:pPr>
        <w:pStyle w:val="2"/>
        <w:spacing w:before="480" w:beforeLines="200" w:after="0" w:line="480" w:lineRule="auto"/>
        <w:ind w:firstLine="560"/>
        <w:rPr>
          <w:b/>
          <w:color w:val="000000" w:themeColor="text1"/>
          <w:szCs w:val="28"/>
          <w:highlight w:val="none"/>
          <w:lang w:eastAsia="zh-CN"/>
          <w14:textFill>
            <w14:solidFill>
              <w14:schemeClr w14:val="tx1"/>
            </w14:solidFill>
          </w14:textFill>
        </w:rPr>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pPr>
      <w:bookmarkStart w:id="525" w:name="_bookmark47"/>
      <w:bookmarkEnd w:id="525"/>
      <w:bookmarkStart w:id="526" w:name="第十章_结论与建议"/>
      <w:bookmarkEnd w:id="526"/>
    </w:p>
    <w:p>
      <w:pPr>
        <w:pStyle w:val="2"/>
        <w:rPr>
          <w:b/>
          <w:color w:val="000000" w:themeColor="text1"/>
          <w:highlight w:val="none"/>
          <w:lang w:eastAsia="zh-CN"/>
          <w14:textFill>
            <w14:solidFill>
              <w14:schemeClr w14:val="tx1"/>
            </w14:solidFill>
          </w14:textFill>
        </w:rPr>
      </w:pPr>
      <w:bookmarkStart w:id="527" w:name="_Toc12111"/>
      <w:r>
        <w:rPr>
          <w:color w:val="000000" w:themeColor="text1"/>
          <w:highlight w:val="none"/>
          <w:lang w:eastAsia="zh-CN"/>
          <w14:textFill>
            <w14:solidFill>
              <w14:schemeClr w14:val="tx1"/>
            </w14:solidFill>
          </w14:textFill>
        </w:rPr>
        <w:t>结论与建议</w:t>
      </w:r>
      <w:bookmarkEnd w:id="527"/>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28" w:name="10.1项目概况"/>
      <w:bookmarkEnd w:id="528"/>
      <w:bookmarkStart w:id="529" w:name="_bookmark48"/>
      <w:bookmarkEnd w:id="529"/>
      <w:bookmarkStart w:id="530" w:name="_Toc1569"/>
      <w:r>
        <w:rPr>
          <w:color w:val="000000" w:themeColor="text1"/>
          <w:highlight w:val="none"/>
          <w:lang w:eastAsia="zh-CN"/>
          <w14:textFill>
            <w14:solidFill>
              <w14:schemeClr w14:val="tx1"/>
            </w14:solidFill>
          </w14:textFill>
        </w:rPr>
        <w:t>项目概况</w:t>
      </w:r>
      <w:bookmarkEnd w:id="530"/>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本项目位于达州市</w:t>
      </w:r>
      <w:r>
        <w:rPr>
          <w:rFonts w:hint="eastAsia"/>
          <w:color w:val="000000" w:themeColor="text1"/>
          <w:highlight w:val="none"/>
          <w:lang w:eastAsia="zh-CN"/>
          <w14:textFill>
            <w14:solidFill>
              <w14:schemeClr w14:val="tx1"/>
            </w14:solidFill>
          </w14:textFill>
        </w:rPr>
        <w:t>宣汉县***</w:t>
      </w:r>
      <w:r>
        <w:rPr>
          <w:color w:val="000000" w:themeColor="text1"/>
          <w:highlight w:val="none"/>
          <w14:textFill>
            <w14:solidFill>
              <w14:schemeClr w14:val="tx1"/>
            </w14:solidFill>
          </w14:textFill>
        </w:rPr>
        <w:t>，以</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为主要目的层，</w:t>
      </w:r>
      <w:r>
        <w:rPr>
          <w:rFonts w:cs="Times New Roman"/>
          <w:color w:val="000000" w:themeColor="text1"/>
          <w:szCs w:val="24"/>
          <w:highlight w:val="none"/>
          <w14:textFill>
            <w14:solidFill>
              <w14:schemeClr w14:val="tx1"/>
            </w14:solidFill>
          </w14:textFill>
        </w:rPr>
        <w:t>建设内容包括施工期钻前工程、钻井工程及</w:t>
      </w:r>
      <w:r>
        <w:rPr>
          <w:rFonts w:hint="eastAsia" w:cs="Times New Roman"/>
          <w:color w:val="000000" w:themeColor="text1"/>
          <w:szCs w:val="24"/>
          <w:highlight w:val="none"/>
          <w14:textFill>
            <w14:solidFill>
              <w14:schemeClr w14:val="tx1"/>
            </w14:solidFill>
          </w14:textFill>
        </w:rPr>
        <w:t>储层改造</w:t>
      </w:r>
      <w:r>
        <w:rPr>
          <w:rFonts w:cs="Times New Roman"/>
          <w:color w:val="000000" w:themeColor="text1"/>
          <w:szCs w:val="24"/>
          <w:highlight w:val="none"/>
          <w14:textFill>
            <w14:solidFill>
              <w14:schemeClr w14:val="tx1"/>
            </w14:solidFill>
          </w14:textFill>
        </w:rPr>
        <w:t>工程和试采期试采工程</w:t>
      </w:r>
      <w:r>
        <w:rPr>
          <w:rFonts w:hint="eastAsia" w:ascii="Times New Roman" w:hAnsi="Times New Roman"/>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预计</w:t>
      </w:r>
      <w:r>
        <w:rPr>
          <w:rFonts w:hint="eastAsia"/>
          <w:color w:val="000000" w:themeColor="text1"/>
          <w:highlight w:val="none"/>
          <w:lang w:val="en-US" w:eastAsia="zh-CN"/>
          <w14:textFill>
            <w14:solidFill>
              <w14:schemeClr w14:val="tx1"/>
            </w14:solidFill>
          </w14:textFill>
        </w:rPr>
        <w:t>开采不含硫天然气20</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10</w:t>
      </w:r>
      <w:r>
        <w:rPr>
          <w:color w:val="000000" w:themeColor="text1"/>
          <w:highlight w:val="none"/>
          <w:vertAlign w:val="superscript"/>
          <w14:textFill>
            <w14:solidFill>
              <w14:schemeClr w14:val="tx1"/>
            </w14:solidFill>
          </w14:textFill>
        </w:rPr>
        <w:t>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试采期为</w:t>
      </w:r>
      <w:r>
        <w:rPr>
          <w:rFonts w:cs="Times New Roman"/>
          <w:color w:val="000000" w:themeColor="text1"/>
          <w:highlight w:val="none"/>
          <w14:textFill>
            <w14:solidFill>
              <w14:schemeClr w14:val="tx1"/>
            </w14:solidFill>
          </w14:textFill>
        </w:rPr>
        <w:t>2</w:t>
      </w:r>
      <w:r>
        <w:rPr>
          <w:rFonts w:hint="eastAsia" w:cs="Times New Roman"/>
          <w:color w:val="000000" w:themeColor="text1"/>
          <w:highlight w:val="none"/>
          <w14:textFill>
            <w14:solidFill>
              <w14:schemeClr w14:val="tx1"/>
            </w14:solidFill>
          </w14:textFill>
        </w:rPr>
        <w:t>年。</w:t>
      </w:r>
    </w:p>
    <w:p>
      <w:pPr>
        <w:ind w:firstLine="48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本项目总投资</w:t>
      </w:r>
      <w:r>
        <w:rPr>
          <w:rFonts w:hint="eastAsia"/>
          <w:color w:val="000000" w:themeColor="text1"/>
          <w:highlight w:val="none"/>
          <w:lang w:val="en-US" w:eastAsia="zh-CN"/>
          <w14:textFill>
            <w14:solidFill>
              <w14:schemeClr w14:val="tx1"/>
            </w14:solidFill>
          </w14:textFill>
        </w:rPr>
        <w:t>***万元</w:t>
      </w:r>
      <w:r>
        <w:rPr>
          <w:color w:val="000000" w:themeColor="text1"/>
          <w:highlight w:val="none"/>
          <w14:textFill>
            <w14:solidFill>
              <w14:schemeClr w14:val="tx1"/>
            </w14:solidFill>
          </w14:textFill>
        </w:rPr>
        <w:t>，环保投资</w:t>
      </w:r>
      <w:r>
        <w:rPr>
          <w:rFonts w:hint="eastAsia"/>
          <w:color w:val="000000" w:themeColor="text1"/>
          <w:highlight w:val="none"/>
          <w:lang w:val="en-US" w:eastAsia="zh-CN"/>
          <w14:textFill>
            <w14:solidFill>
              <w14:schemeClr w14:val="tx1"/>
            </w14:solidFill>
          </w14:textFill>
        </w:rPr>
        <w:t>***万元</w:t>
      </w:r>
      <w:r>
        <w:rPr>
          <w:color w:val="000000" w:themeColor="text1"/>
          <w:highlight w:val="none"/>
          <w14:textFill>
            <w14:solidFill>
              <w14:schemeClr w14:val="tx1"/>
            </w14:solidFill>
          </w14:textFill>
        </w:rPr>
        <w:t>，环保投资占总投资的</w:t>
      </w:r>
      <w:r>
        <w:rPr>
          <w:rFonts w:hint="eastAsia"/>
          <w:color w:val="000000" w:themeColor="text1"/>
          <w:highlight w:val="none"/>
          <w:lang w:val="en-US" w:eastAsia="zh-CN"/>
          <w14:textFill>
            <w14:solidFill>
              <w14:schemeClr w14:val="tx1"/>
            </w14:solidFill>
          </w14:textFill>
        </w:rPr>
        <w:t>2.44%</w:t>
      </w:r>
      <w:r>
        <w:rPr>
          <w:color w:val="000000" w:themeColor="text1"/>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31" w:name="10.2环境质量现状"/>
      <w:bookmarkEnd w:id="531"/>
      <w:bookmarkStart w:id="532" w:name="_bookmark49"/>
      <w:bookmarkEnd w:id="532"/>
      <w:bookmarkStart w:id="533" w:name="_Toc22797"/>
      <w:r>
        <w:rPr>
          <w:color w:val="000000" w:themeColor="text1"/>
          <w:highlight w:val="none"/>
          <w:lang w:eastAsia="zh-CN"/>
          <w14:textFill>
            <w14:solidFill>
              <w14:schemeClr w14:val="tx1"/>
            </w14:solidFill>
          </w14:textFill>
        </w:rPr>
        <w:t>环境质量现状</w:t>
      </w:r>
      <w:bookmarkEnd w:id="533"/>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color w:val="000000" w:themeColor="text1"/>
          <w:highlight w:val="none"/>
          <w:lang w:eastAsia="zh-CN"/>
          <w14:textFill>
            <w14:solidFill>
              <w14:schemeClr w14:val="tx1"/>
            </w14:solidFill>
          </w14:textFill>
        </w:rPr>
        <w:t>本项目所在区域属环境空气2类区、地表水Ⅲ类水域功能区和声环境2类功能区。根据本项目环境本底监测结果显示，本项目区域声环境质量满足《声环境质量标准》（GB3096-2008）2类标准；根据《</w:t>
      </w:r>
      <w:r>
        <w:rPr>
          <w:rFonts w:hint="eastAsia" w:ascii="Times New Roman" w:hAnsi="Times New Roman"/>
          <w:color w:val="000000" w:themeColor="text1"/>
          <w:highlight w:val="none"/>
          <w:lang w:eastAsia="zh-CN"/>
          <w14:textFill>
            <w14:solidFill>
              <w14:schemeClr w14:val="tx1"/>
            </w14:solidFill>
          </w14:textFill>
        </w:rPr>
        <w:t>达州市202</w:t>
      </w:r>
      <w:r>
        <w:rPr>
          <w:rFonts w:hint="eastAsia" w:ascii="Times New Roman" w:hAnsi="Times New Roman"/>
          <w:color w:val="000000" w:themeColor="text1"/>
          <w:highlight w:val="none"/>
          <w:lang w:val="en-US" w:eastAsia="zh-CN"/>
          <w14:textFill>
            <w14:solidFill>
              <w14:schemeClr w14:val="tx1"/>
            </w14:solidFill>
          </w14:textFill>
        </w:rPr>
        <w:t>3</w:t>
      </w:r>
      <w:r>
        <w:rPr>
          <w:rFonts w:hint="eastAsia" w:ascii="Times New Roman" w:hAnsi="Times New Roman"/>
          <w:color w:val="000000" w:themeColor="text1"/>
          <w:highlight w:val="none"/>
          <w:lang w:eastAsia="zh-CN"/>
          <w14:textFill>
            <w14:solidFill>
              <w14:schemeClr w14:val="tx1"/>
            </w14:solidFill>
          </w14:textFill>
        </w:rPr>
        <w:t>年环境空气质量状况</w:t>
      </w:r>
      <w:r>
        <w:rPr>
          <w:rFonts w:ascii="Times New Roman" w:hAnsi="Times New Roman"/>
          <w:color w:val="000000" w:themeColor="text1"/>
          <w:highlight w:val="none"/>
          <w:lang w:eastAsia="zh-CN"/>
          <w14:textFill>
            <w14:solidFill>
              <w14:schemeClr w14:val="tx1"/>
            </w14:solidFill>
          </w14:textFill>
        </w:rPr>
        <w:t>》，本项目所在的达州市属于达标区，本项目位于</w:t>
      </w:r>
      <w:r>
        <w:rPr>
          <w:rFonts w:hint="eastAsia" w:cs="Times New Roman"/>
          <w:bCs/>
          <w:color w:val="000000" w:themeColor="text1"/>
          <w:highlight w:val="none"/>
          <w:lang w:val="en-US" w:eastAsia="zh-CN"/>
          <w14:textFill>
            <w14:solidFill>
              <w14:schemeClr w14:val="tx1"/>
            </w14:solidFill>
          </w14:textFill>
        </w:rPr>
        <w:t>州河</w:t>
      </w:r>
      <w:r>
        <w:rPr>
          <w:rFonts w:ascii="Times New Roman" w:hAnsi="Times New Roman"/>
          <w:color w:val="000000" w:themeColor="text1"/>
          <w:highlight w:val="none"/>
          <w:lang w:eastAsia="zh-CN"/>
          <w14:textFill>
            <w14:solidFill>
              <w14:schemeClr w14:val="tx1"/>
            </w14:solidFill>
          </w14:textFill>
        </w:rPr>
        <w:t>流域，其水质良好；地下水监测所有指标均未超过《地下水质量标准》（GB/T14848-2017）中的Ⅲ类标准限值要求；项目区域土壤以</w:t>
      </w:r>
      <w:r>
        <w:rPr>
          <w:rFonts w:hint="eastAsia" w:ascii="Times New Roman" w:hAnsi="Times New Roman"/>
          <w:color w:val="000000" w:themeColor="text1"/>
          <w:highlight w:val="none"/>
          <w:lang w:val="en-US" w:eastAsia="zh-CN"/>
          <w14:textFill>
            <w14:solidFill>
              <w14:schemeClr w14:val="tx1"/>
            </w14:solidFill>
          </w14:textFill>
        </w:rPr>
        <w:t>耕</w:t>
      </w:r>
      <w:r>
        <w:rPr>
          <w:rFonts w:ascii="Times New Roman" w:hAnsi="Times New Roman"/>
          <w:color w:val="000000" w:themeColor="text1"/>
          <w:highlight w:val="none"/>
          <w:lang w:eastAsia="zh-CN"/>
          <w14:textFill>
            <w14:solidFill>
              <w14:schemeClr w14:val="tx1"/>
            </w14:solidFill>
          </w14:textFill>
        </w:rPr>
        <w:t>地为主，有少量果</w:t>
      </w:r>
      <w:r>
        <w:rPr>
          <w:rFonts w:hint="eastAsia" w:ascii="Times New Roman" w:hAnsi="Times New Roman"/>
          <w:color w:val="000000" w:themeColor="text1"/>
          <w:highlight w:val="none"/>
          <w:lang w:val="en-US" w:eastAsia="zh-CN"/>
          <w14:textFill>
            <w14:solidFill>
              <w14:schemeClr w14:val="tx1"/>
            </w14:solidFill>
          </w14:textFill>
        </w:rPr>
        <w:t>林</w:t>
      </w:r>
      <w:r>
        <w:rPr>
          <w:rFonts w:ascii="Times New Roman" w:hAnsi="Times New Roman"/>
          <w:color w:val="000000" w:themeColor="text1"/>
          <w:highlight w:val="none"/>
          <w:lang w:eastAsia="zh-CN"/>
          <w14:textFill>
            <w14:solidFill>
              <w14:schemeClr w14:val="tx1"/>
            </w14:solidFill>
          </w14:textFill>
        </w:rPr>
        <w:t>地，土壤环境所有指标均满足《土壤环境质量 建设用地土壤污染风险管控标准（试行）（GB36600—2018）》和《土壤环境质量 农用地土壤污染风险管控标准（试行）（GB15618—2018）》中对应筛选值要求。项目所在地环境质量现状良好</w:t>
      </w:r>
      <w:r>
        <w:rPr>
          <w:rFonts w:ascii="Times New Roman" w:hAnsi="Times New Roman"/>
          <w:bCs/>
          <w:color w:val="000000" w:themeColor="text1"/>
          <w:kern w:val="2"/>
          <w:highlight w:val="none"/>
          <w:lang w:eastAsia="zh-CN"/>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34" w:name="_bookmark50"/>
      <w:bookmarkEnd w:id="534"/>
      <w:bookmarkStart w:id="535" w:name="10.3项目产业政策符合性分析与选址合理性分析"/>
      <w:bookmarkEnd w:id="535"/>
      <w:bookmarkStart w:id="536" w:name="_Toc25108"/>
      <w:r>
        <w:rPr>
          <w:color w:val="000000" w:themeColor="text1"/>
          <w:highlight w:val="none"/>
          <w:lang w:eastAsia="zh-CN"/>
          <w14:textFill>
            <w14:solidFill>
              <w14:schemeClr w14:val="tx1"/>
            </w14:solidFill>
          </w14:textFill>
        </w:rPr>
        <w:t>项目产业政策符合性分析与选址合理性分析</w:t>
      </w:r>
      <w:bookmarkEnd w:id="536"/>
    </w:p>
    <w:p>
      <w:pPr>
        <w:ind w:firstLine="480"/>
        <w:rPr>
          <w:color w:val="000000" w:themeColor="text1"/>
          <w:highlight w:val="none"/>
          <w14:textFill>
            <w14:solidFill>
              <w14:schemeClr w14:val="tx1"/>
            </w14:solidFill>
          </w14:textFill>
        </w:rPr>
      </w:pPr>
      <w:bookmarkStart w:id="537" w:name="10.3.1项目产业政策符合性分析"/>
      <w:bookmarkEnd w:id="537"/>
      <w:r>
        <w:rPr>
          <w:color w:val="000000" w:themeColor="text1"/>
          <w:highlight w:val="none"/>
          <w14:textFill>
            <w14:solidFill>
              <w14:schemeClr w14:val="tx1"/>
            </w14:solidFill>
          </w14:textFill>
        </w:rPr>
        <w:t>（1）项目产业政策符合性分析</w:t>
      </w:r>
    </w:p>
    <w:p>
      <w:pPr>
        <w:ind w:firstLine="480"/>
        <w:rPr>
          <w:color w:val="000000" w:themeColor="text1"/>
          <w:highlight w:val="none"/>
          <w14:textFill>
            <w14:solidFill>
              <w14:schemeClr w14:val="tx1"/>
            </w14:solidFill>
          </w14:textFill>
        </w:rPr>
      </w:pPr>
      <w:r>
        <w:rPr>
          <w:rFonts w:ascii="Times New Roman" w:hAnsi="Times New Roman"/>
          <w:color w:val="000000" w:themeColor="text1"/>
          <w:sz w:val="24"/>
          <w:highlight w:val="none"/>
          <w:lang w:eastAsia="zh-CN"/>
          <w14:textFill>
            <w14:solidFill>
              <w14:schemeClr w14:val="tx1"/>
            </w14:solidFill>
          </w14:textFill>
        </w:rPr>
        <w:t>根据《产业结构调整指导目录（2024年本）》（</w:t>
      </w:r>
      <w:r>
        <w:rPr>
          <w:rFonts w:hint="eastAsia" w:ascii="Times New Roman" w:hAnsi="Times New Roman"/>
          <w:color w:val="000000" w:themeColor="text1"/>
          <w:sz w:val="24"/>
          <w:highlight w:val="none"/>
          <w:lang w:eastAsia="zh-CN"/>
          <w14:textFill>
            <w14:solidFill>
              <w14:schemeClr w14:val="tx1"/>
            </w14:solidFill>
          </w14:textFill>
        </w:rPr>
        <w:t>中华人民共和国国家发展和改革委员会令第7号</w:t>
      </w:r>
      <w:r>
        <w:rPr>
          <w:rFonts w:ascii="Times New Roman" w:hAnsi="Times New Roman"/>
          <w:color w:val="000000" w:themeColor="text1"/>
          <w:sz w:val="24"/>
          <w:highlight w:val="none"/>
          <w:lang w:eastAsia="zh-CN"/>
          <w14:textFill>
            <w14:solidFill>
              <w14:schemeClr w14:val="tx1"/>
            </w14:solidFill>
          </w14:textFill>
        </w:rPr>
        <w:t>），该项目属于其中第一</w:t>
      </w:r>
      <w:r>
        <w:rPr>
          <w:rFonts w:ascii="宋体" w:hAnsi="宋体"/>
          <w:color w:val="000000" w:themeColor="text1"/>
          <w:sz w:val="24"/>
          <w:highlight w:val="none"/>
          <w:lang w:eastAsia="zh-CN"/>
          <w14:textFill>
            <w14:solidFill>
              <w14:schemeClr w14:val="tx1"/>
            </w14:solidFill>
          </w14:textFill>
        </w:rPr>
        <w:t>类“鼓励类”第七条“石油天然气”第一款“石油天然气开采”</w:t>
      </w:r>
      <w:r>
        <w:rPr>
          <w:color w:val="000000" w:themeColor="text1"/>
          <w:highlight w:val="none"/>
          <w14:textFill>
            <w14:solidFill>
              <w14:schemeClr w14:val="tx1"/>
            </w14:solidFill>
          </w14:textFill>
        </w:rPr>
        <w:t>，满足《石油天然气开采业污染防治技术政策》（〔2012〕18号）要求；项目实施经中国石油化工股份有限公司中原油田分公司</w:t>
      </w:r>
      <w:r>
        <w:rPr>
          <w:rFonts w:hint="default" w:ascii="Times New Roman" w:hAnsi="Times New Roman" w:cs="Times New Roman"/>
          <w:color w:val="000000" w:themeColor="text1"/>
          <w:highlight w:val="none"/>
          <w14:textFill>
            <w14:solidFill>
              <w14:schemeClr w14:val="tx1"/>
            </w14:solidFill>
          </w14:textFill>
        </w:rPr>
        <w:t>以</w:t>
      </w:r>
      <w:r>
        <w:rPr>
          <w:rFonts w:hint="eastAsia" w:ascii="宋体" w:hAnsi="宋体" w:eastAsia="宋体" w:cs="宋体"/>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中原油分投资〔2024〕63号</w:t>
      </w:r>
      <w:r>
        <w:rPr>
          <w:rFonts w:hint="eastAsia" w:ascii="宋体" w:hAnsi="宋体" w:eastAsia="宋体" w:cs="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文</w:t>
      </w:r>
      <w:r>
        <w:rPr>
          <w:color w:val="000000" w:themeColor="text1"/>
          <w:highlight w:val="none"/>
          <w14:textFill>
            <w14:solidFill>
              <w14:schemeClr w14:val="tx1"/>
            </w14:solidFill>
          </w14:textFill>
        </w:rPr>
        <w:t>出具了可研批复，因此，本项目符合国家产业政策。</w:t>
      </w:r>
    </w:p>
    <w:p>
      <w:pPr>
        <w:ind w:firstLine="480"/>
        <w:rPr>
          <w:color w:val="000000" w:themeColor="text1"/>
          <w:highlight w:val="none"/>
          <w14:textFill>
            <w14:solidFill>
              <w14:schemeClr w14:val="tx1"/>
            </w14:solidFill>
          </w14:textFill>
        </w:rPr>
      </w:pPr>
      <w:bookmarkStart w:id="538" w:name="_bookmark51"/>
      <w:bookmarkEnd w:id="538"/>
      <w:bookmarkStart w:id="539" w:name="10.3.2项目选址合理性分析"/>
      <w:bookmarkEnd w:id="539"/>
      <w:r>
        <w:rPr>
          <w:color w:val="000000" w:themeColor="text1"/>
          <w:highlight w:val="none"/>
          <w14:textFill>
            <w14:solidFill>
              <w14:schemeClr w14:val="tx1"/>
            </w14:solidFill>
          </w14:textFill>
        </w:rPr>
        <w:t>（2）项目选址合理性分析</w:t>
      </w:r>
    </w:p>
    <w:p>
      <w:pPr>
        <w:ind w:firstLine="48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本项目建设符合石油天然气开发规划。不在城镇规划区域内，不属于城镇用地，项目所在地为农村地区，主要发展农业。本项目建设不违背</w:t>
      </w:r>
      <w:r>
        <w:rPr>
          <w:rFonts w:hint="eastAsia" w:cs="Times New Roman"/>
          <w:bCs/>
          <w:color w:val="000000" w:themeColor="text1"/>
          <w:highlight w:val="none"/>
          <w:lang w:eastAsia="zh-CN"/>
          <w14:textFill>
            <w14:solidFill>
              <w14:schemeClr w14:val="tx1"/>
            </w14:solidFill>
          </w14:textFill>
        </w:rPr>
        <w:t>老君乡、普光镇</w:t>
      </w:r>
      <w:r>
        <w:rPr>
          <w:color w:val="000000" w:themeColor="text1"/>
          <w:highlight w:val="none"/>
          <w14:textFill>
            <w14:solidFill>
              <w14:schemeClr w14:val="tx1"/>
            </w14:solidFill>
          </w14:textFill>
        </w:rPr>
        <w:t>规划要求。本项目不涉及生态红线，符合</w:t>
      </w:r>
      <w:r>
        <w:rPr>
          <w:rFonts w:ascii="宋体" w:hAnsi="宋体"/>
          <w:color w:val="000000" w:themeColor="text1"/>
          <w:highlight w:val="none"/>
          <w14:textFill>
            <w14:solidFill>
              <w14:schemeClr w14:val="tx1"/>
            </w14:solidFill>
          </w14:textFill>
        </w:rPr>
        <w:t>“三线一单”</w:t>
      </w:r>
      <w:r>
        <w:rPr>
          <w:color w:val="000000" w:themeColor="text1"/>
          <w:highlight w:val="none"/>
          <w14:textFill>
            <w14:solidFill>
              <w14:schemeClr w14:val="tx1"/>
            </w14:solidFill>
          </w14:textFill>
        </w:rPr>
        <w:t>管控要求，井口周边</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00m内</w:t>
      </w:r>
      <w:r>
        <w:rPr>
          <w:rFonts w:hint="eastAsia"/>
          <w:color w:val="000000" w:themeColor="text1"/>
          <w:highlight w:val="none"/>
          <w14:textFill>
            <w14:solidFill>
              <w14:schemeClr w14:val="tx1"/>
            </w14:solidFill>
          </w14:textFill>
        </w:rPr>
        <w:t>和输气管线周边</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m范围内</w:t>
      </w:r>
      <w:r>
        <w:rPr>
          <w:color w:val="000000" w:themeColor="text1"/>
          <w:highlight w:val="none"/>
          <w14:textFill>
            <w14:solidFill>
              <w14:schemeClr w14:val="tx1"/>
            </w14:solidFill>
          </w14:textFill>
        </w:rPr>
        <w:t>无农村分散居民</w:t>
      </w:r>
      <w:r>
        <w:rPr>
          <w:rFonts w:hint="eastAsia"/>
          <w:color w:val="000000" w:themeColor="text1"/>
          <w:highlight w:val="none"/>
          <w14:textFill>
            <w14:solidFill>
              <w14:schemeClr w14:val="tx1"/>
            </w14:solidFill>
          </w14:textFill>
        </w:rPr>
        <w:t>，井口</w:t>
      </w:r>
      <w:r>
        <w:rPr>
          <w:color w:val="000000" w:themeColor="text1"/>
          <w:highlight w:val="none"/>
          <w14:textFill>
            <w14:solidFill>
              <w14:schemeClr w14:val="tx1"/>
            </w14:solidFill>
          </w14:textFill>
        </w:rPr>
        <w:t>500m范围内无医院、学校等敏感目标，总体选址环境不敏感。本项目的平面布置执行《钻前工程及井场技术要求》（SY/T 5466-2013），总体上符合环保要求</w:t>
      </w:r>
      <w:r>
        <w:rPr>
          <w:bCs/>
          <w:color w:val="000000" w:themeColor="text1"/>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40" w:name="_bookmark52"/>
      <w:bookmarkEnd w:id="540"/>
      <w:bookmarkStart w:id="541" w:name="10.4环境影响评价结论"/>
      <w:bookmarkEnd w:id="541"/>
      <w:bookmarkStart w:id="542" w:name="_Toc27083"/>
      <w:r>
        <w:rPr>
          <w:color w:val="000000" w:themeColor="text1"/>
          <w:highlight w:val="none"/>
          <w:lang w:eastAsia="zh-CN"/>
          <w14:textFill>
            <w14:solidFill>
              <w14:schemeClr w14:val="tx1"/>
            </w14:solidFill>
          </w14:textFill>
        </w:rPr>
        <w:t>环境影响评价结论</w:t>
      </w:r>
      <w:bookmarkEnd w:id="542"/>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（1）大气环境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钻井和天然气试采期，优先使用网电，废气污染物排放量少，钻井期无组织挥发性有机物排放量小，测试放喷采用放喷管线接至放喷池并经燃烧后放喷，试采期水套加热炉与火炬长明灯使用的</w:t>
      </w:r>
      <w:r>
        <w:rPr>
          <w:bCs/>
          <w:color w:val="000000" w:themeColor="text1"/>
          <w:highlight w:val="none"/>
          <w14:textFill>
            <w14:solidFill>
              <w14:schemeClr w14:val="tx1"/>
            </w14:solidFill>
          </w14:textFill>
        </w:rPr>
        <w:t>燃料气为</w:t>
      </w:r>
      <w:r>
        <w:rPr>
          <w:rFonts w:hint="eastAsia"/>
          <w:bCs/>
          <w:color w:val="000000" w:themeColor="text1"/>
          <w:highlight w:val="none"/>
          <w:lang w:val="en-US" w:eastAsia="zh-CN"/>
          <w14:textFill>
            <w14:solidFill>
              <w14:schemeClr w14:val="tx1"/>
            </w14:solidFill>
          </w14:textFill>
        </w:rPr>
        <w:t>自产不含硫天然气</w:t>
      </w:r>
      <w:r>
        <w:rPr>
          <w:color w:val="000000" w:themeColor="text1"/>
          <w:highlight w:val="none"/>
          <w14:textFill>
            <w14:solidFill>
              <w14:schemeClr w14:val="tx1"/>
            </w14:solidFill>
          </w14:textFill>
        </w:rPr>
        <w:t>，废气能达标排放，</w:t>
      </w:r>
      <w:r>
        <w:rPr>
          <w:rFonts w:hint="eastAsia"/>
          <w:color w:val="000000" w:themeColor="text1"/>
          <w:highlight w:val="none"/>
          <w:lang w:val="en-US" w:eastAsia="zh-CN"/>
          <w14:textFill>
            <w14:solidFill>
              <w14:schemeClr w14:val="tx1"/>
            </w14:solidFill>
          </w14:textFill>
        </w:rPr>
        <w:t>非正常放空废气</w:t>
      </w:r>
      <w:r>
        <w:rPr>
          <w:color w:val="000000" w:themeColor="text1"/>
          <w:highlight w:val="none"/>
          <w14:textFill>
            <w14:solidFill>
              <w14:schemeClr w14:val="tx1"/>
            </w14:solidFill>
          </w14:textFill>
        </w:rPr>
        <w:t>通过放空火炬燃烧排放，</w:t>
      </w:r>
      <w:r>
        <w:rPr>
          <w:rFonts w:hint="eastAsia"/>
          <w:color w:val="000000" w:themeColor="text1"/>
          <w:highlight w:val="none"/>
          <w:lang w:val="en-US" w:eastAsia="zh-CN"/>
          <w14:textFill>
            <w14:solidFill>
              <w14:schemeClr w14:val="tx1"/>
            </w14:solidFill>
          </w14:textFill>
        </w:rPr>
        <w:t>油罐挥发</w:t>
      </w:r>
      <w:r>
        <w:rPr>
          <w:color w:val="000000" w:themeColor="text1"/>
          <w:highlight w:val="none"/>
          <w14:textFill>
            <w14:solidFill>
              <w14:schemeClr w14:val="tx1"/>
            </w14:solidFill>
          </w14:textFill>
        </w:rPr>
        <w:t>废气</w:t>
      </w:r>
      <w:r>
        <w:rPr>
          <w:rFonts w:hint="eastAsia"/>
          <w:color w:val="000000" w:themeColor="text1"/>
          <w:highlight w:val="none"/>
          <w:lang w:val="en-US" w:eastAsia="zh-CN"/>
          <w14:textFill>
            <w14:solidFill>
              <w14:schemeClr w14:val="tx1"/>
            </w14:solidFill>
          </w14:textFill>
        </w:rPr>
        <w:t>产生量小、自然扩散后对环境影响小，</w:t>
      </w:r>
      <w:r>
        <w:rPr>
          <w:color w:val="000000" w:themeColor="text1"/>
          <w:highlight w:val="none"/>
          <w14:textFill>
            <w14:solidFill>
              <w14:schemeClr w14:val="tx1"/>
            </w14:solidFill>
          </w14:textFill>
        </w:rPr>
        <w:t>且排放时间短，对所在地大气环境的影响是可接受的。</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（2）地表水</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rFonts w:hint="eastAsia" w:ascii="Times New Roman" w:hAnsi="Times New Roman" w:cs="Times New Roman"/>
          <w:bCs/>
          <w:color w:val="000000" w:themeColor="text1"/>
          <w:szCs w:val="24"/>
          <w:highlight w:val="none"/>
          <w:lang w:val="en-US" w:eastAsia="zh-CN"/>
          <w14:textFill>
            <w14:solidFill>
              <w14:schemeClr w14:val="tx1"/>
            </w14:solidFill>
          </w14:textFill>
        </w:rPr>
        <w:t>钻前工程</w:t>
      </w:r>
      <w:r>
        <w:rPr>
          <w:rFonts w:hint="default" w:ascii="Times New Roman" w:hAnsi="Times New Roman" w:cs="Times New Roman"/>
          <w:color w:val="000000" w:themeColor="text1"/>
          <w:szCs w:val="24"/>
          <w:highlight w:val="none"/>
          <w14:textFill>
            <w14:solidFill>
              <w14:schemeClr w14:val="tx1"/>
            </w14:solidFill>
          </w14:textFill>
        </w:rPr>
        <w:t>施工废水经沉淀处理后循环使用，不外排</w:t>
      </w:r>
      <w:r>
        <w:rPr>
          <w:rFonts w:hint="eastAsia"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钻前工程人员生活污水依托周边农户已建设施处理</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eastAsia" w:ascii="Times New Roman" w:hAnsi="Times New Roman" w:cs="Times New Roman"/>
          <w:color w:val="000000" w:themeColor="text1"/>
          <w:szCs w:val="24"/>
          <w:highlight w:val="none"/>
          <w:lang w:val="en-US" w:eastAsia="zh-CN"/>
          <w14:textFill>
            <w14:solidFill>
              <w14:schemeClr w14:val="tx1"/>
            </w14:solidFill>
          </w14:textFill>
        </w:rPr>
        <w:t>不外排。</w:t>
      </w:r>
      <w:r>
        <w:rPr>
          <w:rFonts w:hint="eastAsia" w:cs="Times New Roman"/>
          <w:color w:val="000000" w:themeColor="text1"/>
          <w:szCs w:val="24"/>
          <w:highlight w:val="none"/>
          <w:lang w:val="en-US" w:eastAsia="zh-CN"/>
          <w14:textFill>
            <w14:solidFill>
              <w14:schemeClr w14:val="tx1"/>
            </w14:solidFill>
          </w14:textFill>
        </w:rPr>
        <w:t>钻井工程钻井废水与场地初期雨水一并经不落地装置处理后大部分回用于配制钻井液，剩余不能回用部分暂存于清洁生产操作平台的废水罐内，定期装车拉运至赵家坝污水处理站处理达标后经普光3井回注站回注</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钻井期间</w:t>
      </w:r>
      <w:r>
        <w:rPr>
          <w:rFonts w:hint="eastAsia" w:cs="Times New Roman"/>
          <w:color w:val="000000" w:themeColor="text1"/>
          <w:szCs w:val="24"/>
          <w:highlight w:val="none"/>
          <w:lang w:val="en-US" w:eastAsia="zh-CN"/>
          <w14:textFill>
            <w14:solidFill>
              <w14:schemeClr w14:val="tx1"/>
            </w14:solidFill>
          </w14:textFill>
        </w:rPr>
        <w:t>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w:t>
      </w:r>
      <w:r>
        <w:rPr>
          <w:rFonts w:hint="default" w:cs="Times New Roman"/>
          <w:color w:val="000000" w:themeColor="text1"/>
          <w:szCs w:val="24"/>
          <w:highlight w:val="none"/>
          <w:lang w:val="en-US" w:eastAsia="zh-CN"/>
          <w14:textFill>
            <w14:solidFill>
              <w14:schemeClr w14:val="tx1"/>
            </w14:solidFill>
          </w14:textFill>
        </w:rPr>
        <w:t>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。储层改造阶段产生的</w:t>
      </w:r>
      <w:r>
        <w:rPr>
          <w:rFonts w:hint="default" w:ascii="Times New Roman" w:hAnsi="Times New Roman" w:cs="Times New Roman"/>
          <w:color w:val="000000" w:themeColor="text1"/>
          <w:highlight w:val="none"/>
          <w14:textFill>
            <w14:solidFill>
              <w14:schemeClr w14:val="tx1"/>
            </w14:solidFill>
          </w14:textFill>
        </w:rPr>
        <w:t>压裂返排液及洗井废水临时暂存于放喷池或者</w:t>
      </w:r>
      <w:r>
        <w:rPr>
          <w:rFonts w:hint="eastAsia" w:cs="Times New Roman"/>
          <w:color w:val="000000" w:themeColor="text1"/>
          <w:highlight w:val="none"/>
          <w:lang w:val="en-US" w:eastAsia="zh-CN"/>
          <w14:textFill>
            <w14:solidFill>
              <w14:schemeClr w14:val="tx1"/>
            </w14:solidFill>
          </w14:textFill>
        </w:rPr>
        <w:t>压裂液储</w:t>
      </w:r>
      <w:r>
        <w:rPr>
          <w:rFonts w:hint="default" w:ascii="Times New Roman" w:hAnsi="Times New Roman" w:cs="Times New Roman"/>
          <w:color w:val="000000" w:themeColor="text1"/>
          <w:highlight w:val="none"/>
          <w14:textFill>
            <w14:solidFill>
              <w14:schemeClr w14:val="tx1"/>
            </w14:solidFill>
          </w14:textFill>
        </w:rPr>
        <w:t>罐</w:t>
      </w:r>
      <w:r>
        <w:rPr>
          <w:rFonts w:hint="eastAsia"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优先回用于周边其他井场压裂液配置</w:t>
      </w:r>
      <w:r>
        <w:rPr>
          <w:rFonts w:hint="default" w:ascii="Times New Roman" w:hAnsi="Times New Roman" w:cs="Times New Roman"/>
          <w:color w:val="000000" w:themeColor="text1"/>
          <w:highlight w:val="none"/>
          <w14:textFill>
            <w14:solidFill>
              <w14:schemeClr w14:val="tx1"/>
            </w14:solidFill>
          </w14:textFill>
        </w:rPr>
        <w:t>，不能回用</w:t>
      </w:r>
      <w:r>
        <w:rPr>
          <w:rFonts w:hint="eastAsia" w:cs="Times New Roman"/>
          <w:color w:val="000000" w:themeColor="text1"/>
          <w:highlight w:val="none"/>
          <w:lang w:val="en-US" w:eastAsia="zh-CN"/>
          <w14:textFill>
            <w14:solidFill>
              <w14:schemeClr w14:val="tx1"/>
            </w14:solidFill>
          </w14:textFill>
        </w:rPr>
        <w:t>时</w:t>
      </w:r>
      <w:r>
        <w:rPr>
          <w:rFonts w:hint="default" w:ascii="Times New Roman" w:hAnsi="Times New Roman" w:cs="Times New Roman"/>
          <w:color w:val="000000" w:themeColor="text1"/>
          <w:highlight w:val="none"/>
          <w14:textFill>
            <w14:solidFill>
              <w14:schemeClr w14:val="tx1"/>
            </w14:solidFill>
          </w14:textFill>
        </w:rPr>
        <w:t>用罐车拉运至</w:t>
      </w:r>
      <w:r>
        <w:rPr>
          <w:rFonts w:hint="eastAsia" w:cs="Times New Roman"/>
          <w:color w:val="000000" w:themeColor="text1"/>
          <w:highlight w:val="none"/>
          <w:lang w:eastAsia="zh-CN"/>
          <w14:textFill>
            <w14:solidFill>
              <w14:schemeClr w14:val="tx1"/>
            </w14:solidFill>
          </w14:textFill>
        </w:rPr>
        <w:t>赵家坝污水处理站</w:t>
      </w:r>
      <w:r>
        <w:rPr>
          <w:rFonts w:hint="default" w:ascii="Times New Roman" w:hAnsi="Times New Roman" w:cs="Times New Roman"/>
          <w:color w:val="000000" w:themeColor="text1"/>
          <w:highlight w:val="none"/>
          <w14:textFill>
            <w14:solidFill>
              <w14:schemeClr w14:val="tx1"/>
            </w14:solidFill>
          </w14:textFill>
        </w:rPr>
        <w:t>处理达标后经</w:t>
      </w:r>
      <w:r>
        <w:rPr>
          <w:rFonts w:hint="eastAsia" w:cs="Times New Roman"/>
          <w:color w:val="000000" w:themeColor="text1"/>
          <w:highlight w:val="none"/>
          <w:lang w:eastAsia="zh-CN"/>
          <w14:textFill>
            <w14:solidFill>
              <w14:schemeClr w14:val="tx1"/>
            </w14:solidFill>
          </w14:textFill>
        </w:rPr>
        <w:t>普光3井回注站</w:t>
      </w:r>
      <w:r>
        <w:rPr>
          <w:rFonts w:hint="default" w:ascii="Times New Roman" w:hAnsi="Times New Roman" w:cs="Times New Roman"/>
          <w:color w:val="000000" w:themeColor="text1"/>
          <w:highlight w:val="none"/>
          <w14:textFill>
            <w14:solidFill>
              <w14:schemeClr w14:val="tx1"/>
            </w14:solidFill>
          </w14:textFill>
        </w:rPr>
        <w:t>回注</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储层改造期间施工人员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w:t>
      </w:r>
      <w:r>
        <w:rPr>
          <w:rFonts w:hint="default" w:cs="Times New Roman"/>
          <w:color w:val="000000" w:themeColor="text1"/>
          <w:szCs w:val="24"/>
          <w:highlight w:val="none"/>
          <w:lang w:val="en-US" w:eastAsia="zh-CN"/>
          <w14:textFill>
            <w14:solidFill>
              <w14:schemeClr w14:val="tx1"/>
            </w14:solidFill>
          </w14:textFill>
        </w:rPr>
        <w:t>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，均不外排。</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油气集输工程建设期间</w:t>
      </w:r>
      <w:r>
        <w:rPr>
          <w:rFonts w:hint="eastAsia" w:cs="Times New Roman"/>
          <w:color w:val="000000" w:themeColor="text1"/>
          <w:highlight w:val="none"/>
          <w:lang w:val="en-US" w:eastAsia="zh-CN"/>
          <w14:textFill>
            <w14:solidFill>
              <w14:schemeClr w14:val="tx1"/>
            </w14:solidFill>
          </w14:textFill>
        </w:rPr>
        <w:t>施工人员</w:t>
      </w:r>
      <w:r>
        <w:rPr>
          <w:rFonts w:hint="default" w:ascii="Times New Roman" w:hAnsi="Times New Roman" w:cs="Times New Roman"/>
          <w:bCs/>
          <w:color w:val="000000" w:themeColor="text1"/>
          <w:szCs w:val="24"/>
          <w:highlight w:val="none"/>
          <w14:textFill>
            <w14:solidFill>
              <w14:schemeClr w14:val="tx1"/>
            </w14:solidFill>
          </w14:textFill>
        </w:rPr>
        <w:t>生活污水</w:t>
      </w:r>
      <w:r>
        <w:rPr>
          <w:rFonts w:hint="default" w:ascii="Times New Roman" w:hAnsi="Times New Roman" w:cs="Times New Roman"/>
          <w:color w:val="000000" w:themeColor="text1"/>
          <w:szCs w:val="24"/>
          <w:highlight w:val="none"/>
          <w14:textFill>
            <w14:solidFill>
              <w14:schemeClr w14:val="tx1"/>
            </w14:solidFill>
          </w14:textFill>
        </w:rPr>
        <w:t>经生态厕所</w:t>
      </w:r>
      <w:r>
        <w:rPr>
          <w:rFonts w:hint="default" w:cs="Times New Roman"/>
          <w:color w:val="000000" w:themeColor="text1"/>
          <w:szCs w:val="24"/>
          <w:highlight w:val="none"/>
          <w:lang w:val="en-US" w:eastAsia="zh-CN"/>
          <w14:textFill>
            <w14:solidFill>
              <w14:schemeClr w14:val="tx1"/>
            </w14:solidFill>
          </w14:textFill>
        </w:rPr>
        <w:t>收集后定期由密闭罐车拉运至周边生活污水处理厂处理</w:t>
      </w:r>
      <w:r>
        <w:rPr>
          <w:rFonts w:hint="eastAsia" w:cs="Times New Roman"/>
          <w:color w:val="000000" w:themeColor="text1"/>
          <w:szCs w:val="24"/>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天然气试采期间，产生的废水</w:t>
      </w:r>
      <w:r>
        <w:rPr>
          <w:rFonts w:hint="eastAsia"/>
          <w:color w:val="000000" w:themeColor="text1"/>
          <w:highlight w:val="none"/>
          <w:lang w:val="en-US" w:eastAsia="zh-CN"/>
          <w14:textFill>
            <w14:solidFill>
              <w14:schemeClr w14:val="tx1"/>
            </w14:solidFill>
          </w14:textFill>
        </w:rPr>
        <w:t>后</w:t>
      </w:r>
      <w:r>
        <w:rPr>
          <w:color w:val="000000" w:themeColor="text1"/>
          <w:highlight w:val="none"/>
          <w14:textFill>
            <w14:solidFill>
              <w14:schemeClr w14:val="tx1"/>
            </w14:solidFill>
          </w14:textFill>
        </w:rPr>
        <w:t>拉运至</w:t>
      </w:r>
      <w:r>
        <w:rPr>
          <w:rFonts w:hint="eastAsia"/>
          <w:color w:val="000000" w:themeColor="text1"/>
          <w:highlight w:val="none"/>
          <w:lang w:eastAsia="zh-CN"/>
          <w14:textFill>
            <w14:solidFill>
              <w14:schemeClr w14:val="tx1"/>
            </w14:solidFill>
          </w14:textFill>
        </w:rPr>
        <w:t>赵家坝污水处理站</w:t>
      </w:r>
      <w:r>
        <w:rPr>
          <w:color w:val="000000" w:themeColor="text1"/>
          <w:highlight w:val="none"/>
          <w14:textFill>
            <w14:solidFill>
              <w14:schemeClr w14:val="tx1"/>
            </w14:solidFill>
          </w14:textFill>
        </w:rPr>
        <w:t>达标后</w:t>
      </w:r>
      <w:r>
        <w:rPr>
          <w:rFonts w:hint="eastAsia" w:cs="Times New Roman"/>
          <w:color w:val="000000" w:themeColor="text1"/>
          <w:highlight w:val="none"/>
          <w14:textFill>
            <w14:solidFill>
              <w14:schemeClr w14:val="tx1"/>
            </w14:solidFill>
          </w14:textFill>
        </w:rPr>
        <w:t>（达</w:t>
      </w:r>
      <w:r>
        <w:rPr>
          <w:bCs/>
          <w:color w:val="000000" w:themeColor="text1"/>
          <w:szCs w:val="24"/>
          <w:highlight w:val="none"/>
          <w14:textFill>
            <w14:solidFill>
              <w14:schemeClr w14:val="tx1"/>
            </w14:solidFill>
          </w14:textFill>
        </w:rPr>
        <w:t>《气田水回注方法》（SY/T 6596-2016）中注入水基本要求</w:t>
      </w:r>
      <w:r>
        <w:rPr>
          <w:rFonts w:hint="eastAsia"/>
          <w:bCs/>
          <w:color w:val="000000" w:themeColor="text1"/>
          <w:szCs w:val="24"/>
          <w:highlight w:val="none"/>
          <w14:textFill>
            <w14:solidFill>
              <w14:schemeClr w14:val="tx1"/>
            </w14:solidFill>
          </w14:textFill>
        </w:rPr>
        <w:t>）</w:t>
      </w:r>
      <w:r>
        <w:rPr>
          <w:color w:val="000000" w:themeColor="text1"/>
          <w:highlight w:val="none"/>
          <w14:textFill>
            <w14:solidFill>
              <w14:schemeClr w14:val="tx1"/>
            </w14:solidFill>
          </w14:textFill>
        </w:rPr>
        <w:t>管输至</w:t>
      </w:r>
      <w:r>
        <w:rPr>
          <w:rFonts w:hint="eastAsia"/>
          <w:color w:val="000000" w:themeColor="text1"/>
          <w:highlight w:val="none"/>
          <w:lang w:eastAsia="zh-CN"/>
          <w14:textFill>
            <w14:solidFill>
              <w14:schemeClr w14:val="tx1"/>
            </w14:solidFill>
          </w14:textFill>
        </w:rPr>
        <w:t>普光3井回注站</w:t>
      </w:r>
      <w:r>
        <w:rPr>
          <w:color w:val="000000" w:themeColor="text1"/>
          <w:highlight w:val="none"/>
          <w14:textFill>
            <w14:solidFill>
              <w14:schemeClr w14:val="tx1"/>
            </w14:solidFill>
          </w14:textFill>
        </w:rPr>
        <w:t>回注，不外排。对区域地表水环境影响甚微。</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（3）声环境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钻井期间噪声对周围环境的影响为短暂影响，采用噪声源合理布局，为产噪大的设备安装消声器和</w:t>
      </w:r>
      <w:r>
        <w:rPr>
          <w:rFonts w:hint="eastAsia"/>
          <w:color w:val="000000" w:themeColor="text1"/>
          <w:highlight w:val="none"/>
          <w:lang w:eastAsia="zh-CN"/>
          <w14:textFill>
            <w14:solidFill>
              <w14:schemeClr w14:val="tx1"/>
            </w14:solidFill>
          </w14:textFill>
        </w:rPr>
        <w:t>减振</w:t>
      </w:r>
      <w:r>
        <w:rPr>
          <w:color w:val="000000" w:themeColor="text1"/>
          <w:highlight w:val="none"/>
          <w14:textFill>
            <w14:solidFill>
              <w14:schemeClr w14:val="tx1"/>
            </w14:solidFill>
          </w14:textFill>
        </w:rPr>
        <w:t>基础，随着工程的完工，噪声影响消失。通过对井场周围居民的影响预测可知，在采取合理措施后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井口周边</w:t>
      </w:r>
      <w:r>
        <w:rPr>
          <w:rFonts w:hint="eastAsia"/>
          <w:color w:val="000000" w:themeColor="text1"/>
          <w:highlight w:val="none"/>
          <w:lang w:val="en-US" w:eastAsia="zh-CN"/>
          <w14:textFill>
            <w14:solidFill>
              <w14:schemeClr w14:val="tx1"/>
            </w14:solidFill>
          </w14:textFill>
        </w:rPr>
        <w:t>仅西侧有最多为5户20人超标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其他均能</w:t>
      </w:r>
      <w:r>
        <w:rPr>
          <w:color w:val="000000" w:themeColor="text1"/>
          <w:highlight w:val="none"/>
          <w14:textFill>
            <w14:solidFill>
              <w14:schemeClr w14:val="tx1"/>
            </w14:solidFill>
          </w14:textFill>
        </w:rPr>
        <w:t>满足《声环境质量标准》（GB3096-2008）中2类标准要求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加强</w:t>
      </w:r>
      <w:r>
        <w:rPr>
          <w:rFonts w:hint="eastAsia"/>
          <w:color w:val="000000" w:themeColor="text1"/>
          <w:highlight w:val="none"/>
          <w14:textFill>
            <w14:solidFill>
              <w14:schemeClr w14:val="tx1"/>
            </w14:solidFill>
          </w14:textFill>
        </w:rPr>
        <w:t>与周边居民的沟通协调</w:t>
      </w:r>
      <w:r>
        <w:rPr>
          <w:rFonts w:hint="eastAsia"/>
          <w:color w:val="000000" w:themeColor="text1"/>
          <w:highlight w:val="none"/>
          <w:lang w:val="en-US" w:eastAsia="zh-CN"/>
          <w14:textFill>
            <w14:solidFill>
              <w14:schemeClr w14:val="tx1"/>
            </w14:solidFill>
          </w14:textFill>
        </w:rPr>
        <w:t>后，对声环境影响小</w:t>
      </w:r>
      <w:r>
        <w:rPr>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天然气试采期间，厂界噪声能实现达标排放，周边声环境敏感点噪声能达到《声环境质量标准》（GB3096-2008）中2类标准要求，不会噪声扰民。</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（4）固体废物</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产生弃土用于生态恢复，做到土石方平衡；生活垃圾交由环卫部门处理，水基钻井固废收集后定期用密闭罐车及时就近交给依法取得生态环境部门关于利用和处置相关工业固体废物项目环评批复、具有处理处置相应固体废物能力并配套建设有废气、废水、固废等污染物治理设施的单位进行资源化利用，</w:t>
      </w:r>
      <w:r>
        <w:rPr>
          <w:rFonts w:hint="eastAsia"/>
          <w:color w:val="000000" w:themeColor="text1"/>
          <w:highlight w:val="none"/>
          <w:lang w:val="en-US" w:eastAsia="zh-CN"/>
          <w14:textFill>
            <w14:solidFill>
              <w14:schemeClr w14:val="tx1"/>
            </w14:solidFill>
          </w14:textFill>
        </w:rPr>
        <w:t>废油及含油抹布手套</w:t>
      </w:r>
      <w:r>
        <w:rPr>
          <w:color w:val="000000" w:themeColor="text1"/>
          <w:highlight w:val="none"/>
          <w14:textFill>
            <w14:solidFill>
              <w14:schemeClr w14:val="tx1"/>
            </w14:solidFill>
          </w14:textFill>
        </w:rPr>
        <w:t>设置废油桶</w:t>
      </w:r>
      <w:r>
        <w:rPr>
          <w:rFonts w:hint="eastAsia"/>
          <w:color w:val="000000" w:themeColor="text1"/>
          <w:highlight w:val="none"/>
          <w:lang w:val="en-US" w:eastAsia="zh-CN"/>
          <w14:textFill>
            <w14:solidFill>
              <w14:schemeClr w14:val="tx1"/>
            </w14:solidFill>
          </w14:textFill>
        </w:rPr>
        <w:t>分类</w:t>
      </w:r>
      <w:r>
        <w:rPr>
          <w:color w:val="000000" w:themeColor="text1"/>
          <w:highlight w:val="none"/>
          <w14:textFill>
            <w14:solidFill>
              <w14:schemeClr w14:val="tx1"/>
            </w14:solidFill>
          </w14:textFill>
        </w:rPr>
        <w:t>集中收集暂存于泥浆不落地装置区临时堆放区内，钻井队综合利用或交由有资质的单位处理。</w:t>
      </w:r>
      <w:r>
        <w:rPr>
          <w:rFonts w:ascii="Times New Roman" w:hAnsi="Times New Roman"/>
          <w:color w:val="000000" w:themeColor="text1"/>
          <w:szCs w:val="24"/>
          <w:highlight w:val="none"/>
          <w14:textFill>
            <w14:solidFill>
              <w14:schemeClr w14:val="tx1"/>
            </w14:solidFill>
          </w14:textFill>
        </w:rPr>
        <w:t>油基钻井废泥浆、岩屑暂存于新建的60m</w:t>
      </w:r>
      <w:r>
        <w:rPr>
          <w:rFonts w:ascii="Times New Roman" w:hAnsi="Times New Roman"/>
          <w:color w:val="000000" w:themeColor="text1"/>
          <w:szCs w:val="24"/>
          <w:highlight w:val="none"/>
          <w:vertAlign w:val="superscript"/>
          <w14:textFill>
            <w14:solidFill>
              <w14:schemeClr w14:val="tx1"/>
            </w14:solidFill>
          </w14:textFill>
        </w:rPr>
        <w:t>2</w:t>
      </w:r>
      <w:r>
        <w:rPr>
          <w:rFonts w:ascii="Times New Roman" w:hAnsi="Times New Roman"/>
          <w:color w:val="000000" w:themeColor="text1"/>
          <w:szCs w:val="24"/>
          <w:highlight w:val="none"/>
          <w14:textFill>
            <w14:solidFill>
              <w14:schemeClr w14:val="tx1"/>
            </w14:solidFill>
          </w14:textFill>
        </w:rPr>
        <w:t>危险废物暂存场所（采取必要的防风、防晒、防雨、防漏、防渗、防腐以及其他环境污染防治措施，不得露天堆放危险废物），泥浆和油基钻井岩屑及时后交由有资质的单位处置，不会对区域环境造成影响</w:t>
      </w:r>
      <w:r>
        <w:rPr>
          <w:rFonts w:hint="eastAsia"/>
          <w:color w:val="000000" w:themeColor="text1"/>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各类固体废物经分类收集，严格做好固体废物的暂存管理，并采取有效的处置措施，使固体废物均得以妥善处置，对环境不会造成污染影响。</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（5）地下水</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本项目不涉及浅层钻井，对井场采取分区防渗和加强污染监控后，钻井期间发生污染地下水的可能性较小。若钻井过程中出现废水</w:t>
      </w:r>
      <w:r>
        <w:rPr>
          <w:rFonts w:hint="eastAsia"/>
          <w:color w:val="000000" w:themeColor="text1"/>
          <w:highlight w:val="none"/>
          <w:lang w:val="en-US" w:eastAsia="zh-CN"/>
          <w14:textFill>
            <w14:solidFill>
              <w14:schemeClr w14:val="tx1"/>
            </w14:solidFill>
          </w14:textFill>
        </w:rPr>
        <w:t>泄漏、</w:t>
      </w:r>
      <w:r>
        <w:rPr>
          <w:color w:val="000000" w:themeColor="text1"/>
          <w:highlight w:val="none"/>
          <w14:textFill>
            <w14:solidFill>
              <w14:schemeClr w14:val="tx1"/>
            </w14:solidFill>
          </w14:textFill>
        </w:rPr>
        <w:t>外溢等事件，将造成井场或井筒周围小范围内的地下</w:t>
      </w:r>
      <w:r>
        <w:rPr>
          <w:bCs/>
          <w:color w:val="000000" w:themeColor="text1"/>
          <w:highlight w:val="none"/>
          <w14:textFill>
            <w14:solidFill>
              <w14:schemeClr w14:val="tx1"/>
            </w14:solidFill>
          </w14:textFill>
        </w:rPr>
        <w:t>耗氧量</w:t>
      </w:r>
      <w:r>
        <w:rPr>
          <w:color w:val="000000" w:themeColor="text1"/>
          <w:highlight w:val="none"/>
          <w14:textFill>
            <w14:solidFill>
              <w14:schemeClr w14:val="tx1"/>
            </w14:solidFill>
          </w14:textFill>
        </w:rPr>
        <w:t>、石油类</w:t>
      </w:r>
      <w:r>
        <w:rPr>
          <w:rFonts w:hint="eastAsia"/>
          <w:color w:val="000000" w:themeColor="text1"/>
          <w:highlight w:val="none"/>
          <w:lang w:val="en-US" w:eastAsia="zh-CN"/>
          <w14:textFill>
            <w14:solidFill>
              <w14:schemeClr w14:val="tx1"/>
            </w14:solidFill>
          </w14:textFill>
        </w:rPr>
        <w:t>和氯离子</w:t>
      </w:r>
      <w:r>
        <w:rPr>
          <w:color w:val="000000" w:themeColor="text1"/>
          <w:highlight w:val="none"/>
          <w14:textFill>
            <w14:solidFill>
              <w14:schemeClr w14:val="tx1"/>
            </w14:solidFill>
          </w14:textFill>
        </w:rPr>
        <w:t>超标，该范围以外的地区，地下水质量维持现状，对周边散居农户水井的影响较小。天然气试采期间废水集中收集，</w:t>
      </w:r>
      <w:r>
        <w:rPr>
          <w:rFonts w:hint="eastAsia"/>
          <w:color w:val="000000" w:themeColor="text1"/>
          <w:highlight w:val="none"/>
          <w:lang w:val="en-US" w:eastAsia="zh-CN"/>
          <w14:textFill>
            <w14:solidFill>
              <w14:schemeClr w14:val="tx1"/>
            </w14:solidFill>
          </w14:textFill>
        </w:rPr>
        <w:t>输水管线设置了完善的监控截断系统，</w:t>
      </w:r>
      <w:r>
        <w:rPr>
          <w:color w:val="000000" w:themeColor="text1"/>
          <w:highlight w:val="none"/>
          <w14:textFill>
            <w14:solidFill>
              <w14:schemeClr w14:val="tx1"/>
            </w14:solidFill>
          </w14:textFill>
        </w:rPr>
        <w:t>不会对地下水造成影响。</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（6）土壤环境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本项目仅</w:t>
      </w:r>
      <w:r>
        <w:rPr>
          <w:rFonts w:hint="eastAsia"/>
          <w:color w:val="000000" w:themeColor="text1"/>
          <w:highlight w:val="none"/>
          <w:lang w:val="en-US" w:eastAsia="zh-CN"/>
          <w14:textFill>
            <w14:solidFill>
              <w14:schemeClr w14:val="tx1"/>
            </w14:solidFill>
          </w14:textFill>
        </w:rPr>
        <w:t>新增占地面积小</w:t>
      </w:r>
      <w:r>
        <w:rPr>
          <w:color w:val="000000" w:themeColor="text1"/>
          <w:highlight w:val="none"/>
          <w14:textFill>
            <w14:solidFill>
              <w14:schemeClr w14:val="tx1"/>
            </w14:solidFill>
          </w14:textFill>
        </w:rPr>
        <w:t>，采取了清污分流、分区分级防渗等措施，污染物进入土壤环境的可能性很小。根据类比调查，同地区天然气钻采项目均未出现过土壤环境污染现场和投诉，项目不会对土壤环境造成影响。</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（7）生态环境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本项目临时占地在施工结束后进行恢复种植，后期</w:t>
      </w:r>
      <w:r>
        <w:rPr>
          <w:rFonts w:hint="eastAsia"/>
          <w:color w:val="000000" w:themeColor="text1"/>
          <w:highlight w:val="none"/>
          <w14:textFill>
            <w14:solidFill>
              <w14:schemeClr w14:val="tx1"/>
            </w14:solidFill>
          </w14:textFill>
        </w:rPr>
        <w:t>将</w:t>
      </w:r>
      <w:r>
        <w:rPr>
          <w:color w:val="000000" w:themeColor="text1"/>
          <w:highlight w:val="none"/>
          <w14:textFill>
            <w14:solidFill>
              <w14:schemeClr w14:val="tx1"/>
            </w14:solidFill>
          </w14:textFill>
        </w:rPr>
        <w:t>进行植被修复，恢复当地生态，有效削弱了对生态环境的影响。</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43" w:name="_bookmark53"/>
      <w:bookmarkEnd w:id="543"/>
      <w:bookmarkStart w:id="544" w:name="10.5环境风险分析"/>
      <w:bookmarkEnd w:id="544"/>
      <w:bookmarkStart w:id="545" w:name="_Toc12724"/>
      <w:r>
        <w:rPr>
          <w:color w:val="000000" w:themeColor="text1"/>
          <w:highlight w:val="none"/>
          <w:lang w:eastAsia="zh-CN"/>
          <w14:textFill>
            <w14:solidFill>
              <w14:schemeClr w14:val="tx1"/>
            </w14:solidFill>
          </w14:textFill>
        </w:rPr>
        <w:t>环境风险分析</w:t>
      </w:r>
      <w:bookmarkEnd w:id="545"/>
    </w:p>
    <w:p>
      <w:pPr>
        <w:ind w:firstLine="48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工程钻井和天然气试采期间存在一定的环境风险，可能对地表水、地下水、生态环境、周围居民人身安全等造成影响。项目通过采取有效的风险防范措施，其发生事故的概率极低；通过建立突发事故应急预案后，事故对环境的影响能降至最低限度。环境风险属可接受水平，项目建设可行</w:t>
      </w:r>
      <w:r>
        <w:rPr>
          <w:bCs/>
          <w:color w:val="000000" w:themeColor="text1"/>
          <w:highlight w:val="none"/>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46" w:name="10.6总量控制"/>
      <w:bookmarkEnd w:id="546"/>
      <w:bookmarkStart w:id="547" w:name="_bookmark54"/>
      <w:bookmarkEnd w:id="547"/>
      <w:bookmarkStart w:id="548" w:name="_Toc9853"/>
      <w:r>
        <w:rPr>
          <w:color w:val="000000" w:themeColor="text1"/>
          <w:highlight w:val="none"/>
          <w:lang w:eastAsia="zh-CN"/>
          <w14:textFill>
            <w14:solidFill>
              <w14:schemeClr w14:val="tx1"/>
            </w14:solidFill>
          </w14:textFill>
        </w:rPr>
        <w:t>清洁生产和总量控制</w:t>
      </w:r>
      <w:bookmarkEnd w:id="548"/>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在原辅材料及资源能源的利用、生产工艺和设备、清洁生产措施、清洁生产技术指标、环境管理等方面基本达到清洁生产国内先进水平。建议主要提高清洁生产水平途径为废弃钻井泥浆的再利用、回收，减少废弃量，建议废弃钻井泥浆经处理后用于周边其他新钻井工程。</w:t>
      </w:r>
    </w:p>
    <w:p>
      <w:pPr>
        <w:pStyle w:val="21"/>
        <w:spacing w:before="0"/>
        <w:ind w:left="0" w:firstLine="480"/>
        <w:jc w:val="both"/>
        <w:rPr>
          <w:rFonts w:ascii="Times New Roman" w:hAnsi="Times New Roman"/>
          <w:bCs/>
          <w:color w:val="000000" w:themeColor="text1"/>
          <w:kern w:val="2"/>
          <w:highlight w:val="none"/>
          <w:lang w:eastAsia="zh-CN"/>
          <w14:textFill>
            <w14:solidFill>
              <w14:schemeClr w14:val="tx1"/>
            </w14:solidFill>
          </w14:textFill>
        </w:rPr>
      </w:pPr>
      <w:r>
        <w:rPr>
          <w:rFonts w:ascii="Times New Roman" w:hAnsi="Times New Roman"/>
          <w:bCs/>
          <w:color w:val="000000" w:themeColor="text1"/>
          <w:kern w:val="2"/>
          <w:highlight w:val="none"/>
          <w:lang w:eastAsia="zh-CN"/>
          <w14:textFill>
            <w14:solidFill>
              <w14:schemeClr w14:val="tx1"/>
            </w14:solidFill>
          </w14:textFill>
        </w:rPr>
        <w:t>由于本项目实行排污许可登记管理，施工期时间短且采用网电，试采期水套加热炉与放空火炬长明灯均能做到达标排放，废水依托污水处理站或回注站回注，</w:t>
      </w:r>
      <w:r>
        <w:rPr>
          <w:rFonts w:hint="eastAsia" w:ascii="Times New Roman" w:hAnsi="Times New Roman"/>
          <w:bCs/>
          <w:color w:val="000000" w:themeColor="text1"/>
          <w:kern w:val="2"/>
          <w:highlight w:val="none"/>
          <w:lang w:val="en-US" w:eastAsia="zh-CN"/>
          <w14:textFill>
            <w14:solidFill>
              <w14:schemeClr w14:val="tx1"/>
            </w14:solidFill>
          </w14:textFill>
        </w:rPr>
        <w:t>不外排；</w:t>
      </w:r>
      <w:r>
        <w:rPr>
          <w:rFonts w:ascii="Times New Roman" w:hAnsi="Times New Roman"/>
          <w:bCs/>
          <w:color w:val="000000" w:themeColor="text1"/>
          <w:kern w:val="2"/>
          <w:highlight w:val="none"/>
          <w:lang w:eastAsia="zh-CN"/>
          <w14:textFill>
            <w14:solidFill>
              <w14:schemeClr w14:val="tx1"/>
            </w14:solidFill>
          </w14:textFill>
        </w:rPr>
        <w:t>试采期间无其他常年稳定连续的污染物排放源，在满足</w:t>
      </w:r>
      <w:r>
        <w:rPr>
          <w:rFonts w:ascii="Times New Roman" w:hAnsi="Times New Roman"/>
          <w:color w:val="000000" w:themeColor="text1"/>
          <w:szCs w:val="22"/>
          <w:highlight w:val="none"/>
          <w:lang w:eastAsia="zh-CN"/>
          <w14:textFill>
            <w14:solidFill>
              <w14:schemeClr w14:val="tx1"/>
            </w14:solidFill>
          </w14:textFill>
        </w:rPr>
        <w:t>达标排放和环境功能区划达标的前提下，建议不核定总量指标</w:t>
      </w:r>
      <w:r>
        <w:rPr>
          <w:rFonts w:ascii="Times New Roman" w:hAnsi="Times New Roman"/>
          <w:bCs/>
          <w:color w:val="000000" w:themeColor="text1"/>
          <w:kern w:val="2"/>
          <w:highlight w:val="none"/>
          <w:lang w:eastAsia="zh-CN"/>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49" w:name="_bookmark55"/>
      <w:bookmarkEnd w:id="549"/>
      <w:bookmarkStart w:id="550" w:name="10.7公众参与调查结论"/>
      <w:bookmarkEnd w:id="550"/>
      <w:bookmarkStart w:id="551" w:name="_Toc25990"/>
      <w:r>
        <w:rPr>
          <w:color w:val="000000" w:themeColor="text1"/>
          <w:highlight w:val="none"/>
          <w:lang w:eastAsia="zh-CN"/>
          <w14:textFill>
            <w14:solidFill>
              <w14:schemeClr w14:val="tx1"/>
            </w14:solidFill>
          </w14:textFill>
        </w:rPr>
        <w:t>环境经济损益分析</w:t>
      </w:r>
      <w:bookmarkEnd w:id="551"/>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的建设具有较好的社会-经济-环境综合效益，只要该项目在各个实施阶段过程中积极做好污染治理、环境保护和安检措施等工作，基本上可以满足当地环境容量要求和环保管理需求，达到可持续发展目标。项目的建成，必将产生显著的经济效益、社会效益和环境效益。</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52" w:name="_Toc1903"/>
      <w:r>
        <w:rPr>
          <w:color w:val="000000" w:themeColor="text1"/>
          <w:highlight w:val="none"/>
          <w:lang w:eastAsia="zh-CN"/>
          <w14:textFill>
            <w14:solidFill>
              <w14:schemeClr w14:val="tx1"/>
            </w14:solidFill>
          </w14:textFill>
        </w:rPr>
        <w:t>公众参与调查结论</w:t>
      </w:r>
      <w:bookmarkEnd w:id="552"/>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根据建设单位提供公众参与说明，</w:t>
      </w:r>
      <w:r>
        <w:rPr>
          <w:rFonts w:cs="Times New Roman"/>
          <w:color w:val="000000" w:themeColor="text1"/>
          <w:spacing w:val="-3"/>
          <w:highlight w:val="none"/>
          <w14:textFill>
            <w14:solidFill>
              <w14:schemeClr w14:val="tx1"/>
            </w14:solidFill>
          </w14:textFill>
        </w:rPr>
        <w:t>本次环境影响评价期间，由建设单位中国石油化工股份有限公司中原油田普光分公司按《环境</w:t>
      </w:r>
      <w:r>
        <w:rPr>
          <w:rFonts w:cs="Times New Roman"/>
          <w:color w:val="000000" w:themeColor="text1"/>
          <w:spacing w:val="-6"/>
          <w:highlight w:val="none"/>
          <w14:textFill>
            <w14:solidFill>
              <w14:schemeClr w14:val="tx1"/>
            </w14:solidFill>
          </w14:textFill>
        </w:rPr>
        <w:t>影响评价公众参与办法》组织建设项目环境影响评价公众参与，进行了第一次公示</w:t>
      </w:r>
      <w:r>
        <w:rPr>
          <w:rFonts w:hint="eastAsia" w:cs="Times New Roman"/>
          <w:color w:val="000000" w:themeColor="text1"/>
          <w:spacing w:val="-6"/>
          <w:highlight w:val="none"/>
          <w:lang w:eastAsia="zh-CN"/>
          <w14:textFill>
            <w14:solidFill>
              <w14:schemeClr w14:val="tx1"/>
            </w14:solidFill>
          </w14:textFill>
        </w:rPr>
        <w:t>、</w:t>
      </w:r>
      <w:r>
        <w:rPr>
          <w:rFonts w:cs="Times New Roman"/>
          <w:color w:val="000000" w:themeColor="text1"/>
          <w:spacing w:val="-6"/>
          <w:highlight w:val="none"/>
          <w14:textFill>
            <w14:solidFill>
              <w14:schemeClr w14:val="tx1"/>
            </w14:solidFill>
          </w14:textFill>
        </w:rPr>
        <w:t>第二次公示</w:t>
      </w:r>
      <w:r>
        <w:rPr>
          <w:rFonts w:hint="eastAsia" w:cs="Times New Roman"/>
          <w:color w:val="000000" w:themeColor="text1"/>
          <w:spacing w:val="-6"/>
          <w:highlight w:val="none"/>
          <w:lang w:val="en-US" w:eastAsia="zh-CN"/>
          <w14:textFill>
            <w14:solidFill>
              <w14:schemeClr w14:val="tx1"/>
            </w14:solidFill>
          </w14:textFill>
        </w:rPr>
        <w:t>和报批前公示</w:t>
      </w:r>
      <w:r>
        <w:rPr>
          <w:rFonts w:cs="Times New Roman"/>
          <w:color w:val="000000" w:themeColor="text1"/>
          <w:spacing w:val="-6"/>
          <w:highlight w:val="none"/>
          <w14:textFill>
            <w14:solidFill>
              <w14:schemeClr w14:val="tx1"/>
            </w14:solidFill>
          </w14:textFill>
        </w:rPr>
        <w:t>。</w:t>
      </w:r>
      <w:r>
        <w:rPr>
          <w:rFonts w:ascii="Times New Roman" w:hAnsi="Times New Roman" w:cs="Times New Roman"/>
          <w:color w:val="000000" w:themeColor="text1"/>
          <w:spacing w:val="-6"/>
          <w:sz w:val="24"/>
          <w:highlight w:val="none"/>
          <w14:textFill>
            <w14:solidFill>
              <w14:schemeClr w14:val="tx1"/>
            </w14:solidFill>
          </w14:textFill>
        </w:rPr>
        <w:t>第一次公示于</w:t>
      </w:r>
      <w:bookmarkStart w:id="553" w:name="_Hlk54808346"/>
      <w:r>
        <w:rPr>
          <w:rFonts w:ascii="Times New Roman" w:hAnsi="Times New Roman" w:cs="Times New Roman"/>
          <w:color w:val="000000" w:themeColor="text1"/>
          <w:spacing w:val="-6"/>
          <w:sz w:val="24"/>
          <w:highlight w:val="none"/>
          <w14:textFill>
            <w14:solidFill>
              <w14:schemeClr w14:val="tx1"/>
            </w14:solidFill>
          </w14:textFill>
        </w:rPr>
        <w:t>202</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4</w:t>
      </w:r>
      <w:r>
        <w:rPr>
          <w:rFonts w:ascii="Times New Roman" w:hAnsi="Times New Roman" w:cs="Times New Roman"/>
          <w:color w:val="000000" w:themeColor="text1"/>
          <w:spacing w:val="-6"/>
          <w:sz w:val="24"/>
          <w:highlight w:val="none"/>
          <w14:textFill>
            <w14:solidFill>
              <w14:schemeClr w14:val="tx1"/>
            </w14:solidFill>
          </w14:textFill>
        </w:rPr>
        <w:t>年</w:t>
      </w:r>
      <w:r>
        <w:rPr>
          <w:rFonts w:hint="eastAsia" w:cs="Times New Roman"/>
          <w:color w:val="000000" w:themeColor="text1"/>
          <w:spacing w:val="-6"/>
          <w:sz w:val="24"/>
          <w:highlight w:val="none"/>
          <w:lang w:val="en-US" w:eastAsia="zh-CN"/>
          <w14:textFill>
            <w14:solidFill>
              <w14:schemeClr w14:val="tx1"/>
            </w14:solidFill>
          </w14:textFill>
        </w:rPr>
        <w:t>6</w:t>
      </w:r>
      <w:r>
        <w:rPr>
          <w:rFonts w:ascii="Times New Roman" w:hAnsi="Times New Roman" w:cs="Times New Roman"/>
          <w:color w:val="000000" w:themeColor="text1"/>
          <w:spacing w:val="-6"/>
          <w:sz w:val="24"/>
          <w:highlight w:val="none"/>
          <w14:textFill>
            <w14:solidFill>
              <w14:schemeClr w14:val="tx1"/>
            </w14:solidFill>
          </w14:textFill>
        </w:rPr>
        <w:t>月</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3</w:t>
      </w:r>
      <w:r>
        <w:rPr>
          <w:rFonts w:ascii="Times New Roman" w:hAnsi="Times New Roman" w:cs="Times New Roman"/>
          <w:color w:val="000000" w:themeColor="text1"/>
          <w:spacing w:val="-6"/>
          <w:sz w:val="24"/>
          <w:highlight w:val="none"/>
          <w14:textFill>
            <w14:solidFill>
              <w14:schemeClr w14:val="tx1"/>
            </w14:solidFill>
          </w14:textFill>
        </w:rPr>
        <w:t>日</w:t>
      </w:r>
      <w:bookmarkEnd w:id="553"/>
      <w:r>
        <w:rPr>
          <w:rFonts w:ascii="Times New Roman" w:hAnsi="Times New Roman" w:cs="Times New Roman"/>
          <w:color w:val="000000" w:themeColor="text1"/>
          <w:spacing w:val="-6"/>
          <w:sz w:val="24"/>
          <w:highlight w:val="none"/>
          <w14:textFill>
            <w14:solidFill>
              <w14:schemeClr w14:val="tx1"/>
            </w14:solidFill>
          </w14:textFill>
        </w:rPr>
        <w:t>在凤凰山下网站进行。第二次</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征求意见稿</w:t>
      </w:r>
      <w:r>
        <w:rPr>
          <w:rFonts w:ascii="Times New Roman" w:hAnsi="Times New Roman" w:cs="Times New Roman"/>
          <w:color w:val="000000" w:themeColor="text1"/>
          <w:spacing w:val="-6"/>
          <w:sz w:val="24"/>
          <w:highlight w:val="none"/>
          <w14:textFill>
            <w14:solidFill>
              <w14:schemeClr w14:val="tx1"/>
            </w14:solidFill>
          </w14:textFill>
        </w:rPr>
        <w:t>公示采用3</w:t>
      </w:r>
      <w:r>
        <w:rPr>
          <w:rFonts w:ascii="Times New Roman" w:hAnsi="Times New Roman" w:cs="Times New Roman"/>
          <w:color w:val="000000" w:themeColor="text1"/>
          <w:spacing w:val="-9"/>
          <w:sz w:val="24"/>
          <w:highlight w:val="none"/>
          <w14:textFill>
            <w14:solidFill>
              <w14:schemeClr w14:val="tx1"/>
            </w14:solidFill>
          </w14:textFill>
        </w:rPr>
        <w:t>种方式同步公开：</w:t>
      </w:r>
      <w:r>
        <w:rPr>
          <w:rFonts w:hint="eastAsia"/>
          <w:color w:val="000000" w:themeColor="text1"/>
          <w:spacing w:val="-9"/>
          <w:sz w:val="24"/>
          <w:highlight w:val="none"/>
          <w14:textFill>
            <w14:solidFill>
              <w14:schemeClr w14:val="tx1"/>
            </w14:solidFill>
          </w14:textFill>
        </w:rPr>
        <w:t>①</w:t>
      </w:r>
      <w:r>
        <w:rPr>
          <w:rFonts w:ascii="Times New Roman" w:hAnsi="Times New Roman" w:cs="Times New Roman"/>
          <w:color w:val="000000" w:themeColor="text1"/>
          <w:spacing w:val="-16"/>
          <w:sz w:val="24"/>
          <w:highlight w:val="none"/>
          <w14:textFill>
            <w14:solidFill>
              <w14:schemeClr w14:val="tx1"/>
            </w14:solidFill>
          </w14:textFill>
        </w:rPr>
        <w:t>20</w:t>
      </w:r>
      <w:r>
        <w:rPr>
          <w:rFonts w:ascii="Times New Roman" w:hAnsi="Times New Roman" w:cs="Times New Roman"/>
          <w:color w:val="000000" w:themeColor="text1"/>
          <w:spacing w:val="-16"/>
          <w:sz w:val="24"/>
          <w:highlight w:val="none"/>
          <w:lang w:val="en-US"/>
          <w14:textFill>
            <w14:solidFill>
              <w14:schemeClr w14:val="tx1"/>
            </w14:solidFill>
          </w14:textFill>
        </w:rPr>
        <w:t>2</w:t>
      </w:r>
      <w:r>
        <w:rPr>
          <w:rFonts w:hint="eastAsia" w:ascii="Times New Roman" w:hAnsi="Times New Roman" w:cs="Times New Roman"/>
          <w:color w:val="000000" w:themeColor="text1"/>
          <w:spacing w:val="-16"/>
          <w:sz w:val="24"/>
          <w:highlight w:val="none"/>
          <w:lang w:val="en-US" w:eastAsia="zh-CN"/>
          <w14:textFill>
            <w14:solidFill>
              <w14:schemeClr w14:val="tx1"/>
            </w14:solidFill>
          </w14:textFill>
        </w:rPr>
        <w:t>4</w:t>
      </w:r>
      <w:r>
        <w:rPr>
          <w:rFonts w:ascii="Times New Roman" w:hAnsi="Times New Roman" w:cs="Times New Roman"/>
          <w:color w:val="000000" w:themeColor="text1"/>
          <w:spacing w:val="-12"/>
          <w:sz w:val="24"/>
          <w:highlight w:val="none"/>
          <w14:textFill>
            <w14:solidFill>
              <w14:schemeClr w14:val="tx1"/>
            </w14:solidFill>
          </w14:textFill>
        </w:rPr>
        <w:t>年</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2</w:t>
      </w:r>
      <w:r>
        <w:rPr>
          <w:rFonts w:ascii="Times New Roman" w:hAnsi="Times New Roman" w:cs="Times New Roman"/>
          <w:color w:val="000000" w:themeColor="text1"/>
          <w:spacing w:val="-12"/>
          <w:sz w:val="24"/>
          <w:highlight w:val="none"/>
          <w14:textFill>
            <w14:solidFill>
              <w14:schemeClr w14:val="tx1"/>
            </w14:solidFill>
          </w14:textFill>
        </w:rPr>
        <w:t>月</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20</w:t>
      </w:r>
      <w:r>
        <w:rPr>
          <w:rFonts w:ascii="Times New Roman" w:hAnsi="Times New Roman" w:cs="Times New Roman"/>
          <w:color w:val="000000" w:themeColor="text1"/>
          <w:spacing w:val="-13"/>
          <w:sz w:val="24"/>
          <w:highlight w:val="none"/>
          <w14:textFill>
            <w14:solidFill>
              <w14:schemeClr w14:val="tx1"/>
            </w14:solidFill>
          </w14:textFill>
        </w:rPr>
        <w:t>日在</w:t>
      </w:r>
      <w:r>
        <w:rPr>
          <w:rFonts w:ascii="Times New Roman" w:hAnsi="Times New Roman" w:cs="Times New Roman"/>
          <w:color w:val="000000" w:themeColor="text1"/>
          <w:spacing w:val="-6"/>
          <w:sz w:val="24"/>
          <w:highlight w:val="none"/>
          <w14:textFill>
            <w14:solidFill>
              <w14:schemeClr w14:val="tx1"/>
            </w14:solidFill>
          </w14:textFill>
        </w:rPr>
        <w:t>凤凰山下网站</w:t>
      </w:r>
      <w:r>
        <w:rPr>
          <w:rFonts w:ascii="Times New Roman" w:hAnsi="Times New Roman" w:cs="Times New Roman"/>
          <w:color w:val="000000" w:themeColor="text1"/>
          <w:spacing w:val="-13"/>
          <w:sz w:val="24"/>
          <w:highlight w:val="none"/>
          <w14:textFill>
            <w14:solidFill>
              <w14:schemeClr w14:val="tx1"/>
            </w14:solidFill>
          </w14:textFill>
        </w:rPr>
        <w:t>上公示；</w:t>
      </w:r>
      <w:r>
        <w:rPr>
          <w:rFonts w:hint="eastAsia"/>
          <w:color w:val="000000" w:themeColor="text1"/>
          <w:spacing w:val="-6"/>
          <w:sz w:val="24"/>
          <w:highlight w:val="none"/>
          <w14:textFill>
            <w14:solidFill>
              <w14:schemeClr w14:val="tx1"/>
            </w14:solidFill>
          </w14:textFill>
        </w:rPr>
        <w:t>②</w:t>
      </w:r>
      <w:r>
        <w:rPr>
          <w:rFonts w:ascii="Times New Roman" w:hAnsi="Times New Roman" w:cs="Times New Roman"/>
          <w:color w:val="000000" w:themeColor="text1"/>
          <w:spacing w:val="-6"/>
          <w:sz w:val="24"/>
          <w:highlight w:val="none"/>
          <w14:textFill>
            <w14:solidFill>
              <w14:schemeClr w14:val="tx1"/>
            </w14:solidFill>
          </w14:textFill>
        </w:rPr>
        <w:t>20</w:t>
      </w:r>
      <w:r>
        <w:rPr>
          <w:rFonts w:ascii="Times New Roman" w:hAnsi="Times New Roman" w:cs="Times New Roman"/>
          <w:color w:val="000000" w:themeColor="text1"/>
          <w:spacing w:val="-6"/>
          <w:sz w:val="24"/>
          <w:highlight w:val="none"/>
          <w:lang w:val="en-US"/>
          <w14:textFill>
            <w14:solidFill>
              <w14:schemeClr w14:val="tx1"/>
            </w14:solidFill>
          </w14:textFill>
        </w:rPr>
        <w:t>2</w:t>
      </w:r>
      <w:r>
        <w:rPr>
          <w:rFonts w:hint="eastAsia" w:ascii="Times New Roman" w:hAnsi="Times New Roman" w:cs="Times New Roman"/>
          <w:color w:val="000000" w:themeColor="text1"/>
          <w:spacing w:val="-6"/>
          <w:sz w:val="24"/>
          <w:highlight w:val="none"/>
          <w:lang w:val="en-US" w:eastAsia="zh-CN"/>
          <w14:textFill>
            <w14:solidFill>
              <w14:schemeClr w14:val="tx1"/>
            </w14:solidFill>
          </w14:textFill>
        </w:rPr>
        <w:t>4</w:t>
      </w:r>
      <w:r>
        <w:rPr>
          <w:rFonts w:ascii="Times New Roman" w:hAnsi="Times New Roman" w:cs="Times New Roman"/>
          <w:color w:val="000000" w:themeColor="text1"/>
          <w:spacing w:val="-12"/>
          <w:sz w:val="24"/>
          <w:highlight w:val="none"/>
          <w14:textFill>
            <w14:solidFill>
              <w14:schemeClr w14:val="tx1"/>
            </w14:solidFill>
          </w14:textFill>
        </w:rPr>
        <w:t>年</w:t>
      </w:r>
      <w:r>
        <w:rPr>
          <w:rFonts w:hint="eastAsia" w:cs="Times New Roman"/>
          <w:color w:val="000000" w:themeColor="text1"/>
          <w:spacing w:val="-12"/>
          <w:sz w:val="24"/>
          <w:highlight w:val="none"/>
          <w:lang w:val="en-US" w:eastAsia="zh-CN"/>
          <w14:textFill>
            <w14:solidFill>
              <w14:schemeClr w14:val="tx1"/>
            </w14:solidFill>
          </w14:textFill>
        </w:rPr>
        <w:t>7</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月</w:t>
      </w:r>
      <w:r>
        <w:rPr>
          <w:rFonts w:hint="eastAsia" w:cs="Times New Roman"/>
          <w:color w:val="000000" w:themeColor="text1"/>
          <w:spacing w:val="-12"/>
          <w:sz w:val="24"/>
          <w:highlight w:val="none"/>
          <w:lang w:val="en-US" w:eastAsia="zh-CN"/>
          <w14:textFill>
            <w14:solidFill>
              <w14:schemeClr w14:val="tx1"/>
            </w14:solidFill>
          </w14:textFill>
        </w:rPr>
        <w:t>4</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日</w:t>
      </w:r>
      <w:r>
        <w:rPr>
          <w:rFonts w:ascii="Times New Roman" w:hAnsi="Times New Roman" w:cs="Times New Roman"/>
          <w:color w:val="000000" w:themeColor="text1"/>
          <w:spacing w:val="-12"/>
          <w:sz w:val="24"/>
          <w:highlight w:val="none"/>
          <w14:textFill>
            <w14:solidFill>
              <w14:schemeClr w14:val="tx1"/>
            </w14:solidFill>
          </w14:textFill>
        </w:rPr>
        <w:t>、</w:t>
      </w:r>
      <w:r>
        <w:rPr>
          <w:rFonts w:ascii="Times New Roman" w:hAnsi="Times New Roman" w:cs="Times New Roman"/>
          <w:color w:val="000000" w:themeColor="text1"/>
          <w:spacing w:val="-7"/>
          <w:sz w:val="24"/>
          <w:highlight w:val="none"/>
          <w14:textFill>
            <w14:solidFill>
              <w14:schemeClr w14:val="tx1"/>
            </w14:solidFill>
          </w14:textFill>
        </w:rPr>
        <w:t>20</w:t>
      </w:r>
      <w:r>
        <w:rPr>
          <w:rFonts w:ascii="Times New Roman" w:hAnsi="Times New Roman" w:cs="Times New Roman"/>
          <w:color w:val="000000" w:themeColor="text1"/>
          <w:spacing w:val="-7"/>
          <w:sz w:val="24"/>
          <w:highlight w:val="none"/>
          <w:lang w:val="en-US"/>
          <w14:textFill>
            <w14:solidFill>
              <w14:schemeClr w14:val="tx1"/>
            </w14:solidFill>
          </w14:textFill>
        </w:rPr>
        <w:t>2</w:t>
      </w:r>
      <w:r>
        <w:rPr>
          <w:rFonts w:hint="eastAsia" w:ascii="Times New Roman" w:hAnsi="Times New Roman" w:cs="Times New Roman"/>
          <w:color w:val="000000" w:themeColor="text1"/>
          <w:spacing w:val="-7"/>
          <w:sz w:val="24"/>
          <w:highlight w:val="none"/>
          <w:lang w:val="en-US" w:eastAsia="zh-CN"/>
          <w14:textFill>
            <w14:solidFill>
              <w14:schemeClr w14:val="tx1"/>
            </w14:solidFill>
          </w14:textFill>
        </w:rPr>
        <w:t>4</w:t>
      </w:r>
      <w:r>
        <w:rPr>
          <w:rFonts w:ascii="Times New Roman" w:hAnsi="Times New Roman" w:cs="Times New Roman"/>
          <w:color w:val="000000" w:themeColor="text1"/>
          <w:spacing w:val="-12"/>
          <w:sz w:val="24"/>
          <w:highlight w:val="none"/>
          <w14:textFill>
            <w14:solidFill>
              <w14:schemeClr w14:val="tx1"/>
            </w14:solidFill>
          </w14:textFill>
        </w:rPr>
        <w:t>年</w:t>
      </w:r>
      <w:r>
        <w:rPr>
          <w:rFonts w:hint="eastAsia" w:cs="Times New Roman"/>
          <w:color w:val="000000" w:themeColor="text1"/>
          <w:spacing w:val="-12"/>
          <w:sz w:val="24"/>
          <w:highlight w:val="none"/>
          <w:lang w:val="en-US" w:eastAsia="zh-CN"/>
          <w14:textFill>
            <w14:solidFill>
              <w14:schemeClr w14:val="tx1"/>
            </w14:solidFill>
          </w14:textFill>
        </w:rPr>
        <w:t>7</w:t>
      </w:r>
      <w:r>
        <w:rPr>
          <w:rFonts w:hint="eastAsia" w:ascii="Times New Roman" w:hAnsi="Times New Roman" w:cs="Times New Roman"/>
          <w:color w:val="000000" w:themeColor="text1"/>
          <w:spacing w:val="-12"/>
          <w:sz w:val="24"/>
          <w:highlight w:val="none"/>
          <w:lang w:eastAsia="zh-CN"/>
          <w14:textFill>
            <w14:solidFill>
              <w14:schemeClr w14:val="tx1"/>
            </w14:solidFill>
          </w14:textFill>
        </w:rPr>
        <w:t>月</w:t>
      </w:r>
      <w:r>
        <w:rPr>
          <w:rFonts w:hint="eastAsia" w:cs="Times New Roman"/>
          <w:color w:val="000000" w:themeColor="text1"/>
          <w:spacing w:val="-12"/>
          <w:sz w:val="24"/>
          <w:highlight w:val="none"/>
          <w:lang w:val="en-US" w:eastAsia="zh-CN"/>
          <w14:textFill>
            <w14:solidFill>
              <w14:schemeClr w14:val="tx1"/>
            </w14:solidFill>
          </w14:textFill>
        </w:rPr>
        <w:t>5</w:t>
      </w:r>
      <w:r>
        <w:rPr>
          <w:rFonts w:hint="eastAsia" w:ascii="Times New Roman" w:hAnsi="Times New Roman" w:cs="Times New Roman"/>
          <w:color w:val="000000" w:themeColor="text1"/>
          <w:spacing w:val="-12"/>
          <w:sz w:val="24"/>
          <w:highlight w:val="none"/>
          <w:lang w:eastAsia="zh-CN"/>
          <w14:textFill>
            <w14:solidFill>
              <w14:schemeClr w14:val="tx1"/>
            </w14:solidFill>
          </w14:textFill>
        </w:rPr>
        <w:t>日</w:t>
      </w:r>
      <w:r>
        <w:rPr>
          <w:rFonts w:ascii="Times New Roman" w:hAnsi="Times New Roman" w:cs="Times New Roman"/>
          <w:color w:val="000000" w:themeColor="text1"/>
          <w:spacing w:val="-12"/>
          <w:sz w:val="24"/>
          <w:highlight w:val="none"/>
          <w14:textFill>
            <w14:solidFill>
              <w14:schemeClr w14:val="tx1"/>
            </w14:solidFill>
          </w14:textFill>
        </w:rPr>
        <w:t>在</w:t>
      </w:r>
      <w:r>
        <w:rPr>
          <w:rFonts w:hint="eastAsia" w:ascii="Times New Roman" w:hAnsi="Times New Roman" w:cs="Times New Roman"/>
          <w:color w:val="000000" w:themeColor="text1"/>
          <w:spacing w:val="-12"/>
          <w:sz w:val="24"/>
          <w:highlight w:val="none"/>
          <w14:textFill>
            <w14:solidFill>
              <w14:schemeClr w14:val="tx1"/>
            </w14:solidFill>
          </w14:textFill>
        </w:rPr>
        <w:t>达州晚报</w:t>
      </w:r>
      <w:r>
        <w:rPr>
          <w:rFonts w:ascii="Times New Roman" w:hAnsi="Times New Roman" w:cs="Times New Roman"/>
          <w:color w:val="000000" w:themeColor="text1"/>
          <w:spacing w:val="-12"/>
          <w:sz w:val="24"/>
          <w:highlight w:val="none"/>
          <w14:textFill>
            <w14:solidFill>
              <w14:schemeClr w14:val="tx1"/>
            </w14:solidFill>
          </w14:textFill>
        </w:rPr>
        <w:t>上进行公众参与公示；</w:t>
      </w:r>
      <w:r>
        <w:rPr>
          <w:rFonts w:hint="eastAsia"/>
          <w:color w:val="000000" w:themeColor="text1"/>
          <w:spacing w:val="-12"/>
          <w:sz w:val="24"/>
          <w:highlight w:val="none"/>
          <w14:textFill>
            <w14:solidFill>
              <w14:schemeClr w14:val="tx1"/>
            </w14:solidFill>
          </w14:textFill>
        </w:rPr>
        <w:t>③</w:t>
      </w:r>
      <w:r>
        <w:rPr>
          <w:rFonts w:ascii="Times New Roman" w:hAnsi="Times New Roman" w:cs="Times New Roman"/>
          <w:color w:val="000000" w:themeColor="text1"/>
          <w:spacing w:val="-7"/>
          <w:sz w:val="24"/>
          <w:highlight w:val="none"/>
          <w14:textFill>
            <w14:solidFill>
              <w14:schemeClr w14:val="tx1"/>
            </w14:solidFill>
          </w14:textFill>
        </w:rPr>
        <w:t>20</w:t>
      </w:r>
      <w:r>
        <w:rPr>
          <w:rFonts w:ascii="Times New Roman" w:hAnsi="Times New Roman" w:cs="Times New Roman"/>
          <w:color w:val="000000" w:themeColor="text1"/>
          <w:spacing w:val="-7"/>
          <w:sz w:val="24"/>
          <w:highlight w:val="none"/>
          <w:lang w:val="en-US"/>
          <w14:textFill>
            <w14:solidFill>
              <w14:schemeClr w14:val="tx1"/>
            </w14:solidFill>
          </w14:textFill>
        </w:rPr>
        <w:t>2</w:t>
      </w:r>
      <w:r>
        <w:rPr>
          <w:rFonts w:hint="eastAsia" w:ascii="Times New Roman" w:hAnsi="Times New Roman" w:cs="Times New Roman"/>
          <w:color w:val="000000" w:themeColor="text1"/>
          <w:spacing w:val="-7"/>
          <w:sz w:val="24"/>
          <w:highlight w:val="none"/>
          <w:lang w:val="en-US" w:eastAsia="zh-CN"/>
          <w14:textFill>
            <w14:solidFill>
              <w14:schemeClr w14:val="tx1"/>
            </w14:solidFill>
          </w14:textFill>
        </w:rPr>
        <w:t>4</w:t>
      </w:r>
      <w:r>
        <w:rPr>
          <w:rFonts w:ascii="Times New Roman" w:hAnsi="Times New Roman" w:cs="Times New Roman"/>
          <w:color w:val="000000" w:themeColor="text1"/>
          <w:spacing w:val="-12"/>
          <w:sz w:val="24"/>
          <w:highlight w:val="none"/>
          <w14:textFill>
            <w14:solidFill>
              <w14:schemeClr w14:val="tx1"/>
            </w14:solidFill>
          </w14:textFill>
        </w:rPr>
        <w:t>年</w:t>
      </w:r>
      <w:r>
        <w:rPr>
          <w:rFonts w:hint="eastAsia" w:cs="Times New Roman"/>
          <w:color w:val="000000" w:themeColor="text1"/>
          <w:spacing w:val="-12"/>
          <w:sz w:val="24"/>
          <w:highlight w:val="none"/>
          <w:lang w:val="en-US" w:eastAsia="zh-CN"/>
          <w14:textFill>
            <w14:solidFill>
              <w14:schemeClr w14:val="tx1"/>
            </w14:solidFill>
          </w14:textFill>
        </w:rPr>
        <w:t>7</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月</w:t>
      </w:r>
      <w:r>
        <w:rPr>
          <w:rFonts w:hint="eastAsia" w:cs="Times New Roman"/>
          <w:color w:val="000000" w:themeColor="text1"/>
          <w:spacing w:val="-12"/>
          <w:sz w:val="24"/>
          <w:highlight w:val="none"/>
          <w:lang w:val="en-US" w:eastAsia="zh-CN"/>
          <w14:textFill>
            <w14:solidFill>
              <w14:schemeClr w14:val="tx1"/>
            </w14:solidFill>
          </w14:textFill>
        </w:rPr>
        <w:t>8</w:t>
      </w:r>
      <w:r>
        <w:rPr>
          <w:rFonts w:hint="eastAsia" w:ascii="Times New Roman" w:hAnsi="Times New Roman" w:cs="Times New Roman"/>
          <w:color w:val="000000" w:themeColor="text1"/>
          <w:spacing w:val="-12"/>
          <w:sz w:val="24"/>
          <w:highlight w:val="none"/>
          <w:lang w:val="en-US" w:eastAsia="zh-CN"/>
          <w14:textFill>
            <w14:solidFill>
              <w14:schemeClr w14:val="tx1"/>
            </w14:solidFill>
          </w14:textFill>
        </w:rPr>
        <w:t>日</w:t>
      </w:r>
      <w:r>
        <w:rPr>
          <w:rFonts w:ascii="Times New Roman" w:hAnsi="Times New Roman" w:cs="Times New Roman"/>
          <w:color w:val="000000" w:themeColor="text1"/>
          <w:sz w:val="24"/>
          <w:highlight w:val="none"/>
          <w14:textFill>
            <w14:solidFill>
              <w14:schemeClr w14:val="tx1"/>
            </w14:solidFill>
          </w14:textFill>
        </w:rPr>
        <w:t>在</w:t>
      </w:r>
      <w:r>
        <w:rPr>
          <w:rFonts w:hint="eastAsia"/>
          <w:b/>
          <w:bCs/>
          <w:color w:val="000000" w:themeColor="text1"/>
          <w:lang w:val="en-US" w:eastAsia="zh-CN"/>
          <w14:textFill>
            <w14:solidFill>
              <w14:schemeClr w14:val="tx1"/>
            </w14:solidFill>
          </w14:textFill>
        </w:rPr>
        <w:t>***</w:t>
      </w:r>
      <w:r>
        <w:rPr>
          <w:rFonts w:ascii="Times New Roman" w:hAnsi="Times New Roman" w:cs="Times New Roman"/>
          <w:color w:val="000000" w:themeColor="text1"/>
          <w:spacing w:val="-12"/>
          <w:sz w:val="24"/>
          <w:highlight w:val="none"/>
          <w14:textFill>
            <w14:solidFill>
              <w14:schemeClr w14:val="tx1"/>
            </w14:solidFill>
          </w14:textFill>
        </w:rPr>
        <w:t>张贴本项目公众参与公示</w:t>
      </w:r>
      <w:r>
        <w:rPr>
          <w:rFonts w:cs="Times New Roman"/>
          <w:color w:val="000000" w:themeColor="text1"/>
          <w:spacing w:val="-12"/>
          <w:highlight w:val="none"/>
          <w14:textFill>
            <w14:solidFill>
              <w14:schemeClr w14:val="tx1"/>
            </w14:solidFill>
          </w14:textFill>
        </w:rPr>
        <w:t>，以征求项目周边公众对本项目</w:t>
      </w:r>
      <w:r>
        <w:rPr>
          <w:rFonts w:cs="Times New Roman"/>
          <w:color w:val="000000" w:themeColor="text1"/>
          <w:spacing w:val="-7"/>
          <w:highlight w:val="none"/>
          <w14:textFill>
            <w14:solidFill>
              <w14:schemeClr w14:val="tx1"/>
            </w14:solidFill>
          </w14:textFill>
        </w:rPr>
        <w:t>的看法</w:t>
      </w:r>
      <w:r>
        <w:rPr>
          <w:rFonts w:hint="eastAsia" w:cs="Times New Roman"/>
          <w:color w:val="000000" w:themeColor="text1"/>
          <w:spacing w:val="-7"/>
          <w:highlight w:val="none"/>
          <w14:textFill>
            <w14:solidFill>
              <w14:schemeClr w14:val="tx1"/>
            </w14:solidFill>
          </w14:textFill>
        </w:rPr>
        <w:t>。</w:t>
      </w:r>
      <w:r>
        <w:rPr>
          <w:rFonts w:cs="Times New Roman"/>
          <w:color w:val="000000" w:themeColor="text1"/>
          <w:spacing w:val="-7"/>
          <w:highlight w:val="none"/>
          <w14:textFill>
            <w14:solidFill>
              <w14:schemeClr w14:val="tx1"/>
            </w14:solidFill>
          </w14:textFill>
        </w:rPr>
        <w:t>第</w:t>
      </w:r>
      <w:r>
        <w:rPr>
          <w:rFonts w:hint="eastAsia" w:cs="Times New Roman"/>
          <w:color w:val="000000" w:themeColor="text1"/>
          <w:spacing w:val="-7"/>
          <w:highlight w:val="none"/>
          <w14:textFill>
            <w14:solidFill>
              <w14:schemeClr w14:val="tx1"/>
            </w14:solidFill>
          </w14:textFill>
        </w:rPr>
        <w:t>三</w:t>
      </w:r>
      <w:r>
        <w:rPr>
          <w:rFonts w:cs="Times New Roman"/>
          <w:color w:val="000000" w:themeColor="text1"/>
          <w:spacing w:val="-7"/>
          <w:highlight w:val="none"/>
          <w14:textFill>
            <w14:solidFill>
              <w14:schemeClr w14:val="tx1"/>
            </w14:solidFill>
          </w14:textFill>
        </w:rPr>
        <w:t>次公示于202</w:t>
      </w:r>
      <w:r>
        <w:rPr>
          <w:rFonts w:hint="eastAsia" w:cs="Times New Roman"/>
          <w:color w:val="000000" w:themeColor="text1"/>
          <w:spacing w:val="-7"/>
          <w:highlight w:val="none"/>
          <w:lang w:val="en-US" w:eastAsia="zh-CN"/>
          <w14:textFill>
            <w14:solidFill>
              <w14:schemeClr w14:val="tx1"/>
            </w14:solidFill>
          </w14:textFill>
        </w:rPr>
        <w:t>4</w:t>
      </w:r>
      <w:r>
        <w:rPr>
          <w:rFonts w:cs="Times New Roman"/>
          <w:color w:val="000000" w:themeColor="text1"/>
          <w:spacing w:val="-7"/>
          <w:highlight w:val="none"/>
          <w14:textFill>
            <w14:solidFill>
              <w14:schemeClr w14:val="tx1"/>
            </w14:solidFill>
          </w14:textFill>
        </w:rPr>
        <w:t>年</w:t>
      </w:r>
      <w:r>
        <w:rPr>
          <w:rFonts w:hint="eastAsia" w:cs="Times New Roman"/>
          <w:color w:val="000000" w:themeColor="text1"/>
          <w:spacing w:val="-7"/>
          <w:highlight w:val="none"/>
          <w:lang w:val="en-US" w:eastAsia="zh-CN"/>
          <w14:textFill>
            <w14:solidFill>
              <w14:schemeClr w14:val="tx1"/>
            </w14:solidFill>
          </w14:textFill>
        </w:rPr>
        <w:t>8</w:t>
      </w:r>
      <w:r>
        <w:rPr>
          <w:rFonts w:cs="Times New Roman"/>
          <w:color w:val="000000" w:themeColor="text1"/>
          <w:spacing w:val="-7"/>
          <w:highlight w:val="none"/>
          <w14:textFill>
            <w14:solidFill>
              <w14:schemeClr w14:val="tx1"/>
            </w14:solidFill>
          </w14:textFill>
        </w:rPr>
        <w:t>月</w:t>
      </w:r>
      <w:r>
        <w:rPr>
          <w:rFonts w:hint="eastAsia" w:cs="Times New Roman"/>
          <w:color w:val="000000" w:themeColor="text1"/>
          <w:spacing w:val="-7"/>
          <w:highlight w:val="none"/>
          <w:lang w:val="en-US" w:eastAsia="zh-CN"/>
          <w14:textFill>
            <w14:solidFill>
              <w14:schemeClr w14:val="tx1"/>
            </w14:solidFill>
          </w14:textFill>
        </w:rPr>
        <w:t>6</w:t>
      </w:r>
      <w:r>
        <w:rPr>
          <w:rFonts w:cs="Times New Roman"/>
          <w:color w:val="000000" w:themeColor="text1"/>
          <w:spacing w:val="-7"/>
          <w:highlight w:val="none"/>
          <w14:textFill>
            <w14:solidFill>
              <w14:schemeClr w14:val="tx1"/>
            </w14:solidFill>
          </w14:textFill>
        </w:rPr>
        <w:t>日在凤凰山下网站上</w:t>
      </w:r>
      <w:r>
        <w:rPr>
          <w:rFonts w:hint="eastAsia" w:cs="Times New Roman"/>
          <w:color w:val="000000" w:themeColor="text1"/>
          <w:spacing w:val="-7"/>
          <w:highlight w:val="none"/>
          <w14:textFill>
            <w14:solidFill>
              <w14:schemeClr w14:val="tx1"/>
            </w14:solidFill>
          </w14:textFill>
        </w:rPr>
        <w:t>进行报批前</w:t>
      </w:r>
      <w:r>
        <w:rPr>
          <w:rFonts w:cs="Times New Roman"/>
          <w:color w:val="000000" w:themeColor="text1"/>
          <w:spacing w:val="-7"/>
          <w:highlight w:val="none"/>
          <w14:textFill>
            <w14:solidFill>
              <w14:schemeClr w14:val="tx1"/>
            </w14:solidFill>
          </w14:textFill>
        </w:rPr>
        <w:t>公示。公示期间提供了环境影响报告书征求意见稿全文的网络链接及查阅纸质</w:t>
      </w:r>
      <w:r>
        <w:rPr>
          <w:rFonts w:cs="Times New Roman"/>
          <w:color w:val="000000" w:themeColor="text1"/>
          <w:spacing w:val="-11"/>
          <w:highlight w:val="none"/>
          <w14:textFill>
            <w14:solidFill>
              <w14:schemeClr w14:val="tx1"/>
            </w14:solidFill>
          </w14:textFill>
        </w:rPr>
        <w:t>报告书的方式和途径，公众意见表的网络链接，以及提交意见的方式和途径。公</w:t>
      </w:r>
      <w:r>
        <w:rPr>
          <w:rFonts w:cs="Times New Roman"/>
          <w:color w:val="000000" w:themeColor="text1"/>
          <w:highlight w:val="none"/>
          <w14:textFill>
            <w14:solidFill>
              <w14:schemeClr w14:val="tx1"/>
            </w14:solidFill>
          </w14:textFill>
        </w:rPr>
        <w:t>示期间未收到工作递交的公众意见表，未收到反对意见</w:t>
      </w:r>
      <w:r>
        <w:rPr>
          <w:rFonts w:hint="eastAsia" w:cs="Times New Roman"/>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符合《环境影响评价公众参与办法》（生态环境部令第4号）的相关要求。</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54" w:name="_bookmark56"/>
      <w:bookmarkEnd w:id="554"/>
      <w:bookmarkStart w:id="555" w:name="_bookmark59"/>
      <w:bookmarkEnd w:id="555"/>
      <w:bookmarkStart w:id="556" w:name="_bookmark57"/>
      <w:bookmarkEnd w:id="556"/>
      <w:bookmarkStart w:id="557" w:name="10.11评价总结论"/>
      <w:bookmarkEnd w:id="557"/>
      <w:bookmarkStart w:id="558" w:name="10.9环境管理与监测计划"/>
      <w:bookmarkEnd w:id="558"/>
      <w:bookmarkStart w:id="559" w:name="10.8环境经济损益分析"/>
      <w:bookmarkEnd w:id="559"/>
      <w:bookmarkStart w:id="560" w:name="_Toc7960"/>
      <w:r>
        <w:rPr>
          <w:color w:val="000000" w:themeColor="text1"/>
          <w:highlight w:val="none"/>
          <w:lang w:eastAsia="zh-CN"/>
          <w14:textFill>
            <w14:solidFill>
              <w14:schemeClr w14:val="tx1"/>
            </w14:solidFill>
          </w14:textFill>
        </w:rPr>
        <w:t>评价总结论</w:t>
      </w:r>
      <w:bookmarkEnd w:id="560"/>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项目的建设符合国家、行业颁布的相关产业政策、法规、规范，项目的建设对增加清洁能源天然气供应量，探明地区天然气储存情况，促进区域社会、经济发展，调整改善区域的环境质量有积极意义，项目建设是必要的。</w:t>
      </w:r>
    </w:p>
    <w:p>
      <w:pPr>
        <w:ind w:firstLine="480"/>
        <w:rPr>
          <w:rFonts w:cs="Times New Roman"/>
          <w:bCs/>
          <w:color w:val="000000" w:themeColor="text1"/>
          <w:szCs w:val="24"/>
          <w:highlight w:val="none"/>
          <w14:textFill>
            <w14:solidFill>
              <w14:schemeClr w14:val="tx1"/>
            </w14:solidFill>
          </w14:textFill>
        </w:rPr>
      </w:pPr>
      <w:r>
        <w:rPr>
          <w:rFonts w:cs="Times New Roman"/>
          <w:bCs/>
          <w:color w:val="000000" w:themeColor="text1"/>
          <w:szCs w:val="24"/>
          <w:highlight w:val="none"/>
          <w14:textFill>
            <w14:solidFill>
              <w14:schemeClr w14:val="tx1"/>
            </w14:solidFill>
          </w14:textFill>
        </w:rPr>
        <w:t>评价区域环境空气质量、声环境质量、地下水质量现状总体较好；项目建设期间产生的污染物均做到达标排放或妥善处置，对生态环境、地表水、地下水、大气环境影响小</w:t>
      </w:r>
      <w:r>
        <w:rPr>
          <w:rFonts w:hint="eastAsia" w:cs="Times New Roman"/>
          <w:bCs/>
          <w:color w:val="000000" w:themeColor="text1"/>
          <w:szCs w:val="24"/>
          <w:highlight w:val="none"/>
          <w:lang w:eastAsia="zh-CN"/>
          <w14:textFill>
            <w14:solidFill>
              <w14:schemeClr w14:val="tx1"/>
            </w14:solidFill>
          </w14:textFill>
        </w:rPr>
        <w:t>，对</w:t>
      </w:r>
      <w:r>
        <w:rPr>
          <w:rFonts w:cs="Times New Roman"/>
          <w:bCs/>
          <w:color w:val="000000" w:themeColor="text1"/>
          <w:szCs w:val="24"/>
          <w:highlight w:val="none"/>
          <w14:textFill>
            <w14:solidFill>
              <w14:schemeClr w14:val="tx1"/>
            </w14:solidFill>
          </w14:textFill>
        </w:rPr>
        <w:t>声环境影响产生短期影响，不改变区域的环境功能；该项目符合清洁生产要求，采用的环保措施可行，社会、经济效益十分显著；建设项目环境可行，选址合理。本项目井喷失控事故天然气</w:t>
      </w:r>
      <w:r>
        <w:rPr>
          <w:rFonts w:hint="eastAsia" w:cs="Times New Roman"/>
          <w:bCs/>
          <w:color w:val="000000" w:themeColor="text1"/>
          <w:szCs w:val="24"/>
          <w:highlight w:val="none"/>
          <w:lang w:eastAsia="zh-CN"/>
          <w14:textFill>
            <w14:solidFill>
              <w14:schemeClr w14:val="tx1"/>
            </w14:solidFill>
          </w14:textFill>
        </w:rPr>
        <w:t>泄漏</w:t>
      </w:r>
      <w:r>
        <w:rPr>
          <w:rFonts w:cs="Times New Roman"/>
          <w:bCs/>
          <w:color w:val="000000" w:themeColor="text1"/>
          <w:szCs w:val="24"/>
          <w:highlight w:val="none"/>
          <w14:textFill>
            <w14:solidFill>
              <w14:schemeClr w14:val="tx1"/>
            </w14:solidFill>
          </w14:textFill>
        </w:rPr>
        <w:t>事故对环境的影响较小，且事故发生机率低，通过严格按行业规范和环评要求完善事故防范措施和制定较详尽有效的事故应急方案，环境风险值会大大的降低，环境风险可接受。</w:t>
      </w:r>
    </w:p>
    <w:p>
      <w:pPr>
        <w:ind w:firstLine="48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综上所述，在严格落实本项目钻井设计和本评价提出的各项环保措施和环境风险防范以及应急措施后，从环境保护角度分析，本项目的建设是可行的。</w:t>
      </w:r>
    </w:p>
    <w:p>
      <w:pPr>
        <w:pStyle w:val="3"/>
        <w:keepNext/>
        <w:keepLines/>
        <w:pageBreakBefore w:val="0"/>
        <w:widowControl w:val="0"/>
        <w:kinsoku/>
        <w:wordWrap/>
        <w:overflowPunct/>
        <w:topLinePunct w:val="0"/>
        <w:autoSpaceDE/>
        <w:autoSpaceDN/>
        <w:bidi w:val="0"/>
        <w:adjustRightInd w:val="0"/>
        <w:snapToGrid w:val="0"/>
        <w:spacing w:before="0" w:beforeLines="0"/>
        <w:textAlignment w:val="auto"/>
        <w:rPr>
          <w:color w:val="000000" w:themeColor="text1"/>
          <w:highlight w:val="none"/>
          <w:lang w:eastAsia="zh-CN"/>
          <w14:textFill>
            <w14:solidFill>
              <w14:schemeClr w14:val="tx1"/>
            </w14:solidFill>
          </w14:textFill>
        </w:rPr>
      </w:pPr>
      <w:bookmarkStart w:id="561" w:name="_bookmark60"/>
      <w:bookmarkEnd w:id="561"/>
      <w:bookmarkStart w:id="562" w:name="10.12建议"/>
      <w:bookmarkEnd w:id="562"/>
      <w:bookmarkStart w:id="563" w:name="_Toc20641"/>
      <w:r>
        <w:rPr>
          <w:color w:val="000000" w:themeColor="text1"/>
          <w:highlight w:val="none"/>
          <w:lang w:eastAsia="zh-CN"/>
          <w14:textFill>
            <w14:solidFill>
              <w14:schemeClr w14:val="tx1"/>
            </w14:solidFill>
          </w14:textFill>
        </w:rPr>
        <w:t>建议</w:t>
      </w:r>
      <w:bookmarkEnd w:id="563"/>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（1）建设单位在工程实施期间，应加强对各项环保措施的建设、运转进行监理，以确保环保措施的有效性。</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（2）妥善解决好占用土地、作物、植被等所造成的恢复赔偿问题。</w:t>
      </w:r>
    </w:p>
    <w:p>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（3）根据项目试采情况，满足验收条件后对项目进行验收，及时完善环保手续。</w:t>
      </w:r>
    </w:p>
    <w:p>
      <w:pPr>
        <w:ind w:firstLine="480"/>
        <w:rPr>
          <w:rFonts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（4）项目完成后，对周围环境进行跟踪监测。</w:t>
      </w:r>
    </w:p>
    <w:sectPr>
      <w:pgSz w:w="11910" w:h="16840"/>
      <w:pgMar w:top="1440" w:right="1800" w:bottom="1440" w:left="1800" w:header="964" w:footer="964"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仿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1"/>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ascii="Times New Roman" w:hAnsi="Times New Roman"/>
        <w:sz w:val="21"/>
        <w:szCs w:val="21"/>
      </w:rPr>
    </w:pPr>
    <w:r>
      <w:rPr>
        <w:rFonts w:hint="eastAsia"/>
        <w:sz w:val="21"/>
        <w:szCs w:val="21"/>
        <w:lang w:eastAsia="zh-CN"/>
      </w:rPr>
      <w:t>·</w:t>
    </w:r>
    <w:sdt>
      <w:sdtPr>
        <w:rPr>
          <w:sz w:val="21"/>
          <w:szCs w:val="21"/>
        </w:rPr>
        <w:id w:val="1549178307"/>
        <w:docPartObj>
          <w:docPartGallery w:val="autotext"/>
        </w:docPartObj>
      </w:sdtPr>
      <w:sdtEndPr>
        <w:rPr>
          <w:rFonts w:ascii="Times New Roman" w:hAnsi="Times New Roman"/>
          <w:sz w:val="21"/>
          <w:szCs w:val="21"/>
        </w:rPr>
      </w:sdtEndPr>
      <w:sdtContent>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eastAsia="zh-CN"/>
          </w:rPr>
          <w:t>413</w:t>
        </w:r>
        <w:r>
          <w:rPr>
            <w:rFonts w:ascii="Times New Roman" w:hAnsi="Times New Roman"/>
            <w:sz w:val="21"/>
            <w:szCs w:val="21"/>
          </w:rPr>
          <w:fldChar w:fldCharType="end"/>
        </w:r>
      </w:sdtContent>
    </w:sdt>
    <w:r>
      <w:rPr>
        <w:rFonts w:hint="eastAsia" w:ascii="Times New Roman" w:hAnsi="Times New Roman"/>
        <w:sz w:val="21"/>
        <w:szCs w:val="21"/>
        <w:lang w:eastAsia="zh-CN"/>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rFonts w:ascii="Times New Roman" w:hAnsi="Times New Roman"/>
        <w:sz w:val="21"/>
        <w:szCs w:val="21"/>
      </w:rPr>
    </w:pPr>
    <w:r>
      <w:rPr>
        <w:rFonts w:hint="eastAsia"/>
        <w:sz w:val="21"/>
        <w:szCs w:val="21"/>
        <w:lang w:eastAsia="zh-CN"/>
      </w:rPr>
      <w:t>·</w:t>
    </w:r>
    <w:sdt>
      <w:sdtPr>
        <w:rPr>
          <w:sz w:val="21"/>
          <w:szCs w:val="21"/>
        </w:rPr>
        <w:id w:val="1652940242"/>
        <w:docPartObj>
          <w:docPartGallery w:val="autotext"/>
        </w:docPartObj>
      </w:sdtPr>
      <w:sdtEndPr>
        <w:rPr>
          <w:rFonts w:ascii="Times New Roman" w:hAnsi="Times New Roman"/>
          <w:sz w:val="21"/>
          <w:szCs w:val="21"/>
        </w:rPr>
      </w:sdtEndPr>
      <w:sdtContent>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eastAsia="zh-CN"/>
          </w:rPr>
          <w:t>414</w:t>
        </w:r>
        <w:r>
          <w:rPr>
            <w:rFonts w:ascii="Times New Roman" w:hAnsi="Times New Roman"/>
            <w:sz w:val="21"/>
            <w:szCs w:val="21"/>
          </w:rPr>
          <w:fldChar w:fldCharType="end"/>
        </w:r>
      </w:sdtContent>
    </w:sdt>
    <w:r>
      <w:rPr>
        <w:rFonts w:hint="eastAsia" w:ascii="Times New Roman" w:hAnsi="Times New Roman"/>
        <w:sz w:val="21"/>
        <w:szCs w:val="21"/>
        <w:lang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ind w:firstLine="420"/>
      <w:rPr>
        <w:rFonts w:ascii="Times New Roman" w:hAnsi="Times New Roman"/>
        <w:sz w:val="21"/>
        <w:szCs w:val="21"/>
        <w:lang w:eastAsia="zh-CN"/>
      </w:rPr>
    </w:pPr>
    <w:r>
      <w:rPr>
        <w:rFonts w:hint="eastAsia" w:ascii="Times New Roman" w:hAnsi="Times New Roman"/>
        <w:sz w:val="21"/>
        <w:szCs w:val="21"/>
        <w:lang w:eastAsia="zh-CN"/>
      </w:rPr>
      <w:t>普光气田雷页1井组试验项目</w:t>
    </w:r>
    <w:r>
      <w:rPr>
        <w:rFonts w:ascii="Times New Roman" w:hAnsi="Times New Roman"/>
        <w:sz w:val="21"/>
        <w:szCs w:val="21"/>
        <w:lang w:eastAsia="zh-CN"/>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spacing w:line="240" w:lineRule="auto"/>
      <w:ind w:firstLine="0" w:firstLineChars="0"/>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5179C"/>
    <w:multiLevelType w:val="singleLevel"/>
    <w:tmpl w:val="9525179C"/>
    <w:lvl w:ilvl="0" w:tentative="0">
      <w:start w:val="1"/>
      <w:numFmt w:val="decimal"/>
      <w:suff w:val="nothing"/>
      <w:lvlText w:val="（%1）"/>
      <w:lvlJc w:val="left"/>
    </w:lvl>
  </w:abstractNum>
  <w:abstractNum w:abstractNumId="1">
    <w:nsid w:val="DF81E802"/>
    <w:multiLevelType w:val="singleLevel"/>
    <w:tmpl w:val="DF81E802"/>
    <w:lvl w:ilvl="0" w:tentative="0">
      <w:start w:val="1"/>
      <w:numFmt w:val="decimal"/>
      <w:suff w:val="nothing"/>
      <w:lvlText w:val="%1）"/>
      <w:lvlJc w:val="left"/>
    </w:lvl>
  </w:abstractNum>
  <w:abstractNum w:abstractNumId="2">
    <w:nsid w:val="F8A92A06"/>
    <w:multiLevelType w:val="singleLevel"/>
    <w:tmpl w:val="F8A92A06"/>
    <w:lvl w:ilvl="0" w:tentative="0">
      <w:start w:val="5"/>
      <w:numFmt w:val="decimal"/>
      <w:suff w:val="nothing"/>
      <w:lvlText w:val="%1）"/>
      <w:lvlJc w:val="left"/>
    </w:lvl>
  </w:abstractNum>
  <w:abstractNum w:abstractNumId="3">
    <w:nsid w:val="00F6800D"/>
    <w:multiLevelType w:val="singleLevel"/>
    <w:tmpl w:val="00F6800D"/>
    <w:lvl w:ilvl="0" w:tentative="0">
      <w:start w:val="2"/>
      <w:numFmt w:val="decimal"/>
      <w:suff w:val="nothing"/>
      <w:lvlText w:val="%1）"/>
      <w:lvlJc w:val="left"/>
    </w:lvl>
  </w:abstractNum>
  <w:abstractNum w:abstractNumId="4">
    <w:nsid w:val="152F5B0A"/>
    <w:multiLevelType w:val="multilevel"/>
    <w:tmpl w:val="152F5B0A"/>
    <w:lvl w:ilvl="0" w:tentative="0">
      <w:start w:val="1"/>
      <w:numFmt w:val="decimal"/>
      <w:pStyle w:val="606"/>
      <w:suff w:val="nothing"/>
      <w:lvlText w:val="（%1）"/>
      <w:lvlJc w:val="left"/>
      <w:pPr>
        <w:ind w:left="845" w:hanging="420"/>
      </w:pPr>
      <w:rPr>
        <w:rFonts w:hint="default" w:ascii="Times New Roman" w:hAnsi="Times New Roman"/>
        <w:lang w:val="en-US"/>
      </w:rPr>
    </w:lvl>
    <w:lvl w:ilvl="1" w:tentative="0">
      <w:start w:val="1"/>
      <w:numFmt w:val="lowerLetter"/>
      <w:lvlText w:val="%2)"/>
      <w:lvlJc w:val="left"/>
      <w:pPr>
        <w:ind w:left="413" w:hanging="420"/>
      </w:pPr>
    </w:lvl>
    <w:lvl w:ilvl="2" w:tentative="0">
      <w:start w:val="1"/>
      <w:numFmt w:val="lowerRoman"/>
      <w:lvlText w:val="%3."/>
      <w:lvlJc w:val="right"/>
      <w:pPr>
        <w:ind w:left="833" w:hanging="420"/>
      </w:pPr>
    </w:lvl>
    <w:lvl w:ilvl="3" w:tentative="0">
      <w:start w:val="1"/>
      <w:numFmt w:val="decimal"/>
      <w:lvlText w:val="%4."/>
      <w:lvlJc w:val="left"/>
      <w:pPr>
        <w:ind w:left="1253" w:hanging="420"/>
      </w:pPr>
    </w:lvl>
    <w:lvl w:ilvl="4" w:tentative="0">
      <w:start w:val="1"/>
      <w:numFmt w:val="lowerLetter"/>
      <w:lvlText w:val="%5)"/>
      <w:lvlJc w:val="left"/>
      <w:pPr>
        <w:ind w:left="1673" w:hanging="420"/>
      </w:pPr>
    </w:lvl>
    <w:lvl w:ilvl="5" w:tentative="0">
      <w:start w:val="1"/>
      <w:numFmt w:val="lowerRoman"/>
      <w:lvlText w:val="%6."/>
      <w:lvlJc w:val="right"/>
      <w:pPr>
        <w:ind w:left="2093" w:hanging="420"/>
      </w:pPr>
    </w:lvl>
    <w:lvl w:ilvl="6" w:tentative="0">
      <w:start w:val="1"/>
      <w:numFmt w:val="decimal"/>
      <w:lvlText w:val="%7."/>
      <w:lvlJc w:val="left"/>
      <w:pPr>
        <w:ind w:left="2513" w:hanging="420"/>
      </w:pPr>
    </w:lvl>
    <w:lvl w:ilvl="7" w:tentative="0">
      <w:start w:val="1"/>
      <w:numFmt w:val="lowerLetter"/>
      <w:lvlText w:val="%8)"/>
      <w:lvlJc w:val="left"/>
      <w:pPr>
        <w:ind w:left="2933" w:hanging="420"/>
      </w:pPr>
    </w:lvl>
    <w:lvl w:ilvl="8" w:tentative="0">
      <w:start w:val="1"/>
      <w:numFmt w:val="lowerRoman"/>
      <w:lvlText w:val="%9."/>
      <w:lvlJc w:val="right"/>
      <w:pPr>
        <w:ind w:left="3353" w:hanging="420"/>
      </w:pPr>
    </w:lvl>
  </w:abstractNum>
  <w:abstractNum w:abstractNumId="5">
    <w:nsid w:val="1A643155"/>
    <w:multiLevelType w:val="multilevel"/>
    <w:tmpl w:val="1A643155"/>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1CAEB726"/>
    <w:multiLevelType w:val="singleLevel"/>
    <w:tmpl w:val="1CAEB726"/>
    <w:lvl w:ilvl="0" w:tentative="0">
      <w:start w:val="6"/>
      <w:numFmt w:val="decimal"/>
      <w:suff w:val="nothing"/>
      <w:lvlText w:val="（%1）"/>
      <w:lvlJc w:val="left"/>
    </w:lvl>
  </w:abstractNum>
  <w:abstractNum w:abstractNumId="7">
    <w:nsid w:val="2D1B22AA"/>
    <w:multiLevelType w:val="multilevel"/>
    <w:tmpl w:val="2D1B22AA"/>
    <w:lvl w:ilvl="0" w:tentative="0">
      <w:start w:val="1"/>
      <w:numFmt w:val="decimal"/>
      <w:suff w:val="nothing"/>
      <w:lvlText w:val="（%1）"/>
      <w:lvlJc w:val="left"/>
      <w:pPr>
        <w:ind w:left="-113" w:firstLine="595"/>
      </w:pPr>
      <w:rPr>
        <w:rFonts w:hint="default" w:ascii="Times New Roman" w:hAnsi="Times New Roman"/>
        <w:lang w:val="en-US"/>
      </w:rPr>
    </w:lvl>
    <w:lvl w:ilvl="1" w:tentative="0">
      <w:start w:val="1"/>
      <w:numFmt w:val="lowerLetter"/>
      <w:lvlText w:val="%2)"/>
      <w:lvlJc w:val="left"/>
      <w:pPr>
        <w:ind w:left="1266" w:hanging="420"/>
      </w:pPr>
      <w:rPr>
        <w:rFonts w:hint="eastAsia"/>
      </w:rPr>
    </w:lvl>
    <w:lvl w:ilvl="2" w:tentative="0">
      <w:start w:val="1"/>
      <w:numFmt w:val="lowerRoman"/>
      <w:lvlText w:val="%3."/>
      <w:lvlJc w:val="right"/>
      <w:pPr>
        <w:ind w:left="1686" w:hanging="420"/>
      </w:pPr>
      <w:rPr>
        <w:rFonts w:hint="eastAsia"/>
      </w:rPr>
    </w:lvl>
    <w:lvl w:ilvl="3" w:tentative="0">
      <w:start w:val="1"/>
      <w:numFmt w:val="decimal"/>
      <w:lvlText w:val="%4."/>
      <w:lvlJc w:val="left"/>
      <w:pPr>
        <w:ind w:left="2106" w:hanging="420"/>
      </w:pPr>
      <w:rPr>
        <w:rFonts w:hint="eastAsia"/>
      </w:rPr>
    </w:lvl>
    <w:lvl w:ilvl="4" w:tentative="0">
      <w:start w:val="1"/>
      <w:numFmt w:val="lowerLetter"/>
      <w:lvlText w:val="%5)"/>
      <w:lvlJc w:val="left"/>
      <w:pPr>
        <w:ind w:left="2526" w:hanging="420"/>
      </w:pPr>
      <w:rPr>
        <w:rFonts w:hint="eastAsia"/>
      </w:rPr>
    </w:lvl>
    <w:lvl w:ilvl="5" w:tentative="0">
      <w:start w:val="1"/>
      <w:numFmt w:val="lowerRoman"/>
      <w:lvlText w:val="%6."/>
      <w:lvlJc w:val="right"/>
      <w:pPr>
        <w:ind w:left="2946" w:hanging="420"/>
      </w:pPr>
      <w:rPr>
        <w:rFonts w:hint="eastAsia"/>
      </w:rPr>
    </w:lvl>
    <w:lvl w:ilvl="6" w:tentative="0">
      <w:start w:val="1"/>
      <w:numFmt w:val="decimal"/>
      <w:lvlText w:val="%7."/>
      <w:lvlJc w:val="left"/>
      <w:pPr>
        <w:ind w:left="3366" w:hanging="420"/>
      </w:pPr>
      <w:rPr>
        <w:rFonts w:hint="eastAsia"/>
      </w:rPr>
    </w:lvl>
    <w:lvl w:ilvl="7" w:tentative="0">
      <w:start w:val="1"/>
      <w:numFmt w:val="lowerLetter"/>
      <w:lvlText w:val="%8)"/>
      <w:lvlJc w:val="left"/>
      <w:pPr>
        <w:ind w:left="3786" w:hanging="420"/>
      </w:pPr>
      <w:rPr>
        <w:rFonts w:hint="eastAsia"/>
      </w:rPr>
    </w:lvl>
    <w:lvl w:ilvl="8" w:tentative="0">
      <w:start w:val="1"/>
      <w:numFmt w:val="lowerRoman"/>
      <w:lvlText w:val="%9."/>
      <w:lvlJc w:val="right"/>
      <w:pPr>
        <w:ind w:left="4206" w:hanging="420"/>
      </w:pPr>
      <w:rPr>
        <w:rFonts w:hint="eastAsia"/>
      </w:rPr>
    </w:lvl>
  </w:abstractNum>
  <w:abstractNum w:abstractNumId="8">
    <w:nsid w:val="30E570E3"/>
    <w:multiLevelType w:val="multilevel"/>
    <w:tmpl w:val="30E570E3"/>
    <w:lvl w:ilvl="0" w:tentative="0">
      <w:start w:val="1"/>
      <w:numFmt w:val="bullet"/>
      <w:pStyle w:val="36"/>
      <w:lvlText w:val=""/>
      <w:lvlJc w:val="left"/>
      <w:pPr>
        <w:ind w:left="207" w:hanging="181"/>
      </w:pPr>
      <w:rPr>
        <w:rFonts w:hint="default" w:ascii="Symbol" w:hAnsi="Symbol" w:eastAsia="Symbol"/>
        <w:w w:val="102"/>
        <w:sz w:val="24"/>
        <w:szCs w:val="24"/>
      </w:rPr>
    </w:lvl>
    <w:lvl w:ilvl="1" w:tentative="0">
      <w:start w:val="1"/>
      <w:numFmt w:val="bullet"/>
      <w:lvlText w:val="•"/>
      <w:lvlJc w:val="left"/>
      <w:pPr>
        <w:ind w:left="239" w:hanging="181"/>
      </w:pPr>
      <w:rPr>
        <w:rFonts w:hint="default"/>
      </w:rPr>
    </w:lvl>
    <w:lvl w:ilvl="2" w:tentative="0">
      <w:start w:val="1"/>
      <w:numFmt w:val="bullet"/>
      <w:lvlText w:val="•"/>
      <w:lvlJc w:val="left"/>
      <w:pPr>
        <w:ind w:left="279" w:hanging="181"/>
      </w:pPr>
      <w:rPr>
        <w:rFonts w:hint="default"/>
      </w:rPr>
    </w:lvl>
    <w:lvl w:ilvl="3" w:tentative="0">
      <w:start w:val="1"/>
      <w:numFmt w:val="bullet"/>
      <w:lvlText w:val="•"/>
      <w:lvlJc w:val="left"/>
      <w:pPr>
        <w:ind w:left="319" w:hanging="181"/>
      </w:pPr>
      <w:rPr>
        <w:rFonts w:hint="default"/>
      </w:rPr>
    </w:lvl>
    <w:lvl w:ilvl="4" w:tentative="0">
      <w:start w:val="1"/>
      <w:numFmt w:val="bullet"/>
      <w:lvlText w:val="•"/>
      <w:lvlJc w:val="left"/>
      <w:pPr>
        <w:ind w:left="359" w:hanging="181"/>
      </w:pPr>
      <w:rPr>
        <w:rFonts w:hint="default"/>
      </w:rPr>
    </w:lvl>
    <w:lvl w:ilvl="5" w:tentative="0">
      <w:start w:val="1"/>
      <w:numFmt w:val="bullet"/>
      <w:lvlText w:val="•"/>
      <w:lvlJc w:val="left"/>
      <w:pPr>
        <w:ind w:left="398" w:hanging="181"/>
      </w:pPr>
      <w:rPr>
        <w:rFonts w:hint="default"/>
      </w:rPr>
    </w:lvl>
    <w:lvl w:ilvl="6" w:tentative="0">
      <w:start w:val="1"/>
      <w:numFmt w:val="bullet"/>
      <w:lvlText w:val="•"/>
      <w:lvlJc w:val="left"/>
      <w:pPr>
        <w:ind w:left="438" w:hanging="181"/>
      </w:pPr>
      <w:rPr>
        <w:rFonts w:hint="default"/>
      </w:rPr>
    </w:lvl>
    <w:lvl w:ilvl="7" w:tentative="0">
      <w:start w:val="1"/>
      <w:numFmt w:val="bullet"/>
      <w:lvlText w:val="•"/>
      <w:lvlJc w:val="left"/>
      <w:pPr>
        <w:ind w:left="478" w:hanging="181"/>
      </w:pPr>
      <w:rPr>
        <w:rFonts w:hint="default"/>
      </w:rPr>
    </w:lvl>
    <w:lvl w:ilvl="8" w:tentative="0">
      <w:start w:val="1"/>
      <w:numFmt w:val="bullet"/>
      <w:lvlText w:val="•"/>
      <w:lvlJc w:val="left"/>
      <w:pPr>
        <w:ind w:left="518" w:hanging="181"/>
      </w:pPr>
      <w:rPr>
        <w:rFonts w:hint="default"/>
      </w:rPr>
    </w:lvl>
  </w:abstractNum>
  <w:abstractNum w:abstractNumId="9">
    <w:nsid w:val="43EB5AE6"/>
    <w:multiLevelType w:val="multilevel"/>
    <w:tmpl w:val="43EB5AE6"/>
    <w:lvl w:ilvl="0" w:tentative="0">
      <w:start w:val="1"/>
      <w:numFmt w:val="decimal"/>
      <w:pStyle w:val="2"/>
      <w:suff w:val="nothing"/>
      <w:lvlText w:val="%1、"/>
      <w:lvlJc w:val="left"/>
      <w:pPr>
        <w:ind w:left="5671" w:firstLine="0"/>
      </w:pPr>
      <w:rPr>
        <w:rFonts w:hint="eastAsia"/>
        <w:b w:val="0"/>
        <w:bCs w:val="0"/>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b w:val="0"/>
        <w:bCs w:val="0"/>
      </w:rPr>
    </w:lvl>
    <w:lvl w:ilvl="3" w:tentative="0">
      <w:start w:val="1"/>
      <w:numFmt w:val="decimal"/>
      <w:pStyle w:val="5"/>
      <w:suff w:val="space"/>
      <w:lvlText w:val="%1.%2.%3.%4"/>
      <w:lvlJc w:val="left"/>
      <w:pPr>
        <w:ind w:left="2410" w:firstLine="0"/>
      </w:p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52FD77F4"/>
    <w:multiLevelType w:val="multilevel"/>
    <w:tmpl w:val="52FD77F4"/>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7B6CAF15"/>
    <w:multiLevelType w:val="singleLevel"/>
    <w:tmpl w:val="7B6CAF15"/>
    <w:lvl w:ilvl="0" w:tentative="0">
      <w:start w:val="1"/>
      <w:numFmt w:val="decimal"/>
      <w:suff w:val="nothing"/>
      <w:lvlText w:val="（%1）"/>
      <w:lvlJc w:val="left"/>
    </w:lvl>
  </w:abstractNum>
  <w:num w:numId="1">
    <w:abstractNumId w:val="9"/>
  </w:num>
  <w:num w:numId="2">
    <w:abstractNumId w:val="8"/>
  </w:num>
  <w:num w:numId="3">
    <w:abstractNumId w:val="4"/>
  </w:num>
  <w:num w:numId="4">
    <w:abstractNumId w:val="0"/>
  </w:num>
  <w:num w:numId="5">
    <w:abstractNumId w:val="7"/>
  </w:num>
  <w:num w:numId="6">
    <w:abstractNumId w:val="4"/>
    <w:lvlOverride w:ilvl="0">
      <w:startOverride w:val="1"/>
    </w:lvlOverride>
  </w:num>
  <w:num w:numId="7">
    <w:abstractNumId w:val="3"/>
  </w:num>
  <w:num w:numId="8">
    <w:abstractNumId w:val="5"/>
  </w:num>
  <w:num w:numId="9">
    <w:abstractNumId w:val="2"/>
  </w:num>
  <w:num w:numId="10">
    <w:abstractNumId w:val="1"/>
  </w:num>
  <w:num w:numId="11">
    <w:abstractNumId w:val="11"/>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hideSpellingErrors/>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172A27"/>
    <w:rsid w:val="000005C9"/>
    <w:rsid w:val="00000C0A"/>
    <w:rsid w:val="00001291"/>
    <w:rsid w:val="0000129F"/>
    <w:rsid w:val="00001708"/>
    <w:rsid w:val="00001BC1"/>
    <w:rsid w:val="00002044"/>
    <w:rsid w:val="00002ABF"/>
    <w:rsid w:val="000035F3"/>
    <w:rsid w:val="00003C78"/>
    <w:rsid w:val="0000422E"/>
    <w:rsid w:val="00004562"/>
    <w:rsid w:val="00004A57"/>
    <w:rsid w:val="00005E95"/>
    <w:rsid w:val="00005FE4"/>
    <w:rsid w:val="00006D9D"/>
    <w:rsid w:val="0000719A"/>
    <w:rsid w:val="00007964"/>
    <w:rsid w:val="0001015F"/>
    <w:rsid w:val="000107E1"/>
    <w:rsid w:val="0001204A"/>
    <w:rsid w:val="0001231E"/>
    <w:rsid w:val="000126F8"/>
    <w:rsid w:val="00012758"/>
    <w:rsid w:val="00012863"/>
    <w:rsid w:val="0001338D"/>
    <w:rsid w:val="000140A5"/>
    <w:rsid w:val="00014E26"/>
    <w:rsid w:val="00015547"/>
    <w:rsid w:val="00015E0A"/>
    <w:rsid w:val="0001683F"/>
    <w:rsid w:val="00017835"/>
    <w:rsid w:val="000200B0"/>
    <w:rsid w:val="000210E0"/>
    <w:rsid w:val="0002110E"/>
    <w:rsid w:val="000211D4"/>
    <w:rsid w:val="00021604"/>
    <w:rsid w:val="00021785"/>
    <w:rsid w:val="00021A23"/>
    <w:rsid w:val="00022611"/>
    <w:rsid w:val="000226FB"/>
    <w:rsid w:val="00022ED3"/>
    <w:rsid w:val="00023105"/>
    <w:rsid w:val="00023579"/>
    <w:rsid w:val="0002567D"/>
    <w:rsid w:val="0002590C"/>
    <w:rsid w:val="000259B5"/>
    <w:rsid w:val="00026BE6"/>
    <w:rsid w:val="00026C6E"/>
    <w:rsid w:val="000275B9"/>
    <w:rsid w:val="000276EE"/>
    <w:rsid w:val="00027E52"/>
    <w:rsid w:val="0003158D"/>
    <w:rsid w:val="000319AF"/>
    <w:rsid w:val="00032558"/>
    <w:rsid w:val="000325C8"/>
    <w:rsid w:val="00032757"/>
    <w:rsid w:val="000336CC"/>
    <w:rsid w:val="00034161"/>
    <w:rsid w:val="000341F2"/>
    <w:rsid w:val="000342B9"/>
    <w:rsid w:val="00035523"/>
    <w:rsid w:val="0003568A"/>
    <w:rsid w:val="000358C4"/>
    <w:rsid w:val="00035B47"/>
    <w:rsid w:val="0003687F"/>
    <w:rsid w:val="00037150"/>
    <w:rsid w:val="0003790B"/>
    <w:rsid w:val="00037AA2"/>
    <w:rsid w:val="00037B88"/>
    <w:rsid w:val="0004037D"/>
    <w:rsid w:val="00040516"/>
    <w:rsid w:val="0004064A"/>
    <w:rsid w:val="000408D0"/>
    <w:rsid w:val="00040CB2"/>
    <w:rsid w:val="00041519"/>
    <w:rsid w:val="00041A1B"/>
    <w:rsid w:val="00041EBC"/>
    <w:rsid w:val="000426CC"/>
    <w:rsid w:val="00042DFF"/>
    <w:rsid w:val="00042F5B"/>
    <w:rsid w:val="000436DC"/>
    <w:rsid w:val="00043A4A"/>
    <w:rsid w:val="0004419B"/>
    <w:rsid w:val="00044D8D"/>
    <w:rsid w:val="000452D8"/>
    <w:rsid w:val="00045C09"/>
    <w:rsid w:val="00046943"/>
    <w:rsid w:val="00046D6F"/>
    <w:rsid w:val="00047733"/>
    <w:rsid w:val="0004783B"/>
    <w:rsid w:val="00047E3B"/>
    <w:rsid w:val="000505E5"/>
    <w:rsid w:val="00050BE7"/>
    <w:rsid w:val="00051322"/>
    <w:rsid w:val="000519D4"/>
    <w:rsid w:val="00051CAE"/>
    <w:rsid w:val="00052A1C"/>
    <w:rsid w:val="000532D4"/>
    <w:rsid w:val="0005352E"/>
    <w:rsid w:val="0005395D"/>
    <w:rsid w:val="00053B30"/>
    <w:rsid w:val="00053B62"/>
    <w:rsid w:val="00053E3D"/>
    <w:rsid w:val="00053F97"/>
    <w:rsid w:val="00054513"/>
    <w:rsid w:val="00054CE1"/>
    <w:rsid w:val="00054CF1"/>
    <w:rsid w:val="00054F0B"/>
    <w:rsid w:val="00054FB7"/>
    <w:rsid w:val="00054FBE"/>
    <w:rsid w:val="000563A3"/>
    <w:rsid w:val="00056841"/>
    <w:rsid w:val="000570A3"/>
    <w:rsid w:val="00057C1A"/>
    <w:rsid w:val="00057D34"/>
    <w:rsid w:val="00060556"/>
    <w:rsid w:val="00060A09"/>
    <w:rsid w:val="000619E9"/>
    <w:rsid w:val="00061D76"/>
    <w:rsid w:val="00062382"/>
    <w:rsid w:val="00062471"/>
    <w:rsid w:val="00062536"/>
    <w:rsid w:val="0006254A"/>
    <w:rsid w:val="00062C5E"/>
    <w:rsid w:val="00064062"/>
    <w:rsid w:val="00064312"/>
    <w:rsid w:val="0006439B"/>
    <w:rsid w:val="00064C78"/>
    <w:rsid w:val="000658B1"/>
    <w:rsid w:val="00065998"/>
    <w:rsid w:val="00065A7C"/>
    <w:rsid w:val="000664DD"/>
    <w:rsid w:val="00067195"/>
    <w:rsid w:val="00067A4D"/>
    <w:rsid w:val="00070A11"/>
    <w:rsid w:val="00071630"/>
    <w:rsid w:val="00071CF9"/>
    <w:rsid w:val="000723CB"/>
    <w:rsid w:val="00072752"/>
    <w:rsid w:val="00072B32"/>
    <w:rsid w:val="00072FEA"/>
    <w:rsid w:val="000732EC"/>
    <w:rsid w:val="0007350F"/>
    <w:rsid w:val="0007461C"/>
    <w:rsid w:val="00074BFA"/>
    <w:rsid w:val="00074CC3"/>
    <w:rsid w:val="00074E85"/>
    <w:rsid w:val="0007546B"/>
    <w:rsid w:val="0007619E"/>
    <w:rsid w:val="00076223"/>
    <w:rsid w:val="0007661F"/>
    <w:rsid w:val="00076930"/>
    <w:rsid w:val="00077A04"/>
    <w:rsid w:val="00077AF2"/>
    <w:rsid w:val="00077D71"/>
    <w:rsid w:val="00080119"/>
    <w:rsid w:val="00080305"/>
    <w:rsid w:val="00080A6C"/>
    <w:rsid w:val="000812B6"/>
    <w:rsid w:val="00081457"/>
    <w:rsid w:val="00081BC3"/>
    <w:rsid w:val="000827D5"/>
    <w:rsid w:val="00082EA8"/>
    <w:rsid w:val="000831AF"/>
    <w:rsid w:val="00083515"/>
    <w:rsid w:val="00084595"/>
    <w:rsid w:val="000846B2"/>
    <w:rsid w:val="000852FA"/>
    <w:rsid w:val="00085BC2"/>
    <w:rsid w:val="0008721B"/>
    <w:rsid w:val="00087418"/>
    <w:rsid w:val="0008767A"/>
    <w:rsid w:val="00087DD7"/>
    <w:rsid w:val="00087EB9"/>
    <w:rsid w:val="00090671"/>
    <w:rsid w:val="00091EE6"/>
    <w:rsid w:val="00091EEA"/>
    <w:rsid w:val="00092363"/>
    <w:rsid w:val="00092438"/>
    <w:rsid w:val="000925D8"/>
    <w:rsid w:val="00092862"/>
    <w:rsid w:val="00093B08"/>
    <w:rsid w:val="00093C1A"/>
    <w:rsid w:val="0009444A"/>
    <w:rsid w:val="00094D19"/>
    <w:rsid w:val="00096D4A"/>
    <w:rsid w:val="000972F8"/>
    <w:rsid w:val="00097EEB"/>
    <w:rsid w:val="000A078B"/>
    <w:rsid w:val="000A0EBA"/>
    <w:rsid w:val="000A1900"/>
    <w:rsid w:val="000A1A4C"/>
    <w:rsid w:val="000A2BF3"/>
    <w:rsid w:val="000A2FDE"/>
    <w:rsid w:val="000A3DEC"/>
    <w:rsid w:val="000A4873"/>
    <w:rsid w:val="000A54E6"/>
    <w:rsid w:val="000A5BDB"/>
    <w:rsid w:val="000A5CF8"/>
    <w:rsid w:val="000A6BB1"/>
    <w:rsid w:val="000A6CC7"/>
    <w:rsid w:val="000A7630"/>
    <w:rsid w:val="000B09F7"/>
    <w:rsid w:val="000B1CBB"/>
    <w:rsid w:val="000B1E75"/>
    <w:rsid w:val="000B2927"/>
    <w:rsid w:val="000B2ED1"/>
    <w:rsid w:val="000B3E74"/>
    <w:rsid w:val="000B4282"/>
    <w:rsid w:val="000B4666"/>
    <w:rsid w:val="000B5517"/>
    <w:rsid w:val="000B5DBB"/>
    <w:rsid w:val="000B6679"/>
    <w:rsid w:val="000B6983"/>
    <w:rsid w:val="000B736C"/>
    <w:rsid w:val="000B7444"/>
    <w:rsid w:val="000B7D48"/>
    <w:rsid w:val="000C0113"/>
    <w:rsid w:val="000C1A72"/>
    <w:rsid w:val="000C1F81"/>
    <w:rsid w:val="000C273A"/>
    <w:rsid w:val="000C2EE6"/>
    <w:rsid w:val="000C313A"/>
    <w:rsid w:val="000C3146"/>
    <w:rsid w:val="000C3512"/>
    <w:rsid w:val="000C3744"/>
    <w:rsid w:val="000C3942"/>
    <w:rsid w:val="000C4084"/>
    <w:rsid w:val="000C41FF"/>
    <w:rsid w:val="000C4CA7"/>
    <w:rsid w:val="000C55CC"/>
    <w:rsid w:val="000C5AF0"/>
    <w:rsid w:val="000C61B5"/>
    <w:rsid w:val="000C6296"/>
    <w:rsid w:val="000C6CB4"/>
    <w:rsid w:val="000C6D8A"/>
    <w:rsid w:val="000C7123"/>
    <w:rsid w:val="000C72E4"/>
    <w:rsid w:val="000C75C4"/>
    <w:rsid w:val="000C781E"/>
    <w:rsid w:val="000C78D5"/>
    <w:rsid w:val="000D019D"/>
    <w:rsid w:val="000D0860"/>
    <w:rsid w:val="000D0F83"/>
    <w:rsid w:val="000D1065"/>
    <w:rsid w:val="000D120E"/>
    <w:rsid w:val="000D15F9"/>
    <w:rsid w:val="000D1626"/>
    <w:rsid w:val="000D181B"/>
    <w:rsid w:val="000D1CD4"/>
    <w:rsid w:val="000D3BAB"/>
    <w:rsid w:val="000D401F"/>
    <w:rsid w:val="000D4663"/>
    <w:rsid w:val="000D4C87"/>
    <w:rsid w:val="000D53EC"/>
    <w:rsid w:val="000D5816"/>
    <w:rsid w:val="000D5A80"/>
    <w:rsid w:val="000D664A"/>
    <w:rsid w:val="000D737E"/>
    <w:rsid w:val="000D75E2"/>
    <w:rsid w:val="000D76B8"/>
    <w:rsid w:val="000D7B9B"/>
    <w:rsid w:val="000E020B"/>
    <w:rsid w:val="000E044A"/>
    <w:rsid w:val="000E0D00"/>
    <w:rsid w:val="000E137E"/>
    <w:rsid w:val="000E24DA"/>
    <w:rsid w:val="000E3DDF"/>
    <w:rsid w:val="000E3E85"/>
    <w:rsid w:val="000E4284"/>
    <w:rsid w:val="000E4933"/>
    <w:rsid w:val="000E4D35"/>
    <w:rsid w:val="000E50BD"/>
    <w:rsid w:val="000E5198"/>
    <w:rsid w:val="000E5A0D"/>
    <w:rsid w:val="000E64B0"/>
    <w:rsid w:val="000E6751"/>
    <w:rsid w:val="000E6B19"/>
    <w:rsid w:val="000E7B9A"/>
    <w:rsid w:val="000E7C99"/>
    <w:rsid w:val="000F0A8A"/>
    <w:rsid w:val="000F0CEF"/>
    <w:rsid w:val="000F0E12"/>
    <w:rsid w:val="000F0E25"/>
    <w:rsid w:val="000F151D"/>
    <w:rsid w:val="000F164F"/>
    <w:rsid w:val="000F2AA0"/>
    <w:rsid w:val="000F36EF"/>
    <w:rsid w:val="000F3997"/>
    <w:rsid w:val="000F3B1E"/>
    <w:rsid w:val="000F3E53"/>
    <w:rsid w:val="000F44CB"/>
    <w:rsid w:val="000F4D98"/>
    <w:rsid w:val="000F580B"/>
    <w:rsid w:val="000F59EB"/>
    <w:rsid w:val="000F5BDA"/>
    <w:rsid w:val="000F637A"/>
    <w:rsid w:val="000F6507"/>
    <w:rsid w:val="000F6876"/>
    <w:rsid w:val="000F6C0F"/>
    <w:rsid w:val="001001E6"/>
    <w:rsid w:val="00100248"/>
    <w:rsid w:val="00101D44"/>
    <w:rsid w:val="0010287F"/>
    <w:rsid w:val="00102921"/>
    <w:rsid w:val="00102B59"/>
    <w:rsid w:val="00103122"/>
    <w:rsid w:val="001036F3"/>
    <w:rsid w:val="00103F19"/>
    <w:rsid w:val="0010481C"/>
    <w:rsid w:val="00104CA4"/>
    <w:rsid w:val="001051D7"/>
    <w:rsid w:val="00105AE9"/>
    <w:rsid w:val="00105EE1"/>
    <w:rsid w:val="00106614"/>
    <w:rsid w:val="00107A36"/>
    <w:rsid w:val="00107DF0"/>
    <w:rsid w:val="00110395"/>
    <w:rsid w:val="0011140C"/>
    <w:rsid w:val="00111531"/>
    <w:rsid w:val="00111AB4"/>
    <w:rsid w:val="00111D11"/>
    <w:rsid w:val="001133C3"/>
    <w:rsid w:val="00113A28"/>
    <w:rsid w:val="00113C7C"/>
    <w:rsid w:val="0011526F"/>
    <w:rsid w:val="00115758"/>
    <w:rsid w:val="001159B3"/>
    <w:rsid w:val="001159F8"/>
    <w:rsid w:val="00115B12"/>
    <w:rsid w:val="00115C02"/>
    <w:rsid w:val="0011655C"/>
    <w:rsid w:val="00116889"/>
    <w:rsid w:val="001176F1"/>
    <w:rsid w:val="00117D0B"/>
    <w:rsid w:val="00120BC8"/>
    <w:rsid w:val="00120C33"/>
    <w:rsid w:val="00120E3E"/>
    <w:rsid w:val="001213B6"/>
    <w:rsid w:val="00121468"/>
    <w:rsid w:val="001215B7"/>
    <w:rsid w:val="00121646"/>
    <w:rsid w:val="00122B31"/>
    <w:rsid w:val="00122B5C"/>
    <w:rsid w:val="00123427"/>
    <w:rsid w:val="001236FF"/>
    <w:rsid w:val="00123FCD"/>
    <w:rsid w:val="00123FE1"/>
    <w:rsid w:val="001241CB"/>
    <w:rsid w:val="0012426B"/>
    <w:rsid w:val="00124512"/>
    <w:rsid w:val="00125053"/>
    <w:rsid w:val="001251B7"/>
    <w:rsid w:val="0012569E"/>
    <w:rsid w:val="0012594E"/>
    <w:rsid w:val="00125C4D"/>
    <w:rsid w:val="00125FF7"/>
    <w:rsid w:val="00126252"/>
    <w:rsid w:val="00126943"/>
    <w:rsid w:val="001269A5"/>
    <w:rsid w:val="00127C52"/>
    <w:rsid w:val="001303DA"/>
    <w:rsid w:val="00130658"/>
    <w:rsid w:val="00130CB8"/>
    <w:rsid w:val="00131614"/>
    <w:rsid w:val="00132548"/>
    <w:rsid w:val="001328D8"/>
    <w:rsid w:val="00132D73"/>
    <w:rsid w:val="001339EE"/>
    <w:rsid w:val="00133FF9"/>
    <w:rsid w:val="001343BC"/>
    <w:rsid w:val="00134672"/>
    <w:rsid w:val="001348A9"/>
    <w:rsid w:val="00134D9C"/>
    <w:rsid w:val="001359F2"/>
    <w:rsid w:val="00135DFE"/>
    <w:rsid w:val="00136063"/>
    <w:rsid w:val="001362B1"/>
    <w:rsid w:val="00136C78"/>
    <w:rsid w:val="001377F7"/>
    <w:rsid w:val="00140754"/>
    <w:rsid w:val="00140813"/>
    <w:rsid w:val="00140B13"/>
    <w:rsid w:val="00140BB5"/>
    <w:rsid w:val="00141142"/>
    <w:rsid w:val="00141815"/>
    <w:rsid w:val="00141C4F"/>
    <w:rsid w:val="00141CC2"/>
    <w:rsid w:val="00141E33"/>
    <w:rsid w:val="001428FE"/>
    <w:rsid w:val="00142B84"/>
    <w:rsid w:val="00143059"/>
    <w:rsid w:val="00143DC4"/>
    <w:rsid w:val="001444AF"/>
    <w:rsid w:val="0014460E"/>
    <w:rsid w:val="001447AE"/>
    <w:rsid w:val="001449B2"/>
    <w:rsid w:val="00145A1C"/>
    <w:rsid w:val="00145B12"/>
    <w:rsid w:val="00145BF6"/>
    <w:rsid w:val="001468AF"/>
    <w:rsid w:val="00146BF2"/>
    <w:rsid w:val="0014729F"/>
    <w:rsid w:val="001475DB"/>
    <w:rsid w:val="00147764"/>
    <w:rsid w:val="00147CB1"/>
    <w:rsid w:val="00147F06"/>
    <w:rsid w:val="001500A8"/>
    <w:rsid w:val="00150BF1"/>
    <w:rsid w:val="00150C8F"/>
    <w:rsid w:val="00151E1B"/>
    <w:rsid w:val="00152344"/>
    <w:rsid w:val="0015263C"/>
    <w:rsid w:val="00152CA8"/>
    <w:rsid w:val="00153A70"/>
    <w:rsid w:val="00153B3F"/>
    <w:rsid w:val="0015441C"/>
    <w:rsid w:val="00154FD3"/>
    <w:rsid w:val="0015504C"/>
    <w:rsid w:val="00155839"/>
    <w:rsid w:val="001558D2"/>
    <w:rsid w:val="00155ABE"/>
    <w:rsid w:val="00156192"/>
    <w:rsid w:val="00157A51"/>
    <w:rsid w:val="00157C6A"/>
    <w:rsid w:val="00160267"/>
    <w:rsid w:val="0016053B"/>
    <w:rsid w:val="00161622"/>
    <w:rsid w:val="001619C8"/>
    <w:rsid w:val="00161BE2"/>
    <w:rsid w:val="00161DEE"/>
    <w:rsid w:val="00161EE9"/>
    <w:rsid w:val="001636B7"/>
    <w:rsid w:val="00163A62"/>
    <w:rsid w:val="001652CC"/>
    <w:rsid w:val="00165A97"/>
    <w:rsid w:val="00166646"/>
    <w:rsid w:val="00166ADB"/>
    <w:rsid w:val="00166BDB"/>
    <w:rsid w:val="0016712A"/>
    <w:rsid w:val="00170A0A"/>
    <w:rsid w:val="00170AB0"/>
    <w:rsid w:val="00170E67"/>
    <w:rsid w:val="00170F8C"/>
    <w:rsid w:val="00171690"/>
    <w:rsid w:val="00171A6B"/>
    <w:rsid w:val="00172F16"/>
    <w:rsid w:val="0017333D"/>
    <w:rsid w:val="00173435"/>
    <w:rsid w:val="001737E1"/>
    <w:rsid w:val="00173A16"/>
    <w:rsid w:val="00173E0E"/>
    <w:rsid w:val="00174D36"/>
    <w:rsid w:val="0017502F"/>
    <w:rsid w:val="001751B1"/>
    <w:rsid w:val="001752C8"/>
    <w:rsid w:val="001752DE"/>
    <w:rsid w:val="0017532F"/>
    <w:rsid w:val="001758C3"/>
    <w:rsid w:val="001768E3"/>
    <w:rsid w:val="0018073C"/>
    <w:rsid w:val="00181498"/>
    <w:rsid w:val="001814C0"/>
    <w:rsid w:val="00181648"/>
    <w:rsid w:val="00181944"/>
    <w:rsid w:val="0018197C"/>
    <w:rsid w:val="00181B1A"/>
    <w:rsid w:val="00181FA6"/>
    <w:rsid w:val="00182C63"/>
    <w:rsid w:val="00182FE6"/>
    <w:rsid w:val="001836D4"/>
    <w:rsid w:val="00183D00"/>
    <w:rsid w:val="00184B18"/>
    <w:rsid w:val="00184C62"/>
    <w:rsid w:val="00185AB4"/>
    <w:rsid w:val="0018619C"/>
    <w:rsid w:val="00186251"/>
    <w:rsid w:val="00187053"/>
    <w:rsid w:val="001870BD"/>
    <w:rsid w:val="00187558"/>
    <w:rsid w:val="00190406"/>
    <w:rsid w:val="0019132C"/>
    <w:rsid w:val="00192264"/>
    <w:rsid w:val="001923C5"/>
    <w:rsid w:val="001924B6"/>
    <w:rsid w:val="001925DC"/>
    <w:rsid w:val="001927D2"/>
    <w:rsid w:val="00192A0E"/>
    <w:rsid w:val="00192DFD"/>
    <w:rsid w:val="00193287"/>
    <w:rsid w:val="00193AC2"/>
    <w:rsid w:val="00193F54"/>
    <w:rsid w:val="001945A5"/>
    <w:rsid w:val="00194B21"/>
    <w:rsid w:val="00194B6D"/>
    <w:rsid w:val="001954C8"/>
    <w:rsid w:val="001955EC"/>
    <w:rsid w:val="0019648E"/>
    <w:rsid w:val="00196791"/>
    <w:rsid w:val="001978A3"/>
    <w:rsid w:val="00197984"/>
    <w:rsid w:val="00197EC9"/>
    <w:rsid w:val="001A000B"/>
    <w:rsid w:val="001A11DB"/>
    <w:rsid w:val="001A17DF"/>
    <w:rsid w:val="001A1EF4"/>
    <w:rsid w:val="001A207A"/>
    <w:rsid w:val="001A26FD"/>
    <w:rsid w:val="001A28BB"/>
    <w:rsid w:val="001A2A08"/>
    <w:rsid w:val="001A338F"/>
    <w:rsid w:val="001A3971"/>
    <w:rsid w:val="001A3E47"/>
    <w:rsid w:val="001A42D6"/>
    <w:rsid w:val="001A4B8F"/>
    <w:rsid w:val="001A4D08"/>
    <w:rsid w:val="001A5053"/>
    <w:rsid w:val="001A53F7"/>
    <w:rsid w:val="001A5B48"/>
    <w:rsid w:val="001A5CE8"/>
    <w:rsid w:val="001A6854"/>
    <w:rsid w:val="001A6A0A"/>
    <w:rsid w:val="001A6E2A"/>
    <w:rsid w:val="001A702F"/>
    <w:rsid w:val="001A7C7D"/>
    <w:rsid w:val="001B02D6"/>
    <w:rsid w:val="001B0421"/>
    <w:rsid w:val="001B0600"/>
    <w:rsid w:val="001B1760"/>
    <w:rsid w:val="001B18ED"/>
    <w:rsid w:val="001B23D5"/>
    <w:rsid w:val="001B3749"/>
    <w:rsid w:val="001B3EDB"/>
    <w:rsid w:val="001B45BE"/>
    <w:rsid w:val="001B4764"/>
    <w:rsid w:val="001B5123"/>
    <w:rsid w:val="001B5B0B"/>
    <w:rsid w:val="001B5C0D"/>
    <w:rsid w:val="001B5D31"/>
    <w:rsid w:val="001B6117"/>
    <w:rsid w:val="001B6FBE"/>
    <w:rsid w:val="001B72FF"/>
    <w:rsid w:val="001B7497"/>
    <w:rsid w:val="001B7E4B"/>
    <w:rsid w:val="001B7E99"/>
    <w:rsid w:val="001B7F48"/>
    <w:rsid w:val="001C0EE1"/>
    <w:rsid w:val="001C1A01"/>
    <w:rsid w:val="001C1CB7"/>
    <w:rsid w:val="001C1EAF"/>
    <w:rsid w:val="001C2D2D"/>
    <w:rsid w:val="001C30DA"/>
    <w:rsid w:val="001C32EA"/>
    <w:rsid w:val="001C382A"/>
    <w:rsid w:val="001C4535"/>
    <w:rsid w:val="001C4E9D"/>
    <w:rsid w:val="001C5151"/>
    <w:rsid w:val="001C515E"/>
    <w:rsid w:val="001C58CE"/>
    <w:rsid w:val="001C6A2F"/>
    <w:rsid w:val="001C6BD7"/>
    <w:rsid w:val="001C7171"/>
    <w:rsid w:val="001C732D"/>
    <w:rsid w:val="001C7781"/>
    <w:rsid w:val="001C78BF"/>
    <w:rsid w:val="001C7C3D"/>
    <w:rsid w:val="001C7DD9"/>
    <w:rsid w:val="001C7E69"/>
    <w:rsid w:val="001C7E89"/>
    <w:rsid w:val="001D036E"/>
    <w:rsid w:val="001D0A6F"/>
    <w:rsid w:val="001D0D01"/>
    <w:rsid w:val="001D1CF3"/>
    <w:rsid w:val="001D2631"/>
    <w:rsid w:val="001D2747"/>
    <w:rsid w:val="001D2B3A"/>
    <w:rsid w:val="001D2C95"/>
    <w:rsid w:val="001D306A"/>
    <w:rsid w:val="001D3DC0"/>
    <w:rsid w:val="001D3EC9"/>
    <w:rsid w:val="001D3F6F"/>
    <w:rsid w:val="001D4437"/>
    <w:rsid w:val="001D48BD"/>
    <w:rsid w:val="001D4AE2"/>
    <w:rsid w:val="001D4E1B"/>
    <w:rsid w:val="001D4E90"/>
    <w:rsid w:val="001D56C2"/>
    <w:rsid w:val="001D5E51"/>
    <w:rsid w:val="001D60E1"/>
    <w:rsid w:val="001D629B"/>
    <w:rsid w:val="001D6BD4"/>
    <w:rsid w:val="001D7037"/>
    <w:rsid w:val="001D78DB"/>
    <w:rsid w:val="001D7DD7"/>
    <w:rsid w:val="001E017E"/>
    <w:rsid w:val="001E0886"/>
    <w:rsid w:val="001E0F6E"/>
    <w:rsid w:val="001E110C"/>
    <w:rsid w:val="001E23EE"/>
    <w:rsid w:val="001E2759"/>
    <w:rsid w:val="001E2AC3"/>
    <w:rsid w:val="001E32D2"/>
    <w:rsid w:val="001E3362"/>
    <w:rsid w:val="001E350D"/>
    <w:rsid w:val="001E354A"/>
    <w:rsid w:val="001E4151"/>
    <w:rsid w:val="001E4B87"/>
    <w:rsid w:val="001E4D73"/>
    <w:rsid w:val="001E56F9"/>
    <w:rsid w:val="001E5B4B"/>
    <w:rsid w:val="001E5B8F"/>
    <w:rsid w:val="001E6A51"/>
    <w:rsid w:val="001E7B0D"/>
    <w:rsid w:val="001F08C6"/>
    <w:rsid w:val="001F182E"/>
    <w:rsid w:val="001F280F"/>
    <w:rsid w:val="001F2CDF"/>
    <w:rsid w:val="001F2D50"/>
    <w:rsid w:val="001F3EF5"/>
    <w:rsid w:val="001F416E"/>
    <w:rsid w:val="001F41E7"/>
    <w:rsid w:val="001F5ACB"/>
    <w:rsid w:val="001F6C3E"/>
    <w:rsid w:val="001F6E35"/>
    <w:rsid w:val="001F728D"/>
    <w:rsid w:val="00200560"/>
    <w:rsid w:val="00200906"/>
    <w:rsid w:val="00200F40"/>
    <w:rsid w:val="0020145A"/>
    <w:rsid w:val="00201F25"/>
    <w:rsid w:val="002021ED"/>
    <w:rsid w:val="0020281B"/>
    <w:rsid w:val="002036CE"/>
    <w:rsid w:val="00203ECD"/>
    <w:rsid w:val="0020433E"/>
    <w:rsid w:val="00204CB8"/>
    <w:rsid w:val="00204FA6"/>
    <w:rsid w:val="0020503B"/>
    <w:rsid w:val="002052AC"/>
    <w:rsid w:val="002058FC"/>
    <w:rsid w:val="0020644E"/>
    <w:rsid w:val="00207D03"/>
    <w:rsid w:val="0021034A"/>
    <w:rsid w:val="00210876"/>
    <w:rsid w:val="00210DEE"/>
    <w:rsid w:val="0021226B"/>
    <w:rsid w:val="0021237D"/>
    <w:rsid w:val="00213614"/>
    <w:rsid w:val="00214382"/>
    <w:rsid w:val="002147C5"/>
    <w:rsid w:val="00214E84"/>
    <w:rsid w:val="00215953"/>
    <w:rsid w:val="00215E8C"/>
    <w:rsid w:val="00215F80"/>
    <w:rsid w:val="00216B4F"/>
    <w:rsid w:val="00216E0F"/>
    <w:rsid w:val="00217084"/>
    <w:rsid w:val="00217FAF"/>
    <w:rsid w:val="00220C04"/>
    <w:rsid w:val="00220F4C"/>
    <w:rsid w:val="0022102A"/>
    <w:rsid w:val="00221591"/>
    <w:rsid w:val="002222E8"/>
    <w:rsid w:val="00222326"/>
    <w:rsid w:val="0022391E"/>
    <w:rsid w:val="00224BF1"/>
    <w:rsid w:val="002254A9"/>
    <w:rsid w:val="002256F6"/>
    <w:rsid w:val="002266E7"/>
    <w:rsid w:val="002305D1"/>
    <w:rsid w:val="00230B64"/>
    <w:rsid w:val="00231173"/>
    <w:rsid w:val="00231A77"/>
    <w:rsid w:val="00231FE9"/>
    <w:rsid w:val="00233A79"/>
    <w:rsid w:val="00233E0D"/>
    <w:rsid w:val="002341C8"/>
    <w:rsid w:val="00234948"/>
    <w:rsid w:val="00234DC3"/>
    <w:rsid w:val="00235E5C"/>
    <w:rsid w:val="00236492"/>
    <w:rsid w:val="00236DF3"/>
    <w:rsid w:val="002377A8"/>
    <w:rsid w:val="00241923"/>
    <w:rsid w:val="00241BE4"/>
    <w:rsid w:val="00242687"/>
    <w:rsid w:val="00242A50"/>
    <w:rsid w:val="00243285"/>
    <w:rsid w:val="002438F8"/>
    <w:rsid w:val="002443C8"/>
    <w:rsid w:val="002445D5"/>
    <w:rsid w:val="00244A53"/>
    <w:rsid w:val="00244CB7"/>
    <w:rsid w:val="00244E39"/>
    <w:rsid w:val="00244E4C"/>
    <w:rsid w:val="00246011"/>
    <w:rsid w:val="002466E0"/>
    <w:rsid w:val="00246E41"/>
    <w:rsid w:val="00247003"/>
    <w:rsid w:val="00247409"/>
    <w:rsid w:val="00247A1A"/>
    <w:rsid w:val="0025023B"/>
    <w:rsid w:val="00250390"/>
    <w:rsid w:val="002511D0"/>
    <w:rsid w:val="0025149A"/>
    <w:rsid w:val="00251AB3"/>
    <w:rsid w:val="002523FC"/>
    <w:rsid w:val="00252840"/>
    <w:rsid w:val="002528DE"/>
    <w:rsid w:val="00253A79"/>
    <w:rsid w:val="00255325"/>
    <w:rsid w:val="002557D7"/>
    <w:rsid w:val="00255F20"/>
    <w:rsid w:val="00256898"/>
    <w:rsid w:val="002568C0"/>
    <w:rsid w:val="00256B28"/>
    <w:rsid w:val="002579C0"/>
    <w:rsid w:val="002603F0"/>
    <w:rsid w:val="00260CB4"/>
    <w:rsid w:val="00260E30"/>
    <w:rsid w:val="0026113C"/>
    <w:rsid w:val="002616A2"/>
    <w:rsid w:val="002618F0"/>
    <w:rsid w:val="00261AB9"/>
    <w:rsid w:val="002621F2"/>
    <w:rsid w:val="00262CCC"/>
    <w:rsid w:val="00262E74"/>
    <w:rsid w:val="00264208"/>
    <w:rsid w:val="002643CC"/>
    <w:rsid w:val="00264C46"/>
    <w:rsid w:val="00265503"/>
    <w:rsid w:val="00266E52"/>
    <w:rsid w:val="00266E6D"/>
    <w:rsid w:val="002670AB"/>
    <w:rsid w:val="002670EF"/>
    <w:rsid w:val="0026765B"/>
    <w:rsid w:val="00267772"/>
    <w:rsid w:val="00267ABB"/>
    <w:rsid w:val="00270268"/>
    <w:rsid w:val="00271097"/>
    <w:rsid w:val="00271CF1"/>
    <w:rsid w:val="00271DF7"/>
    <w:rsid w:val="002726D5"/>
    <w:rsid w:val="00272C92"/>
    <w:rsid w:val="00272C9F"/>
    <w:rsid w:val="00272E43"/>
    <w:rsid w:val="00273543"/>
    <w:rsid w:val="00273834"/>
    <w:rsid w:val="002738A7"/>
    <w:rsid w:val="00273994"/>
    <w:rsid w:val="002744E2"/>
    <w:rsid w:val="002750A8"/>
    <w:rsid w:val="002753F7"/>
    <w:rsid w:val="00275415"/>
    <w:rsid w:val="0027557B"/>
    <w:rsid w:val="002755A4"/>
    <w:rsid w:val="0027638E"/>
    <w:rsid w:val="0027662A"/>
    <w:rsid w:val="00276CB3"/>
    <w:rsid w:val="00277202"/>
    <w:rsid w:val="00277A98"/>
    <w:rsid w:val="00277C48"/>
    <w:rsid w:val="00277F9F"/>
    <w:rsid w:val="00280239"/>
    <w:rsid w:val="002807CB"/>
    <w:rsid w:val="00280D55"/>
    <w:rsid w:val="00280DAC"/>
    <w:rsid w:val="00280E0C"/>
    <w:rsid w:val="00280FD6"/>
    <w:rsid w:val="002818DE"/>
    <w:rsid w:val="00281947"/>
    <w:rsid w:val="00282B53"/>
    <w:rsid w:val="00282C2A"/>
    <w:rsid w:val="00283410"/>
    <w:rsid w:val="00283832"/>
    <w:rsid w:val="002838A0"/>
    <w:rsid w:val="002845F6"/>
    <w:rsid w:val="00284D91"/>
    <w:rsid w:val="00285424"/>
    <w:rsid w:val="00285B77"/>
    <w:rsid w:val="002868BA"/>
    <w:rsid w:val="00286963"/>
    <w:rsid w:val="00286995"/>
    <w:rsid w:val="00286C64"/>
    <w:rsid w:val="0028707B"/>
    <w:rsid w:val="0028745C"/>
    <w:rsid w:val="00287B90"/>
    <w:rsid w:val="00287BAA"/>
    <w:rsid w:val="00287D23"/>
    <w:rsid w:val="0029087D"/>
    <w:rsid w:val="00290AF2"/>
    <w:rsid w:val="00290FFD"/>
    <w:rsid w:val="0029178F"/>
    <w:rsid w:val="00291F3E"/>
    <w:rsid w:val="0029285E"/>
    <w:rsid w:val="0029344E"/>
    <w:rsid w:val="00293B0E"/>
    <w:rsid w:val="00294522"/>
    <w:rsid w:val="0029492E"/>
    <w:rsid w:val="00295ABD"/>
    <w:rsid w:val="002979DD"/>
    <w:rsid w:val="00297B83"/>
    <w:rsid w:val="00297E2D"/>
    <w:rsid w:val="002A0BCF"/>
    <w:rsid w:val="002A0C41"/>
    <w:rsid w:val="002A1518"/>
    <w:rsid w:val="002A17B3"/>
    <w:rsid w:val="002A1B83"/>
    <w:rsid w:val="002A1C29"/>
    <w:rsid w:val="002A20A7"/>
    <w:rsid w:val="002A22B7"/>
    <w:rsid w:val="002A22C3"/>
    <w:rsid w:val="002A22EA"/>
    <w:rsid w:val="002A2D8C"/>
    <w:rsid w:val="002A3382"/>
    <w:rsid w:val="002A34EA"/>
    <w:rsid w:val="002A379E"/>
    <w:rsid w:val="002A4AA3"/>
    <w:rsid w:val="002A7362"/>
    <w:rsid w:val="002A794F"/>
    <w:rsid w:val="002A7B58"/>
    <w:rsid w:val="002B051E"/>
    <w:rsid w:val="002B1476"/>
    <w:rsid w:val="002B14DB"/>
    <w:rsid w:val="002B18D4"/>
    <w:rsid w:val="002B1AB0"/>
    <w:rsid w:val="002B1BB4"/>
    <w:rsid w:val="002B1C98"/>
    <w:rsid w:val="002B21E8"/>
    <w:rsid w:val="002B2757"/>
    <w:rsid w:val="002B2E54"/>
    <w:rsid w:val="002B340E"/>
    <w:rsid w:val="002B385C"/>
    <w:rsid w:val="002B3A90"/>
    <w:rsid w:val="002B3BBC"/>
    <w:rsid w:val="002B3F19"/>
    <w:rsid w:val="002B3F26"/>
    <w:rsid w:val="002B468B"/>
    <w:rsid w:val="002B4D1D"/>
    <w:rsid w:val="002B5835"/>
    <w:rsid w:val="002B62C1"/>
    <w:rsid w:val="002B655A"/>
    <w:rsid w:val="002B7020"/>
    <w:rsid w:val="002B7777"/>
    <w:rsid w:val="002C01EE"/>
    <w:rsid w:val="002C0542"/>
    <w:rsid w:val="002C0559"/>
    <w:rsid w:val="002C06E6"/>
    <w:rsid w:val="002C06F7"/>
    <w:rsid w:val="002C1289"/>
    <w:rsid w:val="002C1ED1"/>
    <w:rsid w:val="002C2A36"/>
    <w:rsid w:val="002C36B5"/>
    <w:rsid w:val="002C40AD"/>
    <w:rsid w:val="002C4161"/>
    <w:rsid w:val="002C478C"/>
    <w:rsid w:val="002C4ABB"/>
    <w:rsid w:val="002C4C28"/>
    <w:rsid w:val="002C5BCD"/>
    <w:rsid w:val="002C5D0C"/>
    <w:rsid w:val="002C653F"/>
    <w:rsid w:val="002C77F6"/>
    <w:rsid w:val="002D0C5E"/>
    <w:rsid w:val="002D111E"/>
    <w:rsid w:val="002D264D"/>
    <w:rsid w:val="002D2EBE"/>
    <w:rsid w:val="002D30AC"/>
    <w:rsid w:val="002D3605"/>
    <w:rsid w:val="002D40CD"/>
    <w:rsid w:val="002D4113"/>
    <w:rsid w:val="002D4140"/>
    <w:rsid w:val="002D42F7"/>
    <w:rsid w:val="002D52E1"/>
    <w:rsid w:val="002D5451"/>
    <w:rsid w:val="002D58F0"/>
    <w:rsid w:val="002D72B5"/>
    <w:rsid w:val="002D7594"/>
    <w:rsid w:val="002D763F"/>
    <w:rsid w:val="002E0753"/>
    <w:rsid w:val="002E08DF"/>
    <w:rsid w:val="002E0C20"/>
    <w:rsid w:val="002E0D20"/>
    <w:rsid w:val="002E192E"/>
    <w:rsid w:val="002E1A1D"/>
    <w:rsid w:val="002E1D20"/>
    <w:rsid w:val="002E2486"/>
    <w:rsid w:val="002E2DF0"/>
    <w:rsid w:val="002E3F8E"/>
    <w:rsid w:val="002E3FF2"/>
    <w:rsid w:val="002E4511"/>
    <w:rsid w:val="002E4525"/>
    <w:rsid w:val="002E516D"/>
    <w:rsid w:val="002E56B5"/>
    <w:rsid w:val="002E5817"/>
    <w:rsid w:val="002E646E"/>
    <w:rsid w:val="002E6AF6"/>
    <w:rsid w:val="002E6CC4"/>
    <w:rsid w:val="002F0533"/>
    <w:rsid w:val="002F0B29"/>
    <w:rsid w:val="002F0FBC"/>
    <w:rsid w:val="002F1116"/>
    <w:rsid w:val="002F12C9"/>
    <w:rsid w:val="002F17BE"/>
    <w:rsid w:val="002F26E5"/>
    <w:rsid w:val="002F285F"/>
    <w:rsid w:val="002F3E59"/>
    <w:rsid w:val="002F4AEA"/>
    <w:rsid w:val="002F51A0"/>
    <w:rsid w:val="002F5871"/>
    <w:rsid w:val="002F6945"/>
    <w:rsid w:val="002F6EEA"/>
    <w:rsid w:val="002F733C"/>
    <w:rsid w:val="002F7FA2"/>
    <w:rsid w:val="00300522"/>
    <w:rsid w:val="00300AB9"/>
    <w:rsid w:val="00300E09"/>
    <w:rsid w:val="00300E62"/>
    <w:rsid w:val="0030263A"/>
    <w:rsid w:val="003027E4"/>
    <w:rsid w:val="00302AAA"/>
    <w:rsid w:val="0030310A"/>
    <w:rsid w:val="00303396"/>
    <w:rsid w:val="00303433"/>
    <w:rsid w:val="00303BF8"/>
    <w:rsid w:val="00303C3E"/>
    <w:rsid w:val="00303E47"/>
    <w:rsid w:val="00304489"/>
    <w:rsid w:val="0030523E"/>
    <w:rsid w:val="00305CDB"/>
    <w:rsid w:val="00306659"/>
    <w:rsid w:val="00306847"/>
    <w:rsid w:val="003069E8"/>
    <w:rsid w:val="00306D45"/>
    <w:rsid w:val="0030712C"/>
    <w:rsid w:val="003073C2"/>
    <w:rsid w:val="0030793F"/>
    <w:rsid w:val="0031010F"/>
    <w:rsid w:val="00310975"/>
    <w:rsid w:val="00310E7E"/>
    <w:rsid w:val="003121FB"/>
    <w:rsid w:val="00312B2F"/>
    <w:rsid w:val="00312ED1"/>
    <w:rsid w:val="00313350"/>
    <w:rsid w:val="00313593"/>
    <w:rsid w:val="00313701"/>
    <w:rsid w:val="00313A08"/>
    <w:rsid w:val="00313BCC"/>
    <w:rsid w:val="003157C0"/>
    <w:rsid w:val="00316C1E"/>
    <w:rsid w:val="00316CBA"/>
    <w:rsid w:val="00317F32"/>
    <w:rsid w:val="003201A2"/>
    <w:rsid w:val="00320609"/>
    <w:rsid w:val="00320D0B"/>
    <w:rsid w:val="0032155F"/>
    <w:rsid w:val="00323293"/>
    <w:rsid w:val="00324571"/>
    <w:rsid w:val="0032468C"/>
    <w:rsid w:val="00324758"/>
    <w:rsid w:val="003250F9"/>
    <w:rsid w:val="0032569C"/>
    <w:rsid w:val="003263A0"/>
    <w:rsid w:val="00326A30"/>
    <w:rsid w:val="00327080"/>
    <w:rsid w:val="00327414"/>
    <w:rsid w:val="00327903"/>
    <w:rsid w:val="00327CD1"/>
    <w:rsid w:val="00331456"/>
    <w:rsid w:val="003323C5"/>
    <w:rsid w:val="003328B3"/>
    <w:rsid w:val="00333381"/>
    <w:rsid w:val="003349F5"/>
    <w:rsid w:val="00334A4F"/>
    <w:rsid w:val="003354C0"/>
    <w:rsid w:val="003358CF"/>
    <w:rsid w:val="00335F6F"/>
    <w:rsid w:val="0033604C"/>
    <w:rsid w:val="00336873"/>
    <w:rsid w:val="003369D4"/>
    <w:rsid w:val="00336D84"/>
    <w:rsid w:val="00336E6A"/>
    <w:rsid w:val="0033753A"/>
    <w:rsid w:val="00337E65"/>
    <w:rsid w:val="00341D2B"/>
    <w:rsid w:val="00342274"/>
    <w:rsid w:val="0034235D"/>
    <w:rsid w:val="003427E7"/>
    <w:rsid w:val="00342AD0"/>
    <w:rsid w:val="00343BA6"/>
    <w:rsid w:val="00343BCC"/>
    <w:rsid w:val="00343EC0"/>
    <w:rsid w:val="003442F7"/>
    <w:rsid w:val="00344F4F"/>
    <w:rsid w:val="00345196"/>
    <w:rsid w:val="00345259"/>
    <w:rsid w:val="0034575F"/>
    <w:rsid w:val="00345A15"/>
    <w:rsid w:val="00345E93"/>
    <w:rsid w:val="00345FFF"/>
    <w:rsid w:val="003464C6"/>
    <w:rsid w:val="00347229"/>
    <w:rsid w:val="00347B65"/>
    <w:rsid w:val="00347F82"/>
    <w:rsid w:val="00350C2E"/>
    <w:rsid w:val="00350CF0"/>
    <w:rsid w:val="00351393"/>
    <w:rsid w:val="00352F46"/>
    <w:rsid w:val="0035419C"/>
    <w:rsid w:val="0035419D"/>
    <w:rsid w:val="0035446F"/>
    <w:rsid w:val="0035466A"/>
    <w:rsid w:val="00354E3C"/>
    <w:rsid w:val="00354FD3"/>
    <w:rsid w:val="003555B5"/>
    <w:rsid w:val="00355F20"/>
    <w:rsid w:val="00355FD6"/>
    <w:rsid w:val="00356032"/>
    <w:rsid w:val="00356508"/>
    <w:rsid w:val="003566E8"/>
    <w:rsid w:val="00357C7B"/>
    <w:rsid w:val="00357FF6"/>
    <w:rsid w:val="00360A49"/>
    <w:rsid w:val="0036199E"/>
    <w:rsid w:val="0036249F"/>
    <w:rsid w:val="003626F4"/>
    <w:rsid w:val="00362A1A"/>
    <w:rsid w:val="0036381B"/>
    <w:rsid w:val="00363A96"/>
    <w:rsid w:val="00364F47"/>
    <w:rsid w:val="003651DD"/>
    <w:rsid w:val="00365F51"/>
    <w:rsid w:val="00366463"/>
    <w:rsid w:val="0036682F"/>
    <w:rsid w:val="00366A77"/>
    <w:rsid w:val="00367893"/>
    <w:rsid w:val="00370432"/>
    <w:rsid w:val="0037092C"/>
    <w:rsid w:val="00370D1F"/>
    <w:rsid w:val="003712D5"/>
    <w:rsid w:val="00371318"/>
    <w:rsid w:val="00371B9E"/>
    <w:rsid w:val="0037232B"/>
    <w:rsid w:val="00374603"/>
    <w:rsid w:val="003747E9"/>
    <w:rsid w:val="00374F7D"/>
    <w:rsid w:val="003752A4"/>
    <w:rsid w:val="00375533"/>
    <w:rsid w:val="0037597C"/>
    <w:rsid w:val="00376080"/>
    <w:rsid w:val="0037695C"/>
    <w:rsid w:val="003775A0"/>
    <w:rsid w:val="0037785D"/>
    <w:rsid w:val="00380786"/>
    <w:rsid w:val="00380896"/>
    <w:rsid w:val="00380BA9"/>
    <w:rsid w:val="00380D42"/>
    <w:rsid w:val="003813C5"/>
    <w:rsid w:val="00381A40"/>
    <w:rsid w:val="0038237C"/>
    <w:rsid w:val="00382577"/>
    <w:rsid w:val="0038379B"/>
    <w:rsid w:val="00384399"/>
    <w:rsid w:val="003848BE"/>
    <w:rsid w:val="00385555"/>
    <w:rsid w:val="003859BE"/>
    <w:rsid w:val="00387420"/>
    <w:rsid w:val="00387689"/>
    <w:rsid w:val="00387B0B"/>
    <w:rsid w:val="00387DF7"/>
    <w:rsid w:val="003906B6"/>
    <w:rsid w:val="00390774"/>
    <w:rsid w:val="003909FC"/>
    <w:rsid w:val="00390CDE"/>
    <w:rsid w:val="00391274"/>
    <w:rsid w:val="003916F9"/>
    <w:rsid w:val="00392174"/>
    <w:rsid w:val="003929FC"/>
    <w:rsid w:val="00392B99"/>
    <w:rsid w:val="003931EE"/>
    <w:rsid w:val="00393372"/>
    <w:rsid w:val="00393FCD"/>
    <w:rsid w:val="0039401D"/>
    <w:rsid w:val="00394209"/>
    <w:rsid w:val="003944AE"/>
    <w:rsid w:val="00394A9A"/>
    <w:rsid w:val="00394EDB"/>
    <w:rsid w:val="003960FF"/>
    <w:rsid w:val="0039680A"/>
    <w:rsid w:val="00397A46"/>
    <w:rsid w:val="003A01A8"/>
    <w:rsid w:val="003A134B"/>
    <w:rsid w:val="003A1C90"/>
    <w:rsid w:val="003A1EA7"/>
    <w:rsid w:val="003A20A4"/>
    <w:rsid w:val="003A24EA"/>
    <w:rsid w:val="003A305F"/>
    <w:rsid w:val="003A35E6"/>
    <w:rsid w:val="003A3D25"/>
    <w:rsid w:val="003A4FEF"/>
    <w:rsid w:val="003A5165"/>
    <w:rsid w:val="003A5271"/>
    <w:rsid w:val="003A5D13"/>
    <w:rsid w:val="003A5D35"/>
    <w:rsid w:val="003A5FD0"/>
    <w:rsid w:val="003A621E"/>
    <w:rsid w:val="003A698A"/>
    <w:rsid w:val="003A7540"/>
    <w:rsid w:val="003A75F4"/>
    <w:rsid w:val="003A7A77"/>
    <w:rsid w:val="003A7D22"/>
    <w:rsid w:val="003B039B"/>
    <w:rsid w:val="003B079A"/>
    <w:rsid w:val="003B07DA"/>
    <w:rsid w:val="003B0C76"/>
    <w:rsid w:val="003B0CCB"/>
    <w:rsid w:val="003B125E"/>
    <w:rsid w:val="003B1968"/>
    <w:rsid w:val="003B1FB3"/>
    <w:rsid w:val="003B2659"/>
    <w:rsid w:val="003B3EEE"/>
    <w:rsid w:val="003B412F"/>
    <w:rsid w:val="003B48C3"/>
    <w:rsid w:val="003B49A8"/>
    <w:rsid w:val="003B5668"/>
    <w:rsid w:val="003B59FD"/>
    <w:rsid w:val="003B63DE"/>
    <w:rsid w:val="003B6869"/>
    <w:rsid w:val="003B761C"/>
    <w:rsid w:val="003B7839"/>
    <w:rsid w:val="003C0038"/>
    <w:rsid w:val="003C06A9"/>
    <w:rsid w:val="003C0713"/>
    <w:rsid w:val="003C0850"/>
    <w:rsid w:val="003C0B14"/>
    <w:rsid w:val="003C25FE"/>
    <w:rsid w:val="003C2BBD"/>
    <w:rsid w:val="003C3238"/>
    <w:rsid w:val="003C3642"/>
    <w:rsid w:val="003C3813"/>
    <w:rsid w:val="003C386A"/>
    <w:rsid w:val="003C4443"/>
    <w:rsid w:val="003C5675"/>
    <w:rsid w:val="003C5C22"/>
    <w:rsid w:val="003C65AE"/>
    <w:rsid w:val="003C6A7E"/>
    <w:rsid w:val="003C6CB7"/>
    <w:rsid w:val="003C702D"/>
    <w:rsid w:val="003C77D6"/>
    <w:rsid w:val="003C7A0C"/>
    <w:rsid w:val="003D0256"/>
    <w:rsid w:val="003D0C3E"/>
    <w:rsid w:val="003D1758"/>
    <w:rsid w:val="003D1DCD"/>
    <w:rsid w:val="003D23F4"/>
    <w:rsid w:val="003D2C8D"/>
    <w:rsid w:val="003D2EEB"/>
    <w:rsid w:val="003D3086"/>
    <w:rsid w:val="003D32FE"/>
    <w:rsid w:val="003D3904"/>
    <w:rsid w:val="003D41E0"/>
    <w:rsid w:val="003D450D"/>
    <w:rsid w:val="003D4A83"/>
    <w:rsid w:val="003D4A9F"/>
    <w:rsid w:val="003D4DAB"/>
    <w:rsid w:val="003D50E4"/>
    <w:rsid w:val="003D56BC"/>
    <w:rsid w:val="003D587C"/>
    <w:rsid w:val="003D6713"/>
    <w:rsid w:val="003D70E6"/>
    <w:rsid w:val="003D77EF"/>
    <w:rsid w:val="003D7B61"/>
    <w:rsid w:val="003E0C74"/>
    <w:rsid w:val="003E0DF7"/>
    <w:rsid w:val="003E2431"/>
    <w:rsid w:val="003E2D63"/>
    <w:rsid w:val="003E2F24"/>
    <w:rsid w:val="003E3333"/>
    <w:rsid w:val="003E3BC8"/>
    <w:rsid w:val="003E487D"/>
    <w:rsid w:val="003E4D90"/>
    <w:rsid w:val="003E59EC"/>
    <w:rsid w:val="003E5DED"/>
    <w:rsid w:val="003E5E6C"/>
    <w:rsid w:val="003E7661"/>
    <w:rsid w:val="003E796D"/>
    <w:rsid w:val="003F06F5"/>
    <w:rsid w:val="003F0D60"/>
    <w:rsid w:val="003F18E6"/>
    <w:rsid w:val="003F2E8B"/>
    <w:rsid w:val="003F3A07"/>
    <w:rsid w:val="003F40DC"/>
    <w:rsid w:val="003F449B"/>
    <w:rsid w:val="003F4515"/>
    <w:rsid w:val="003F5110"/>
    <w:rsid w:val="003F5640"/>
    <w:rsid w:val="003F5780"/>
    <w:rsid w:val="003F58E8"/>
    <w:rsid w:val="003F74FB"/>
    <w:rsid w:val="003F7692"/>
    <w:rsid w:val="003F7A0D"/>
    <w:rsid w:val="00400A6A"/>
    <w:rsid w:val="00402F3D"/>
    <w:rsid w:val="004035B9"/>
    <w:rsid w:val="00403CE0"/>
    <w:rsid w:val="00403F45"/>
    <w:rsid w:val="004041CA"/>
    <w:rsid w:val="00404248"/>
    <w:rsid w:val="004044B8"/>
    <w:rsid w:val="00404795"/>
    <w:rsid w:val="0040533A"/>
    <w:rsid w:val="00405F6C"/>
    <w:rsid w:val="00405FBC"/>
    <w:rsid w:val="00406110"/>
    <w:rsid w:val="00406570"/>
    <w:rsid w:val="004074CB"/>
    <w:rsid w:val="0040762D"/>
    <w:rsid w:val="00410014"/>
    <w:rsid w:val="0041004A"/>
    <w:rsid w:val="00411E0C"/>
    <w:rsid w:val="004122FC"/>
    <w:rsid w:val="0041289C"/>
    <w:rsid w:val="004128BE"/>
    <w:rsid w:val="00412931"/>
    <w:rsid w:val="0041301E"/>
    <w:rsid w:val="00413457"/>
    <w:rsid w:val="00414603"/>
    <w:rsid w:val="00414DDD"/>
    <w:rsid w:val="004158E5"/>
    <w:rsid w:val="00415CA4"/>
    <w:rsid w:val="0041611B"/>
    <w:rsid w:val="00416354"/>
    <w:rsid w:val="004166DE"/>
    <w:rsid w:val="00416CDD"/>
    <w:rsid w:val="00420541"/>
    <w:rsid w:val="00420711"/>
    <w:rsid w:val="0042164E"/>
    <w:rsid w:val="0042191C"/>
    <w:rsid w:val="004219D2"/>
    <w:rsid w:val="00421AB7"/>
    <w:rsid w:val="00421BA3"/>
    <w:rsid w:val="00421CD8"/>
    <w:rsid w:val="004222F3"/>
    <w:rsid w:val="00422EE2"/>
    <w:rsid w:val="00423340"/>
    <w:rsid w:val="00423536"/>
    <w:rsid w:val="004238CC"/>
    <w:rsid w:val="00423E53"/>
    <w:rsid w:val="0042456F"/>
    <w:rsid w:val="00424DC5"/>
    <w:rsid w:val="00425E5E"/>
    <w:rsid w:val="00426656"/>
    <w:rsid w:val="00426830"/>
    <w:rsid w:val="00427AFB"/>
    <w:rsid w:val="004307BE"/>
    <w:rsid w:val="0043083F"/>
    <w:rsid w:val="00431ED8"/>
    <w:rsid w:val="00432457"/>
    <w:rsid w:val="00432775"/>
    <w:rsid w:val="00433538"/>
    <w:rsid w:val="00433B25"/>
    <w:rsid w:val="00434055"/>
    <w:rsid w:val="004343F7"/>
    <w:rsid w:val="00434998"/>
    <w:rsid w:val="00434A48"/>
    <w:rsid w:val="00434D9D"/>
    <w:rsid w:val="00434E1F"/>
    <w:rsid w:val="00434E7C"/>
    <w:rsid w:val="0043655F"/>
    <w:rsid w:val="00437F5F"/>
    <w:rsid w:val="00441047"/>
    <w:rsid w:val="004412AA"/>
    <w:rsid w:val="0044133D"/>
    <w:rsid w:val="00443FB9"/>
    <w:rsid w:val="00444405"/>
    <w:rsid w:val="00444493"/>
    <w:rsid w:val="004445DE"/>
    <w:rsid w:val="004449A9"/>
    <w:rsid w:val="00444B1E"/>
    <w:rsid w:val="00444DC7"/>
    <w:rsid w:val="00445107"/>
    <w:rsid w:val="0044514F"/>
    <w:rsid w:val="0044580B"/>
    <w:rsid w:val="0044592B"/>
    <w:rsid w:val="00445DAF"/>
    <w:rsid w:val="00445EC1"/>
    <w:rsid w:val="004464D2"/>
    <w:rsid w:val="0044673E"/>
    <w:rsid w:val="00446BF2"/>
    <w:rsid w:val="00447D3C"/>
    <w:rsid w:val="00450025"/>
    <w:rsid w:val="0045023A"/>
    <w:rsid w:val="0045027F"/>
    <w:rsid w:val="00450ECF"/>
    <w:rsid w:val="00451387"/>
    <w:rsid w:val="004522ED"/>
    <w:rsid w:val="00452EFA"/>
    <w:rsid w:val="00453DE7"/>
    <w:rsid w:val="00454ACD"/>
    <w:rsid w:val="004551FB"/>
    <w:rsid w:val="00455421"/>
    <w:rsid w:val="0045552F"/>
    <w:rsid w:val="00455AE5"/>
    <w:rsid w:val="0045640C"/>
    <w:rsid w:val="004568E5"/>
    <w:rsid w:val="0045691E"/>
    <w:rsid w:val="00456CFD"/>
    <w:rsid w:val="00456DA3"/>
    <w:rsid w:val="004570D7"/>
    <w:rsid w:val="004575FF"/>
    <w:rsid w:val="0045775A"/>
    <w:rsid w:val="00457AF4"/>
    <w:rsid w:val="0046183A"/>
    <w:rsid w:val="00462385"/>
    <w:rsid w:val="004629A9"/>
    <w:rsid w:val="00463124"/>
    <w:rsid w:val="004633EE"/>
    <w:rsid w:val="00463B06"/>
    <w:rsid w:val="00463BF0"/>
    <w:rsid w:val="0046428A"/>
    <w:rsid w:val="0046463A"/>
    <w:rsid w:val="00464AFF"/>
    <w:rsid w:val="00465174"/>
    <w:rsid w:val="004653A3"/>
    <w:rsid w:val="00465DE1"/>
    <w:rsid w:val="00466138"/>
    <w:rsid w:val="004661B4"/>
    <w:rsid w:val="00466415"/>
    <w:rsid w:val="00466A30"/>
    <w:rsid w:val="00466A40"/>
    <w:rsid w:val="00467606"/>
    <w:rsid w:val="00467C86"/>
    <w:rsid w:val="00467DB4"/>
    <w:rsid w:val="00470D37"/>
    <w:rsid w:val="00470F7F"/>
    <w:rsid w:val="00470FC1"/>
    <w:rsid w:val="0047167E"/>
    <w:rsid w:val="004716E5"/>
    <w:rsid w:val="004719FE"/>
    <w:rsid w:val="00471B50"/>
    <w:rsid w:val="00471E87"/>
    <w:rsid w:val="0047306D"/>
    <w:rsid w:val="004737AC"/>
    <w:rsid w:val="00473D80"/>
    <w:rsid w:val="004740F3"/>
    <w:rsid w:val="004741C6"/>
    <w:rsid w:val="004750E4"/>
    <w:rsid w:val="0047510E"/>
    <w:rsid w:val="00476778"/>
    <w:rsid w:val="00477C46"/>
    <w:rsid w:val="00480CC0"/>
    <w:rsid w:val="00480F23"/>
    <w:rsid w:val="00481578"/>
    <w:rsid w:val="00481A28"/>
    <w:rsid w:val="00482476"/>
    <w:rsid w:val="00482928"/>
    <w:rsid w:val="00482ACF"/>
    <w:rsid w:val="0048346D"/>
    <w:rsid w:val="004836C1"/>
    <w:rsid w:val="00483C50"/>
    <w:rsid w:val="00484096"/>
    <w:rsid w:val="004840B9"/>
    <w:rsid w:val="004843CE"/>
    <w:rsid w:val="0048465F"/>
    <w:rsid w:val="00484AEA"/>
    <w:rsid w:val="00484F5E"/>
    <w:rsid w:val="0048503F"/>
    <w:rsid w:val="004850E0"/>
    <w:rsid w:val="00485151"/>
    <w:rsid w:val="00485439"/>
    <w:rsid w:val="00485B35"/>
    <w:rsid w:val="004860E4"/>
    <w:rsid w:val="00486736"/>
    <w:rsid w:val="00486A97"/>
    <w:rsid w:val="004875AE"/>
    <w:rsid w:val="0049005E"/>
    <w:rsid w:val="00490063"/>
    <w:rsid w:val="004909EC"/>
    <w:rsid w:val="00490B84"/>
    <w:rsid w:val="00490D90"/>
    <w:rsid w:val="00491C54"/>
    <w:rsid w:val="004922A8"/>
    <w:rsid w:val="004924FC"/>
    <w:rsid w:val="004935C5"/>
    <w:rsid w:val="0049380B"/>
    <w:rsid w:val="00494AE4"/>
    <w:rsid w:val="004950F9"/>
    <w:rsid w:val="00495A1D"/>
    <w:rsid w:val="00495CF7"/>
    <w:rsid w:val="00495F28"/>
    <w:rsid w:val="0049603A"/>
    <w:rsid w:val="00496F53"/>
    <w:rsid w:val="00497313"/>
    <w:rsid w:val="00497868"/>
    <w:rsid w:val="004978AD"/>
    <w:rsid w:val="00497E46"/>
    <w:rsid w:val="004A0102"/>
    <w:rsid w:val="004A013D"/>
    <w:rsid w:val="004A178E"/>
    <w:rsid w:val="004A1815"/>
    <w:rsid w:val="004A317C"/>
    <w:rsid w:val="004A31B2"/>
    <w:rsid w:val="004A332D"/>
    <w:rsid w:val="004A350B"/>
    <w:rsid w:val="004A392A"/>
    <w:rsid w:val="004A4AB3"/>
    <w:rsid w:val="004A5690"/>
    <w:rsid w:val="004A588C"/>
    <w:rsid w:val="004A5E70"/>
    <w:rsid w:val="004A5E8F"/>
    <w:rsid w:val="004A6114"/>
    <w:rsid w:val="004A62AC"/>
    <w:rsid w:val="004A64AD"/>
    <w:rsid w:val="004A6AB9"/>
    <w:rsid w:val="004A6D52"/>
    <w:rsid w:val="004A71B6"/>
    <w:rsid w:val="004B0808"/>
    <w:rsid w:val="004B09F7"/>
    <w:rsid w:val="004B0BF1"/>
    <w:rsid w:val="004B1377"/>
    <w:rsid w:val="004B1DEA"/>
    <w:rsid w:val="004B3162"/>
    <w:rsid w:val="004B3292"/>
    <w:rsid w:val="004B3325"/>
    <w:rsid w:val="004B3749"/>
    <w:rsid w:val="004B382D"/>
    <w:rsid w:val="004B3AC6"/>
    <w:rsid w:val="004B3D0D"/>
    <w:rsid w:val="004B4D44"/>
    <w:rsid w:val="004B4FA7"/>
    <w:rsid w:val="004B5DBF"/>
    <w:rsid w:val="004B5FCC"/>
    <w:rsid w:val="004B63EB"/>
    <w:rsid w:val="004B6A4F"/>
    <w:rsid w:val="004C2DF1"/>
    <w:rsid w:val="004C317E"/>
    <w:rsid w:val="004C4B7C"/>
    <w:rsid w:val="004C56BA"/>
    <w:rsid w:val="004C56F1"/>
    <w:rsid w:val="004C58D1"/>
    <w:rsid w:val="004C5A3C"/>
    <w:rsid w:val="004C5B39"/>
    <w:rsid w:val="004C5C09"/>
    <w:rsid w:val="004C5D63"/>
    <w:rsid w:val="004C645C"/>
    <w:rsid w:val="004C6F8E"/>
    <w:rsid w:val="004C7059"/>
    <w:rsid w:val="004C7300"/>
    <w:rsid w:val="004C730C"/>
    <w:rsid w:val="004C7408"/>
    <w:rsid w:val="004C750F"/>
    <w:rsid w:val="004C7CC8"/>
    <w:rsid w:val="004D07D0"/>
    <w:rsid w:val="004D243B"/>
    <w:rsid w:val="004D2A67"/>
    <w:rsid w:val="004D2FD1"/>
    <w:rsid w:val="004D3790"/>
    <w:rsid w:val="004D3835"/>
    <w:rsid w:val="004D389A"/>
    <w:rsid w:val="004D393F"/>
    <w:rsid w:val="004D3EC5"/>
    <w:rsid w:val="004D4E49"/>
    <w:rsid w:val="004D4ECF"/>
    <w:rsid w:val="004D4F75"/>
    <w:rsid w:val="004D5014"/>
    <w:rsid w:val="004D535B"/>
    <w:rsid w:val="004D5F27"/>
    <w:rsid w:val="004D61E5"/>
    <w:rsid w:val="004D6606"/>
    <w:rsid w:val="004D668F"/>
    <w:rsid w:val="004D6A0D"/>
    <w:rsid w:val="004D6E22"/>
    <w:rsid w:val="004D7058"/>
    <w:rsid w:val="004D75CD"/>
    <w:rsid w:val="004D7AB0"/>
    <w:rsid w:val="004D7D7D"/>
    <w:rsid w:val="004E0066"/>
    <w:rsid w:val="004E02EB"/>
    <w:rsid w:val="004E065F"/>
    <w:rsid w:val="004E0FA2"/>
    <w:rsid w:val="004E1CD5"/>
    <w:rsid w:val="004E28C8"/>
    <w:rsid w:val="004E2B17"/>
    <w:rsid w:val="004E2CE7"/>
    <w:rsid w:val="004E2F58"/>
    <w:rsid w:val="004E30E4"/>
    <w:rsid w:val="004E461D"/>
    <w:rsid w:val="004E588E"/>
    <w:rsid w:val="004E63E3"/>
    <w:rsid w:val="004E6933"/>
    <w:rsid w:val="004E6E31"/>
    <w:rsid w:val="004F063C"/>
    <w:rsid w:val="004F0865"/>
    <w:rsid w:val="004F0878"/>
    <w:rsid w:val="004F2110"/>
    <w:rsid w:val="004F248E"/>
    <w:rsid w:val="004F2FC7"/>
    <w:rsid w:val="004F5F6B"/>
    <w:rsid w:val="004F5FC5"/>
    <w:rsid w:val="004F6FB7"/>
    <w:rsid w:val="004F7035"/>
    <w:rsid w:val="004F7165"/>
    <w:rsid w:val="004F771F"/>
    <w:rsid w:val="00500814"/>
    <w:rsid w:val="005025B2"/>
    <w:rsid w:val="0050312F"/>
    <w:rsid w:val="005036A4"/>
    <w:rsid w:val="005037BF"/>
    <w:rsid w:val="00503DE4"/>
    <w:rsid w:val="0050517B"/>
    <w:rsid w:val="00505374"/>
    <w:rsid w:val="005056B1"/>
    <w:rsid w:val="00505DF5"/>
    <w:rsid w:val="005063D9"/>
    <w:rsid w:val="0050686C"/>
    <w:rsid w:val="00506C99"/>
    <w:rsid w:val="00507027"/>
    <w:rsid w:val="005070EB"/>
    <w:rsid w:val="005076D2"/>
    <w:rsid w:val="00507764"/>
    <w:rsid w:val="00507AC2"/>
    <w:rsid w:val="0051047B"/>
    <w:rsid w:val="00511010"/>
    <w:rsid w:val="00511026"/>
    <w:rsid w:val="005112CE"/>
    <w:rsid w:val="005119C1"/>
    <w:rsid w:val="005119EE"/>
    <w:rsid w:val="00511C61"/>
    <w:rsid w:val="00512C26"/>
    <w:rsid w:val="0051312F"/>
    <w:rsid w:val="00513868"/>
    <w:rsid w:val="00513C62"/>
    <w:rsid w:val="00513E1B"/>
    <w:rsid w:val="00513FCE"/>
    <w:rsid w:val="005141B0"/>
    <w:rsid w:val="00515ACA"/>
    <w:rsid w:val="005163B4"/>
    <w:rsid w:val="005164DE"/>
    <w:rsid w:val="00516928"/>
    <w:rsid w:val="00516D85"/>
    <w:rsid w:val="00517505"/>
    <w:rsid w:val="00520439"/>
    <w:rsid w:val="0052065E"/>
    <w:rsid w:val="00521779"/>
    <w:rsid w:val="00522647"/>
    <w:rsid w:val="00522701"/>
    <w:rsid w:val="00522E21"/>
    <w:rsid w:val="00522F56"/>
    <w:rsid w:val="00522FDD"/>
    <w:rsid w:val="00523B37"/>
    <w:rsid w:val="00523B8E"/>
    <w:rsid w:val="00523D32"/>
    <w:rsid w:val="00524139"/>
    <w:rsid w:val="005253FD"/>
    <w:rsid w:val="00525BE3"/>
    <w:rsid w:val="005266EC"/>
    <w:rsid w:val="00526F49"/>
    <w:rsid w:val="005270CE"/>
    <w:rsid w:val="005278CD"/>
    <w:rsid w:val="005278F3"/>
    <w:rsid w:val="00527D60"/>
    <w:rsid w:val="005305B0"/>
    <w:rsid w:val="00530846"/>
    <w:rsid w:val="00530979"/>
    <w:rsid w:val="005313B0"/>
    <w:rsid w:val="00531A83"/>
    <w:rsid w:val="0053227B"/>
    <w:rsid w:val="00532685"/>
    <w:rsid w:val="00532E38"/>
    <w:rsid w:val="00534204"/>
    <w:rsid w:val="005346AF"/>
    <w:rsid w:val="00534E66"/>
    <w:rsid w:val="00535B91"/>
    <w:rsid w:val="00535DAD"/>
    <w:rsid w:val="00536C50"/>
    <w:rsid w:val="00536E40"/>
    <w:rsid w:val="00536FD9"/>
    <w:rsid w:val="0053718B"/>
    <w:rsid w:val="00540182"/>
    <w:rsid w:val="00540655"/>
    <w:rsid w:val="00540AF7"/>
    <w:rsid w:val="00540F3F"/>
    <w:rsid w:val="005424A3"/>
    <w:rsid w:val="0054279F"/>
    <w:rsid w:val="005428C8"/>
    <w:rsid w:val="00542D3A"/>
    <w:rsid w:val="00543144"/>
    <w:rsid w:val="00543655"/>
    <w:rsid w:val="00543E8D"/>
    <w:rsid w:val="00543FEF"/>
    <w:rsid w:val="00544546"/>
    <w:rsid w:val="0054496F"/>
    <w:rsid w:val="0054512B"/>
    <w:rsid w:val="00545325"/>
    <w:rsid w:val="00545AB5"/>
    <w:rsid w:val="0054678C"/>
    <w:rsid w:val="005474F3"/>
    <w:rsid w:val="00550685"/>
    <w:rsid w:val="00551238"/>
    <w:rsid w:val="005514AD"/>
    <w:rsid w:val="00551F26"/>
    <w:rsid w:val="00552368"/>
    <w:rsid w:val="0055302D"/>
    <w:rsid w:val="005533ED"/>
    <w:rsid w:val="0055412C"/>
    <w:rsid w:val="00554597"/>
    <w:rsid w:val="005550F6"/>
    <w:rsid w:val="00555AFB"/>
    <w:rsid w:val="00556348"/>
    <w:rsid w:val="0055661E"/>
    <w:rsid w:val="00556951"/>
    <w:rsid w:val="00556F7D"/>
    <w:rsid w:val="005572C9"/>
    <w:rsid w:val="0055750C"/>
    <w:rsid w:val="00557658"/>
    <w:rsid w:val="00557A00"/>
    <w:rsid w:val="00560A7F"/>
    <w:rsid w:val="0056129D"/>
    <w:rsid w:val="00561DFB"/>
    <w:rsid w:val="00562AA3"/>
    <w:rsid w:val="00562B12"/>
    <w:rsid w:val="00562FFA"/>
    <w:rsid w:val="005632B1"/>
    <w:rsid w:val="00563722"/>
    <w:rsid w:val="0056381D"/>
    <w:rsid w:val="00563834"/>
    <w:rsid w:val="00564353"/>
    <w:rsid w:val="00564365"/>
    <w:rsid w:val="0056482F"/>
    <w:rsid w:val="00564C11"/>
    <w:rsid w:val="00564CD6"/>
    <w:rsid w:val="00564D67"/>
    <w:rsid w:val="00564DC0"/>
    <w:rsid w:val="00565371"/>
    <w:rsid w:val="00565906"/>
    <w:rsid w:val="0056606D"/>
    <w:rsid w:val="00566A95"/>
    <w:rsid w:val="00566C05"/>
    <w:rsid w:val="00566C48"/>
    <w:rsid w:val="005674B0"/>
    <w:rsid w:val="005679E7"/>
    <w:rsid w:val="005709D7"/>
    <w:rsid w:val="00570CD2"/>
    <w:rsid w:val="0057125C"/>
    <w:rsid w:val="005713CB"/>
    <w:rsid w:val="005726E2"/>
    <w:rsid w:val="005735C7"/>
    <w:rsid w:val="0057367D"/>
    <w:rsid w:val="00573AD3"/>
    <w:rsid w:val="00573FA1"/>
    <w:rsid w:val="005744F1"/>
    <w:rsid w:val="005745AD"/>
    <w:rsid w:val="00574E5E"/>
    <w:rsid w:val="005759CD"/>
    <w:rsid w:val="00575F56"/>
    <w:rsid w:val="00576DE4"/>
    <w:rsid w:val="005770F2"/>
    <w:rsid w:val="00577FAB"/>
    <w:rsid w:val="00580873"/>
    <w:rsid w:val="0058092B"/>
    <w:rsid w:val="005810B5"/>
    <w:rsid w:val="005817ED"/>
    <w:rsid w:val="00581D13"/>
    <w:rsid w:val="005825CB"/>
    <w:rsid w:val="00583413"/>
    <w:rsid w:val="005841BE"/>
    <w:rsid w:val="005848DC"/>
    <w:rsid w:val="005848E8"/>
    <w:rsid w:val="005850BD"/>
    <w:rsid w:val="005850CD"/>
    <w:rsid w:val="00585292"/>
    <w:rsid w:val="00585ADE"/>
    <w:rsid w:val="00586442"/>
    <w:rsid w:val="00586BC5"/>
    <w:rsid w:val="005872BD"/>
    <w:rsid w:val="005873D7"/>
    <w:rsid w:val="00587547"/>
    <w:rsid w:val="005878D6"/>
    <w:rsid w:val="0059008B"/>
    <w:rsid w:val="00590A46"/>
    <w:rsid w:val="00590B79"/>
    <w:rsid w:val="00590EAA"/>
    <w:rsid w:val="005914D2"/>
    <w:rsid w:val="00592A33"/>
    <w:rsid w:val="00592C28"/>
    <w:rsid w:val="00592FC5"/>
    <w:rsid w:val="00593183"/>
    <w:rsid w:val="00593248"/>
    <w:rsid w:val="0059336C"/>
    <w:rsid w:val="0059341C"/>
    <w:rsid w:val="00593438"/>
    <w:rsid w:val="00593ED4"/>
    <w:rsid w:val="0059464E"/>
    <w:rsid w:val="00594DA3"/>
    <w:rsid w:val="00595A3C"/>
    <w:rsid w:val="00596C91"/>
    <w:rsid w:val="00596F47"/>
    <w:rsid w:val="0059731A"/>
    <w:rsid w:val="00597A25"/>
    <w:rsid w:val="00597B63"/>
    <w:rsid w:val="00597C88"/>
    <w:rsid w:val="005A0017"/>
    <w:rsid w:val="005A090F"/>
    <w:rsid w:val="005A1173"/>
    <w:rsid w:val="005A11AE"/>
    <w:rsid w:val="005A13A5"/>
    <w:rsid w:val="005A1425"/>
    <w:rsid w:val="005A1D4A"/>
    <w:rsid w:val="005A2577"/>
    <w:rsid w:val="005A2D56"/>
    <w:rsid w:val="005A3A45"/>
    <w:rsid w:val="005A3B78"/>
    <w:rsid w:val="005A3FF4"/>
    <w:rsid w:val="005A46FA"/>
    <w:rsid w:val="005A4D5A"/>
    <w:rsid w:val="005A569E"/>
    <w:rsid w:val="005A624C"/>
    <w:rsid w:val="005A6C46"/>
    <w:rsid w:val="005A730F"/>
    <w:rsid w:val="005A7985"/>
    <w:rsid w:val="005B1715"/>
    <w:rsid w:val="005B1DBE"/>
    <w:rsid w:val="005B1E27"/>
    <w:rsid w:val="005B23DE"/>
    <w:rsid w:val="005B302A"/>
    <w:rsid w:val="005B3CA0"/>
    <w:rsid w:val="005B448F"/>
    <w:rsid w:val="005B5760"/>
    <w:rsid w:val="005B5783"/>
    <w:rsid w:val="005B604E"/>
    <w:rsid w:val="005B616B"/>
    <w:rsid w:val="005B6777"/>
    <w:rsid w:val="005B6F3E"/>
    <w:rsid w:val="005C009F"/>
    <w:rsid w:val="005C01E6"/>
    <w:rsid w:val="005C10ED"/>
    <w:rsid w:val="005C132F"/>
    <w:rsid w:val="005C17E9"/>
    <w:rsid w:val="005C20E8"/>
    <w:rsid w:val="005C2166"/>
    <w:rsid w:val="005C24A6"/>
    <w:rsid w:val="005C26F6"/>
    <w:rsid w:val="005C2F92"/>
    <w:rsid w:val="005C36CF"/>
    <w:rsid w:val="005C41DC"/>
    <w:rsid w:val="005C43FA"/>
    <w:rsid w:val="005C49ED"/>
    <w:rsid w:val="005C599D"/>
    <w:rsid w:val="005C5A67"/>
    <w:rsid w:val="005C5D91"/>
    <w:rsid w:val="005C61A6"/>
    <w:rsid w:val="005C6C03"/>
    <w:rsid w:val="005C7985"/>
    <w:rsid w:val="005D0B23"/>
    <w:rsid w:val="005D19B8"/>
    <w:rsid w:val="005D1FB9"/>
    <w:rsid w:val="005D2464"/>
    <w:rsid w:val="005D2791"/>
    <w:rsid w:val="005D29B6"/>
    <w:rsid w:val="005D328E"/>
    <w:rsid w:val="005D33F9"/>
    <w:rsid w:val="005D3A6F"/>
    <w:rsid w:val="005D42F8"/>
    <w:rsid w:val="005D463C"/>
    <w:rsid w:val="005D49C5"/>
    <w:rsid w:val="005D4C5B"/>
    <w:rsid w:val="005D4F96"/>
    <w:rsid w:val="005D5139"/>
    <w:rsid w:val="005D55D3"/>
    <w:rsid w:val="005D586F"/>
    <w:rsid w:val="005D5A22"/>
    <w:rsid w:val="005D5D29"/>
    <w:rsid w:val="005D619E"/>
    <w:rsid w:val="005D61D2"/>
    <w:rsid w:val="005D64CD"/>
    <w:rsid w:val="005D64EB"/>
    <w:rsid w:val="005D7725"/>
    <w:rsid w:val="005D7B8D"/>
    <w:rsid w:val="005D7E81"/>
    <w:rsid w:val="005E004D"/>
    <w:rsid w:val="005E0588"/>
    <w:rsid w:val="005E06C1"/>
    <w:rsid w:val="005E1D52"/>
    <w:rsid w:val="005E317C"/>
    <w:rsid w:val="005E3182"/>
    <w:rsid w:val="005E34E6"/>
    <w:rsid w:val="005E3C60"/>
    <w:rsid w:val="005E436C"/>
    <w:rsid w:val="005E47DF"/>
    <w:rsid w:val="005E4C48"/>
    <w:rsid w:val="005E4CFC"/>
    <w:rsid w:val="005E5535"/>
    <w:rsid w:val="005E5674"/>
    <w:rsid w:val="005E5CAD"/>
    <w:rsid w:val="005E5D43"/>
    <w:rsid w:val="005E5D91"/>
    <w:rsid w:val="005E600F"/>
    <w:rsid w:val="005E618A"/>
    <w:rsid w:val="005E6219"/>
    <w:rsid w:val="005E62B4"/>
    <w:rsid w:val="005E6B78"/>
    <w:rsid w:val="005E7C63"/>
    <w:rsid w:val="005F0388"/>
    <w:rsid w:val="005F1352"/>
    <w:rsid w:val="005F22D2"/>
    <w:rsid w:val="005F2567"/>
    <w:rsid w:val="005F28D0"/>
    <w:rsid w:val="005F2E29"/>
    <w:rsid w:val="005F316B"/>
    <w:rsid w:val="005F3388"/>
    <w:rsid w:val="005F3BCA"/>
    <w:rsid w:val="005F3C24"/>
    <w:rsid w:val="005F453E"/>
    <w:rsid w:val="005F4A9D"/>
    <w:rsid w:val="005F4C55"/>
    <w:rsid w:val="005F5142"/>
    <w:rsid w:val="005F5FBE"/>
    <w:rsid w:val="005F63CA"/>
    <w:rsid w:val="005F63FD"/>
    <w:rsid w:val="005F649F"/>
    <w:rsid w:val="005F7F44"/>
    <w:rsid w:val="00600BA7"/>
    <w:rsid w:val="00601637"/>
    <w:rsid w:val="006018A6"/>
    <w:rsid w:val="00602695"/>
    <w:rsid w:val="00602709"/>
    <w:rsid w:val="00602761"/>
    <w:rsid w:val="006028A0"/>
    <w:rsid w:val="00602C47"/>
    <w:rsid w:val="00602C6A"/>
    <w:rsid w:val="006039C9"/>
    <w:rsid w:val="00604720"/>
    <w:rsid w:val="006047F5"/>
    <w:rsid w:val="0060509A"/>
    <w:rsid w:val="0060562C"/>
    <w:rsid w:val="00605804"/>
    <w:rsid w:val="006059E5"/>
    <w:rsid w:val="00606A85"/>
    <w:rsid w:val="00607A59"/>
    <w:rsid w:val="0061000A"/>
    <w:rsid w:val="00610916"/>
    <w:rsid w:val="00611EB9"/>
    <w:rsid w:val="00611F12"/>
    <w:rsid w:val="00612A1D"/>
    <w:rsid w:val="00612E32"/>
    <w:rsid w:val="006138F7"/>
    <w:rsid w:val="006142B6"/>
    <w:rsid w:val="00614860"/>
    <w:rsid w:val="00614BB3"/>
    <w:rsid w:val="006156F6"/>
    <w:rsid w:val="0061587C"/>
    <w:rsid w:val="00615BFD"/>
    <w:rsid w:val="00615C1F"/>
    <w:rsid w:val="006172CA"/>
    <w:rsid w:val="00617B21"/>
    <w:rsid w:val="0062022C"/>
    <w:rsid w:val="00620D14"/>
    <w:rsid w:val="00620F05"/>
    <w:rsid w:val="00621277"/>
    <w:rsid w:val="006215ED"/>
    <w:rsid w:val="00621E86"/>
    <w:rsid w:val="006235AF"/>
    <w:rsid w:val="00624E43"/>
    <w:rsid w:val="0062503B"/>
    <w:rsid w:val="006250BC"/>
    <w:rsid w:val="0062538B"/>
    <w:rsid w:val="00625782"/>
    <w:rsid w:val="0062597D"/>
    <w:rsid w:val="00625D3A"/>
    <w:rsid w:val="00625FF3"/>
    <w:rsid w:val="006262F3"/>
    <w:rsid w:val="00626D88"/>
    <w:rsid w:val="00627D22"/>
    <w:rsid w:val="0063005D"/>
    <w:rsid w:val="006309B8"/>
    <w:rsid w:val="00630EC7"/>
    <w:rsid w:val="00630FE7"/>
    <w:rsid w:val="006317F1"/>
    <w:rsid w:val="0063223D"/>
    <w:rsid w:val="006324AC"/>
    <w:rsid w:val="00632D65"/>
    <w:rsid w:val="006339C4"/>
    <w:rsid w:val="00634079"/>
    <w:rsid w:val="00634873"/>
    <w:rsid w:val="006349BC"/>
    <w:rsid w:val="0063564C"/>
    <w:rsid w:val="00635899"/>
    <w:rsid w:val="00635CF6"/>
    <w:rsid w:val="00636033"/>
    <w:rsid w:val="006361A7"/>
    <w:rsid w:val="00636868"/>
    <w:rsid w:val="00636FFF"/>
    <w:rsid w:val="0063742A"/>
    <w:rsid w:val="006375C5"/>
    <w:rsid w:val="00637A97"/>
    <w:rsid w:val="00637E05"/>
    <w:rsid w:val="00640526"/>
    <w:rsid w:val="00640C19"/>
    <w:rsid w:val="006413FF"/>
    <w:rsid w:val="0064169A"/>
    <w:rsid w:val="00641753"/>
    <w:rsid w:val="00642261"/>
    <w:rsid w:val="00642543"/>
    <w:rsid w:val="00642C3F"/>
    <w:rsid w:val="00642CF4"/>
    <w:rsid w:val="00643095"/>
    <w:rsid w:val="006435B0"/>
    <w:rsid w:val="00643884"/>
    <w:rsid w:val="00644389"/>
    <w:rsid w:val="00644F03"/>
    <w:rsid w:val="006460FC"/>
    <w:rsid w:val="00646892"/>
    <w:rsid w:val="006469A2"/>
    <w:rsid w:val="00646C10"/>
    <w:rsid w:val="00646D58"/>
    <w:rsid w:val="006472D4"/>
    <w:rsid w:val="0064738B"/>
    <w:rsid w:val="00647825"/>
    <w:rsid w:val="006478DC"/>
    <w:rsid w:val="00647FAA"/>
    <w:rsid w:val="0065076B"/>
    <w:rsid w:val="00650EEE"/>
    <w:rsid w:val="0065130E"/>
    <w:rsid w:val="006525D5"/>
    <w:rsid w:val="00652DE1"/>
    <w:rsid w:val="00653111"/>
    <w:rsid w:val="0065330F"/>
    <w:rsid w:val="006535C4"/>
    <w:rsid w:val="00653910"/>
    <w:rsid w:val="00653D68"/>
    <w:rsid w:val="00654AF5"/>
    <w:rsid w:val="00655393"/>
    <w:rsid w:val="00655645"/>
    <w:rsid w:val="00655743"/>
    <w:rsid w:val="00655A69"/>
    <w:rsid w:val="00656684"/>
    <w:rsid w:val="00656AEB"/>
    <w:rsid w:val="006570A2"/>
    <w:rsid w:val="006602D8"/>
    <w:rsid w:val="00660507"/>
    <w:rsid w:val="0066097C"/>
    <w:rsid w:val="006617A7"/>
    <w:rsid w:val="00661B79"/>
    <w:rsid w:val="00661FE7"/>
    <w:rsid w:val="00662F71"/>
    <w:rsid w:val="006635AB"/>
    <w:rsid w:val="00663761"/>
    <w:rsid w:val="00663F78"/>
    <w:rsid w:val="006640C1"/>
    <w:rsid w:val="006646E7"/>
    <w:rsid w:val="00664EE2"/>
    <w:rsid w:val="00665422"/>
    <w:rsid w:val="00665B87"/>
    <w:rsid w:val="0066686A"/>
    <w:rsid w:val="00667C21"/>
    <w:rsid w:val="0067024F"/>
    <w:rsid w:val="006719CD"/>
    <w:rsid w:val="00672A45"/>
    <w:rsid w:val="00672A9F"/>
    <w:rsid w:val="00672B0F"/>
    <w:rsid w:val="00672D50"/>
    <w:rsid w:val="00672F3F"/>
    <w:rsid w:val="00673337"/>
    <w:rsid w:val="00675000"/>
    <w:rsid w:val="006759C2"/>
    <w:rsid w:val="00676047"/>
    <w:rsid w:val="00676CBE"/>
    <w:rsid w:val="00677072"/>
    <w:rsid w:val="00677F14"/>
    <w:rsid w:val="00680601"/>
    <w:rsid w:val="0068066B"/>
    <w:rsid w:val="0068135C"/>
    <w:rsid w:val="006815BC"/>
    <w:rsid w:val="0068174E"/>
    <w:rsid w:val="00681CB3"/>
    <w:rsid w:val="006820D6"/>
    <w:rsid w:val="00682A25"/>
    <w:rsid w:val="00682CE2"/>
    <w:rsid w:val="00683D3A"/>
    <w:rsid w:val="0068487A"/>
    <w:rsid w:val="006850C8"/>
    <w:rsid w:val="00685DF9"/>
    <w:rsid w:val="00685E3B"/>
    <w:rsid w:val="0068664D"/>
    <w:rsid w:val="00687264"/>
    <w:rsid w:val="006874D0"/>
    <w:rsid w:val="00687D8D"/>
    <w:rsid w:val="0069282E"/>
    <w:rsid w:val="0069295E"/>
    <w:rsid w:val="00693296"/>
    <w:rsid w:val="00693628"/>
    <w:rsid w:val="006938DF"/>
    <w:rsid w:val="00693C1C"/>
    <w:rsid w:val="00693EC8"/>
    <w:rsid w:val="00694120"/>
    <w:rsid w:val="00694492"/>
    <w:rsid w:val="00694C62"/>
    <w:rsid w:val="00694DE4"/>
    <w:rsid w:val="006954E8"/>
    <w:rsid w:val="006960A6"/>
    <w:rsid w:val="0069617C"/>
    <w:rsid w:val="006965AC"/>
    <w:rsid w:val="00696641"/>
    <w:rsid w:val="006968FD"/>
    <w:rsid w:val="00697117"/>
    <w:rsid w:val="00697429"/>
    <w:rsid w:val="00697502"/>
    <w:rsid w:val="0069759B"/>
    <w:rsid w:val="00697670"/>
    <w:rsid w:val="006978D7"/>
    <w:rsid w:val="00697975"/>
    <w:rsid w:val="00697AAB"/>
    <w:rsid w:val="006A0583"/>
    <w:rsid w:val="006A0F40"/>
    <w:rsid w:val="006A0FF4"/>
    <w:rsid w:val="006A1D52"/>
    <w:rsid w:val="006A1FDA"/>
    <w:rsid w:val="006A203F"/>
    <w:rsid w:val="006A23C5"/>
    <w:rsid w:val="006A28B2"/>
    <w:rsid w:val="006A361D"/>
    <w:rsid w:val="006A36C2"/>
    <w:rsid w:val="006A3C6A"/>
    <w:rsid w:val="006A3DDC"/>
    <w:rsid w:val="006A4BAD"/>
    <w:rsid w:val="006A50B9"/>
    <w:rsid w:val="006A63DD"/>
    <w:rsid w:val="006A67B4"/>
    <w:rsid w:val="006A6E79"/>
    <w:rsid w:val="006B034D"/>
    <w:rsid w:val="006B0E03"/>
    <w:rsid w:val="006B1E6A"/>
    <w:rsid w:val="006B24A4"/>
    <w:rsid w:val="006B255A"/>
    <w:rsid w:val="006B303C"/>
    <w:rsid w:val="006B32E5"/>
    <w:rsid w:val="006B4531"/>
    <w:rsid w:val="006B457D"/>
    <w:rsid w:val="006B4A66"/>
    <w:rsid w:val="006B4B65"/>
    <w:rsid w:val="006B4F69"/>
    <w:rsid w:val="006B5382"/>
    <w:rsid w:val="006B58DA"/>
    <w:rsid w:val="006B5A7D"/>
    <w:rsid w:val="006B6155"/>
    <w:rsid w:val="006B61EE"/>
    <w:rsid w:val="006B66B7"/>
    <w:rsid w:val="006B6B3B"/>
    <w:rsid w:val="006B6D9E"/>
    <w:rsid w:val="006B75AD"/>
    <w:rsid w:val="006B7992"/>
    <w:rsid w:val="006C0158"/>
    <w:rsid w:val="006C03A1"/>
    <w:rsid w:val="006C0707"/>
    <w:rsid w:val="006C085C"/>
    <w:rsid w:val="006C0AF4"/>
    <w:rsid w:val="006C1161"/>
    <w:rsid w:val="006C1E5A"/>
    <w:rsid w:val="006C2819"/>
    <w:rsid w:val="006C28EA"/>
    <w:rsid w:val="006C3020"/>
    <w:rsid w:val="006C3420"/>
    <w:rsid w:val="006C34AF"/>
    <w:rsid w:val="006C3F99"/>
    <w:rsid w:val="006C4F64"/>
    <w:rsid w:val="006C4F9A"/>
    <w:rsid w:val="006C5025"/>
    <w:rsid w:val="006C516D"/>
    <w:rsid w:val="006C5718"/>
    <w:rsid w:val="006C57CC"/>
    <w:rsid w:val="006C5C5F"/>
    <w:rsid w:val="006C7495"/>
    <w:rsid w:val="006C762F"/>
    <w:rsid w:val="006D00E4"/>
    <w:rsid w:val="006D09BB"/>
    <w:rsid w:val="006D1F98"/>
    <w:rsid w:val="006D2328"/>
    <w:rsid w:val="006D25F3"/>
    <w:rsid w:val="006D3047"/>
    <w:rsid w:val="006D3A15"/>
    <w:rsid w:val="006D4425"/>
    <w:rsid w:val="006D46BA"/>
    <w:rsid w:val="006D5290"/>
    <w:rsid w:val="006D588A"/>
    <w:rsid w:val="006D5B5C"/>
    <w:rsid w:val="006D623E"/>
    <w:rsid w:val="006D6261"/>
    <w:rsid w:val="006D69B0"/>
    <w:rsid w:val="006D6FAB"/>
    <w:rsid w:val="006D7869"/>
    <w:rsid w:val="006D7990"/>
    <w:rsid w:val="006E0358"/>
    <w:rsid w:val="006E0BB1"/>
    <w:rsid w:val="006E1210"/>
    <w:rsid w:val="006E1532"/>
    <w:rsid w:val="006E1A9B"/>
    <w:rsid w:val="006E269F"/>
    <w:rsid w:val="006E277E"/>
    <w:rsid w:val="006E2CF6"/>
    <w:rsid w:val="006E2E0B"/>
    <w:rsid w:val="006E307D"/>
    <w:rsid w:val="006E3559"/>
    <w:rsid w:val="006E38A8"/>
    <w:rsid w:val="006E46D0"/>
    <w:rsid w:val="006E484C"/>
    <w:rsid w:val="006E4A50"/>
    <w:rsid w:val="006E4D52"/>
    <w:rsid w:val="006E53D9"/>
    <w:rsid w:val="006E5969"/>
    <w:rsid w:val="006E5F7C"/>
    <w:rsid w:val="006E6007"/>
    <w:rsid w:val="006E6449"/>
    <w:rsid w:val="006E676A"/>
    <w:rsid w:val="006E69E1"/>
    <w:rsid w:val="006E70A7"/>
    <w:rsid w:val="006E7969"/>
    <w:rsid w:val="006E7F4E"/>
    <w:rsid w:val="006F04B6"/>
    <w:rsid w:val="006F09E4"/>
    <w:rsid w:val="006F0FA5"/>
    <w:rsid w:val="006F12F3"/>
    <w:rsid w:val="006F1AC7"/>
    <w:rsid w:val="006F235B"/>
    <w:rsid w:val="006F279F"/>
    <w:rsid w:val="006F2FF9"/>
    <w:rsid w:val="006F320D"/>
    <w:rsid w:val="006F58D5"/>
    <w:rsid w:val="006F5B71"/>
    <w:rsid w:val="006F609F"/>
    <w:rsid w:val="006F71AE"/>
    <w:rsid w:val="006F795A"/>
    <w:rsid w:val="006F7CA2"/>
    <w:rsid w:val="0070001C"/>
    <w:rsid w:val="00700700"/>
    <w:rsid w:val="00700936"/>
    <w:rsid w:val="007009E6"/>
    <w:rsid w:val="00700E11"/>
    <w:rsid w:val="00700F02"/>
    <w:rsid w:val="0070153C"/>
    <w:rsid w:val="007022AC"/>
    <w:rsid w:val="007029B3"/>
    <w:rsid w:val="00702AD8"/>
    <w:rsid w:val="00702B23"/>
    <w:rsid w:val="007030FD"/>
    <w:rsid w:val="007032A1"/>
    <w:rsid w:val="00703841"/>
    <w:rsid w:val="007039E2"/>
    <w:rsid w:val="0070431F"/>
    <w:rsid w:val="00704BC1"/>
    <w:rsid w:val="00704F23"/>
    <w:rsid w:val="007051DD"/>
    <w:rsid w:val="00705D5D"/>
    <w:rsid w:val="00705E0E"/>
    <w:rsid w:val="00706BEC"/>
    <w:rsid w:val="00706D96"/>
    <w:rsid w:val="00710491"/>
    <w:rsid w:val="00710AE7"/>
    <w:rsid w:val="00710AFB"/>
    <w:rsid w:val="00710E89"/>
    <w:rsid w:val="00711004"/>
    <w:rsid w:val="007112D1"/>
    <w:rsid w:val="007120CE"/>
    <w:rsid w:val="0071233A"/>
    <w:rsid w:val="007126D5"/>
    <w:rsid w:val="0071270C"/>
    <w:rsid w:val="0071293A"/>
    <w:rsid w:val="00713676"/>
    <w:rsid w:val="007137C8"/>
    <w:rsid w:val="0071395D"/>
    <w:rsid w:val="00713CE1"/>
    <w:rsid w:val="00714263"/>
    <w:rsid w:val="00714459"/>
    <w:rsid w:val="0071457E"/>
    <w:rsid w:val="00715552"/>
    <w:rsid w:val="00715A75"/>
    <w:rsid w:val="00715C15"/>
    <w:rsid w:val="00715EFB"/>
    <w:rsid w:val="007162B5"/>
    <w:rsid w:val="00716E30"/>
    <w:rsid w:val="007175BF"/>
    <w:rsid w:val="0071764F"/>
    <w:rsid w:val="00717A49"/>
    <w:rsid w:val="00720E84"/>
    <w:rsid w:val="007227FC"/>
    <w:rsid w:val="00722E3E"/>
    <w:rsid w:val="00722EA9"/>
    <w:rsid w:val="00722EF1"/>
    <w:rsid w:val="0072373B"/>
    <w:rsid w:val="00723A73"/>
    <w:rsid w:val="00723C79"/>
    <w:rsid w:val="007242B7"/>
    <w:rsid w:val="0072438A"/>
    <w:rsid w:val="0072464E"/>
    <w:rsid w:val="007249F0"/>
    <w:rsid w:val="00724EF0"/>
    <w:rsid w:val="00724FDF"/>
    <w:rsid w:val="0072517D"/>
    <w:rsid w:val="00725A8C"/>
    <w:rsid w:val="00725CA8"/>
    <w:rsid w:val="007269CC"/>
    <w:rsid w:val="00727476"/>
    <w:rsid w:val="0072749E"/>
    <w:rsid w:val="007274B4"/>
    <w:rsid w:val="00727A1A"/>
    <w:rsid w:val="00727B37"/>
    <w:rsid w:val="00730280"/>
    <w:rsid w:val="007306B9"/>
    <w:rsid w:val="00733220"/>
    <w:rsid w:val="00733575"/>
    <w:rsid w:val="00733C28"/>
    <w:rsid w:val="00734593"/>
    <w:rsid w:val="00734883"/>
    <w:rsid w:val="00734889"/>
    <w:rsid w:val="007362E1"/>
    <w:rsid w:val="0073630D"/>
    <w:rsid w:val="00736480"/>
    <w:rsid w:val="00736D4B"/>
    <w:rsid w:val="007402D2"/>
    <w:rsid w:val="007406F6"/>
    <w:rsid w:val="007410A8"/>
    <w:rsid w:val="00741A82"/>
    <w:rsid w:val="00741CFE"/>
    <w:rsid w:val="007427E4"/>
    <w:rsid w:val="00742A6C"/>
    <w:rsid w:val="00742E1A"/>
    <w:rsid w:val="00743A4C"/>
    <w:rsid w:val="00743B0D"/>
    <w:rsid w:val="00743C86"/>
    <w:rsid w:val="007440B9"/>
    <w:rsid w:val="0074438A"/>
    <w:rsid w:val="0074450A"/>
    <w:rsid w:val="00744E7B"/>
    <w:rsid w:val="00745CAF"/>
    <w:rsid w:val="007473E0"/>
    <w:rsid w:val="00747E31"/>
    <w:rsid w:val="00747E60"/>
    <w:rsid w:val="007505EE"/>
    <w:rsid w:val="00750A6F"/>
    <w:rsid w:val="00750A79"/>
    <w:rsid w:val="0075160A"/>
    <w:rsid w:val="00751AC9"/>
    <w:rsid w:val="00751B66"/>
    <w:rsid w:val="00753EB7"/>
    <w:rsid w:val="0075446A"/>
    <w:rsid w:val="00754770"/>
    <w:rsid w:val="00754846"/>
    <w:rsid w:val="00754C59"/>
    <w:rsid w:val="0075523D"/>
    <w:rsid w:val="007552D4"/>
    <w:rsid w:val="00756548"/>
    <w:rsid w:val="00757287"/>
    <w:rsid w:val="00757C47"/>
    <w:rsid w:val="007614E0"/>
    <w:rsid w:val="0076177C"/>
    <w:rsid w:val="00761CE4"/>
    <w:rsid w:val="0076259F"/>
    <w:rsid w:val="00762DC7"/>
    <w:rsid w:val="0076366E"/>
    <w:rsid w:val="0076373B"/>
    <w:rsid w:val="00763898"/>
    <w:rsid w:val="00763A8D"/>
    <w:rsid w:val="00763A93"/>
    <w:rsid w:val="00764247"/>
    <w:rsid w:val="00764411"/>
    <w:rsid w:val="00764C8F"/>
    <w:rsid w:val="00764F06"/>
    <w:rsid w:val="0076593F"/>
    <w:rsid w:val="00767646"/>
    <w:rsid w:val="00770916"/>
    <w:rsid w:val="0077091B"/>
    <w:rsid w:val="00771428"/>
    <w:rsid w:val="00771A28"/>
    <w:rsid w:val="00771A75"/>
    <w:rsid w:val="00772AE1"/>
    <w:rsid w:val="00772C79"/>
    <w:rsid w:val="00772EF9"/>
    <w:rsid w:val="00773B50"/>
    <w:rsid w:val="00773B62"/>
    <w:rsid w:val="007740FA"/>
    <w:rsid w:val="0077481C"/>
    <w:rsid w:val="00774C3B"/>
    <w:rsid w:val="007753ED"/>
    <w:rsid w:val="00775740"/>
    <w:rsid w:val="00775BC5"/>
    <w:rsid w:val="00776EF9"/>
    <w:rsid w:val="0077729A"/>
    <w:rsid w:val="00777BCB"/>
    <w:rsid w:val="00777DEA"/>
    <w:rsid w:val="00777E69"/>
    <w:rsid w:val="00777F16"/>
    <w:rsid w:val="00780178"/>
    <w:rsid w:val="00780EFC"/>
    <w:rsid w:val="00781497"/>
    <w:rsid w:val="007818E8"/>
    <w:rsid w:val="00782DBF"/>
    <w:rsid w:val="00782EA6"/>
    <w:rsid w:val="0078318C"/>
    <w:rsid w:val="0078389F"/>
    <w:rsid w:val="0078456C"/>
    <w:rsid w:val="00784887"/>
    <w:rsid w:val="00784CD2"/>
    <w:rsid w:val="00785021"/>
    <w:rsid w:val="007856EF"/>
    <w:rsid w:val="00785A62"/>
    <w:rsid w:val="007868F0"/>
    <w:rsid w:val="00786DEF"/>
    <w:rsid w:val="007878FB"/>
    <w:rsid w:val="00787A02"/>
    <w:rsid w:val="00790976"/>
    <w:rsid w:val="00791516"/>
    <w:rsid w:val="00791602"/>
    <w:rsid w:val="0079163E"/>
    <w:rsid w:val="00791FB5"/>
    <w:rsid w:val="00792092"/>
    <w:rsid w:val="0079308B"/>
    <w:rsid w:val="007930B9"/>
    <w:rsid w:val="00793A46"/>
    <w:rsid w:val="00793CB1"/>
    <w:rsid w:val="007942F3"/>
    <w:rsid w:val="007950A6"/>
    <w:rsid w:val="0079595B"/>
    <w:rsid w:val="00795A4F"/>
    <w:rsid w:val="00795CAD"/>
    <w:rsid w:val="00795FD8"/>
    <w:rsid w:val="0079604B"/>
    <w:rsid w:val="0079750B"/>
    <w:rsid w:val="00797614"/>
    <w:rsid w:val="00797842"/>
    <w:rsid w:val="0079788D"/>
    <w:rsid w:val="007A002E"/>
    <w:rsid w:val="007A0AC7"/>
    <w:rsid w:val="007A0B4C"/>
    <w:rsid w:val="007A0C73"/>
    <w:rsid w:val="007A10B3"/>
    <w:rsid w:val="007A1530"/>
    <w:rsid w:val="007A1BE3"/>
    <w:rsid w:val="007A1E11"/>
    <w:rsid w:val="007A22B9"/>
    <w:rsid w:val="007A352E"/>
    <w:rsid w:val="007A3B3E"/>
    <w:rsid w:val="007A45EB"/>
    <w:rsid w:val="007A483A"/>
    <w:rsid w:val="007A4B69"/>
    <w:rsid w:val="007A4E96"/>
    <w:rsid w:val="007A5027"/>
    <w:rsid w:val="007A60DF"/>
    <w:rsid w:val="007A614F"/>
    <w:rsid w:val="007A6261"/>
    <w:rsid w:val="007A6924"/>
    <w:rsid w:val="007A6C35"/>
    <w:rsid w:val="007A6F25"/>
    <w:rsid w:val="007A7266"/>
    <w:rsid w:val="007A7396"/>
    <w:rsid w:val="007B0218"/>
    <w:rsid w:val="007B0662"/>
    <w:rsid w:val="007B10F3"/>
    <w:rsid w:val="007B192D"/>
    <w:rsid w:val="007B1ADB"/>
    <w:rsid w:val="007B24F7"/>
    <w:rsid w:val="007B2841"/>
    <w:rsid w:val="007B2FA4"/>
    <w:rsid w:val="007B3B58"/>
    <w:rsid w:val="007B47B4"/>
    <w:rsid w:val="007B497F"/>
    <w:rsid w:val="007B52EE"/>
    <w:rsid w:val="007B532A"/>
    <w:rsid w:val="007B6542"/>
    <w:rsid w:val="007B672A"/>
    <w:rsid w:val="007B6A2F"/>
    <w:rsid w:val="007B6E64"/>
    <w:rsid w:val="007B7044"/>
    <w:rsid w:val="007B72B8"/>
    <w:rsid w:val="007B7454"/>
    <w:rsid w:val="007C01C4"/>
    <w:rsid w:val="007C03BD"/>
    <w:rsid w:val="007C0F44"/>
    <w:rsid w:val="007C10B1"/>
    <w:rsid w:val="007C1C37"/>
    <w:rsid w:val="007C24A6"/>
    <w:rsid w:val="007C2587"/>
    <w:rsid w:val="007C2776"/>
    <w:rsid w:val="007C2D34"/>
    <w:rsid w:val="007C3307"/>
    <w:rsid w:val="007C360D"/>
    <w:rsid w:val="007C377C"/>
    <w:rsid w:val="007C3E7D"/>
    <w:rsid w:val="007C4838"/>
    <w:rsid w:val="007C4A72"/>
    <w:rsid w:val="007C52BF"/>
    <w:rsid w:val="007C568D"/>
    <w:rsid w:val="007C5B43"/>
    <w:rsid w:val="007C6120"/>
    <w:rsid w:val="007C619C"/>
    <w:rsid w:val="007C6226"/>
    <w:rsid w:val="007C6571"/>
    <w:rsid w:val="007C6BFF"/>
    <w:rsid w:val="007C756E"/>
    <w:rsid w:val="007C7927"/>
    <w:rsid w:val="007C7A9D"/>
    <w:rsid w:val="007D069E"/>
    <w:rsid w:val="007D1848"/>
    <w:rsid w:val="007D19EA"/>
    <w:rsid w:val="007D1ADD"/>
    <w:rsid w:val="007D1E23"/>
    <w:rsid w:val="007D215F"/>
    <w:rsid w:val="007D2449"/>
    <w:rsid w:val="007D2BCF"/>
    <w:rsid w:val="007D2D7C"/>
    <w:rsid w:val="007D2DAB"/>
    <w:rsid w:val="007D3428"/>
    <w:rsid w:val="007D43BC"/>
    <w:rsid w:val="007D43EF"/>
    <w:rsid w:val="007D4668"/>
    <w:rsid w:val="007D46DF"/>
    <w:rsid w:val="007D49DB"/>
    <w:rsid w:val="007D4DBE"/>
    <w:rsid w:val="007D5836"/>
    <w:rsid w:val="007D5BC5"/>
    <w:rsid w:val="007D641E"/>
    <w:rsid w:val="007D6D50"/>
    <w:rsid w:val="007D7009"/>
    <w:rsid w:val="007D7102"/>
    <w:rsid w:val="007D741E"/>
    <w:rsid w:val="007D7938"/>
    <w:rsid w:val="007D7D0E"/>
    <w:rsid w:val="007E0556"/>
    <w:rsid w:val="007E098D"/>
    <w:rsid w:val="007E09BF"/>
    <w:rsid w:val="007E0D82"/>
    <w:rsid w:val="007E1346"/>
    <w:rsid w:val="007E1744"/>
    <w:rsid w:val="007E1ED2"/>
    <w:rsid w:val="007E28FD"/>
    <w:rsid w:val="007E302D"/>
    <w:rsid w:val="007E3512"/>
    <w:rsid w:val="007E41AA"/>
    <w:rsid w:val="007E55C8"/>
    <w:rsid w:val="007E561D"/>
    <w:rsid w:val="007E57B9"/>
    <w:rsid w:val="007E5CE4"/>
    <w:rsid w:val="007E5DB8"/>
    <w:rsid w:val="007E691A"/>
    <w:rsid w:val="007E6DB4"/>
    <w:rsid w:val="007E6F77"/>
    <w:rsid w:val="007F02DC"/>
    <w:rsid w:val="007F03A2"/>
    <w:rsid w:val="007F0727"/>
    <w:rsid w:val="007F209A"/>
    <w:rsid w:val="007F2122"/>
    <w:rsid w:val="007F2747"/>
    <w:rsid w:val="007F3005"/>
    <w:rsid w:val="007F3127"/>
    <w:rsid w:val="007F3558"/>
    <w:rsid w:val="007F35F0"/>
    <w:rsid w:val="007F38C5"/>
    <w:rsid w:val="007F3B46"/>
    <w:rsid w:val="007F3CE8"/>
    <w:rsid w:val="007F3D52"/>
    <w:rsid w:val="007F4CED"/>
    <w:rsid w:val="007F5310"/>
    <w:rsid w:val="007F54BC"/>
    <w:rsid w:val="007F5573"/>
    <w:rsid w:val="007F5B33"/>
    <w:rsid w:val="007F6237"/>
    <w:rsid w:val="007F77CA"/>
    <w:rsid w:val="007F78B2"/>
    <w:rsid w:val="007F7902"/>
    <w:rsid w:val="008000C3"/>
    <w:rsid w:val="00800790"/>
    <w:rsid w:val="00800D23"/>
    <w:rsid w:val="0080113F"/>
    <w:rsid w:val="00801901"/>
    <w:rsid w:val="00801AF5"/>
    <w:rsid w:val="008023B8"/>
    <w:rsid w:val="00802755"/>
    <w:rsid w:val="0080285C"/>
    <w:rsid w:val="008037D2"/>
    <w:rsid w:val="00803BB7"/>
    <w:rsid w:val="00803F6D"/>
    <w:rsid w:val="00804740"/>
    <w:rsid w:val="008052C2"/>
    <w:rsid w:val="00805646"/>
    <w:rsid w:val="008064BC"/>
    <w:rsid w:val="00806627"/>
    <w:rsid w:val="0080674B"/>
    <w:rsid w:val="00807328"/>
    <w:rsid w:val="008077B5"/>
    <w:rsid w:val="00807DBF"/>
    <w:rsid w:val="00810533"/>
    <w:rsid w:val="0081055E"/>
    <w:rsid w:val="008109ED"/>
    <w:rsid w:val="0081102E"/>
    <w:rsid w:val="00811039"/>
    <w:rsid w:val="008114E6"/>
    <w:rsid w:val="00811A55"/>
    <w:rsid w:val="00811DDF"/>
    <w:rsid w:val="008124DF"/>
    <w:rsid w:val="008128B8"/>
    <w:rsid w:val="00812B76"/>
    <w:rsid w:val="00812C9C"/>
    <w:rsid w:val="00812D4F"/>
    <w:rsid w:val="00813B2A"/>
    <w:rsid w:val="00813CA5"/>
    <w:rsid w:val="00815781"/>
    <w:rsid w:val="00816E4C"/>
    <w:rsid w:val="00817190"/>
    <w:rsid w:val="00817207"/>
    <w:rsid w:val="00820403"/>
    <w:rsid w:val="00822F22"/>
    <w:rsid w:val="0082301F"/>
    <w:rsid w:val="008238C9"/>
    <w:rsid w:val="0082425F"/>
    <w:rsid w:val="008261D9"/>
    <w:rsid w:val="008261E3"/>
    <w:rsid w:val="008265D6"/>
    <w:rsid w:val="00826BDD"/>
    <w:rsid w:val="00826F01"/>
    <w:rsid w:val="00827500"/>
    <w:rsid w:val="00827D3E"/>
    <w:rsid w:val="00827F40"/>
    <w:rsid w:val="00830738"/>
    <w:rsid w:val="00831252"/>
    <w:rsid w:val="0083163B"/>
    <w:rsid w:val="00831B27"/>
    <w:rsid w:val="00831F72"/>
    <w:rsid w:val="00832155"/>
    <w:rsid w:val="00832339"/>
    <w:rsid w:val="00832703"/>
    <w:rsid w:val="0083271E"/>
    <w:rsid w:val="00832748"/>
    <w:rsid w:val="00832EF1"/>
    <w:rsid w:val="008335AB"/>
    <w:rsid w:val="008342C1"/>
    <w:rsid w:val="00834927"/>
    <w:rsid w:val="00834BB8"/>
    <w:rsid w:val="00834EBF"/>
    <w:rsid w:val="0083505E"/>
    <w:rsid w:val="0083509C"/>
    <w:rsid w:val="0083531A"/>
    <w:rsid w:val="0083583D"/>
    <w:rsid w:val="0083606F"/>
    <w:rsid w:val="008367F8"/>
    <w:rsid w:val="00836B55"/>
    <w:rsid w:val="0083746A"/>
    <w:rsid w:val="00837C2A"/>
    <w:rsid w:val="00840579"/>
    <w:rsid w:val="008408C1"/>
    <w:rsid w:val="00840AB8"/>
    <w:rsid w:val="00840FA7"/>
    <w:rsid w:val="00841A8E"/>
    <w:rsid w:val="00841E45"/>
    <w:rsid w:val="00841F21"/>
    <w:rsid w:val="00842B5E"/>
    <w:rsid w:val="008437E4"/>
    <w:rsid w:val="008439D2"/>
    <w:rsid w:val="00843CAF"/>
    <w:rsid w:val="008449E8"/>
    <w:rsid w:val="00844AF0"/>
    <w:rsid w:val="00844D73"/>
    <w:rsid w:val="00845498"/>
    <w:rsid w:val="008457B4"/>
    <w:rsid w:val="00845AC8"/>
    <w:rsid w:val="00845D7A"/>
    <w:rsid w:val="00846944"/>
    <w:rsid w:val="00846C61"/>
    <w:rsid w:val="00847C56"/>
    <w:rsid w:val="0085013D"/>
    <w:rsid w:val="00850242"/>
    <w:rsid w:val="0085047B"/>
    <w:rsid w:val="00850907"/>
    <w:rsid w:val="00850D78"/>
    <w:rsid w:val="008510A6"/>
    <w:rsid w:val="00851541"/>
    <w:rsid w:val="00851FCE"/>
    <w:rsid w:val="00852062"/>
    <w:rsid w:val="00852A79"/>
    <w:rsid w:val="00852BFE"/>
    <w:rsid w:val="0085342E"/>
    <w:rsid w:val="008538D3"/>
    <w:rsid w:val="00853A0F"/>
    <w:rsid w:val="008543A9"/>
    <w:rsid w:val="00854B7F"/>
    <w:rsid w:val="00854CAC"/>
    <w:rsid w:val="008554F7"/>
    <w:rsid w:val="00855793"/>
    <w:rsid w:val="00855797"/>
    <w:rsid w:val="0085690A"/>
    <w:rsid w:val="0085696F"/>
    <w:rsid w:val="00856A18"/>
    <w:rsid w:val="00856B7A"/>
    <w:rsid w:val="00856D37"/>
    <w:rsid w:val="00857126"/>
    <w:rsid w:val="00857368"/>
    <w:rsid w:val="0085757E"/>
    <w:rsid w:val="00857810"/>
    <w:rsid w:val="00857AA1"/>
    <w:rsid w:val="00857F0B"/>
    <w:rsid w:val="00860002"/>
    <w:rsid w:val="008618E4"/>
    <w:rsid w:val="00861C58"/>
    <w:rsid w:val="00861D96"/>
    <w:rsid w:val="008632E7"/>
    <w:rsid w:val="00863694"/>
    <w:rsid w:val="00863B50"/>
    <w:rsid w:val="00863BCC"/>
    <w:rsid w:val="00864C84"/>
    <w:rsid w:val="00865197"/>
    <w:rsid w:val="00865342"/>
    <w:rsid w:val="00865ADE"/>
    <w:rsid w:val="00865FB1"/>
    <w:rsid w:val="008669C1"/>
    <w:rsid w:val="00866B8C"/>
    <w:rsid w:val="00867570"/>
    <w:rsid w:val="00867EF0"/>
    <w:rsid w:val="00870783"/>
    <w:rsid w:val="00870A55"/>
    <w:rsid w:val="00870AD9"/>
    <w:rsid w:val="0087110E"/>
    <w:rsid w:val="0087116B"/>
    <w:rsid w:val="0087311E"/>
    <w:rsid w:val="00873513"/>
    <w:rsid w:val="00874662"/>
    <w:rsid w:val="00874DC9"/>
    <w:rsid w:val="00875906"/>
    <w:rsid w:val="00875C85"/>
    <w:rsid w:val="00875D0C"/>
    <w:rsid w:val="00876070"/>
    <w:rsid w:val="00876457"/>
    <w:rsid w:val="0087682F"/>
    <w:rsid w:val="00877173"/>
    <w:rsid w:val="008775DE"/>
    <w:rsid w:val="0087776C"/>
    <w:rsid w:val="008804D3"/>
    <w:rsid w:val="00880A09"/>
    <w:rsid w:val="00880CFC"/>
    <w:rsid w:val="008813D8"/>
    <w:rsid w:val="00881F5B"/>
    <w:rsid w:val="00882797"/>
    <w:rsid w:val="00883032"/>
    <w:rsid w:val="00884376"/>
    <w:rsid w:val="00884C03"/>
    <w:rsid w:val="00884FF2"/>
    <w:rsid w:val="00885B4D"/>
    <w:rsid w:val="00886FE1"/>
    <w:rsid w:val="00887083"/>
    <w:rsid w:val="008870B6"/>
    <w:rsid w:val="00887889"/>
    <w:rsid w:val="00887BBE"/>
    <w:rsid w:val="00890AB1"/>
    <w:rsid w:val="0089119C"/>
    <w:rsid w:val="008911C4"/>
    <w:rsid w:val="008911D5"/>
    <w:rsid w:val="00891298"/>
    <w:rsid w:val="0089205A"/>
    <w:rsid w:val="008925C9"/>
    <w:rsid w:val="00892D2F"/>
    <w:rsid w:val="00893738"/>
    <w:rsid w:val="00893E90"/>
    <w:rsid w:val="008941BD"/>
    <w:rsid w:val="0089478E"/>
    <w:rsid w:val="00894F20"/>
    <w:rsid w:val="0089521D"/>
    <w:rsid w:val="00895478"/>
    <w:rsid w:val="00895A98"/>
    <w:rsid w:val="00896400"/>
    <w:rsid w:val="00896CC0"/>
    <w:rsid w:val="00896F49"/>
    <w:rsid w:val="00897806"/>
    <w:rsid w:val="00897DB1"/>
    <w:rsid w:val="008A00EA"/>
    <w:rsid w:val="008A02E9"/>
    <w:rsid w:val="008A052A"/>
    <w:rsid w:val="008A0A57"/>
    <w:rsid w:val="008A1381"/>
    <w:rsid w:val="008A186A"/>
    <w:rsid w:val="008A188D"/>
    <w:rsid w:val="008A1EDF"/>
    <w:rsid w:val="008A210C"/>
    <w:rsid w:val="008A21BE"/>
    <w:rsid w:val="008A21D2"/>
    <w:rsid w:val="008A2772"/>
    <w:rsid w:val="008A2799"/>
    <w:rsid w:val="008A3076"/>
    <w:rsid w:val="008A3329"/>
    <w:rsid w:val="008A361A"/>
    <w:rsid w:val="008A4038"/>
    <w:rsid w:val="008A5221"/>
    <w:rsid w:val="008A60DE"/>
    <w:rsid w:val="008A61C5"/>
    <w:rsid w:val="008A6440"/>
    <w:rsid w:val="008A6501"/>
    <w:rsid w:val="008A6771"/>
    <w:rsid w:val="008A6850"/>
    <w:rsid w:val="008A7A52"/>
    <w:rsid w:val="008A7FA3"/>
    <w:rsid w:val="008A7FCD"/>
    <w:rsid w:val="008B0193"/>
    <w:rsid w:val="008B0DA8"/>
    <w:rsid w:val="008B0F9E"/>
    <w:rsid w:val="008B102C"/>
    <w:rsid w:val="008B14AE"/>
    <w:rsid w:val="008B1626"/>
    <w:rsid w:val="008B16BB"/>
    <w:rsid w:val="008B20D0"/>
    <w:rsid w:val="008B2AC9"/>
    <w:rsid w:val="008B37BB"/>
    <w:rsid w:val="008B3C91"/>
    <w:rsid w:val="008B3CBF"/>
    <w:rsid w:val="008B40CC"/>
    <w:rsid w:val="008B42D3"/>
    <w:rsid w:val="008B442C"/>
    <w:rsid w:val="008B51C5"/>
    <w:rsid w:val="008B55AD"/>
    <w:rsid w:val="008B5B34"/>
    <w:rsid w:val="008B5F3B"/>
    <w:rsid w:val="008B61B5"/>
    <w:rsid w:val="008B65CA"/>
    <w:rsid w:val="008B69F4"/>
    <w:rsid w:val="008B732E"/>
    <w:rsid w:val="008C0065"/>
    <w:rsid w:val="008C00B1"/>
    <w:rsid w:val="008C05FD"/>
    <w:rsid w:val="008C15CE"/>
    <w:rsid w:val="008C16B1"/>
    <w:rsid w:val="008C28E1"/>
    <w:rsid w:val="008C2B39"/>
    <w:rsid w:val="008C2F82"/>
    <w:rsid w:val="008C36F7"/>
    <w:rsid w:val="008C3987"/>
    <w:rsid w:val="008C3CCA"/>
    <w:rsid w:val="008C5718"/>
    <w:rsid w:val="008C5AB0"/>
    <w:rsid w:val="008C5DC6"/>
    <w:rsid w:val="008C5EF4"/>
    <w:rsid w:val="008C6C32"/>
    <w:rsid w:val="008C6DFA"/>
    <w:rsid w:val="008C735C"/>
    <w:rsid w:val="008C73CE"/>
    <w:rsid w:val="008D0460"/>
    <w:rsid w:val="008D1A91"/>
    <w:rsid w:val="008D1B85"/>
    <w:rsid w:val="008D284F"/>
    <w:rsid w:val="008D2E61"/>
    <w:rsid w:val="008D3476"/>
    <w:rsid w:val="008D3A89"/>
    <w:rsid w:val="008D4387"/>
    <w:rsid w:val="008D439B"/>
    <w:rsid w:val="008D47A7"/>
    <w:rsid w:val="008D4BD3"/>
    <w:rsid w:val="008D65C6"/>
    <w:rsid w:val="008D6FEB"/>
    <w:rsid w:val="008D73BC"/>
    <w:rsid w:val="008D78B4"/>
    <w:rsid w:val="008E0CFF"/>
    <w:rsid w:val="008E1AD5"/>
    <w:rsid w:val="008E1BBD"/>
    <w:rsid w:val="008E1CA1"/>
    <w:rsid w:val="008E2643"/>
    <w:rsid w:val="008E2B77"/>
    <w:rsid w:val="008E4753"/>
    <w:rsid w:val="008E4B55"/>
    <w:rsid w:val="008E5D42"/>
    <w:rsid w:val="008E62E0"/>
    <w:rsid w:val="008E6F13"/>
    <w:rsid w:val="008E70D0"/>
    <w:rsid w:val="008E78EB"/>
    <w:rsid w:val="008E7B30"/>
    <w:rsid w:val="008F0613"/>
    <w:rsid w:val="008F1BF2"/>
    <w:rsid w:val="008F1EB5"/>
    <w:rsid w:val="008F2556"/>
    <w:rsid w:val="008F51E3"/>
    <w:rsid w:val="008F5AFD"/>
    <w:rsid w:val="008F5DBF"/>
    <w:rsid w:val="008F6548"/>
    <w:rsid w:val="008F6821"/>
    <w:rsid w:val="008F6AE4"/>
    <w:rsid w:val="008F6E52"/>
    <w:rsid w:val="008F7640"/>
    <w:rsid w:val="008F76F1"/>
    <w:rsid w:val="008F79C1"/>
    <w:rsid w:val="00900D38"/>
    <w:rsid w:val="0090114D"/>
    <w:rsid w:val="0090205F"/>
    <w:rsid w:val="00902B00"/>
    <w:rsid w:val="00903150"/>
    <w:rsid w:val="009035A3"/>
    <w:rsid w:val="00903E7D"/>
    <w:rsid w:val="009045D9"/>
    <w:rsid w:val="00904B0E"/>
    <w:rsid w:val="00904D9D"/>
    <w:rsid w:val="00905090"/>
    <w:rsid w:val="00905402"/>
    <w:rsid w:val="00905829"/>
    <w:rsid w:val="00905A28"/>
    <w:rsid w:val="00906C0D"/>
    <w:rsid w:val="00906FEA"/>
    <w:rsid w:val="0090766E"/>
    <w:rsid w:val="00907B85"/>
    <w:rsid w:val="009108ED"/>
    <w:rsid w:val="00910A3C"/>
    <w:rsid w:val="00910B69"/>
    <w:rsid w:val="0091105E"/>
    <w:rsid w:val="00911C5C"/>
    <w:rsid w:val="00912620"/>
    <w:rsid w:val="00913DD6"/>
    <w:rsid w:val="00914E6F"/>
    <w:rsid w:val="00915DF5"/>
    <w:rsid w:val="00916013"/>
    <w:rsid w:val="00916BFE"/>
    <w:rsid w:val="0091755D"/>
    <w:rsid w:val="00917831"/>
    <w:rsid w:val="00920350"/>
    <w:rsid w:val="00921089"/>
    <w:rsid w:val="009212EC"/>
    <w:rsid w:val="0092134C"/>
    <w:rsid w:val="0092144B"/>
    <w:rsid w:val="00921461"/>
    <w:rsid w:val="00921B96"/>
    <w:rsid w:val="00921BCC"/>
    <w:rsid w:val="009226AE"/>
    <w:rsid w:val="0092378D"/>
    <w:rsid w:val="00923B1E"/>
    <w:rsid w:val="00923B26"/>
    <w:rsid w:val="00923F6A"/>
    <w:rsid w:val="009243B8"/>
    <w:rsid w:val="009252F8"/>
    <w:rsid w:val="0092592E"/>
    <w:rsid w:val="00926944"/>
    <w:rsid w:val="009272B4"/>
    <w:rsid w:val="00927D27"/>
    <w:rsid w:val="00927D6B"/>
    <w:rsid w:val="009307C3"/>
    <w:rsid w:val="00930ACF"/>
    <w:rsid w:val="00930C31"/>
    <w:rsid w:val="00931284"/>
    <w:rsid w:val="009315E6"/>
    <w:rsid w:val="00932303"/>
    <w:rsid w:val="00932459"/>
    <w:rsid w:val="00932772"/>
    <w:rsid w:val="00932B71"/>
    <w:rsid w:val="009351D5"/>
    <w:rsid w:val="00935E91"/>
    <w:rsid w:val="009364CB"/>
    <w:rsid w:val="00936E11"/>
    <w:rsid w:val="009374E6"/>
    <w:rsid w:val="009377B0"/>
    <w:rsid w:val="00937AD8"/>
    <w:rsid w:val="00937F5D"/>
    <w:rsid w:val="00937FFA"/>
    <w:rsid w:val="0094032B"/>
    <w:rsid w:val="0094040D"/>
    <w:rsid w:val="00940761"/>
    <w:rsid w:val="00941871"/>
    <w:rsid w:val="00941A51"/>
    <w:rsid w:val="00943A6A"/>
    <w:rsid w:val="0094447D"/>
    <w:rsid w:val="0094644D"/>
    <w:rsid w:val="009466D3"/>
    <w:rsid w:val="00946A49"/>
    <w:rsid w:val="00946B43"/>
    <w:rsid w:val="00946ECD"/>
    <w:rsid w:val="00947D53"/>
    <w:rsid w:val="00947F4C"/>
    <w:rsid w:val="00950DE7"/>
    <w:rsid w:val="00950EFB"/>
    <w:rsid w:val="009510D5"/>
    <w:rsid w:val="0095148F"/>
    <w:rsid w:val="00951610"/>
    <w:rsid w:val="00951718"/>
    <w:rsid w:val="00951EE7"/>
    <w:rsid w:val="009524E5"/>
    <w:rsid w:val="009526BE"/>
    <w:rsid w:val="00952792"/>
    <w:rsid w:val="00954222"/>
    <w:rsid w:val="00954671"/>
    <w:rsid w:val="009546E4"/>
    <w:rsid w:val="00955002"/>
    <w:rsid w:val="00955793"/>
    <w:rsid w:val="00955F38"/>
    <w:rsid w:val="009561F0"/>
    <w:rsid w:val="00956A0E"/>
    <w:rsid w:val="00956D21"/>
    <w:rsid w:val="00956DA8"/>
    <w:rsid w:val="00956E71"/>
    <w:rsid w:val="00957808"/>
    <w:rsid w:val="00960F11"/>
    <w:rsid w:val="0096115F"/>
    <w:rsid w:val="00961F6A"/>
    <w:rsid w:val="00962372"/>
    <w:rsid w:val="0096295B"/>
    <w:rsid w:val="00962B1C"/>
    <w:rsid w:val="00963B72"/>
    <w:rsid w:val="0096420C"/>
    <w:rsid w:val="00964A71"/>
    <w:rsid w:val="00964C5B"/>
    <w:rsid w:val="00964EDB"/>
    <w:rsid w:val="00964FB4"/>
    <w:rsid w:val="00965545"/>
    <w:rsid w:val="00965A02"/>
    <w:rsid w:val="00965B92"/>
    <w:rsid w:val="009666CF"/>
    <w:rsid w:val="00966BE7"/>
    <w:rsid w:val="009670A8"/>
    <w:rsid w:val="0096724B"/>
    <w:rsid w:val="009674AF"/>
    <w:rsid w:val="009674B2"/>
    <w:rsid w:val="009709FA"/>
    <w:rsid w:val="00970D31"/>
    <w:rsid w:val="00970E84"/>
    <w:rsid w:val="009712F8"/>
    <w:rsid w:val="00971323"/>
    <w:rsid w:val="009715D2"/>
    <w:rsid w:val="009722F2"/>
    <w:rsid w:val="00972EC6"/>
    <w:rsid w:val="009731E7"/>
    <w:rsid w:val="00973234"/>
    <w:rsid w:val="00973590"/>
    <w:rsid w:val="00973AD4"/>
    <w:rsid w:val="00973B92"/>
    <w:rsid w:val="00974711"/>
    <w:rsid w:val="009748F7"/>
    <w:rsid w:val="00975B6C"/>
    <w:rsid w:val="00975CB6"/>
    <w:rsid w:val="0097641A"/>
    <w:rsid w:val="009765E6"/>
    <w:rsid w:val="009771EF"/>
    <w:rsid w:val="00977200"/>
    <w:rsid w:val="009776F4"/>
    <w:rsid w:val="00977BF2"/>
    <w:rsid w:val="00977D55"/>
    <w:rsid w:val="009804A9"/>
    <w:rsid w:val="009805C5"/>
    <w:rsid w:val="009814F0"/>
    <w:rsid w:val="00981554"/>
    <w:rsid w:val="00981BD1"/>
    <w:rsid w:val="00982307"/>
    <w:rsid w:val="00982DD7"/>
    <w:rsid w:val="0098327D"/>
    <w:rsid w:val="0098328F"/>
    <w:rsid w:val="0098356E"/>
    <w:rsid w:val="00983BEB"/>
    <w:rsid w:val="00984446"/>
    <w:rsid w:val="00984E1D"/>
    <w:rsid w:val="00984F5C"/>
    <w:rsid w:val="009850CB"/>
    <w:rsid w:val="0098510D"/>
    <w:rsid w:val="0098593D"/>
    <w:rsid w:val="00985E16"/>
    <w:rsid w:val="0098631F"/>
    <w:rsid w:val="00986FBD"/>
    <w:rsid w:val="00986FCC"/>
    <w:rsid w:val="009873E6"/>
    <w:rsid w:val="009876A9"/>
    <w:rsid w:val="009879B7"/>
    <w:rsid w:val="009879F1"/>
    <w:rsid w:val="00987B54"/>
    <w:rsid w:val="009904D6"/>
    <w:rsid w:val="0099051A"/>
    <w:rsid w:val="00990992"/>
    <w:rsid w:val="00991403"/>
    <w:rsid w:val="00991404"/>
    <w:rsid w:val="00991E36"/>
    <w:rsid w:val="00992357"/>
    <w:rsid w:val="009926F0"/>
    <w:rsid w:val="00992B28"/>
    <w:rsid w:val="00993809"/>
    <w:rsid w:val="00993F06"/>
    <w:rsid w:val="0099481D"/>
    <w:rsid w:val="00994A6F"/>
    <w:rsid w:val="009967DA"/>
    <w:rsid w:val="00996889"/>
    <w:rsid w:val="00996DC8"/>
    <w:rsid w:val="0099745F"/>
    <w:rsid w:val="00997C2E"/>
    <w:rsid w:val="00997F9A"/>
    <w:rsid w:val="009A0147"/>
    <w:rsid w:val="009A08B1"/>
    <w:rsid w:val="009A0A46"/>
    <w:rsid w:val="009A197C"/>
    <w:rsid w:val="009A1D37"/>
    <w:rsid w:val="009A1E3A"/>
    <w:rsid w:val="009A3067"/>
    <w:rsid w:val="009A399D"/>
    <w:rsid w:val="009A416A"/>
    <w:rsid w:val="009A4C03"/>
    <w:rsid w:val="009A4ECA"/>
    <w:rsid w:val="009A51A6"/>
    <w:rsid w:val="009A69AC"/>
    <w:rsid w:val="009A6C81"/>
    <w:rsid w:val="009A6E78"/>
    <w:rsid w:val="009A7390"/>
    <w:rsid w:val="009A798D"/>
    <w:rsid w:val="009A7AD5"/>
    <w:rsid w:val="009B05B5"/>
    <w:rsid w:val="009B0D13"/>
    <w:rsid w:val="009B14B6"/>
    <w:rsid w:val="009B15BC"/>
    <w:rsid w:val="009B16AF"/>
    <w:rsid w:val="009B1741"/>
    <w:rsid w:val="009B18A4"/>
    <w:rsid w:val="009B1DA9"/>
    <w:rsid w:val="009B26F9"/>
    <w:rsid w:val="009B2EA7"/>
    <w:rsid w:val="009B2F31"/>
    <w:rsid w:val="009B45C9"/>
    <w:rsid w:val="009B5062"/>
    <w:rsid w:val="009B6853"/>
    <w:rsid w:val="009B7006"/>
    <w:rsid w:val="009B71E8"/>
    <w:rsid w:val="009B7B20"/>
    <w:rsid w:val="009C03D5"/>
    <w:rsid w:val="009C0A80"/>
    <w:rsid w:val="009C286D"/>
    <w:rsid w:val="009C2F7C"/>
    <w:rsid w:val="009C3ED0"/>
    <w:rsid w:val="009C42B3"/>
    <w:rsid w:val="009C457A"/>
    <w:rsid w:val="009C4926"/>
    <w:rsid w:val="009C4CA7"/>
    <w:rsid w:val="009C5245"/>
    <w:rsid w:val="009C55B8"/>
    <w:rsid w:val="009C5B8E"/>
    <w:rsid w:val="009C5E1E"/>
    <w:rsid w:val="009C6805"/>
    <w:rsid w:val="009C690B"/>
    <w:rsid w:val="009C6FEA"/>
    <w:rsid w:val="009C7136"/>
    <w:rsid w:val="009D083C"/>
    <w:rsid w:val="009D0D1F"/>
    <w:rsid w:val="009D15CE"/>
    <w:rsid w:val="009D1759"/>
    <w:rsid w:val="009D18CF"/>
    <w:rsid w:val="009D278E"/>
    <w:rsid w:val="009D38CE"/>
    <w:rsid w:val="009D4465"/>
    <w:rsid w:val="009D47FF"/>
    <w:rsid w:val="009D4D68"/>
    <w:rsid w:val="009D5051"/>
    <w:rsid w:val="009D587F"/>
    <w:rsid w:val="009D647D"/>
    <w:rsid w:val="009D6570"/>
    <w:rsid w:val="009D690E"/>
    <w:rsid w:val="009D6CB1"/>
    <w:rsid w:val="009D6E6A"/>
    <w:rsid w:val="009D6F8F"/>
    <w:rsid w:val="009D7011"/>
    <w:rsid w:val="009D714C"/>
    <w:rsid w:val="009D7326"/>
    <w:rsid w:val="009D7BA8"/>
    <w:rsid w:val="009D7DCE"/>
    <w:rsid w:val="009D7EC8"/>
    <w:rsid w:val="009D7FE7"/>
    <w:rsid w:val="009E0339"/>
    <w:rsid w:val="009E05C8"/>
    <w:rsid w:val="009E13C2"/>
    <w:rsid w:val="009E1AC2"/>
    <w:rsid w:val="009E1D42"/>
    <w:rsid w:val="009E1F3C"/>
    <w:rsid w:val="009E22D1"/>
    <w:rsid w:val="009E2BCE"/>
    <w:rsid w:val="009E3260"/>
    <w:rsid w:val="009E4715"/>
    <w:rsid w:val="009E4B5C"/>
    <w:rsid w:val="009E4D67"/>
    <w:rsid w:val="009E6599"/>
    <w:rsid w:val="009E6981"/>
    <w:rsid w:val="009E6A4E"/>
    <w:rsid w:val="009E71B6"/>
    <w:rsid w:val="009E732F"/>
    <w:rsid w:val="009E78EA"/>
    <w:rsid w:val="009F00FF"/>
    <w:rsid w:val="009F0309"/>
    <w:rsid w:val="009F0543"/>
    <w:rsid w:val="009F0544"/>
    <w:rsid w:val="009F05D9"/>
    <w:rsid w:val="009F0DE4"/>
    <w:rsid w:val="009F1AC4"/>
    <w:rsid w:val="009F2FB7"/>
    <w:rsid w:val="009F32FF"/>
    <w:rsid w:val="009F423B"/>
    <w:rsid w:val="009F43D7"/>
    <w:rsid w:val="009F445D"/>
    <w:rsid w:val="009F4E51"/>
    <w:rsid w:val="009F587F"/>
    <w:rsid w:val="009F614C"/>
    <w:rsid w:val="009F6FA7"/>
    <w:rsid w:val="009F7234"/>
    <w:rsid w:val="009F7887"/>
    <w:rsid w:val="009F7962"/>
    <w:rsid w:val="009F7A7B"/>
    <w:rsid w:val="00A00128"/>
    <w:rsid w:val="00A00254"/>
    <w:rsid w:val="00A007F0"/>
    <w:rsid w:val="00A01C4F"/>
    <w:rsid w:val="00A02F80"/>
    <w:rsid w:val="00A03638"/>
    <w:rsid w:val="00A042A9"/>
    <w:rsid w:val="00A0487F"/>
    <w:rsid w:val="00A04F1A"/>
    <w:rsid w:val="00A05273"/>
    <w:rsid w:val="00A053CB"/>
    <w:rsid w:val="00A0558D"/>
    <w:rsid w:val="00A05750"/>
    <w:rsid w:val="00A058C6"/>
    <w:rsid w:val="00A061CF"/>
    <w:rsid w:val="00A06A61"/>
    <w:rsid w:val="00A06AF3"/>
    <w:rsid w:val="00A074A4"/>
    <w:rsid w:val="00A07675"/>
    <w:rsid w:val="00A1010D"/>
    <w:rsid w:val="00A1017D"/>
    <w:rsid w:val="00A10560"/>
    <w:rsid w:val="00A108E2"/>
    <w:rsid w:val="00A11D89"/>
    <w:rsid w:val="00A12168"/>
    <w:rsid w:val="00A123BE"/>
    <w:rsid w:val="00A13610"/>
    <w:rsid w:val="00A139CA"/>
    <w:rsid w:val="00A144B3"/>
    <w:rsid w:val="00A14714"/>
    <w:rsid w:val="00A14A29"/>
    <w:rsid w:val="00A15EBD"/>
    <w:rsid w:val="00A173D9"/>
    <w:rsid w:val="00A17B57"/>
    <w:rsid w:val="00A17CE6"/>
    <w:rsid w:val="00A20B73"/>
    <w:rsid w:val="00A216BF"/>
    <w:rsid w:val="00A2208F"/>
    <w:rsid w:val="00A22108"/>
    <w:rsid w:val="00A22874"/>
    <w:rsid w:val="00A22ABE"/>
    <w:rsid w:val="00A22CD8"/>
    <w:rsid w:val="00A23490"/>
    <w:rsid w:val="00A236F4"/>
    <w:rsid w:val="00A23856"/>
    <w:rsid w:val="00A24522"/>
    <w:rsid w:val="00A24FE3"/>
    <w:rsid w:val="00A2560D"/>
    <w:rsid w:val="00A2578A"/>
    <w:rsid w:val="00A25E98"/>
    <w:rsid w:val="00A2647D"/>
    <w:rsid w:val="00A2697E"/>
    <w:rsid w:val="00A272DC"/>
    <w:rsid w:val="00A276F9"/>
    <w:rsid w:val="00A2797C"/>
    <w:rsid w:val="00A30905"/>
    <w:rsid w:val="00A30E3B"/>
    <w:rsid w:val="00A31899"/>
    <w:rsid w:val="00A3195B"/>
    <w:rsid w:val="00A32347"/>
    <w:rsid w:val="00A32449"/>
    <w:rsid w:val="00A32989"/>
    <w:rsid w:val="00A32CD2"/>
    <w:rsid w:val="00A32DB8"/>
    <w:rsid w:val="00A33685"/>
    <w:rsid w:val="00A33784"/>
    <w:rsid w:val="00A34051"/>
    <w:rsid w:val="00A34229"/>
    <w:rsid w:val="00A3429D"/>
    <w:rsid w:val="00A3460B"/>
    <w:rsid w:val="00A34671"/>
    <w:rsid w:val="00A35F94"/>
    <w:rsid w:val="00A36251"/>
    <w:rsid w:val="00A364AF"/>
    <w:rsid w:val="00A36AF7"/>
    <w:rsid w:val="00A37449"/>
    <w:rsid w:val="00A37A0E"/>
    <w:rsid w:val="00A37A5A"/>
    <w:rsid w:val="00A37A5D"/>
    <w:rsid w:val="00A41173"/>
    <w:rsid w:val="00A41B2B"/>
    <w:rsid w:val="00A422AD"/>
    <w:rsid w:val="00A422FA"/>
    <w:rsid w:val="00A42C3B"/>
    <w:rsid w:val="00A431B1"/>
    <w:rsid w:val="00A435A2"/>
    <w:rsid w:val="00A43BA1"/>
    <w:rsid w:val="00A43DD0"/>
    <w:rsid w:val="00A44666"/>
    <w:rsid w:val="00A45433"/>
    <w:rsid w:val="00A4737C"/>
    <w:rsid w:val="00A478AE"/>
    <w:rsid w:val="00A47B9F"/>
    <w:rsid w:val="00A5122B"/>
    <w:rsid w:val="00A522FD"/>
    <w:rsid w:val="00A52C5C"/>
    <w:rsid w:val="00A540AB"/>
    <w:rsid w:val="00A549CF"/>
    <w:rsid w:val="00A54D9F"/>
    <w:rsid w:val="00A54F2D"/>
    <w:rsid w:val="00A55BCB"/>
    <w:rsid w:val="00A55D87"/>
    <w:rsid w:val="00A55E5F"/>
    <w:rsid w:val="00A561A3"/>
    <w:rsid w:val="00A56406"/>
    <w:rsid w:val="00A56D8D"/>
    <w:rsid w:val="00A57796"/>
    <w:rsid w:val="00A57E34"/>
    <w:rsid w:val="00A6160C"/>
    <w:rsid w:val="00A6185B"/>
    <w:rsid w:val="00A61D31"/>
    <w:rsid w:val="00A6273F"/>
    <w:rsid w:val="00A63D11"/>
    <w:rsid w:val="00A646FD"/>
    <w:rsid w:val="00A649C7"/>
    <w:rsid w:val="00A65922"/>
    <w:rsid w:val="00A65C27"/>
    <w:rsid w:val="00A66010"/>
    <w:rsid w:val="00A66239"/>
    <w:rsid w:val="00A6680E"/>
    <w:rsid w:val="00A66FCE"/>
    <w:rsid w:val="00A6772B"/>
    <w:rsid w:val="00A67A1A"/>
    <w:rsid w:val="00A701B5"/>
    <w:rsid w:val="00A704EA"/>
    <w:rsid w:val="00A706F6"/>
    <w:rsid w:val="00A70D18"/>
    <w:rsid w:val="00A70E8E"/>
    <w:rsid w:val="00A72F85"/>
    <w:rsid w:val="00A74576"/>
    <w:rsid w:val="00A7499F"/>
    <w:rsid w:val="00A756B0"/>
    <w:rsid w:val="00A76DB7"/>
    <w:rsid w:val="00A76E94"/>
    <w:rsid w:val="00A76EED"/>
    <w:rsid w:val="00A774EC"/>
    <w:rsid w:val="00A7766A"/>
    <w:rsid w:val="00A77698"/>
    <w:rsid w:val="00A7770A"/>
    <w:rsid w:val="00A77961"/>
    <w:rsid w:val="00A77972"/>
    <w:rsid w:val="00A8074C"/>
    <w:rsid w:val="00A80911"/>
    <w:rsid w:val="00A80937"/>
    <w:rsid w:val="00A809F3"/>
    <w:rsid w:val="00A80C3B"/>
    <w:rsid w:val="00A80D37"/>
    <w:rsid w:val="00A81C7A"/>
    <w:rsid w:val="00A82375"/>
    <w:rsid w:val="00A8251A"/>
    <w:rsid w:val="00A8311E"/>
    <w:rsid w:val="00A833C9"/>
    <w:rsid w:val="00A83EBB"/>
    <w:rsid w:val="00A8420E"/>
    <w:rsid w:val="00A84AAB"/>
    <w:rsid w:val="00A84E4F"/>
    <w:rsid w:val="00A8567D"/>
    <w:rsid w:val="00A87668"/>
    <w:rsid w:val="00A902B7"/>
    <w:rsid w:val="00A908FE"/>
    <w:rsid w:val="00A918EF"/>
    <w:rsid w:val="00A91D14"/>
    <w:rsid w:val="00A91F0E"/>
    <w:rsid w:val="00A935AE"/>
    <w:rsid w:val="00A935FD"/>
    <w:rsid w:val="00A93F87"/>
    <w:rsid w:val="00A945C3"/>
    <w:rsid w:val="00A945D1"/>
    <w:rsid w:val="00A94A24"/>
    <w:rsid w:val="00A94CD0"/>
    <w:rsid w:val="00A953C5"/>
    <w:rsid w:val="00A95E85"/>
    <w:rsid w:val="00A963D1"/>
    <w:rsid w:val="00A9762F"/>
    <w:rsid w:val="00A97932"/>
    <w:rsid w:val="00AA0863"/>
    <w:rsid w:val="00AA146C"/>
    <w:rsid w:val="00AA14D0"/>
    <w:rsid w:val="00AA1D2F"/>
    <w:rsid w:val="00AA1E02"/>
    <w:rsid w:val="00AA20B1"/>
    <w:rsid w:val="00AA3CE0"/>
    <w:rsid w:val="00AA452B"/>
    <w:rsid w:val="00AA46A0"/>
    <w:rsid w:val="00AA475C"/>
    <w:rsid w:val="00AA493B"/>
    <w:rsid w:val="00AA4BEA"/>
    <w:rsid w:val="00AA5027"/>
    <w:rsid w:val="00AA5149"/>
    <w:rsid w:val="00AA5360"/>
    <w:rsid w:val="00AA5B12"/>
    <w:rsid w:val="00AA5D55"/>
    <w:rsid w:val="00AA643B"/>
    <w:rsid w:val="00AA6EBB"/>
    <w:rsid w:val="00AA706A"/>
    <w:rsid w:val="00AA7343"/>
    <w:rsid w:val="00AA76E3"/>
    <w:rsid w:val="00AA77EA"/>
    <w:rsid w:val="00AA7BFF"/>
    <w:rsid w:val="00AA7C5D"/>
    <w:rsid w:val="00AA7F87"/>
    <w:rsid w:val="00AB0682"/>
    <w:rsid w:val="00AB0A51"/>
    <w:rsid w:val="00AB0DDF"/>
    <w:rsid w:val="00AB0E7B"/>
    <w:rsid w:val="00AB0F91"/>
    <w:rsid w:val="00AB111D"/>
    <w:rsid w:val="00AB1A83"/>
    <w:rsid w:val="00AB2643"/>
    <w:rsid w:val="00AB2DE9"/>
    <w:rsid w:val="00AB2FA6"/>
    <w:rsid w:val="00AB313F"/>
    <w:rsid w:val="00AB3392"/>
    <w:rsid w:val="00AB372C"/>
    <w:rsid w:val="00AB3A5C"/>
    <w:rsid w:val="00AB3ED0"/>
    <w:rsid w:val="00AB4660"/>
    <w:rsid w:val="00AB5105"/>
    <w:rsid w:val="00AB51CD"/>
    <w:rsid w:val="00AB58DC"/>
    <w:rsid w:val="00AB5B6F"/>
    <w:rsid w:val="00AB5CBA"/>
    <w:rsid w:val="00AB6425"/>
    <w:rsid w:val="00AB6C00"/>
    <w:rsid w:val="00AB6F7F"/>
    <w:rsid w:val="00AC0396"/>
    <w:rsid w:val="00AC1213"/>
    <w:rsid w:val="00AC1B26"/>
    <w:rsid w:val="00AC1EFF"/>
    <w:rsid w:val="00AC283A"/>
    <w:rsid w:val="00AC31CC"/>
    <w:rsid w:val="00AC382B"/>
    <w:rsid w:val="00AC461D"/>
    <w:rsid w:val="00AC5FD1"/>
    <w:rsid w:val="00AC6165"/>
    <w:rsid w:val="00AC61DA"/>
    <w:rsid w:val="00AC673E"/>
    <w:rsid w:val="00AC6F21"/>
    <w:rsid w:val="00AC765E"/>
    <w:rsid w:val="00AC7BA2"/>
    <w:rsid w:val="00AC7C9A"/>
    <w:rsid w:val="00AD0E84"/>
    <w:rsid w:val="00AD0FAE"/>
    <w:rsid w:val="00AD1642"/>
    <w:rsid w:val="00AD224B"/>
    <w:rsid w:val="00AD2C44"/>
    <w:rsid w:val="00AD3675"/>
    <w:rsid w:val="00AD37AE"/>
    <w:rsid w:val="00AD44BA"/>
    <w:rsid w:val="00AD5561"/>
    <w:rsid w:val="00AD5F36"/>
    <w:rsid w:val="00AD609C"/>
    <w:rsid w:val="00AD6621"/>
    <w:rsid w:val="00AD6E2E"/>
    <w:rsid w:val="00AD721D"/>
    <w:rsid w:val="00AD783F"/>
    <w:rsid w:val="00AD7BFF"/>
    <w:rsid w:val="00AE0004"/>
    <w:rsid w:val="00AE0D5E"/>
    <w:rsid w:val="00AE0E8E"/>
    <w:rsid w:val="00AE1894"/>
    <w:rsid w:val="00AE18CC"/>
    <w:rsid w:val="00AE1B95"/>
    <w:rsid w:val="00AE20E3"/>
    <w:rsid w:val="00AE2799"/>
    <w:rsid w:val="00AE3207"/>
    <w:rsid w:val="00AE369F"/>
    <w:rsid w:val="00AE3847"/>
    <w:rsid w:val="00AE3BF7"/>
    <w:rsid w:val="00AE3D8F"/>
    <w:rsid w:val="00AE41B3"/>
    <w:rsid w:val="00AE42F4"/>
    <w:rsid w:val="00AE437A"/>
    <w:rsid w:val="00AE4A7F"/>
    <w:rsid w:val="00AE5897"/>
    <w:rsid w:val="00AE5B32"/>
    <w:rsid w:val="00AE6087"/>
    <w:rsid w:val="00AE60FF"/>
    <w:rsid w:val="00AE618F"/>
    <w:rsid w:val="00AE6997"/>
    <w:rsid w:val="00AE69C4"/>
    <w:rsid w:val="00AE6A4E"/>
    <w:rsid w:val="00AE6C0F"/>
    <w:rsid w:val="00AE6E5A"/>
    <w:rsid w:val="00AE7DC9"/>
    <w:rsid w:val="00AF05FB"/>
    <w:rsid w:val="00AF09C6"/>
    <w:rsid w:val="00AF1701"/>
    <w:rsid w:val="00AF1898"/>
    <w:rsid w:val="00AF25D1"/>
    <w:rsid w:val="00AF312B"/>
    <w:rsid w:val="00AF3A20"/>
    <w:rsid w:val="00AF46E3"/>
    <w:rsid w:val="00AF47CF"/>
    <w:rsid w:val="00AF482F"/>
    <w:rsid w:val="00AF57EB"/>
    <w:rsid w:val="00AF6BDE"/>
    <w:rsid w:val="00AF6CF2"/>
    <w:rsid w:val="00AF72CC"/>
    <w:rsid w:val="00B00014"/>
    <w:rsid w:val="00B003B5"/>
    <w:rsid w:val="00B012D2"/>
    <w:rsid w:val="00B02069"/>
    <w:rsid w:val="00B02301"/>
    <w:rsid w:val="00B02482"/>
    <w:rsid w:val="00B024EA"/>
    <w:rsid w:val="00B02608"/>
    <w:rsid w:val="00B02823"/>
    <w:rsid w:val="00B02B53"/>
    <w:rsid w:val="00B02DE1"/>
    <w:rsid w:val="00B031ED"/>
    <w:rsid w:val="00B0346A"/>
    <w:rsid w:val="00B03482"/>
    <w:rsid w:val="00B03C65"/>
    <w:rsid w:val="00B0483B"/>
    <w:rsid w:val="00B04989"/>
    <w:rsid w:val="00B04C28"/>
    <w:rsid w:val="00B04C5D"/>
    <w:rsid w:val="00B057ED"/>
    <w:rsid w:val="00B05A6E"/>
    <w:rsid w:val="00B067A0"/>
    <w:rsid w:val="00B06D38"/>
    <w:rsid w:val="00B06F69"/>
    <w:rsid w:val="00B0735C"/>
    <w:rsid w:val="00B07360"/>
    <w:rsid w:val="00B07487"/>
    <w:rsid w:val="00B07604"/>
    <w:rsid w:val="00B07DF9"/>
    <w:rsid w:val="00B10700"/>
    <w:rsid w:val="00B10D47"/>
    <w:rsid w:val="00B10ED6"/>
    <w:rsid w:val="00B10FA8"/>
    <w:rsid w:val="00B115BE"/>
    <w:rsid w:val="00B11C5D"/>
    <w:rsid w:val="00B11F3B"/>
    <w:rsid w:val="00B12CCD"/>
    <w:rsid w:val="00B1328B"/>
    <w:rsid w:val="00B137C8"/>
    <w:rsid w:val="00B13A4E"/>
    <w:rsid w:val="00B1441C"/>
    <w:rsid w:val="00B1461F"/>
    <w:rsid w:val="00B14D68"/>
    <w:rsid w:val="00B14DEB"/>
    <w:rsid w:val="00B15268"/>
    <w:rsid w:val="00B156B0"/>
    <w:rsid w:val="00B164EC"/>
    <w:rsid w:val="00B16AFE"/>
    <w:rsid w:val="00B16C28"/>
    <w:rsid w:val="00B16CCE"/>
    <w:rsid w:val="00B16E3B"/>
    <w:rsid w:val="00B16F0E"/>
    <w:rsid w:val="00B20013"/>
    <w:rsid w:val="00B203B6"/>
    <w:rsid w:val="00B205A2"/>
    <w:rsid w:val="00B20D06"/>
    <w:rsid w:val="00B20EAE"/>
    <w:rsid w:val="00B2105C"/>
    <w:rsid w:val="00B21854"/>
    <w:rsid w:val="00B22232"/>
    <w:rsid w:val="00B22771"/>
    <w:rsid w:val="00B22C9A"/>
    <w:rsid w:val="00B22DF3"/>
    <w:rsid w:val="00B250EE"/>
    <w:rsid w:val="00B259EF"/>
    <w:rsid w:val="00B25A5F"/>
    <w:rsid w:val="00B261C4"/>
    <w:rsid w:val="00B26405"/>
    <w:rsid w:val="00B26425"/>
    <w:rsid w:val="00B26A99"/>
    <w:rsid w:val="00B303B3"/>
    <w:rsid w:val="00B308C3"/>
    <w:rsid w:val="00B31F4A"/>
    <w:rsid w:val="00B32494"/>
    <w:rsid w:val="00B33A21"/>
    <w:rsid w:val="00B3461C"/>
    <w:rsid w:val="00B35AF8"/>
    <w:rsid w:val="00B35D7F"/>
    <w:rsid w:val="00B361E3"/>
    <w:rsid w:val="00B36963"/>
    <w:rsid w:val="00B36B0E"/>
    <w:rsid w:val="00B370B9"/>
    <w:rsid w:val="00B3751A"/>
    <w:rsid w:val="00B4028D"/>
    <w:rsid w:val="00B40D7D"/>
    <w:rsid w:val="00B40E2E"/>
    <w:rsid w:val="00B421B2"/>
    <w:rsid w:val="00B42A81"/>
    <w:rsid w:val="00B42D85"/>
    <w:rsid w:val="00B4339E"/>
    <w:rsid w:val="00B4419D"/>
    <w:rsid w:val="00B4493E"/>
    <w:rsid w:val="00B44C6D"/>
    <w:rsid w:val="00B4520B"/>
    <w:rsid w:val="00B4534D"/>
    <w:rsid w:val="00B45F23"/>
    <w:rsid w:val="00B46DA4"/>
    <w:rsid w:val="00B4742F"/>
    <w:rsid w:val="00B474A7"/>
    <w:rsid w:val="00B47DC7"/>
    <w:rsid w:val="00B50382"/>
    <w:rsid w:val="00B50CC0"/>
    <w:rsid w:val="00B51C0F"/>
    <w:rsid w:val="00B51D1D"/>
    <w:rsid w:val="00B51EA7"/>
    <w:rsid w:val="00B51F6A"/>
    <w:rsid w:val="00B51F87"/>
    <w:rsid w:val="00B522FB"/>
    <w:rsid w:val="00B5309E"/>
    <w:rsid w:val="00B53233"/>
    <w:rsid w:val="00B53355"/>
    <w:rsid w:val="00B53383"/>
    <w:rsid w:val="00B533FB"/>
    <w:rsid w:val="00B53D55"/>
    <w:rsid w:val="00B5415A"/>
    <w:rsid w:val="00B542AB"/>
    <w:rsid w:val="00B54635"/>
    <w:rsid w:val="00B5466E"/>
    <w:rsid w:val="00B54B90"/>
    <w:rsid w:val="00B60201"/>
    <w:rsid w:val="00B60C26"/>
    <w:rsid w:val="00B6131D"/>
    <w:rsid w:val="00B6139A"/>
    <w:rsid w:val="00B620D3"/>
    <w:rsid w:val="00B625E4"/>
    <w:rsid w:val="00B62F92"/>
    <w:rsid w:val="00B631A7"/>
    <w:rsid w:val="00B6459C"/>
    <w:rsid w:val="00B64B38"/>
    <w:rsid w:val="00B65D17"/>
    <w:rsid w:val="00B65EBD"/>
    <w:rsid w:val="00B66251"/>
    <w:rsid w:val="00B66396"/>
    <w:rsid w:val="00B665DC"/>
    <w:rsid w:val="00B6681A"/>
    <w:rsid w:val="00B66B50"/>
    <w:rsid w:val="00B672FF"/>
    <w:rsid w:val="00B674B1"/>
    <w:rsid w:val="00B6798C"/>
    <w:rsid w:val="00B67CB3"/>
    <w:rsid w:val="00B67DC8"/>
    <w:rsid w:val="00B70A10"/>
    <w:rsid w:val="00B7128B"/>
    <w:rsid w:val="00B722FD"/>
    <w:rsid w:val="00B72EC7"/>
    <w:rsid w:val="00B7426D"/>
    <w:rsid w:val="00B75B25"/>
    <w:rsid w:val="00B75CD3"/>
    <w:rsid w:val="00B76007"/>
    <w:rsid w:val="00B76943"/>
    <w:rsid w:val="00B773BA"/>
    <w:rsid w:val="00B77437"/>
    <w:rsid w:val="00B77873"/>
    <w:rsid w:val="00B77A4A"/>
    <w:rsid w:val="00B77EF9"/>
    <w:rsid w:val="00B80FC4"/>
    <w:rsid w:val="00B810D7"/>
    <w:rsid w:val="00B811F4"/>
    <w:rsid w:val="00B81ADC"/>
    <w:rsid w:val="00B81B3E"/>
    <w:rsid w:val="00B81B47"/>
    <w:rsid w:val="00B82199"/>
    <w:rsid w:val="00B82F26"/>
    <w:rsid w:val="00B8303D"/>
    <w:rsid w:val="00B83207"/>
    <w:rsid w:val="00B8329E"/>
    <w:rsid w:val="00B833D7"/>
    <w:rsid w:val="00B836CB"/>
    <w:rsid w:val="00B83AE0"/>
    <w:rsid w:val="00B8532F"/>
    <w:rsid w:val="00B858D6"/>
    <w:rsid w:val="00B85CAD"/>
    <w:rsid w:val="00B861B6"/>
    <w:rsid w:val="00B86B94"/>
    <w:rsid w:val="00B86E90"/>
    <w:rsid w:val="00B86F77"/>
    <w:rsid w:val="00B8712A"/>
    <w:rsid w:val="00B874DC"/>
    <w:rsid w:val="00B87A38"/>
    <w:rsid w:val="00B90426"/>
    <w:rsid w:val="00B90A59"/>
    <w:rsid w:val="00B90AF2"/>
    <w:rsid w:val="00B90D35"/>
    <w:rsid w:val="00B90D75"/>
    <w:rsid w:val="00B912DB"/>
    <w:rsid w:val="00B915CD"/>
    <w:rsid w:val="00B91DAA"/>
    <w:rsid w:val="00B920C2"/>
    <w:rsid w:val="00B92998"/>
    <w:rsid w:val="00B930B4"/>
    <w:rsid w:val="00B9357C"/>
    <w:rsid w:val="00B942EC"/>
    <w:rsid w:val="00B94944"/>
    <w:rsid w:val="00B949D8"/>
    <w:rsid w:val="00B953A6"/>
    <w:rsid w:val="00B95A63"/>
    <w:rsid w:val="00B95D8C"/>
    <w:rsid w:val="00B962D3"/>
    <w:rsid w:val="00B967A8"/>
    <w:rsid w:val="00B96815"/>
    <w:rsid w:val="00B97047"/>
    <w:rsid w:val="00B9730A"/>
    <w:rsid w:val="00B9742E"/>
    <w:rsid w:val="00B97430"/>
    <w:rsid w:val="00B97B53"/>
    <w:rsid w:val="00B97C03"/>
    <w:rsid w:val="00B97C8E"/>
    <w:rsid w:val="00BA0067"/>
    <w:rsid w:val="00BA00B7"/>
    <w:rsid w:val="00BA061B"/>
    <w:rsid w:val="00BA0A82"/>
    <w:rsid w:val="00BA0DFA"/>
    <w:rsid w:val="00BA0EC4"/>
    <w:rsid w:val="00BA0ED4"/>
    <w:rsid w:val="00BA11BA"/>
    <w:rsid w:val="00BA15AF"/>
    <w:rsid w:val="00BA2AA3"/>
    <w:rsid w:val="00BA36F1"/>
    <w:rsid w:val="00BA67AB"/>
    <w:rsid w:val="00BA69A8"/>
    <w:rsid w:val="00BB01C2"/>
    <w:rsid w:val="00BB0B1C"/>
    <w:rsid w:val="00BB0E5B"/>
    <w:rsid w:val="00BB111E"/>
    <w:rsid w:val="00BB19B4"/>
    <w:rsid w:val="00BB219F"/>
    <w:rsid w:val="00BB21A4"/>
    <w:rsid w:val="00BB2564"/>
    <w:rsid w:val="00BB2AA5"/>
    <w:rsid w:val="00BB3134"/>
    <w:rsid w:val="00BB3277"/>
    <w:rsid w:val="00BB395D"/>
    <w:rsid w:val="00BB3DE4"/>
    <w:rsid w:val="00BB3DEE"/>
    <w:rsid w:val="00BB4559"/>
    <w:rsid w:val="00BB501B"/>
    <w:rsid w:val="00BB5EDB"/>
    <w:rsid w:val="00BB611D"/>
    <w:rsid w:val="00BB6396"/>
    <w:rsid w:val="00BB7520"/>
    <w:rsid w:val="00BB7ACA"/>
    <w:rsid w:val="00BC05B3"/>
    <w:rsid w:val="00BC143B"/>
    <w:rsid w:val="00BC2656"/>
    <w:rsid w:val="00BC2FCA"/>
    <w:rsid w:val="00BC30CC"/>
    <w:rsid w:val="00BC3AEA"/>
    <w:rsid w:val="00BC4075"/>
    <w:rsid w:val="00BC40A9"/>
    <w:rsid w:val="00BC4A05"/>
    <w:rsid w:val="00BC4E3C"/>
    <w:rsid w:val="00BC4FE4"/>
    <w:rsid w:val="00BC4FFF"/>
    <w:rsid w:val="00BC50B6"/>
    <w:rsid w:val="00BC512A"/>
    <w:rsid w:val="00BC5A38"/>
    <w:rsid w:val="00BC6E39"/>
    <w:rsid w:val="00BC74E0"/>
    <w:rsid w:val="00BC7EFA"/>
    <w:rsid w:val="00BD0133"/>
    <w:rsid w:val="00BD0241"/>
    <w:rsid w:val="00BD0249"/>
    <w:rsid w:val="00BD036A"/>
    <w:rsid w:val="00BD1FE3"/>
    <w:rsid w:val="00BD2245"/>
    <w:rsid w:val="00BD26E4"/>
    <w:rsid w:val="00BD2F72"/>
    <w:rsid w:val="00BD31EB"/>
    <w:rsid w:val="00BD3A39"/>
    <w:rsid w:val="00BD409E"/>
    <w:rsid w:val="00BD45CA"/>
    <w:rsid w:val="00BD472F"/>
    <w:rsid w:val="00BD4779"/>
    <w:rsid w:val="00BD6067"/>
    <w:rsid w:val="00BD71B9"/>
    <w:rsid w:val="00BD7399"/>
    <w:rsid w:val="00BD78DF"/>
    <w:rsid w:val="00BD791F"/>
    <w:rsid w:val="00BD7B0C"/>
    <w:rsid w:val="00BD7B1E"/>
    <w:rsid w:val="00BD7B72"/>
    <w:rsid w:val="00BE00A1"/>
    <w:rsid w:val="00BE16BF"/>
    <w:rsid w:val="00BE19F2"/>
    <w:rsid w:val="00BE1B6C"/>
    <w:rsid w:val="00BE26E3"/>
    <w:rsid w:val="00BE306A"/>
    <w:rsid w:val="00BE31B6"/>
    <w:rsid w:val="00BE3483"/>
    <w:rsid w:val="00BE3BA6"/>
    <w:rsid w:val="00BE507B"/>
    <w:rsid w:val="00BE618D"/>
    <w:rsid w:val="00BE65B2"/>
    <w:rsid w:val="00BE6C34"/>
    <w:rsid w:val="00BE79FF"/>
    <w:rsid w:val="00BE7C4B"/>
    <w:rsid w:val="00BF08DB"/>
    <w:rsid w:val="00BF0A26"/>
    <w:rsid w:val="00BF15D8"/>
    <w:rsid w:val="00BF1715"/>
    <w:rsid w:val="00BF1FF2"/>
    <w:rsid w:val="00BF2AC1"/>
    <w:rsid w:val="00BF2B81"/>
    <w:rsid w:val="00BF2E2F"/>
    <w:rsid w:val="00BF38B7"/>
    <w:rsid w:val="00BF3A2C"/>
    <w:rsid w:val="00BF4DD1"/>
    <w:rsid w:val="00BF569E"/>
    <w:rsid w:val="00BF6143"/>
    <w:rsid w:val="00BF642B"/>
    <w:rsid w:val="00BF652C"/>
    <w:rsid w:val="00BF70F7"/>
    <w:rsid w:val="00BF746D"/>
    <w:rsid w:val="00BF7623"/>
    <w:rsid w:val="00BF7D3F"/>
    <w:rsid w:val="00C00EE5"/>
    <w:rsid w:val="00C01503"/>
    <w:rsid w:val="00C0157D"/>
    <w:rsid w:val="00C028DB"/>
    <w:rsid w:val="00C0310E"/>
    <w:rsid w:val="00C0315B"/>
    <w:rsid w:val="00C03449"/>
    <w:rsid w:val="00C03481"/>
    <w:rsid w:val="00C03B55"/>
    <w:rsid w:val="00C04081"/>
    <w:rsid w:val="00C045E7"/>
    <w:rsid w:val="00C04A25"/>
    <w:rsid w:val="00C04B5A"/>
    <w:rsid w:val="00C05E06"/>
    <w:rsid w:val="00C06A0D"/>
    <w:rsid w:val="00C06DEC"/>
    <w:rsid w:val="00C07315"/>
    <w:rsid w:val="00C07365"/>
    <w:rsid w:val="00C07B68"/>
    <w:rsid w:val="00C108E4"/>
    <w:rsid w:val="00C10E20"/>
    <w:rsid w:val="00C11FB5"/>
    <w:rsid w:val="00C1271B"/>
    <w:rsid w:val="00C1284D"/>
    <w:rsid w:val="00C138F4"/>
    <w:rsid w:val="00C13A91"/>
    <w:rsid w:val="00C13AD4"/>
    <w:rsid w:val="00C142C5"/>
    <w:rsid w:val="00C14FA3"/>
    <w:rsid w:val="00C15413"/>
    <w:rsid w:val="00C15611"/>
    <w:rsid w:val="00C15CAE"/>
    <w:rsid w:val="00C1631B"/>
    <w:rsid w:val="00C16CAB"/>
    <w:rsid w:val="00C17127"/>
    <w:rsid w:val="00C178B7"/>
    <w:rsid w:val="00C17D4F"/>
    <w:rsid w:val="00C20427"/>
    <w:rsid w:val="00C21B34"/>
    <w:rsid w:val="00C21DEC"/>
    <w:rsid w:val="00C2208A"/>
    <w:rsid w:val="00C22303"/>
    <w:rsid w:val="00C223CD"/>
    <w:rsid w:val="00C22B4A"/>
    <w:rsid w:val="00C24826"/>
    <w:rsid w:val="00C24E91"/>
    <w:rsid w:val="00C25153"/>
    <w:rsid w:val="00C255D4"/>
    <w:rsid w:val="00C26134"/>
    <w:rsid w:val="00C2649B"/>
    <w:rsid w:val="00C2672E"/>
    <w:rsid w:val="00C26DA6"/>
    <w:rsid w:val="00C26EC7"/>
    <w:rsid w:val="00C27A8C"/>
    <w:rsid w:val="00C30327"/>
    <w:rsid w:val="00C30BD8"/>
    <w:rsid w:val="00C31076"/>
    <w:rsid w:val="00C312D1"/>
    <w:rsid w:val="00C3140E"/>
    <w:rsid w:val="00C314DA"/>
    <w:rsid w:val="00C32220"/>
    <w:rsid w:val="00C32A28"/>
    <w:rsid w:val="00C32B83"/>
    <w:rsid w:val="00C32BC7"/>
    <w:rsid w:val="00C3306F"/>
    <w:rsid w:val="00C33692"/>
    <w:rsid w:val="00C34DF5"/>
    <w:rsid w:val="00C3514D"/>
    <w:rsid w:val="00C352C2"/>
    <w:rsid w:val="00C3655B"/>
    <w:rsid w:val="00C36DC0"/>
    <w:rsid w:val="00C37C21"/>
    <w:rsid w:val="00C41D8D"/>
    <w:rsid w:val="00C4253A"/>
    <w:rsid w:val="00C428C5"/>
    <w:rsid w:val="00C42D4C"/>
    <w:rsid w:val="00C431B0"/>
    <w:rsid w:val="00C431C2"/>
    <w:rsid w:val="00C43601"/>
    <w:rsid w:val="00C43E1C"/>
    <w:rsid w:val="00C442D2"/>
    <w:rsid w:val="00C4462C"/>
    <w:rsid w:val="00C449B5"/>
    <w:rsid w:val="00C452EA"/>
    <w:rsid w:val="00C45AAA"/>
    <w:rsid w:val="00C46494"/>
    <w:rsid w:val="00C46C84"/>
    <w:rsid w:val="00C46D2A"/>
    <w:rsid w:val="00C475B6"/>
    <w:rsid w:val="00C47B89"/>
    <w:rsid w:val="00C5004A"/>
    <w:rsid w:val="00C50226"/>
    <w:rsid w:val="00C5113B"/>
    <w:rsid w:val="00C51DC9"/>
    <w:rsid w:val="00C51FF3"/>
    <w:rsid w:val="00C52AF6"/>
    <w:rsid w:val="00C52BEA"/>
    <w:rsid w:val="00C52FBE"/>
    <w:rsid w:val="00C53277"/>
    <w:rsid w:val="00C55037"/>
    <w:rsid w:val="00C55263"/>
    <w:rsid w:val="00C552A3"/>
    <w:rsid w:val="00C5572B"/>
    <w:rsid w:val="00C56152"/>
    <w:rsid w:val="00C564B8"/>
    <w:rsid w:val="00C568B4"/>
    <w:rsid w:val="00C56B8F"/>
    <w:rsid w:val="00C575B8"/>
    <w:rsid w:val="00C57887"/>
    <w:rsid w:val="00C57DD8"/>
    <w:rsid w:val="00C57FAB"/>
    <w:rsid w:val="00C60799"/>
    <w:rsid w:val="00C60850"/>
    <w:rsid w:val="00C60D2A"/>
    <w:rsid w:val="00C60D55"/>
    <w:rsid w:val="00C61434"/>
    <w:rsid w:val="00C6148B"/>
    <w:rsid w:val="00C6277D"/>
    <w:rsid w:val="00C6296A"/>
    <w:rsid w:val="00C62994"/>
    <w:rsid w:val="00C630D9"/>
    <w:rsid w:val="00C632E2"/>
    <w:rsid w:val="00C64087"/>
    <w:rsid w:val="00C65278"/>
    <w:rsid w:val="00C65644"/>
    <w:rsid w:val="00C65840"/>
    <w:rsid w:val="00C658DD"/>
    <w:rsid w:val="00C65A06"/>
    <w:rsid w:val="00C65BD1"/>
    <w:rsid w:val="00C66074"/>
    <w:rsid w:val="00C66106"/>
    <w:rsid w:val="00C66696"/>
    <w:rsid w:val="00C66750"/>
    <w:rsid w:val="00C66CCB"/>
    <w:rsid w:val="00C67343"/>
    <w:rsid w:val="00C67BA7"/>
    <w:rsid w:val="00C67E52"/>
    <w:rsid w:val="00C67F07"/>
    <w:rsid w:val="00C70344"/>
    <w:rsid w:val="00C707E3"/>
    <w:rsid w:val="00C70E05"/>
    <w:rsid w:val="00C716C7"/>
    <w:rsid w:val="00C72636"/>
    <w:rsid w:val="00C73707"/>
    <w:rsid w:val="00C73E1E"/>
    <w:rsid w:val="00C74ABE"/>
    <w:rsid w:val="00C74E03"/>
    <w:rsid w:val="00C756CC"/>
    <w:rsid w:val="00C759CC"/>
    <w:rsid w:val="00C75F42"/>
    <w:rsid w:val="00C7639F"/>
    <w:rsid w:val="00C76FEF"/>
    <w:rsid w:val="00C77EB1"/>
    <w:rsid w:val="00C8039F"/>
    <w:rsid w:val="00C805DD"/>
    <w:rsid w:val="00C806AF"/>
    <w:rsid w:val="00C815C0"/>
    <w:rsid w:val="00C818DC"/>
    <w:rsid w:val="00C81FE0"/>
    <w:rsid w:val="00C820DD"/>
    <w:rsid w:val="00C82861"/>
    <w:rsid w:val="00C833C3"/>
    <w:rsid w:val="00C8419F"/>
    <w:rsid w:val="00C8510E"/>
    <w:rsid w:val="00C859D8"/>
    <w:rsid w:val="00C85BAA"/>
    <w:rsid w:val="00C861DE"/>
    <w:rsid w:val="00C8630C"/>
    <w:rsid w:val="00C8646D"/>
    <w:rsid w:val="00C86932"/>
    <w:rsid w:val="00C902FF"/>
    <w:rsid w:val="00C90463"/>
    <w:rsid w:val="00C90E31"/>
    <w:rsid w:val="00C914B2"/>
    <w:rsid w:val="00C91EA0"/>
    <w:rsid w:val="00C929D2"/>
    <w:rsid w:val="00C93C65"/>
    <w:rsid w:val="00C94305"/>
    <w:rsid w:val="00C94307"/>
    <w:rsid w:val="00C9445F"/>
    <w:rsid w:val="00C9516B"/>
    <w:rsid w:val="00C95247"/>
    <w:rsid w:val="00C954BB"/>
    <w:rsid w:val="00C95A50"/>
    <w:rsid w:val="00C95A69"/>
    <w:rsid w:val="00C96853"/>
    <w:rsid w:val="00C96A6A"/>
    <w:rsid w:val="00C96C37"/>
    <w:rsid w:val="00C96FA5"/>
    <w:rsid w:val="00C97B68"/>
    <w:rsid w:val="00CA0228"/>
    <w:rsid w:val="00CA0D83"/>
    <w:rsid w:val="00CA116F"/>
    <w:rsid w:val="00CA1637"/>
    <w:rsid w:val="00CA1DCB"/>
    <w:rsid w:val="00CA20DF"/>
    <w:rsid w:val="00CA2BF8"/>
    <w:rsid w:val="00CA2C2A"/>
    <w:rsid w:val="00CA2DB5"/>
    <w:rsid w:val="00CA31E5"/>
    <w:rsid w:val="00CA32D7"/>
    <w:rsid w:val="00CA39CD"/>
    <w:rsid w:val="00CA438C"/>
    <w:rsid w:val="00CA4590"/>
    <w:rsid w:val="00CA46E2"/>
    <w:rsid w:val="00CA4962"/>
    <w:rsid w:val="00CA4DB6"/>
    <w:rsid w:val="00CA4E0F"/>
    <w:rsid w:val="00CA526D"/>
    <w:rsid w:val="00CA694A"/>
    <w:rsid w:val="00CA7777"/>
    <w:rsid w:val="00CB001B"/>
    <w:rsid w:val="00CB0025"/>
    <w:rsid w:val="00CB0135"/>
    <w:rsid w:val="00CB01E1"/>
    <w:rsid w:val="00CB0D0A"/>
    <w:rsid w:val="00CB0F74"/>
    <w:rsid w:val="00CB14D8"/>
    <w:rsid w:val="00CB1B02"/>
    <w:rsid w:val="00CB1CAD"/>
    <w:rsid w:val="00CB219C"/>
    <w:rsid w:val="00CB24E3"/>
    <w:rsid w:val="00CB273E"/>
    <w:rsid w:val="00CB2A60"/>
    <w:rsid w:val="00CB3588"/>
    <w:rsid w:val="00CB35A8"/>
    <w:rsid w:val="00CB3744"/>
    <w:rsid w:val="00CB3AAE"/>
    <w:rsid w:val="00CB3ED3"/>
    <w:rsid w:val="00CB4198"/>
    <w:rsid w:val="00CB42FF"/>
    <w:rsid w:val="00CB4E76"/>
    <w:rsid w:val="00CB5029"/>
    <w:rsid w:val="00CB537D"/>
    <w:rsid w:val="00CB5E84"/>
    <w:rsid w:val="00CB645D"/>
    <w:rsid w:val="00CB6644"/>
    <w:rsid w:val="00CB66BA"/>
    <w:rsid w:val="00CB6A31"/>
    <w:rsid w:val="00CB74C7"/>
    <w:rsid w:val="00CB77C7"/>
    <w:rsid w:val="00CB78C8"/>
    <w:rsid w:val="00CC0125"/>
    <w:rsid w:val="00CC03E6"/>
    <w:rsid w:val="00CC1E35"/>
    <w:rsid w:val="00CC20A0"/>
    <w:rsid w:val="00CC2397"/>
    <w:rsid w:val="00CC2FED"/>
    <w:rsid w:val="00CC3163"/>
    <w:rsid w:val="00CC326B"/>
    <w:rsid w:val="00CC3871"/>
    <w:rsid w:val="00CC39E6"/>
    <w:rsid w:val="00CC3D20"/>
    <w:rsid w:val="00CC3E22"/>
    <w:rsid w:val="00CC4AB7"/>
    <w:rsid w:val="00CC4CC7"/>
    <w:rsid w:val="00CC4D91"/>
    <w:rsid w:val="00CC5146"/>
    <w:rsid w:val="00CC5F23"/>
    <w:rsid w:val="00CC6518"/>
    <w:rsid w:val="00CC6B87"/>
    <w:rsid w:val="00CC6D02"/>
    <w:rsid w:val="00CC72AC"/>
    <w:rsid w:val="00CC7755"/>
    <w:rsid w:val="00CC7CEE"/>
    <w:rsid w:val="00CC7EED"/>
    <w:rsid w:val="00CD02D5"/>
    <w:rsid w:val="00CD05DC"/>
    <w:rsid w:val="00CD0CD1"/>
    <w:rsid w:val="00CD0FE3"/>
    <w:rsid w:val="00CD1270"/>
    <w:rsid w:val="00CD128B"/>
    <w:rsid w:val="00CD181F"/>
    <w:rsid w:val="00CD1828"/>
    <w:rsid w:val="00CD305E"/>
    <w:rsid w:val="00CD3095"/>
    <w:rsid w:val="00CD3770"/>
    <w:rsid w:val="00CD3B93"/>
    <w:rsid w:val="00CD49F7"/>
    <w:rsid w:val="00CD4DBE"/>
    <w:rsid w:val="00CD4EAA"/>
    <w:rsid w:val="00CD526D"/>
    <w:rsid w:val="00CD5B6F"/>
    <w:rsid w:val="00CD5B9F"/>
    <w:rsid w:val="00CD5BB2"/>
    <w:rsid w:val="00CD6482"/>
    <w:rsid w:val="00CD6930"/>
    <w:rsid w:val="00CD6B96"/>
    <w:rsid w:val="00CD7797"/>
    <w:rsid w:val="00CE0485"/>
    <w:rsid w:val="00CE0918"/>
    <w:rsid w:val="00CE0CDA"/>
    <w:rsid w:val="00CE1BB4"/>
    <w:rsid w:val="00CE2B68"/>
    <w:rsid w:val="00CE466D"/>
    <w:rsid w:val="00CE49E7"/>
    <w:rsid w:val="00CE4D28"/>
    <w:rsid w:val="00CE5489"/>
    <w:rsid w:val="00CE6386"/>
    <w:rsid w:val="00CE6594"/>
    <w:rsid w:val="00CE6628"/>
    <w:rsid w:val="00CE766E"/>
    <w:rsid w:val="00CE77A5"/>
    <w:rsid w:val="00CE7A36"/>
    <w:rsid w:val="00CE7C83"/>
    <w:rsid w:val="00CF1DE6"/>
    <w:rsid w:val="00CF1DF2"/>
    <w:rsid w:val="00CF2312"/>
    <w:rsid w:val="00CF29A2"/>
    <w:rsid w:val="00CF2F23"/>
    <w:rsid w:val="00CF3579"/>
    <w:rsid w:val="00CF3752"/>
    <w:rsid w:val="00CF3E31"/>
    <w:rsid w:val="00CF4B3D"/>
    <w:rsid w:val="00CF4B82"/>
    <w:rsid w:val="00CF51C1"/>
    <w:rsid w:val="00CF54B3"/>
    <w:rsid w:val="00CF55F4"/>
    <w:rsid w:val="00CF5667"/>
    <w:rsid w:val="00CF5C67"/>
    <w:rsid w:val="00CF6661"/>
    <w:rsid w:val="00CF678A"/>
    <w:rsid w:val="00CF68B9"/>
    <w:rsid w:val="00CF6E41"/>
    <w:rsid w:val="00CF70B6"/>
    <w:rsid w:val="00CF7738"/>
    <w:rsid w:val="00CF7ABD"/>
    <w:rsid w:val="00CF7D5E"/>
    <w:rsid w:val="00CF7E66"/>
    <w:rsid w:val="00CF7EFC"/>
    <w:rsid w:val="00D008B7"/>
    <w:rsid w:val="00D00B6B"/>
    <w:rsid w:val="00D0111B"/>
    <w:rsid w:val="00D01B49"/>
    <w:rsid w:val="00D01DF1"/>
    <w:rsid w:val="00D01EF2"/>
    <w:rsid w:val="00D03D1F"/>
    <w:rsid w:val="00D044C1"/>
    <w:rsid w:val="00D0507F"/>
    <w:rsid w:val="00D058C6"/>
    <w:rsid w:val="00D05D92"/>
    <w:rsid w:val="00D0682C"/>
    <w:rsid w:val="00D074AC"/>
    <w:rsid w:val="00D07BE8"/>
    <w:rsid w:val="00D07C67"/>
    <w:rsid w:val="00D10522"/>
    <w:rsid w:val="00D10C17"/>
    <w:rsid w:val="00D10F07"/>
    <w:rsid w:val="00D11570"/>
    <w:rsid w:val="00D11ABE"/>
    <w:rsid w:val="00D12522"/>
    <w:rsid w:val="00D12975"/>
    <w:rsid w:val="00D134AE"/>
    <w:rsid w:val="00D139A2"/>
    <w:rsid w:val="00D1418C"/>
    <w:rsid w:val="00D143FA"/>
    <w:rsid w:val="00D14913"/>
    <w:rsid w:val="00D14ACE"/>
    <w:rsid w:val="00D14E3F"/>
    <w:rsid w:val="00D15CA7"/>
    <w:rsid w:val="00D164BE"/>
    <w:rsid w:val="00D16918"/>
    <w:rsid w:val="00D1723B"/>
    <w:rsid w:val="00D17FA9"/>
    <w:rsid w:val="00D20C6B"/>
    <w:rsid w:val="00D210D8"/>
    <w:rsid w:val="00D215EF"/>
    <w:rsid w:val="00D21CED"/>
    <w:rsid w:val="00D229E0"/>
    <w:rsid w:val="00D22B20"/>
    <w:rsid w:val="00D22EB3"/>
    <w:rsid w:val="00D2337A"/>
    <w:rsid w:val="00D23412"/>
    <w:rsid w:val="00D237F0"/>
    <w:rsid w:val="00D23C08"/>
    <w:rsid w:val="00D244AB"/>
    <w:rsid w:val="00D25A33"/>
    <w:rsid w:val="00D26362"/>
    <w:rsid w:val="00D26489"/>
    <w:rsid w:val="00D272D1"/>
    <w:rsid w:val="00D30AA8"/>
    <w:rsid w:val="00D30E00"/>
    <w:rsid w:val="00D31457"/>
    <w:rsid w:val="00D32317"/>
    <w:rsid w:val="00D3237D"/>
    <w:rsid w:val="00D32E58"/>
    <w:rsid w:val="00D32F12"/>
    <w:rsid w:val="00D3308B"/>
    <w:rsid w:val="00D33AE6"/>
    <w:rsid w:val="00D33BFB"/>
    <w:rsid w:val="00D34012"/>
    <w:rsid w:val="00D34457"/>
    <w:rsid w:val="00D34C47"/>
    <w:rsid w:val="00D34CDC"/>
    <w:rsid w:val="00D34D0E"/>
    <w:rsid w:val="00D35AFD"/>
    <w:rsid w:val="00D35EC4"/>
    <w:rsid w:val="00D36A23"/>
    <w:rsid w:val="00D37600"/>
    <w:rsid w:val="00D37B45"/>
    <w:rsid w:val="00D37ED1"/>
    <w:rsid w:val="00D40A65"/>
    <w:rsid w:val="00D4137F"/>
    <w:rsid w:val="00D432F5"/>
    <w:rsid w:val="00D439B2"/>
    <w:rsid w:val="00D43B1D"/>
    <w:rsid w:val="00D44445"/>
    <w:rsid w:val="00D44E1E"/>
    <w:rsid w:val="00D44FB5"/>
    <w:rsid w:val="00D45344"/>
    <w:rsid w:val="00D4593E"/>
    <w:rsid w:val="00D4635A"/>
    <w:rsid w:val="00D46522"/>
    <w:rsid w:val="00D4664B"/>
    <w:rsid w:val="00D46C65"/>
    <w:rsid w:val="00D4705A"/>
    <w:rsid w:val="00D47588"/>
    <w:rsid w:val="00D47A91"/>
    <w:rsid w:val="00D47B5D"/>
    <w:rsid w:val="00D47BDE"/>
    <w:rsid w:val="00D50AC7"/>
    <w:rsid w:val="00D51206"/>
    <w:rsid w:val="00D51284"/>
    <w:rsid w:val="00D51531"/>
    <w:rsid w:val="00D525D6"/>
    <w:rsid w:val="00D52951"/>
    <w:rsid w:val="00D52DB5"/>
    <w:rsid w:val="00D52DCF"/>
    <w:rsid w:val="00D532F9"/>
    <w:rsid w:val="00D5340F"/>
    <w:rsid w:val="00D535A6"/>
    <w:rsid w:val="00D53787"/>
    <w:rsid w:val="00D537B6"/>
    <w:rsid w:val="00D5380F"/>
    <w:rsid w:val="00D543CD"/>
    <w:rsid w:val="00D545A6"/>
    <w:rsid w:val="00D54982"/>
    <w:rsid w:val="00D54C71"/>
    <w:rsid w:val="00D553FF"/>
    <w:rsid w:val="00D555BD"/>
    <w:rsid w:val="00D555EC"/>
    <w:rsid w:val="00D56265"/>
    <w:rsid w:val="00D563E6"/>
    <w:rsid w:val="00D56AA6"/>
    <w:rsid w:val="00D57091"/>
    <w:rsid w:val="00D57F5E"/>
    <w:rsid w:val="00D601AE"/>
    <w:rsid w:val="00D60370"/>
    <w:rsid w:val="00D60A1F"/>
    <w:rsid w:val="00D610D8"/>
    <w:rsid w:val="00D611B7"/>
    <w:rsid w:val="00D616C5"/>
    <w:rsid w:val="00D6175E"/>
    <w:rsid w:val="00D6322D"/>
    <w:rsid w:val="00D635EB"/>
    <w:rsid w:val="00D639AF"/>
    <w:rsid w:val="00D63A66"/>
    <w:rsid w:val="00D64837"/>
    <w:rsid w:val="00D64B16"/>
    <w:rsid w:val="00D65DF0"/>
    <w:rsid w:val="00D66268"/>
    <w:rsid w:val="00D66566"/>
    <w:rsid w:val="00D66A9F"/>
    <w:rsid w:val="00D67D24"/>
    <w:rsid w:val="00D7074E"/>
    <w:rsid w:val="00D70E87"/>
    <w:rsid w:val="00D713D7"/>
    <w:rsid w:val="00D718EE"/>
    <w:rsid w:val="00D719C8"/>
    <w:rsid w:val="00D72757"/>
    <w:rsid w:val="00D72D31"/>
    <w:rsid w:val="00D74C11"/>
    <w:rsid w:val="00D75672"/>
    <w:rsid w:val="00D75790"/>
    <w:rsid w:val="00D75831"/>
    <w:rsid w:val="00D774F2"/>
    <w:rsid w:val="00D77E6A"/>
    <w:rsid w:val="00D808BF"/>
    <w:rsid w:val="00D80BF1"/>
    <w:rsid w:val="00D813DB"/>
    <w:rsid w:val="00D81D8A"/>
    <w:rsid w:val="00D81EF8"/>
    <w:rsid w:val="00D8307F"/>
    <w:rsid w:val="00D833B3"/>
    <w:rsid w:val="00D845ED"/>
    <w:rsid w:val="00D84D5E"/>
    <w:rsid w:val="00D851D5"/>
    <w:rsid w:val="00D851E8"/>
    <w:rsid w:val="00D852AA"/>
    <w:rsid w:val="00D8602A"/>
    <w:rsid w:val="00D863DD"/>
    <w:rsid w:val="00D86461"/>
    <w:rsid w:val="00D86480"/>
    <w:rsid w:val="00D86913"/>
    <w:rsid w:val="00D86DEC"/>
    <w:rsid w:val="00D87027"/>
    <w:rsid w:val="00D87618"/>
    <w:rsid w:val="00D879D9"/>
    <w:rsid w:val="00D905DD"/>
    <w:rsid w:val="00D9111A"/>
    <w:rsid w:val="00D912B5"/>
    <w:rsid w:val="00D91B78"/>
    <w:rsid w:val="00D9235F"/>
    <w:rsid w:val="00D92458"/>
    <w:rsid w:val="00D92584"/>
    <w:rsid w:val="00D9292E"/>
    <w:rsid w:val="00D92ABB"/>
    <w:rsid w:val="00D92D1A"/>
    <w:rsid w:val="00D92DCE"/>
    <w:rsid w:val="00D9312F"/>
    <w:rsid w:val="00D936A1"/>
    <w:rsid w:val="00D9435A"/>
    <w:rsid w:val="00D95303"/>
    <w:rsid w:val="00D95E7C"/>
    <w:rsid w:val="00D96932"/>
    <w:rsid w:val="00DA0C9D"/>
    <w:rsid w:val="00DA0F85"/>
    <w:rsid w:val="00DA1387"/>
    <w:rsid w:val="00DA15BF"/>
    <w:rsid w:val="00DA1A1D"/>
    <w:rsid w:val="00DA2155"/>
    <w:rsid w:val="00DA2703"/>
    <w:rsid w:val="00DA4174"/>
    <w:rsid w:val="00DA4216"/>
    <w:rsid w:val="00DA4786"/>
    <w:rsid w:val="00DA4E3E"/>
    <w:rsid w:val="00DA5F69"/>
    <w:rsid w:val="00DA605A"/>
    <w:rsid w:val="00DA7E2E"/>
    <w:rsid w:val="00DB03BA"/>
    <w:rsid w:val="00DB07F9"/>
    <w:rsid w:val="00DB16CA"/>
    <w:rsid w:val="00DB2583"/>
    <w:rsid w:val="00DB2C6C"/>
    <w:rsid w:val="00DB3A2F"/>
    <w:rsid w:val="00DB3C35"/>
    <w:rsid w:val="00DB3EE0"/>
    <w:rsid w:val="00DB4026"/>
    <w:rsid w:val="00DB483E"/>
    <w:rsid w:val="00DB4D6C"/>
    <w:rsid w:val="00DB5379"/>
    <w:rsid w:val="00DB5B3E"/>
    <w:rsid w:val="00DB62D6"/>
    <w:rsid w:val="00DB692B"/>
    <w:rsid w:val="00DB798B"/>
    <w:rsid w:val="00DC0356"/>
    <w:rsid w:val="00DC0E01"/>
    <w:rsid w:val="00DC1016"/>
    <w:rsid w:val="00DC108D"/>
    <w:rsid w:val="00DC1473"/>
    <w:rsid w:val="00DC15D1"/>
    <w:rsid w:val="00DC21B0"/>
    <w:rsid w:val="00DC2286"/>
    <w:rsid w:val="00DC2465"/>
    <w:rsid w:val="00DC2B24"/>
    <w:rsid w:val="00DC324B"/>
    <w:rsid w:val="00DC3AFA"/>
    <w:rsid w:val="00DC446C"/>
    <w:rsid w:val="00DC4962"/>
    <w:rsid w:val="00DC4F5B"/>
    <w:rsid w:val="00DC5036"/>
    <w:rsid w:val="00DC5CDE"/>
    <w:rsid w:val="00DC6306"/>
    <w:rsid w:val="00DC676E"/>
    <w:rsid w:val="00DC75F8"/>
    <w:rsid w:val="00DC7A02"/>
    <w:rsid w:val="00DC7E1F"/>
    <w:rsid w:val="00DD0196"/>
    <w:rsid w:val="00DD0CF6"/>
    <w:rsid w:val="00DD0D97"/>
    <w:rsid w:val="00DD124E"/>
    <w:rsid w:val="00DD2048"/>
    <w:rsid w:val="00DD3092"/>
    <w:rsid w:val="00DD47EC"/>
    <w:rsid w:val="00DD4FA1"/>
    <w:rsid w:val="00DD547A"/>
    <w:rsid w:val="00DD62B4"/>
    <w:rsid w:val="00DD6D87"/>
    <w:rsid w:val="00DE0378"/>
    <w:rsid w:val="00DE096B"/>
    <w:rsid w:val="00DE11E5"/>
    <w:rsid w:val="00DE14CC"/>
    <w:rsid w:val="00DE1950"/>
    <w:rsid w:val="00DE2700"/>
    <w:rsid w:val="00DE3892"/>
    <w:rsid w:val="00DE4566"/>
    <w:rsid w:val="00DE505C"/>
    <w:rsid w:val="00DE52E3"/>
    <w:rsid w:val="00DE5763"/>
    <w:rsid w:val="00DE7010"/>
    <w:rsid w:val="00DF02D8"/>
    <w:rsid w:val="00DF0417"/>
    <w:rsid w:val="00DF0A2D"/>
    <w:rsid w:val="00DF1E25"/>
    <w:rsid w:val="00DF2518"/>
    <w:rsid w:val="00DF3463"/>
    <w:rsid w:val="00DF369A"/>
    <w:rsid w:val="00DF4182"/>
    <w:rsid w:val="00DF4248"/>
    <w:rsid w:val="00DF4938"/>
    <w:rsid w:val="00DF4DE8"/>
    <w:rsid w:val="00DF4DF3"/>
    <w:rsid w:val="00DF4E63"/>
    <w:rsid w:val="00DF5936"/>
    <w:rsid w:val="00DF5978"/>
    <w:rsid w:val="00DF5B9E"/>
    <w:rsid w:val="00DF62FF"/>
    <w:rsid w:val="00DF631A"/>
    <w:rsid w:val="00DF6730"/>
    <w:rsid w:val="00DF67A2"/>
    <w:rsid w:val="00DF7412"/>
    <w:rsid w:val="00DF75B3"/>
    <w:rsid w:val="00DF771F"/>
    <w:rsid w:val="00DF7845"/>
    <w:rsid w:val="00E004BF"/>
    <w:rsid w:val="00E01061"/>
    <w:rsid w:val="00E010E5"/>
    <w:rsid w:val="00E01807"/>
    <w:rsid w:val="00E01840"/>
    <w:rsid w:val="00E01873"/>
    <w:rsid w:val="00E02022"/>
    <w:rsid w:val="00E021E3"/>
    <w:rsid w:val="00E02320"/>
    <w:rsid w:val="00E027C9"/>
    <w:rsid w:val="00E02DC9"/>
    <w:rsid w:val="00E02EE8"/>
    <w:rsid w:val="00E02F0A"/>
    <w:rsid w:val="00E031D5"/>
    <w:rsid w:val="00E04CD0"/>
    <w:rsid w:val="00E0523C"/>
    <w:rsid w:val="00E0542B"/>
    <w:rsid w:val="00E0546B"/>
    <w:rsid w:val="00E054F3"/>
    <w:rsid w:val="00E06B7E"/>
    <w:rsid w:val="00E073DD"/>
    <w:rsid w:val="00E07E42"/>
    <w:rsid w:val="00E07EE5"/>
    <w:rsid w:val="00E10DFC"/>
    <w:rsid w:val="00E11070"/>
    <w:rsid w:val="00E112FE"/>
    <w:rsid w:val="00E11DD2"/>
    <w:rsid w:val="00E11FA4"/>
    <w:rsid w:val="00E120DD"/>
    <w:rsid w:val="00E12DD4"/>
    <w:rsid w:val="00E1328F"/>
    <w:rsid w:val="00E133B4"/>
    <w:rsid w:val="00E137D7"/>
    <w:rsid w:val="00E151CB"/>
    <w:rsid w:val="00E15ED3"/>
    <w:rsid w:val="00E15FED"/>
    <w:rsid w:val="00E16117"/>
    <w:rsid w:val="00E1633C"/>
    <w:rsid w:val="00E164F6"/>
    <w:rsid w:val="00E16766"/>
    <w:rsid w:val="00E16959"/>
    <w:rsid w:val="00E16E22"/>
    <w:rsid w:val="00E171E4"/>
    <w:rsid w:val="00E171FC"/>
    <w:rsid w:val="00E173EF"/>
    <w:rsid w:val="00E1791E"/>
    <w:rsid w:val="00E202C7"/>
    <w:rsid w:val="00E20467"/>
    <w:rsid w:val="00E21DC8"/>
    <w:rsid w:val="00E22226"/>
    <w:rsid w:val="00E223A0"/>
    <w:rsid w:val="00E225BA"/>
    <w:rsid w:val="00E22656"/>
    <w:rsid w:val="00E22991"/>
    <w:rsid w:val="00E24112"/>
    <w:rsid w:val="00E25179"/>
    <w:rsid w:val="00E253B6"/>
    <w:rsid w:val="00E256DF"/>
    <w:rsid w:val="00E259D9"/>
    <w:rsid w:val="00E25EC1"/>
    <w:rsid w:val="00E2605F"/>
    <w:rsid w:val="00E2652A"/>
    <w:rsid w:val="00E26702"/>
    <w:rsid w:val="00E26A3C"/>
    <w:rsid w:val="00E27429"/>
    <w:rsid w:val="00E275A8"/>
    <w:rsid w:val="00E276CB"/>
    <w:rsid w:val="00E27787"/>
    <w:rsid w:val="00E27993"/>
    <w:rsid w:val="00E27B77"/>
    <w:rsid w:val="00E30453"/>
    <w:rsid w:val="00E30AE6"/>
    <w:rsid w:val="00E31BE9"/>
    <w:rsid w:val="00E31BED"/>
    <w:rsid w:val="00E31E33"/>
    <w:rsid w:val="00E32890"/>
    <w:rsid w:val="00E3295F"/>
    <w:rsid w:val="00E34BE9"/>
    <w:rsid w:val="00E352AF"/>
    <w:rsid w:val="00E35A65"/>
    <w:rsid w:val="00E35FCA"/>
    <w:rsid w:val="00E360D9"/>
    <w:rsid w:val="00E364A1"/>
    <w:rsid w:val="00E364B3"/>
    <w:rsid w:val="00E376FA"/>
    <w:rsid w:val="00E40EF0"/>
    <w:rsid w:val="00E411B0"/>
    <w:rsid w:val="00E41C25"/>
    <w:rsid w:val="00E41D19"/>
    <w:rsid w:val="00E41D91"/>
    <w:rsid w:val="00E4247B"/>
    <w:rsid w:val="00E424DA"/>
    <w:rsid w:val="00E42640"/>
    <w:rsid w:val="00E428BE"/>
    <w:rsid w:val="00E429E5"/>
    <w:rsid w:val="00E42E4C"/>
    <w:rsid w:val="00E43157"/>
    <w:rsid w:val="00E43830"/>
    <w:rsid w:val="00E43E78"/>
    <w:rsid w:val="00E44295"/>
    <w:rsid w:val="00E442D0"/>
    <w:rsid w:val="00E44693"/>
    <w:rsid w:val="00E44EAC"/>
    <w:rsid w:val="00E4553C"/>
    <w:rsid w:val="00E45DD6"/>
    <w:rsid w:val="00E460BC"/>
    <w:rsid w:val="00E471CC"/>
    <w:rsid w:val="00E47342"/>
    <w:rsid w:val="00E47407"/>
    <w:rsid w:val="00E477EC"/>
    <w:rsid w:val="00E47F8F"/>
    <w:rsid w:val="00E5064C"/>
    <w:rsid w:val="00E513AD"/>
    <w:rsid w:val="00E51925"/>
    <w:rsid w:val="00E51D58"/>
    <w:rsid w:val="00E52BE0"/>
    <w:rsid w:val="00E52F99"/>
    <w:rsid w:val="00E5370A"/>
    <w:rsid w:val="00E53794"/>
    <w:rsid w:val="00E5380D"/>
    <w:rsid w:val="00E541AB"/>
    <w:rsid w:val="00E541FE"/>
    <w:rsid w:val="00E54287"/>
    <w:rsid w:val="00E54E07"/>
    <w:rsid w:val="00E553E1"/>
    <w:rsid w:val="00E55984"/>
    <w:rsid w:val="00E55A49"/>
    <w:rsid w:val="00E567A0"/>
    <w:rsid w:val="00E604AC"/>
    <w:rsid w:val="00E604C8"/>
    <w:rsid w:val="00E6107A"/>
    <w:rsid w:val="00E610B0"/>
    <w:rsid w:val="00E61894"/>
    <w:rsid w:val="00E61AA5"/>
    <w:rsid w:val="00E61D59"/>
    <w:rsid w:val="00E62488"/>
    <w:rsid w:val="00E62A49"/>
    <w:rsid w:val="00E62C3F"/>
    <w:rsid w:val="00E62C83"/>
    <w:rsid w:val="00E62F09"/>
    <w:rsid w:val="00E6345B"/>
    <w:rsid w:val="00E638CD"/>
    <w:rsid w:val="00E63D01"/>
    <w:rsid w:val="00E65F3A"/>
    <w:rsid w:val="00E66696"/>
    <w:rsid w:val="00E66875"/>
    <w:rsid w:val="00E66AA6"/>
    <w:rsid w:val="00E66EBD"/>
    <w:rsid w:val="00E67C84"/>
    <w:rsid w:val="00E67F2B"/>
    <w:rsid w:val="00E67F48"/>
    <w:rsid w:val="00E700F1"/>
    <w:rsid w:val="00E70139"/>
    <w:rsid w:val="00E7021F"/>
    <w:rsid w:val="00E706D9"/>
    <w:rsid w:val="00E70ABE"/>
    <w:rsid w:val="00E70EE1"/>
    <w:rsid w:val="00E70F5F"/>
    <w:rsid w:val="00E711A3"/>
    <w:rsid w:val="00E71F08"/>
    <w:rsid w:val="00E72872"/>
    <w:rsid w:val="00E72D19"/>
    <w:rsid w:val="00E738FA"/>
    <w:rsid w:val="00E73A73"/>
    <w:rsid w:val="00E73B78"/>
    <w:rsid w:val="00E75309"/>
    <w:rsid w:val="00E75591"/>
    <w:rsid w:val="00E75667"/>
    <w:rsid w:val="00E7593D"/>
    <w:rsid w:val="00E75E6A"/>
    <w:rsid w:val="00E75EFB"/>
    <w:rsid w:val="00E76214"/>
    <w:rsid w:val="00E7625A"/>
    <w:rsid w:val="00E76291"/>
    <w:rsid w:val="00E76585"/>
    <w:rsid w:val="00E7742E"/>
    <w:rsid w:val="00E779D3"/>
    <w:rsid w:val="00E77F1B"/>
    <w:rsid w:val="00E80E26"/>
    <w:rsid w:val="00E81734"/>
    <w:rsid w:val="00E82C4C"/>
    <w:rsid w:val="00E8343D"/>
    <w:rsid w:val="00E839EA"/>
    <w:rsid w:val="00E83B1E"/>
    <w:rsid w:val="00E8478F"/>
    <w:rsid w:val="00E85041"/>
    <w:rsid w:val="00E85843"/>
    <w:rsid w:val="00E8620D"/>
    <w:rsid w:val="00E863DB"/>
    <w:rsid w:val="00E8690B"/>
    <w:rsid w:val="00E86F14"/>
    <w:rsid w:val="00E87B7E"/>
    <w:rsid w:val="00E87D66"/>
    <w:rsid w:val="00E90117"/>
    <w:rsid w:val="00E90DA4"/>
    <w:rsid w:val="00E91101"/>
    <w:rsid w:val="00E915A3"/>
    <w:rsid w:val="00E92D58"/>
    <w:rsid w:val="00E92E71"/>
    <w:rsid w:val="00E93443"/>
    <w:rsid w:val="00E93891"/>
    <w:rsid w:val="00E946C3"/>
    <w:rsid w:val="00E95B4E"/>
    <w:rsid w:val="00E960B0"/>
    <w:rsid w:val="00E96918"/>
    <w:rsid w:val="00E96932"/>
    <w:rsid w:val="00E96FD3"/>
    <w:rsid w:val="00EA0390"/>
    <w:rsid w:val="00EA10C9"/>
    <w:rsid w:val="00EA152B"/>
    <w:rsid w:val="00EA174F"/>
    <w:rsid w:val="00EA2B6F"/>
    <w:rsid w:val="00EA2DF5"/>
    <w:rsid w:val="00EA2F41"/>
    <w:rsid w:val="00EA3A36"/>
    <w:rsid w:val="00EA3FFF"/>
    <w:rsid w:val="00EA4054"/>
    <w:rsid w:val="00EA4E3B"/>
    <w:rsid w:val="00EA7555"/>
    <w:rsid w:val="00EA7989"/>
    <w:rsid w:val="00EB00D7"/>
    <w:rsid w:val="00EB0645"/>
    <w:rsid w:val="00EB0842"/>
    <w:rsid w:val="00EB10DE"/>
    <w:rsid w:val="00EB1D72"/>
    <w:rsid w:val="00EB211D"/>
    <w:rsid w:val="00EB21CE"/>
    <w:rsid w:val="00EB2E02"/>
    <w:rsid w:val="00EB378F"/>
    <w:rsid w:val="00EB3AF4"/>
    <w:rsid w:val="00EB49EB"/>
    <w:rsid w:val="00EB4B1A"/>
    <w:rsid w:val="00EB4B8D"/>
    <w:rsid w:val="00EB4CB6"/>
    <w:rsid w:val="00EB5A7F"/>
    <w:rsid w:val="00EB63B4"/>
    <w:rsid w:val="00EB666C"/>
    <w:rsid w:val="00EB7895"/>
    <w:rsid w:val="00EB7A6C"/>
    <w:rsid w:val="00EC0374"/>
    <w:rsid w:val="00EC073E"/>
    <w:rsid w:val="00EC1143"/>
    <w:rsid w:val="00EC1835"/>
    <w:rsid w:val="00EC1CFB"/>
    <w:rsid w:val="00EC1F28"/>
    <w:rsid w:val="00EC2476"/>
    <w:rsid w:val="00EC247B"/>
    <w:rsid w:val="00EC3491"/>
    <w:rsid w:val="00EC42AD"/>
    <w:rsid w:val="00EC5050"/>
    <w:rsid w:val="00EC5B96"/>
    <w:rsid w:val="00EC5F7F"/>
    <w:rsid w:val="00EC619E"/>
    <w:rsid w:val="00EC61F3"/>
    <w:rsid w:val="00EC636F"/>
    <w:rsid w:val="00EC6A59"/>
    <w:rsid w:val="00EC6BE2"/>
    <w:rsid w:val="00EC70BF"/>
    <w:rsid w:val="00EC730B"/>
    <w:rsid w:val="00EC7522"/>
    <w:rsid w:val="00EC7EBF"/>
    <w:rsid w:val="00ED0379"/>
    <w:rsid w:val="00ED08B5"/>
    <w:rsid w:val="00ED0C82"/>
    <w:rsid w:val="00ED302F"/>
    <w:rsid w:val="00ED4007"/>
    <w:rsid w:val="00ED4687"/>
    <w:rsid w:val="00ED4815"/>
    <w:rsid w:val="00ED4D40"/>
    <w:rsid w:val="00ED4F93"/>
    <w:rsid w:val="00ED5458"/>
    <w:rsid w:val="00ED591D"/>
    <w:rsid w:val="00ED5AD9"/>
    <w:rsid w:val="00ED6404"/>
    <w:rsid w:val="00ED67F3"/>
    <w:rsid w:val="00ED6B5F"/>
    <w:rsid w:val="00ED6B6C"/>
    <w:rsid w:val="00ED79EE"/>
    <w:rsid w:val="00EE0606"/>
    <w:rsid w:val="00EE0A74"/>
    <w:rsid w:val="00EE121D"/>
    <w:rsid w:val="00EE1947"/>
    <w:rsid w:val="00EE1A37"/>
    <w:rsid w:val="00EE1B3B"/>
    <w:rsid w:val="00EE228A"/>
    <w:rsid w:val="00EE281B"/>
    <w:rsid w:val="00EE2F4B"/>
    <w:rsid w:val="00EE33E5"/>
    <w:rsid w:val="00EE38E7"/>
    <w:rsid w:val="00EE3F7A"/>
    <w:rsid w:val="00EE4BBB"/>
    <w:rsid w:val="00EE503B"/>
    <w:rsid w:val="00EE5237"/>
    <w:rsid w:val="00EE5569"/>
    <w:rsid w:val="00EE63EB"/>
    <w:rsid w:val="00EE6BED"/>
    <w:rsid w:val="00EE7146"/>
    <w:rsid w:val="00EE75BC"/>
    <w:rsid w:val="00EE77D5"/>
    <w:rsid w:val="00EF0762"/>
    <w:rsid w:val="00EF0ACF"/>
    <w:rsid w:val="00EF0C97"/>
    <w:rsid w:val="00EF0E41"/>
    <w:rsid w:val="00EF0F95"/>
    <w:rsid w:val="00EF10F9"/>
    <w:rsid w:val="00EF1C18"/>
    <w:rsid w:val="00EF24E7"/>
    <w:rsid w:val="00EF3226"/>
    <w:rsid w:val="00EF3A24"/>
    <w:rsid w:val="00EF462A"/>
    <w:rsid w:val="00EF476D"/>
    <w:rsid w:val="00EF5730"/>
    <w:rsid w:val="00EF613A"/>
    <w:rsid w:val="00EF62ED"/>
    <w:rsid w:val="00EF6EED"/>
    <w:rsid w:val="00EF74A8"/>
    <w:rsid w:val="00EF7608"/>
    <w:rsid w:val="00F00260"/>
    <w:rsid w:val="00F002A1"/>
    <w:rsid w:val="00F003AD"/>
    <w:rsid w:val="00F008A3"/>
    <w:rsid w:val="00F00CF2"/>
    <w:rsid w:val="00F01A6D"/>
    <w:rsid w:val="00F03435"/>
    <w:rsid w:val="00F0452E"/>
    <w:rsid w:val="00F052D3"/>
    <w:rsid w:val="00F060AD"/>
    <w:rsid w:val="00F06226"/>
    <w:rsid w:val="00F0680C"/>
    <w:rsid w:val="00F07454"/>
    <w:rsid w:val="00F07492"/>
    <w:rsid w:val="00F07A6C"/>
    <w:rsid w:val="00F10265"/>
    <w:rsid w:val="00F11333"/>
    <w:rsid w:val="00F11E98"/>
    <w:rsid w:val="00F1223F"/>
    <w:rsid w:val="00F12A78"/>
    <w:rsid w:val="00F13242"/>
    <w:rsid w:val="00F132A8"/>
    <w:rsid w:val="00F14046"/>
    <w:rsid w:val="00F143F6"/>
    <w:rsid w:val="00F1449E"/>
    <w:rsid w:val="00F14FA9"/>
    <w:rsid w:val="00F15172"/>
    <w:rsid w:val="00F15685"/>
    <w:rsid w:val="00F157C0"/>
    <w:rsid w:val="00F158BC"/>
    <w:rsid w:val="00F15AFD"/>
    <w:rsid w:val="00F15E99"/>
    <w:rsid w:val="00F17532"/>
    <w:rsid w:val="00F17630"/>
    <w:rsid w:val="00F17802"/>
    <w:rsid w:val="00F17A43"/>
    <w:rsid w:val="00F17EC1"/>
    <w:rsid w:val="00F17FC3"/>
    <w:rsid w:val="00F17FC8"/>
    <w:rsid w:val="00F20A7F"/>
    <w:rsid w:val="00F216B1"/>
    <w:rsid w:val="00F21C31"/>
    <w:rsid w:val="00F21F84"/>
    <w:rsid w:val="00F22054"/>
    <w:rsid w:val="00F23DD5"/>
    <w:rsid w:val="00F240FA"/>
    <w:rsid w:val="00F24436"/>
    <w:rsid w:val="00F24779"/>
    <w:rsid w:val="00F25424"/>
    <w:rsid w:val="00F2593D"/>
    <w:rsid w:val="00F26BBE"/>
    <w:rsid w:val="00F26D1F"/>
    <w:rsid w:val="00F3031C"/>
    <w:rsid w:val="00F306D9"/>
    <w:rsid w:val="00F30AFD"/>
    <w:rsid w:val="00F30E8A"/>
    <w:rsid w:val="00F3158A"/>
    <w:rsid w:val="00F31E40"/>
    <w:rsid w:val="00F320A0"/>
    <w:rsid w:val="00F32ED2"/>
    <w:rsid w:val="00F33188"/>
    <w:rsid w:val="00F3345F"/>
    <w:rsid w:val="00F3350E"/>
    <w:rsid w:val="00F3357C"/>
    <w:rsid w:val="00F33665"/>
    <w:rsid w:val="00F3446B"/>
    <w:rsid w:val="00F347B1"/>
    <w:rsid w:val="00F34B56"/>
    <w:rsid w:val="00F34D1F"/>
    <w:rsid w:val="00F34E0C"/>
    <w:rsid w:val="00F35E98"/>
    <w:rsid w:val="00F3603A"/>
    <w:rsid w:val="00F36277"/>
    <w:rsid w:val="00F362AE"/>
    <w:rsid w:val="00F36479"/>
    <w:rsid w:val="00F36920"/>
    <w:rsid w:val="00F36FE1"/>
    <w:rsid w:val="00F374F7"/>
    <w:rsid w:val="00F37EA7"/>
    <w:rsid w:val="00F40728"/>
    <w:rsid w:val="00F40BF9"/>
    <w:rsid w:val="00F417D5"/>
    <w:rsid w:val="00F41D87"/>
    <w:rsid w:val="00F42D4D"/>
    <w:rsid w:val="00F4304A"/>
    <w:rsid w:val="00F43423"/>
    <w:rsid w:val="00F448A7"/>
    <w:rsid w:val="00F44923"/>
    <w:rsid w:val="00F44C00"/>
    <w:rsid w:val="00F4526D"/>
    <w:rsid w:val="00F45A2B"/>
    <w:rsid w:val="00F46481"/>
    <w:rsid w:val="00F466CA"/>
    <w:rsid w:val="00F470E3"/>
    <w:rsid w:val="00F4786C"/>
    <w:rsid w:val="00F47AB3"/>
    <w:rsid w:val="00F47BDE"/>
    <w:rsid w:val="00F47E9A"/>
    <w:rsid w:val="00F505E8"/>
    <w:rsid w:val="00F5075D"/>
    <w:rsid w:val="00F513E4"/>
    <w:rsid w:val="00F516DB"/>
    <w:rsid w:val="00F5176A"/>
    <w:rsid w:val="00F521DD"/>
    <w:rsid w:val="00F52475"/>
    <w:rsid w:val="00F525A4"/>
    <w:rsid w:val="00F531C4"/>
    <w:rsid w:val="00F53230"/>
    <w:rsid w:val="00F548F3"/>
    <w:rsid w:val="00F54950"/>
    <w:rsid w:val="00F54AAF"/>
    <w:rsid w:val="00F54B7D"/>
    <w:rsid w:val="00F54FA4"/>
    <w:rsid w:val="00F55E13"/>
    <w:rsid w:val="00F55F50"/>
    <w:rsid w:val="00F568E5"/>
    <w:rsid w:val="00F570CC"/>
    <w:rsid w:val="00F572AD"/>
    <w:rsid w:val="00F574FC"/>
    <w:rsid w:val="00F57974"/>
    <w:rsid w:val="00F579A0"/>
    <w:rsid w:val="00F57B51"/>
    <w:rsid w:val="00F57D2E"/>
    <w:rsid w:val="00F60357"/>
    <w:rsid w:val="00F604D6"/>
    <w:rsid w:val="00F60AC4"/>
    <w:rsid w:val="00F6244B"/>
    <w:rsid w:val="00F62FDF"/>
    <w:rsid w:val="00F63403"/>
    <w:rsid w:val="00F63425"/>
    <w:rsid w:val="00F63BDE"/>
    <w:rsid w:val="00F64969"/>
    <w:rsid w:val="00F64CD6"/>
    <w:rsid w:val="00F64CF6"/>
    <w:rsid w:val="00F6553F"/>
    <w:rsid w:val="00F659C5"/>
    <w:rsid w:val="00F66024"/>
    <w:rsid w:val="00F66600"/>
    <w:rsid w:val="00F6733C"/>
    <w:rsid w:val="00F673FE"/>
    <w:rsid w:val="00F677A4"/>
    <w:rsid w:val="00F70006"/>
    <w:rsid w:val="00F704D7"/>
    <w:rsid w:val="00F71082"/>
    <w:rsid w:val="00F71540"/>
    <w:rsid w:val="00F71C62"/>
    <w:rsid w:val="00F7311E"/>
    <w:rsid w:val="00F73396"/>
    <w:rsid w:val="00F73C6C"/>
    <w:rsid w:val="00F743DB"/>
    <w:rsid w:val="00F74B04"/>
    <w:rsid w:val="00F751E4"/>
    <w:rsid w:val="00F7603C"/>
    <w:rsid w:val="00F77930"/>
    <w:rsid w:val="00F80CC3"/>
    <w:rsid w:val="00F80DBA"/>
    <w:rsid w:val="00F824B1"/>
    <w:rsid w:val="00F82A6F"/>
    <w:rsid w:val="00F830BF"/>
    <w:rsid w:val="00F83179"/>
    <w:rsid w:val="00F8323B"/>
    <w:rsid w:val="00F834AF"/>
    <w:rsid w:val="00F83A93"/>
    <w:rsid w:val="00F84CC6"/>
    <w:rsid w:val="00F84F20"/>
    <w:rsid w:val="00F8574D"/>
    <w:rsid w:val="00F85763"/>
    <w:rsid w:val="00F857C2"/>
    <w:rsid w:val="00F865F9"/>
    <w:rsid w:val="00F86789"/>
    <w:rsid w:val="00F868C7"/>
    <w:rsid w:val="00F86B72"/>
    <w:rsid w:val="00F86BFD"/>
    <w:rsid w:val="00F8730E"/>
    <w:rsid w:val="00F873B1"/>
    <w:rsid w:val="00F87FA9"/>
    <w:rsid w:val="00F9035A"/>
    <w:rsid w:val="00F90684"/>
    <w:rsid w:val="00F928C1"/>
    <w:rsid w:val="00F92902"/>
    <w:rsid w:val="00F93B68"/>
    <w:rsid w:val="00F947C6"/>
    <w:rsid w:val="00F947D0"/>
    <w:rsid w:val="00F95150"/>
    <w:rsid w:val="00F95418"/>
    <w:rsid w:val="00F95A48"/>
    <w:rsid w:val="00F95A86"/>
    <w:rsid w:val="00F95CE3"/>
    <w:rsid w:val="00F95D44"/>
    <w:rsid w:val="00F96410"/>
    <w:rsid w:val="00F9667E"/>
    <w:rsid w:val="00F966C6"/>
    <w:rsid w:val="00F969E1"/>
    <w:rsid w:val="00F96AFF"/>
    <w:rsid w:val="00F96B74"/>
    <w:rsid w:val="00F96BDD"/>
    <w:rsid w:val="00F96F41"/>
    <w:rsid w:val="00F979E6"/>
    <w:rsid w:val="00F97BCE"/>
    <w:rsid w:val="00F97FB3"/>
    <w:rsid w:val="00FA00A3"/>
    <w:rsid w:val="00FA0381"/>
    <w:rsid w:val="00FA0B53"/>
    <w:rsid w:val="00FA10CA"/>
    <w:rsid w:val="00FA16A0"/>
    <w:rsid w:val="00FA1711"/>
    <w:rsid w:val="00FA1CF1"/>
    <w:rsid w:val="00FA2246"/>
    <w:rsid w:val="00FA22CD"/>
    <w:rsid w:val="00FA2743"/>
    <w:rsid w:val="00FA3726"/>
    <w:rsid w:val="00FA3DF2"/>
    <w:rsid w:val="00FA43E5"/>
    <w:rsid w:val="00FA524B"/>
    <w:rsid w:val="00FA53A5"/>
    <w:rsid w:val="00FA557A"/>
    <w:rsid w:val="00FA61B2"/>
    <w:rsid w:val="00FA6CB6"/>
    <w:rsid w:val="00FA793F"/>
    <w:rsid w:val="00FA7B03"/>
    <w:rsid w:val="00FB0278"/>
    <w:rsid w:val="00FB11E6"/>
    <w:rsid w:val="00FB146A"/>
    <w:rsid w:val="00FB19AF"/>
    <w:rsid w:val="00FB1DF9"/>
    <w:rsid w:val="00FB1FFA"/>
    <w:rsid w:val="00FB2304"/>
    <w:rsid w:val="00FB30A8"/>
    <w:rsid w:val="00FB3243"/>
    <w:rsid w:val="00FB39A2"/>
    <w:rsid w:val="00FB3C58"/>
    <w:rsid w:val="00FB5169"/>
    <w:rsid w:val="00FB5442"/>
    <w:rsid w:val="00FB5A59"/>
    <w:rsid w:val="00FB63D1"/>
    <w:rsid w:val="00FB6D2F"/>
    <w:rsid w:val="00FB783B"/>
    <w:rsid w:val="00FB7A2D"/>
    <w:rsid w:val="00FB7AF6"/>
    <w:rsid w:val="00FB7F8D"/>
    <w:rsid w:val="00FC0437"/>
    <w:rsid w:val="00FC0D4E"/>
    <w:rsid w:val="00FC1DDF"/>
    <w:rsid w:val="00FC2FE3"/>
    <w:rsid w:val="00FC32C6"/>
    <w:rsid w:val="00FC333B"/>
    <w:rsid w:val="00FC401C"/>
    <w:rsid w:val="00FC4116"/>
    <w:rsid w:val="00FC49D1"/>
    <w:rsid w:val="00FC5724"/>
    <w:rsid w:val="00FC5F62"/>
    <w:rsid w:val="00FC6B5E"/>
    <w:rsid w:val="00FC740D"/>
    <w:rsid w:val="00FC76D9"/>
    <w:rsid w:val="00FD08C5"/>
    <w:rsid w:val="00FD0912"/>
    <w:rsid w:val="00FD0C3D"/>
    <w:rsid w:val="00FD1095"/>
    <w:rsid w:val="00FD19F1"/>
    <w:rsid w:val="00FD2725"/>
    <w:rsid w:val="00FD2F4F"/>
    <w:rsid w:val="00FD316E"/>
    <w:rsid w:val="00FD31F1"/>
    <w:rsid w:val="00FD39CD"/>
    <w:rsid w:val="00FD3F48"/>
    <w:rsid w:val="00FD4035"/>
    <w:rsid w:val="00FD4A92"/>
    <w:rsid w:val="00FD5178"/>
    <w:rsid w:val="00FD5D94"/>
    <w:rsid w:val="00FD6438"/>
    <w:rsid w:val="00FD6470"/>
    <w:rsid w:val="00FD6566"/>
    <w:rsid w:val="00FD7270"/>
    <w:rsid w:val="00FD7329"/>
    <w:rsid w:val="00FD79A6"/>
    <w:rsid w:val="00FE0007"/>
    <w:rsid w:val="00FE1F4B"/>
    <w:rsid w:val="00FE2A28"/>
    <w:rsid w:val="00FE34B1"/>
    <w:rsid w:val="00FE376A"/>
    <w:rsid w:val="00FE3795"/>
    <w:rsid w:val="00FE3BB4"/>
    <w:rsid w:val="00FE4033"/>
    <w:rsid w:val="00FE4B41"/>
    <w:rsid w:val="00FE5317"/>
    <w:rsid w:val="00FE60A0"/>
    <w:rsid w:val="00FE652F"/>
    <w:rsid w:val="00FE66D0"/>
    <w:rsid w:val="00FE672B"/>
    <w:rsid w:val="00FE67D7"/>
    <w:rsid w:val="00FE67E8"/>
    <w:rsid w:val="00FE7494"/>
    <w:rsid w:val="00FE7CE5"/>
    <w:rsid w:val="00FF029B"/>
    <w:rsid w:val="00FF0EB6"/>
    <w:rsid w:val="00FF1099"/>
    <w:rsid w:val="00FF1168"/>
    <w:rsid w:val="00FF16AD"/>
    <w:rsid w:val="00FF1762"/>
    <w:rsid w:val="00FF1AE7"/>
    <w:rsid w:val="00FF28F1"/>
    <w:rsid w:val="00FF29EF"/>
    <w:rsid w:val="00FF2D45"/>
    <w:rsid w:val="00FF312D"/>
    <w:rsid w:val="00FF32AF"/>
    <w:rsid w:val="00FF3821"/>
    <w:rsid w:val="00FF408D"/>
    <w:rsid w:val="00FF453D"/>
    <w:rsid w:val="00FF5298"/>
    <w:rsid w:val="00FF547F"/>
    <w:rsid w:val="00FF6063"/>
    <w:rsid w:val="00FF698D"/>
    <w:rsid w:val="00FF6D0A"/>
    <w:rsid w:val="00FF6F91"/>
    <w:rsid w:val="00FF7A6A"/>
    <w:rsid w:val="03675EC4"/>
    <w:rsid w:val="03ED02FB"/>
    <w:rsid w:val="04610C7A"/>
    <w:rsid w:val="048E221F"/>
    <w:rsid w:val="04B76C0B"/>
    <w:rsid w:val="059445BF"/>
    <w:rsid w:val="05B21D74"/>
    <w:rsid w:val="062147A8"/>
    <w:rsid w:val="073262BE"/>
    <w:rsid w:val="07517624"/>
    <w:rsid w:val="079F6195"/>
    <w:rsid w:val="082049F5"/>
    <w:rsid w:val="084028C1"/>
    <w:rsid w:val="09000F69"/>
    <w:rsid w:val="09573AC5"/>
    <w:rsid w:val="099B68C7"/>
    <w:rsid w:val="0A0748A3"/>
    <w:rsid w:val="0A7713FF"/>
    <w:rsid w:val="0B016BFE"/>
    <w:rsid w:val="0B2B4CD6"/>
    <w:rsid w:val="0B5B1416"/>
    <w:rsid w:val="0B6A706F"/>
    <w:rsid w:val="0B9171DD"/>
    <w:rsid w:val="0BC050C1"/>
    <w:rsid w:val="0D48115C"/>
    <w:rsid w:val="0D6C62BF"/>
    <w:rsid w:val="0E9656DB"/>
    <w:rsid w:val="0EF970AF"/>
    <w:rsid w:val="0F0632C4"/>
    <w:rsid w:val="0F4075C9"/>
    <w:rsid w:val="0F531D3C"/>
    <w:rsid w:val="1175581A"/>
    <w:rsid w:val="11C44419"/>
    <w:rsid w:val="12615596"/>
    <w:rsid w:val="12AD3C90"/>
    <w:rsid w:val="12BF3E06"/>
    <w:rsid w:val="13614AD4"/>
    <w:rsid w:val="13741B0A"/>
    <w:rsid w:val="137F63B4"/>
    <w:rsid w:val="14233F55"/>
    <w:rsid w:val="14DA3C9B"/>
    <w:rsid w:val="15B135C9"/>
    <w:rsid w:val="15F7744E"/>
    <w:rsid w:val="169A7892"/>
    <w:rsid w:val="16E47433"/>
    <w:rsid w:val="17165D37"/>
    <w:rsid w:val="181F061D"/>
    <w:rsid w:val="18D1543B"/>
    <w:rsid w:val="18FA6510"/>
    <w:rsid w:val="19A71BC3"/>
    <w:rsid w:val="1A0B25EF"/>
    <w:rsid w:val="1A104801"/>
    <w:rsid w:val="1A6D5B83"/>
    <w:rsid w:val="1B0E6836"/>
    <w:rsid w:val="1D5F5A06"/>
    <w:rsid w:val="1EB37DB8"/>
    <w:rsid w:val="1EBD2E56"/>
    <w:rsid w:val="1F4A48CC"/>
    <w:rsid w:val="1F5C4098"/>
    <w:rsid w:val="201A7212"/>
    <w:rsid w:val="206D40DB"/>
    <w:rsid w:val="20E050FC"/>
    <w:rsid w:val="21DE25BB"/>
    <w:rsid w:val="22953F51"/>
    <w:rsid w:val="231B417D"/>
    <w:rsid w:val="23241284"/>
    <w:rsid w:val="23913E65"/>
    <w:rsid w:val="23AE0083"/>
    <w:rsid w:val="23C81D43"/>
    <w:rsid w:val="249E5772"/>
    <w:rsid w:val="24C20D54"/>
    <w:rsid w:val="269144D8"/>
    <w:rsid w:val="27A6670B"/>
    <w:rsid w:val="27E30978"/>
    <w:rsid w:val="28132F8E"/>
    <w:rsid w:val="283C5BD8"/>
    <w:rsid w:val="28F6721F"/>
    <w:rsid w:val="294640EF"/>
    <w:rsid w:val="297D4BEA"/>
    <w:rsid w:val="29983A2E"/>
    <w:rsid w:val="29AB7DC0"/>
    <w:rsid w:val="29F931DB"/>
    <w:rsid w:val="2A2D247C"/>
    <w:rsid w:val="2A6549D8"/>
    <w:rsid w:val="2A962906"/>
    <w:rsid w:val="2A994A44"/>
    <w:rsid w:val="2ADB571C"/>
    <w:rsid w:val="2AEF7008"/>
    <w:rsid w:val="2BCF3D57"/>
    <w:rsid w:val="2BDF2A42"/>
    <w:rsid w:val="2CDF047B"/>
    <w:rsid w:val="2D536238"/>
    <w:rsid w:val="2DF33BC7"/>
    <w:rsid w:val="2E46732E"/>
    <w:rsid w:val="2F325EF8"/>
    <w:rsid w:val="2F731116"/>
    <w:rsid w:val="30710974"/>
    <w:rsid w:val="30B33C47"/>
    <w:rsid w:val="30BC351C"/>
    <w:rsid w:val="30D713A2"/>
    <w:rsid w:val="32134A3A"/>
    <w:rsid w:val="322F6815"/>
    <w:rsid w:val="339A10EE"/>
    <w:rsid w:val="346027D3"/>
    <w:rsid w:val="35883AD8"/>
    <w:rsid w:val="35E066F1"/>
    <w:rsid w:val="361C29B0"/>
    <w:rsid w:val="36444592"/>
    <w:rsid w:val="36A63A05"/>
    <w:rsid w:val="399F655F"/>
    <w:rsid w:val="39FD4D9E"/>
    <w:rsid w:val="3A5C3E0E"/>
    <w:rsid w:val="3B575F34"/>
    <w:rsid w:val="3C1E0EE9"/>
    <w:rsid w:val="3C535ECB"/>
    <w:rsid w:val="3C6B3338"/>
    <w:rsid w:val="3CEF63AF"/>
    <w:rsid w:val="3DBA45D5"/>
    <w:rsid w:val="3E040D80"/>
    <w:rsid w:val="3E12532F"/>
    <w:rsid w:val="3E48133E"/>
    <w:rsid w:val="3E8C1FCF"/>
    <w:rsid w:val="3F154E4D"/>
    <w:rsid w:val="3F713BB4"/>
    <w:rsid w:val="3F8B67B7"/>
    <w:rsid w:val="3FE00896"/>
    <w:rsid w:val="3FFD4EB1"/>
    <w:rsid w:val="410240EC"/>
    <w:rsid w:val="41207E31"/>
    <w:rsid w:val="416200AE"/>
    <w:rsid w:val="41BA159B"/>
    <w:rsid w:val="423D3AB9"/>
    <w:rsid w:val="432F0696"/>
    <w:rsid w:val="438D2007"/>
    <w:rsid w:val="439661C3"/>
    <w:rsid w:val="43AD15B6"/>
    <w:rsid w:val="445B279A"/>
    <w:rsid w:val="44B6565C"/>
    <w:rsid w:val="456D489E"/>
    <w:rsid w:val="460A2104"/>
    <w:rsid w:val="465456CC"/>
    <w:rsid w:val="465D6BB3"/>
    <w:rsid w:val="46F32B98"/>
    <w:rsid w:val="47C1088D"/>
    <w:rsid w:val="48501FF0"/>
    <w:rsid w:val="487F2935"/>
    <w:rsid w:val="48C75639"/>
    <w:rsid w:val="49665FA1"/>
    <w:rsid w:val="49761B24"/>
    <w:rsid w:val="49B321F5"/>
    <w:rsid w:val="49D840AA"/>
    <w:rsid w:val="4AA0746A"/>
    <w:rsid w:val="4BE20CC1"/>
    <w:rsid w:val="4C4F51D1"/>
    <w:rsid w:val="4C597916"/>
    <w:rsid w:val="4CD75F98"/>
    <w:rsid w:val="4D4B729B"/>
    <w:rsid w:val="4DA6644D"/>
    <w:rsid w:val="4DC4684A"/>
    <w:rsid w:val="4E056021"/>
    <w:rsid w:val="4E10608B"/>
    <w:rsid w:val="4E261535"/>
    <w:rsid w:val="4FB24E25"/>
    <w:rsid w:val="50706CD1"/>
    <w:rsid w:val="50FC6F9E"/>
    <w:rsid w:val="52EC1363"/>
    <w:rsid w:val="53982B55"/>
    <w:rsid w:val="54385DC6"/>
    <w:rsid w:val="550D0937"/>
    <w:rsid w:val="554D0A8D"/>
    <w:rsid w:val="57AF6C74"/>
    <w:rsid w:val="59223DB2"/>
    <w:rsid w:val="5987558A"/>
    <w:rsid w:val="5A2910DA"/>
    <w:rsid w:val="5A30215B"/>
    <w:rsid w:val="5A9A53AC"/>
    <w:rsid w:val="5B3E14B6"/>
    <w:rsid w:val="5BD03A7F"/>
    <w:rsid w:val="5BD75934"/>
    <w:rsid w:val="5D0A7DF0"/>
    <w:rsid w:val="5D157FC9"/>
    <w:rsid w:val="5D1F5219"/>
    <w:rsid w:val="5D555CF6"/>
    <w:rsid w:val="5D8C56AA"/>
    <w:rsid w:val="60933BDC"/>
    <w:rsid w:val="6127050B"/>
    <w:rsid w:val="613B0F6B"/>
    <w:rsid w:val="61C33027"/>
    <w:rsid w:val="64660F2A"/>
    <w:rsid w:val="64ED5BBE"/>
    <w:rsid w:val="656C22FF"/>
    <w:rsid w:val="658672DD"/>
    <w:rsid w:val="66413CEB"/>
    <w:rsid w:val="66433B9E"/>
    <w:rsid w:val="672B008D"/>
    <w:rsid w:val="67B50C65"/>
    <w:rsid w:val="68BA200D"/>
    <w:rsid w:val="69A52551"/>
    <w:rsid w:val="6A821239"/>
    <w:rsid w:val="6B316C7D"/>
    <w:rsid w:val="6B923E7E"/>
    <w:rsid w:val="6C4D7836"/>
    <w:rsid w:val="6C557BE1"/>
    <w:rsid w:val="6C871509"/>
    <w:rsid w:val="6C9F119E"/>
    <w:rsid w:val="6CBF0CA2"/>
    <w:rsid w:val="6CF32D5D"/>
    <w:rsid w:val="6CFC41A6"/>
    <w:rsid w:val="6D4E14BC"/>
    <w:rsid w:val="6DA53C0B"/>
    <w:rsid w:val="6DBD32F6"/>
    <w:rsid w:val="6E573CE9"/>
    <w:rsid w:val="708659B7"/>
    <w:rsid w:val="71C64881"/>
    <w:rsid w:val="73415780"/>
    <w:rsid w:val="73BE2D1B"/>
    <w:rsid w:val="73C17D49"/>
    <w:rsid w:val="74E71231"/>
    <w:rsid w:val="751678CE"/>
    <w:rsid w:val="766E5B13"/>
    <w:rsid w:val="76A6312F"/>
    <w:rsid w:val="76C42FF8"/>
    <w:rsid w:val="76FB7328"/>
    <w:rsid w:val="77154626"/>
    <w:rsid w:val="77D8109E"/>
    <w:rsid w:val="7923491C"/>
    <w:rsid w:val="79B0603F"/>
    <w:rsid w:val="79E537C8"/>
    <w:rsid w:val="7B3C4FA0"/>
    <w:rsid w:val="7B663DBE"/>
    <w:rsid w:val="7B6F4687"/>
    <w:rsid w:val="7C541DFA"/>
    <w:rsid w:val="7CB05B4A"/>
    <w:rsid w:val="7D3F076A"/>
    <w:rsid w:val="7D582E20"/>
    <w:rsid w:val="7DD1476E"/>
    <w:rsid w:val="7E6B42D4"/>
    <w:rsid w:val="7E985DDD"/>
    <w:rsid w:val="7EB904F9"/>
    <w:rsid w:val="7F860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9" w:semiHidden="0" w:name="heading 6"/>
    <w:lsdException w:qFormat="1" w:unhideWhenUsed="0" w:uiPriority="0" w:semiHidden="0" w:name="heading 7"/>
    <w:lsdException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next w:val="1"/>
    <w:link w:val="67"/>
    <w:qFormat/>
    <w:uiPriority w:val="0"/>
    <w:pPr>
      <w:keepNext/>
      <w:keepLines/>
      <w:numPr>
        <w:ilvl w:val="0"/>
        <w:numId w:val="1"/>
      </w:numPr>
      <w:adjustRightInd w:val="0"/>
      <w:snapToGrid w:val="0"/>
      <w:spacing w:before="340" w:after="330" w:line="360" w:lineRule="auto"/>
      <w:ind w:left="0"/>
      <w:jc w:val="center"/>
      <w:outlineLvl w:val="0"/>
    </w:pPr>
    <w:rPr>
      <w:rFonts w:ascii="Times New Roman" w:hAnsi="Times New Roman" w:eastAsia="黑体" w:cs="Times New Roman"/>
      <w:bCs/>
      <w:kern w:val="44"/>
      <w:sz w:val="32"/>
      <w:szCs w:val="44"/>
      <w:lang w:val="en-US" w:eastAsia="en-US" w:bidi="ar-SA"/>
    </w:rPr>
  </w:style>
  <w:style w:type="paragraph" w:styleId="3">
    <w:name w:val="heading 2"/>
    <w:basedOn w:val="1"/>
    <w:next w:val="1"/>
    <w:link w:val="66"/>
    <w:unhideWhenUsed/>
    <w:qFormat/>
    <w:uiPriority w:val="0"/>
    <w:pPr>
      <w:keepNext/>
      <w:keepLines/>
      <w:numPr>
        <w:ilvl w:val="1"/>
        <w:numId w:val="1"/>
      </w:numPr>
      <w:adjustRightInd w:val="0"/>
      <w:snapToGrid w:val="0"/>
      <w:spacing w:before="50" w:beforeLines="50" w:line="360" w:lineRule="auto"/>
      <w:ind w:firstLineChars="0"/>
      <w:outlineLvl w:val="1"/>
    </w:pPr>
    <w:rPr>
      <w:rFonts w:ascii="Times New Roman" w:hAnsi="Times New Roman" w:eastAsia="黑体" w:cs="Times New Roman"/>
      <w:bCs/>
      <w:sz w:val="28"/>
      <w:szCs w:val="32"/>
      <w:lang w:eastAsia="en-US"/>
    </w:rPr>
  </w:style>
  <w:style w:type="paragraph" w:styleId="4">
    <w:name w:val="heading 3"/>
    <w:basedOn w:val="1"/>
    <w:next w:val="1"/>
    <w:link w:val="68"/>
    <w:unhideWhenUsed/>
    <w:qFormat/>
    <w:uiPriority w:val="0"/>
    <w:pPr>
      <w:keepNext/>
      <w:keepLines/>
      <w:numPr>
        <w:ilvl w:val="2"/>
        <w:numId w:val="1"/>
      </w:numPr>
      <w:adjustRightInd w:val="0"/>
      <w:snapToGrid w:val="0"/>
      <w:spacing w:before="50" w:beforeLines="50" w:line="360" w:lineRule="auto"/>
      <w:outlineLvl w:val="2"/>
    </w:pPr>
    <w:rPr>
      <w:rFonts w:ascii="Times New Roman" w:hAnsi="Times New Roman" w:eastAsia="黑体" w:cs="Times New Roman"/>
      <w:bCs/>
      <w:sz w:val="24"/>
      <w:szCs w:val="32"/>
      <w:lang w:val="en-US" w:eastAsia="en-US" w:bidi="ar-SA"/>
    </w:rPr>
  </w:style>
  <w:style w:type="paragraph" w:styleId="5">
    <w:name w:val="heading 4"/>
    <w:basedOn w:val="1"/>
    <w:next w:val="1"/>
    <w:link w:val="69"/>
    <w:qFormat/>
    <w:uiPriority w:val="0"/>
    <w:pPr>
      <w:keepNext/>
      <w:keepLines/>
      <w:numPr>
        <w:ilvl w:val="3"/>
        <w:numId w:val="1"/>
      </w:numPr>
      <w:ind w:left="0" w:firstLine="200"/>
      <w:jc w:val="left"/>
      <w:outlineLvl w:val="3"/>
    </w:pPr>
    <w:rPr>
      <w:rFonts w:ascii="Times New Roman" w:hAnsi="Times New Roman" w:eastAsia="黑体" w:cs="Times New Roman"/>
      <w:bCs/>
      <w:szCs w:val="24"/>
    </w:rPr>
  </w:style>
  <w:style w:type="paragraph" w:styleId="6">
    <w:name w:val="heading 5"/>
    <w:basedOn w:val="1"/>
    <w:next w:val="1"/>
    <w:link w:val="70"/>
    <w:unhideWhenUsed/>
    <w:qFormat/>
    <w:uiPriority w:val="0"/>
    <w:pPr>
      <w:keepNext/>
      <w:keepLines/>
      <w:widowControl/>
      <w:spacing w:before="280" w:after="290" w:line="376" w:lineRule="auto"/>
      <w:jc w:val="left"/>
      <w:outlineLvl w:val="4"/>
    </w:pPr>
    <w:rPr>
      <w:rFonts w:ascii="Calibri" w:hAnsi="Calibri" w:cs="Times New Roman"/>
      <w:b/>
      <w:bCs/>
      <w:kern w:val="0"/>
      <w:sz w:val="28"/>
      <w:szCs w:val="28"/>
      <w:lang w:eastAsia="en-US"/>
    </w:rPr>
  </w:style>
  <w:style w:type="paragraph" w:styleId="7">
    <w:name w:val="heading 6"/>
    <w:basedOn w:val="1"/>
    <w:next w:val="1"/>
    <w:link w:val="71"/>
    <w:qFormat/>
    <w:uiPriority w:val="9"/>
    <w:pPr>
      <w:ind w:left="740"/>
      <w:outlineLvl w:val="5"/>
    </w:pPr>
    <w:rPr>
      <w:rFonts w:ascii="宋体" w:hAnsi="宋体" w:cs="宋体"/>
      <w:b/>
      <w:bCs/>
      <w:szCs w:val="24"/>
      <w:lang w:val="zh-CN" w:bidi="zh-CN"/>
    </w:rPr>
  </w:style>
  <w:style w:type="paragraph" w:styleId="8">
    <w:name w:val="heading 7"/>
    <w:basedOn w:val="1"/>
    <w:next w:val="1"/>
    <w:link w:val="297"/>
    <w:qFormat/>
    <w:uiPriority w:val="0"/>
    <w:pPr>
      <w:keepNext/>
      <w:keepLines/>
      <w:spacing w:before="240" w:after="64" w:line="319" w:lineRule="auto"/>
      <w:outlineLvl w:val="6"/>
    </w:pPr>
    <w:rPr>
      <w:rFonts w:cs="Times New Roman"/>
      <w:b/>
      <w:bCs/>
      <w:szCs w:val="24"/>
    </w:rPr>
  </w:style>
  <w:style w:type="character" w:default="1" w:styleId="57">
    <w:name w:val="Default Paragraph Font"/>
    <w:semiHidden/>
    <w:unhideWhenUsed/>
    <w:qFormat/>
    <w:uiPriority w:val="1"/>
  </w:style>
  <w:style w:type="table" w:default="1" w:styleId="5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9">
    <w:name w:val="List 3"/>
    <w:basedOn w:val="1"/>
    <w:next w:val="1"/>
    <w:qFormat/>
    <w:uiPriority w:val="0"/>
    <w:pPr>
      <w:autoSpaceDE w:val="0"/>
      <w:autoSpaceDN w:val="0"/>
      <w:spacing w:line="288" w:lineRule="auto"/>
      <w:ind w:left="1260" w:hanging="420"/>
      <w:textAlignment w:val="baseline"/>
    </w:pPr>
    <w:rPr>
      <w:rFonts w:ascii="Calibri" w:hAnsi="Calibri" w:eastAsia="仿宋" w:cs="宋体"/>
      <w:szCs w:val="20"/>
    </w:rPr>
  </w:style>
  <w:style w:type="paragraph" w:styleId="10">
    <w:name w:val="toc 7"/>
    <w:basedOn w:val="1"/>
    <w:next w:val="1"/>
    <w:unhideWhenUsed/>
    <w:qFormat/>
    <w:uiPriority w:val="39"/>
    <w:pPr>
      <w:ind w:left="2520" w:leftChars="1200"/>
    </w:pPr>
    <w:rPr>
      <w:rFonts w:ascii="等线" w:hAnsi="等线" w:eastAsia="等线" w:cs="Times New Roman"/>
    </w:rPr>
  </w:style>
  <w:style w:type="paragraph" w:styleId="11">
    <w:name w:val="table of authorities"/>
    <w:basedOn w:val="1"/>
    <w:next w:val="1"/>
    <w:qFormat/>
    <w:uiPriority w:val="0"/>
    <w:pPr>
      <w:ind w:left="420" w:leftChars="200"/>
    </w:pPr>
    <w:rPr>
      <w:rFonts w:cs="Times New Roman"/>
      <w:szCs w:val="24"/>
    </w:rPr>
  </w:style>
  <w:style w:type="paragraph" w:styleId="12">
    <w:name w:val="Note Heading"/>
    <w:basedOn w:val="1"/>
    <w:next w:val="1"/>
    <w:link w:val="298"/>
    <w:qFormat/>
    <w:uiPriority w:val="0"/>
    <w:pPr>
      <w:jc w:val="center"/>
    </w:pPr>
    <w:rPr>
      <w:rFonts w:cs="Times New Roman"/>
      <w:sz w:val="30"/>
      <w:szCs w:val="20"/>
    </w:rPr>
  </w:style>
  <w:style w:type="paragraph" w:styleId="13">
    <w:name w:val="Normal Indent"/>
    <w:basedOn w:val="1"/>
    <w:link w:val="72"/>
    <w:qFormat/>
    <w:uiPriority w:val="0"/>
    <w:pPr>
      <w:ind w:firstLine="420"/>
    </w:pPr>
    <w:rPr>
      <w:rFonts w:cs="Times New Roman"/>
      <w:szCs w:val="24"/>
    </w:rPr>
  </w:style>
  <w:style w:type="paragraph" w:styleId="14">
    <w:name w:val="caption"/>
    <w:basedOn w:val="1"/>
    <w:next w:val="1"/>
    <w:link w:val="73"/>
    <w:qFormat/>
    <w:uiPriority w:val="0"/>
    <w:pPr>
      <w:jc w:val="center"/>
    </w:pPr>
    <w:rPr>
      <w:rFonts w:ascii="Calibri" w:hAnsi="Calibri" w:cs="Times New Roman"/>
      <w:szCs w:val="24"/>
    </w:rPr>
  </w:style>
  <w:style w:type="paragraph" w:styleId="15">
    <w:name w:val="Document Map"/>
    <w:basedOn w:val="1"/>
    <w:link w:val="74"/>
    <w:unhideWhenUsed/>
    <w:qFormat/>
    <w:uiPriority w:val="0"/>
    <w:pPr>
      <w:widowControl/>
      <w:jc w:val="left"/>
    </w:pPr>
    <w:rPr>
      <w:rFonts w:ascii="宋体" w:hAnsi="Calibri" w:cs="Times New Roman"/>
      <w:kern w:val="0"/>
      <w:sz w:val="18"/>
      <w:szCs w:val="18"/>
      <w:lang w:eastAsia="en-US"/>
    </w:rPr>
  </w:style>
  <w:style w:type="paragraph" w:styleId="16">
    <w:name w:val="toa heading"/>
    <w:basedOn w:val="1"/>
    <w:next w:val="1"/>
    <w:qFormat/>
    <w:uiPriority w:val="0"/>
    <w:pPr>
      <w:spacing w:before="120"/>
    </w:pPr>
    <w:rPr>
      <w:rFonts w:ascii="Arial" w:hAnsi="Arial" w:cs="Arial"/>
      <w:szCs w:val="24"/>
    </w:rPr>
  </w:style>
  <w:style w:type="paragraph" w:styleId="17">
    <w:name w:val="annotation text"/>
    <w:basedOn w:val="1"/>
    <w:link w:val="75"/>
    <w:unhideWhenUsed/>
    <w:qFormat/>
    <w:uiPriority w:val="0"/>
    <w:pPr>
      <w:widowControl/>
      <w:jc w:val="left"/>
    </w:pPr>
    <w:rPr>
      <w:rFonts w:ascii="Calibri" w:hAnsi="Calibri" w:cs="Times New Roman"/>
      <w:kern w:val="0"/>
      <w:sz w:val="22"/>
      <w:lang w:eastAsia="en-US"/>
    </w:rPr>
  </w:style>
  <w:style w:type="paragraph" w:styleId="18">
    <w:name w:val="Salutation"/>
    <w:basedOn w:val="1"/>
    <w:next w:val="1"/>
    <w:link w:val="563"/>
    <w:qFormat/>
    <w:uiPriority w:val="0"/>
    <w:pPr>
      <w:widowControl/>
      <w:spacing w:line="300" w:lineRule="auto"/>
      <w:jc w:val="left"/>
      <w:textAlignment w:val="baseline"/>
    </w:pPr>
    <w:rPr>
      <w:rFonts w:ascii="宋体" w:cs="Times New Roman"/>
      <w:sz w:val="28"/>
      <w:szCs w:val="28"/>
    </w:rPr>
  </w:style>
  <w:style w:type="paragraph" w:styleId="19">
    <w:name w:val="Body Text 3"/>
    <w:basedOn w:val="1"/>
    <w:link w:val="76"/>
    <w:qFormat/>
    <w:uiPriority w:val="0"/>
    <w:pPr>
      <w:spacing w:after="120"/>
    </w:pPr>
    <w:rPr>
      <w:rFonts w:cs="Times New Roman"/>
      <w:sz w:val="16"/>
      <w:szCs w:val="16"/>
    </w:rPr>
  </w:style>
  <w:style w:type="paragraph" w:styleId="20">
    <w:name w:val="List Bullet 3"/>
    <w:basedOn w:val="1"/>
    <w:qFormat/>
    <w:uiPriority w:val="0"/>
    <w:pPr>
      <w:tabs>
        <w:tab w:val="left" w:pos="1280"/>
      </w:tabs>
      <w:ind w:left="1280" w:hanging="720"/>
    </w:pPr>
    <w:rPr>
      <w:rFonts w:cs="Times New Roman"/>
      <w:szCs w:val="20"/>
    </w:rPr>
  </w:style>
  <w:style w:type="paragraph" w:styleId="21">
    <w:name w:val="Body Text"/>
    <w:basedOn w:val="1"/>
    <w:next w:val="1"/>
    <w:link w:val="77"/>
    <w:qFormat/>
    <w:uiPriority w:val="0"/>
    <w:pPr>
      <w:widowControl/>
      <w:spacing w:before="35"/>
      <w:ind w:left="138"/>
      <w:jc w:val="left"/>
    </w:pPr>
    <w:rPr>
      <w:rFonts w:ascii="宋体" w:hAnsi="宋体" w:cs="Times New Roman"/>
      <w:kern w:val="0"/>
      <w:szCs w:val="24"/>
      <w:lang w:eastAsia="en-US"/>
    </w:rPr>
  </w:style>
  <w:style w:type="paragraph" w:styleId="22">
    <w:name w:val="Body Text Indent"/>
    <w:basedOn w:val="1"/>
    <w:next w:val="21"/>
    <w:link w:val="78"/>
    <w:unhideWhenUsed/>
    <w:qFormat/>
    <w:uiPriority w:val="0"/>
    <w:pPr>
      <w:widowControl/>
      <w:spacing w:after="120"/>
      <w:ind w:left="420" w:leftChars="200"/>
      <w:jc w:val="left"/>
    </w:pPr>
    <w:rPr>
      <w:rFonts w:ascii="Calibri" w:hAnsi="Calibri" w:cs="Times New Roman"/>
      <w:kern w:val="0"/>
      <w:sz w:val="22"/>
      <w:lang w:eastAsia="en-US"/>
    </w:rPr>
  </w:style>
  <w:style w:type="paragraph" w:styleId="23">
    <w:name w:val="List 2"/>
    <w:basedOn w:val="1"/>
    <w:qFormat/>
    <w:uiPriority w:val="0"/>
    <w:pPr>
      <w:ind w:left="840" w:hanging="420"/>
    </w:pPr>
    <w:rPr>
      <w:rFonts w:cs="Times New Roman"/>
      <w:sz w:val="26"/>
      <w:szCs w:val="20"/>
    </w:rPr>
  </w:style>
  <w:style w:type="paragraph" w:styleId="24">
    <w:name w:val="Block Text"/>
    <w:basedOn w:val="1"/>
    <w:qFormat/>
    <w:uiPriority w:val="0"/>
    <w:pPr>
      <w:ind w:left="718" w:leftChars="342" w:right="680" w:rightChars="324"/>
    </w:pPr>
    <w:rPr>
      <w:rFonts w:ascii="宋体" w:hAnsi="宋体" w:cs="Times New Roman"/>
      <w:szCs w:val="24"/>
    </w:rPr>
  </w:style>
  <w:style w:type="paragraph" w:styleId="25">
    <w:name w:val="toc 5"/>
    <w:basedOn w:val="1"/>
    <w:next w:val="1"/>
    <w:unhideWhenUsed/>
    <w:qFormat/>
    <w:uiPriority w:val="39"/>
    <w:pPr>
      <w:ind w:left="1680" w:leftChars="800"/>
    </w:pPr>
    <w:rPr>
      <w:rFonts w:ascii="等线" w:hAnsi="等线" w:eastAsia="等线" w:cs="Times New Roman"/>
    </w:rPr>
  </w:style>
  <w:style w:type="paragraph" w:styleId="26">
    <w:name w:val="toc 3"/>
    <w:basedOn w:val="1"/>
    <w:next w:val="1"/>
    <w:unhideWhenUsed/>
    <w:qFormat/>
    <w:uiPriority w:val="39"/>
    <w:pPr>
      <w:widowControl/>
      <w:ind w:left="840" w:leftChars="400"/>
      <w:jc w:val="left"/>
    </w:pPr>
    <w:rPr>
      <w:rFonts w:ascii="Calibri" w:hAnsi="Calibri" w:cs="Times New Roman"/>
      <w:kern w:val="0"/>
      <w:sz w:val="22"/>
      <w:lang w:eastAsia="en-US"/>
    </w:rPr>
  </w:style>
  <w:style w:type="paragraph" w:styleId="27">
    <w:name w:val="Plain Text"/>
    <w:basedOn w:val="1"/>
    <w:next w:val="1"/>
    <w:link w:val="79"/>
    <w:unhideWhenUsed/>
    <w:qFormat/>
    <w:uiPriority w:val="0"/>
    <w:rPr>
      <w:rFonts w:ascii="宋体" w:hAnsi="Courier New" w:cs="Times New Roman"/>
      <w:szCs w:val="20"/>
    </w:rPr>
  </w:style>
  <w:style w:type="paragraph" w:styleId="28">
    <w:name w:val="toc 8"/>
    <w:basedOn w:val="1"/>
    <w:next w:val="1"/>
    <w:unhideWhenUsed/>
    <w:qFormat/>
    <w:uiPriority w:val="39"/>
    <w:pPr>
      <w:ind w:left="2940" w:leftChars="1400"/>
    </w:pPr>
    <w:rPr>
      <w:rFonts w:ascii="等线" w:hAnsi="等线" w:eastAsia="等线" w:cs="Times New Roman"/>
    </w:rPr>
  </w:style>
  <w:style w:type="paragraph" w:styleId="29">
    <w:name w:val="Date"/>
    <w:basedOn w:val="1"/>
    <w:next w:val="1"/>
    <w:link w:val="257"/>
    <w:unhideWhenUsed/>
    <w:qFormat/>
    <w:uiPriority w:val="0"/>
    <w:pPr>
      <w:topLinePunct/>
      <w:ind w:left="100" w:leftChars="2500"/>
    </w:pPr>
    <w:rPr>
      <w:rFonts w:ascii="宋体" w:cs="宋体"/>
      <w:kern w:val="0"/>
      <w:szCs w:val="24"/>
    </w:rPr>
  </w:style>
  <w:style w:type="paragraph" w:styleId="30">
    <w:name w:val="Body Text Indent 2"/>
    <w:basedOn w:val="1"/>
    <w:link w:val="80"/>
    <w:qFormat/>
    <w:uiPriority w:val="0"/>
    <w:pPr>
      <w:spacing w:line="300" w:lineRule="auto"/>
      <w:ind w:firstLine="480"/>
    </w:pPr>
    <w:rPr>
      <w:rFonts w:ascii="仿宋体" w:eastAsia="仿宋体" w:cs="Times New Roman"/>
      <w:b/>
      <w:bCs/>
      <w:szCs w:val="24"/>
    </w:rPr>
  </w:style>
  <w:style w:type="paragraph" w:styleId="31">
    <w:name w:val="Balloon Text"/>
    <w:basedOn w:val="1"/>
    <w:link w:val="81"/>
    <w:unhideWhenUsed/>
    <w:qFormat/>
    <w:uiPriority w:val="0"/>
    <w:pPr>
      <w:widowControl/>
      <w:jc w:val="left"/>
    </w:pPr>
    <w:rPr>
      <w:rFonts w:ascii="Calibri" w:hAnsi="Calibri" w:cs="Times New Roman"/>
      <w:kern w:val="0"/>
      <w:sz w:val="18"/>
      <w:szCs w:val="18"/>
      <w:lang w:eastAsia="en-US"/>
    </w:rPr>
  </w:style>
  <w:style w:type="paragraph" w:styleId="32">
    <w:name w:val="footer"/>
    <w:basedOn w:val="1"/>
    <w:link w:val="82"/>
    <w:unhideWhenUsed/>
    <w:qFormat/>
    <w:uiPriority w:val="0"/>
    <w:pPr>
      <w:widowControl/>
      <w:tabs>
        <w:tab w:val="center" w:pos="4153"/>
        <w:tab w:val="right" w:pos="8306"/>
      </w:tabs>
      <w:spacing w:line="240" w:lineRule="auto"/>
      <w:ind w:firstLine="0" w:firstLineChars="0"/>
      <w:jc w:val="left"/>
    </w:pPr>
    <w:rPr>
      <w:rFonts w:ascii="Calibri" w:hAnsi="Calibri" w:cs="Times New Roman"/>
      <w:kern w:val="0"/>
      <w:sz w:val="18"/>
      <w:szCs w:val="18"/>
      <w:lang w:eastAsia="en-US"/>
    </w:rPr>
  </w:style>
  <w:style w:type="paragraph" w:styleId="33">
    <w:name w:val="header"/>
    <w:basedOn w:val="1"/>
    <w:link w:val="83"/>
    <w:unhideWhenUsed/>
    <w:qFormat/>
    <w:uiPriority w:val="0"/>
    <w:pPr>
      <w:widowControl/>
      <w:pBdr>
        <w:bottom w:val="single" w:color="auto" w:sz="6" w:space="1"/>
      </w:pBdr>
      <w:tabs>
        <w:tab w:val="center" w:pos="4153"/>
        <w:tab w:val="right" w:pos="8306"/>
      </w:tabs>
      <w:jc w:val="center"/>
    </w:pPr>
    <w:rPr>
      <w:rFonts w:ascii="Calibri" w:hAnsi="Calibri" w:cs="Times New Roman"/>
      <w:kern w:val="0"/>
      <w:sz w:val="18"/>
      <w:szCs w:val="18"/>
      <w:lang w:eastAsia="en-US"/>
    </w:rPr>
  </w:style>
  <w:style w:type="paragraph" w:styleId="34">
    <w:name w:val="toc 1"/>
    <w:basedOn w:val="1"/>
    <w:next w:val="1"/>
    <w:unhideWhenUsed/>
    <w:qFormat/>
    <w:uiPriority w:val="39"/>
    <w:pPr>
      <w:widowControl/>
      <w:jc w:val="left"/>
    </w:pPr>
    <w:rPr>
      <w:rFonts w:ascii="Calibri" w:hAnsi="Calibri" w:cs="Times New Roman"/>
      <w:kern w:val="0"/>
      <w:sz w:val="22"/>
      <w:lang w:eastAsia="en-US"/>
    </w:rPr>
  </w:style>
  <w:style w:type="paragraph" w:styleId="35">
    <w:name w:val="toc 4"/>
    <w:basedOn w:val="1"/>
    <w:next w:val="1"/>
    <w:unhideWhenUsed/>
    <w:qFormat/>
    <w:uiPriority w:val="39"/>
    <w:pPr>
      <w:ind w:left="1260" w:leftChars="600"/>
    </w:pPr>
    <w:rPr>
      <w:rFonts w:ascii="等线" w:hAnsi="等线" w:eastAsia="等线" w:cs="Times New Roman"/>
    </w:rPr>
  </w:style>
  <w:style w:type="paragraph" w:styleId="36">
    <w:name w:val="List Number 5"/>
    <w:basedOn w:val="1"/>
    <w:qFormat/>
    <w:uiPriority w:val="0"/>
    <w:pPr>
      <w:numPr>
        <w:ilvl w:val="0"/>
        <w:numId w:val="2"/>
      </w:numPr>
      <w:tabs>
        <w:tab w:val="left" w:pos="2040"/>
      </w:tabs>
    </w:pPr>
    <w:rPr>
      <w:rFonts w:cs="Times New Roman"/>
      <w:szCs w:val="24"/>
    </w:rPr>
  </w:style>
  <w:style w:type="paragraph" w:styleId="37">
    <w:name w:val="List"/>
    <w:basedOn w:val="1"/>
    <w:next w:val="1"/>
    <w:qFormat/>
    <w:uiPriority w:val="0"/>
    <w:pPr>
      <w:ind w:left="200" w:hanging="200" w:hangingChars="200"/>
    </w:pPr>
    <w:rPr>
      <w:rFonts w:cs="Times New Roman"/>
      <w:szCs w:val="24"/>
    </w:rPr>
  </w:style>
  <w:style w:type="paragraph" w:styleId="38">
    <w:name w:val="footnote text"/>
    <w:basedOn w:val="1"/>
    <w:link w:val="84"/>
    <w:semiHidden/>
    <w:qFormat/>
    <w:uiPriority w:val="0"/>
    <w:pPr>
      <w:jc w:val="left"/>
    </w:pPr>
    <w:rPr>
      <w:rFonts w:cs="Times New Roman"/>
      <w:sz w:val="18"/>
      <w:szCs w:val="18"/>
    </w:rPr>
  </w:style>
  <w:style w:type="paragraph" w:styleId="39">
    <w:name w:val="toc 6"/>
    <w:basedOn w:val="1"/>
    <w:next w:val="1"/>
    <w:unhideWhenUsed/>
    <w:qFormat/>
    <w:uiPriority w:val="39"/>
    <w:pPr>
      <w:ind w:left="2100" w:leftChars="1000"/>
    </w:pPr>
    <w:rPr>
      <w:rFonts w:ascii="等线" w:hAnsi="等线" w:eastAsia="等线" w:cs="Times New Roman"/>
    </w:rPr>
  </w:style>
  <w:style w:type="paragraph" w:styleId="40">
    <w:name w:val="Body Text Indent 3"/>
    <w:basedOn w:val="1"/>
    <w:link w:val="85"/>
    <w:qFormat/>
    <w:uiPriority w:val="0"/>
    <w:pPr>
      <w:spacing w:after="120"/>
      <w:ind w:left="420" w:leftChars="200"/>
    </w:pPr>
    <w:rPr>
      <w:rFonts w:cs="Times New Roman"/>
      <w:sz w:val="16"/>
      <w:szCs w:val="16"/>
    </w:rPr>
  </w:style>
  <w:style w:type="paragraph" w:styleId="41">
    <w:name w:val="table of figures"/>
    <w:basedOn w:val="1"/>
    <w:next w:val="1"/>
    <w:semiHidden/>
    <w:qFormat/>
    <w:uiPriority w:val="0"/>
    <w:pPr>
      <w:ind w:left="420" w:hanging="420"/>
      <w:jc w:val="left"/>
    </w:pPr>
    <w:rPr>
      <w:rFonts w:cs="Times New Roman"/>
      <w:smallCaps/>
      <w:sz w:val="20"/>
      <w:szCs w:val="20"/>
    </w:rPr>
  </w:style>
  <w:style w:type="paragraph" w:styleId="42">
    <w:name w:val="toc 2"/>
    <w:basedOn w:val="1"/>
    <w:next w:val="1"/>
    <w:unhideWhenUsed/>
    <w:qFormat/>
    <w:uiPriority w:val="39"/>
    <w:pPr>
      <w:widowControl/>
      <w:ind w:left="420" w:leftChars="200"/>
      <w:jc w:val="left"/>
    </w:pPr>
    <w:rPr>
      <w:rFonts w:ascii="Calibri" w:hAnsi="Calibri" w:cs="Times New Roman"/>
      <w:kern w:val="0"/>
      <w:sz w:val="22"/>
      <w:lang w:eastAsia="en-US"/>
    </w:rPr>
  </w:style>
  <w:style w:type="paragraph" w:styleId="43">
    <w:name w:val="toc 9"/>
    <w:basedOn w:val="1"/>
    <w:next w:val="1"/>
    <w:unhideWhenUsed/>
    <w:qFormat/>
    <w:uiPriority w:val="39"/>
    <w:pPr>
      <w:ind w:left="3360" w:leftChars="1600"/>
    </w:pPr>
    <w:rPr>
      <w:rFonts w:ascii="等线" w:hAnsi="等线" w:eastAsia="等线" w:cs="Times New Roman"/>
    </w:rPr>
  </w:style>
  <w:style w:type="paragraph" w:styleId="44">
    <w:name w:val="Body Text 2"/>
    <w:basedOn w:val="1"/>
    <w:link w:val="86"/>
    <w:qFormat/>
    <w:uiPriority w:val="0"/>
    <w:pPr>
      <w:spacing w:after="120" w:line="480" w:lineRule="auto"/>
    </w:pPr>
    <w:rPr>
      <w:rFonts w:cs="Times New Roman"/>
      <w:szCs w:val="24"/>
    </w:rPr>
  </w:style>
  <w:style w:type="paragraph" w:styleId="45">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Cs w:val="24"/>
    </w:rPr>
  </w:style>
  <w:style w:type="paragraph" w:styleId="46">
    <w:name w:val="Normal (Web)"/>
    <w:basedOn w:val="1"/>
    <w:link w:val="87"/>
    <w:qFormat/>
    <w:uiPriority w:val="99"/>
    <w:pPr>
      <w:widowControl/>
      <w:spacing w:before="100" w:beforeAutospacing="1" w:after="100" w:afterAutospacing="1"/>
      <w:jc w:val="left"/>
    </w:pPr>
    <w:rPr>
      <w:rFonts w:ascii="宋体" w:hAnsi="宋体" w:cs="Times New Roman"/>
      <w:kern w:val="0"/>
      <w:szCs w:val="24"/>
    </w:rPr>
  </w:style>
  <w:style w:type="paragraph" w:styleId="47">
    <w:name w:val="index 1"/>
    <w:basedOn w:val="1"/>
    <w:next w:val="1"/>
    <w:qFormat/>
    <w:uiPriority w:val="0"/>
    <w:pPr>
      <w:jc w:val="center"/>
    </w:pPr>
    <w:rPr>
      <w:rFonts w:cs="Times New Roman"/>
      <w:szCs w:val="24"/>
    </w:rPr>
  </w:style>
  <w:style w:type="paragraph" w:styleId="48">
    <w:name w:val="Title"/>
    <w:basedOn w:val="1"/>
    <w:link w:val="244"/>
    <w:qFormat/>
    <w:uiPriority w:val="0"/>
    <w:pPr>
      <w:spacing w:before="240" w:after="60" w:line="312" w:lineRule="atLeast"/>
      <w:jc w:val="center"/>
      <w:textAlignment w:val="baseline"/>
      <w:outlineLvl w:val="0"/>
    </w:pPr>
    <w:rPr>
      <w:rFonts w:ascii="Arial" w:hAnsi="Arial" w:cs="Times New Roman"/>
      <w:b/>
      <w:kern w:val="0"/>
      <w:sz w:val="32"/>
      <w:szCs w:val="20"/>
    </w:rPr>
  </w:style>
  <w:style w:type="paragraph" w:styleId="49">
    <w:name w:val="annotation subject"/>
    <w:basedOn w:val="17"/>
    <w:next w:val="17"/>
    <w:link w:val="88"/>
    <w:unhideWhenUsed/>
    <w:qFormat/>
    <w:uiPriority w:val="0"/>
    <w:rPr>
      <w:b/>
      <w:bCs/>
    </w:rPr>
  </w:style>
  <w:style w:type="paragraph" w:styleId="50">
    <w:name w:val="Body Text First Indent"/>
    <w:basedOn w:val="21"/>
    <w:next w:val="1"/>
    <w:link w:val="301"/>
    <w:qFormat/>
    <w:uiPriority w:val="0"/>
    <w:pPr>
      <w:widowControl w:val="0"/>
      <w:spacing w:before="0" w:after="120"/>
      <w:ind w:left="0" w:firstLine="420" w:firstLineChars="100"/>
      <w:jc w:val="both"/>
    </w:pPr>
    <w:rPr>
      <w:rFonts w:ascii="Times New Roman" w:hAnsi="Times New Roman"/>
      <w:kern w:val="2"/>
      <w:sz w:val="21"/>
      <w:lang w:eastAsia="zh-CN"/>
    </w:rPr>
  </w:style>
  <w:style w:type="paragraph" w:styleId="51">
    <w:name w:val="Body Text First Indent 2"/>
    <w:basedOn w:val="22"/>
    <w:next w:val="1"/>
    <w:link w:val="89"/>
    <w:unhideWhenUsed/>
    <w:qFormat/>
    <w:uiPriority w:val="0"/>
    <w:pPr>
      <w:ind w:firstLine="420"/>
    </w:pPr>
  </w:style>
  <w:style w:type="table" w:styleId="53">
    <w:name w:val="Table Grid"/>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4">
    <w:name w:val="Table Theme"/>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5">
    <w:name w:val="Table List 3"/>
    <w:basedOn w:val="52"/>
    <w:semiHidden/>
    <w:unhideWhenUsed/>
    <w:qFormat/>
    <w:uiPriority w:val="99"/>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56">
    <w:name w:val="Table Grid 5"/>
    <w:basedOn w:val="52"/>
    <w:qFormat/>
    <w:uiPriority w:val="0"/>
    <w:pPr>
      <w:widowControl w:val="0"/>
      <w:adjustRightInd w:val="0"/>
      <w:snapToGrid w:val="0"/>
      <w:spacing w:line="460" w:lineRule="exact"/>
      <w:ind w:firstLine="52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8">
    <w:name w:val="Strong"/>
    <w:basedOn w:val="57"/>
    <w:qFormat/>
    <w:uiPriority w:val="0"/>
    <w:rPr>
      <w:b/>
    </w:rPr>
  </w:style>
  <w:style w:type="character" w:styleId="59">
    <w:name w:val="page number"/>
    <w:basedOn w:val="57"/>
    <w:qFormat/>
    <w:uiPriority w:val="0"/>
  </w:style>
  <w:style w:type="character" w:styleId="60">
    <w:name w:val="FollowedHyperlink"/>
    <w:qFormat/>
    <w:uiPriority w:val="0"/>
    <w:rPr>
      <w:color w:val="800080"/>
      <w:u w:val="single"/>
    </w:rPr>
  </w:style>
  <w:style w:type="character" w:styleId="61">
    <w:name w:val="Emphasis"/>
    <w:basedOn w:val="57"/>
    <w:qFormat/>
    <w:uiPriority w:val="0"/>
    <w:rPr>
      <w:i/>
    </w:rPr>
  </w:style>
  <w:style w:type="character" w:styleId="62">
    <w:name w:val="Hyperlink"/>
    <w:basedOn w:val="57"/>
    <w:unhideWhenUsed/>
    <w:qFormat/>
    <w:uiPriority w:val="99"/>
    <w:rPr>
      <w:color w:val="0000FF"/>
      <w:u w:val="single"/>
    </w:rPr>
  </w:style>
  <w:style w:type="character" w:styleId="63">
    <w:name w:val="annotation reference"/>
    <w:unhideWhenUsed/>
    <w:qFormat/>
    <w:uiPriority w:val="0"/>
    <w:rPr>
      <w:sz w:val="21"/>
      <w:szCs w:val="21"/>
    </w:rPr>
  </w:style>
  <w:style w:type="character" w:styleId="64">
    <w:name w:val="HTML Cite"/>
    <w:qFormat/>
    <w:uiPriority w:val="0"/>
    <w:rPr>
      <w:color w:val="008000"/>
    </w:rPr>
  </w:style>
  <w:style w:type="paragraph" w:styleId="65">
    <w:name w:val="No Spacing"/>
    <w:basedOn w:val="1"/>
    <w:link w:val="165"/>
    <w:qFormat/>
    <w:uiPriority w:val="99"/>
    <w:pPr>
      <w:spacing w:line="240" w:lineRule="exact"/>
      <w:jc w:val="center"/>
    </w:pPr>
    <w:rPr>
      <w:rFonts w:eastAsia="仿宋_GB2312" w:cs="Times New Roman"/>
      <w:sz w:val="18"/>
      <w:szCs w:val="28"/>
    </w:rPr>
  </w:style>
  <w:style w:type="character" w:customStyle="1" w:styleId="66">
    <w:name w:val="标题 2 Char1"/>
    <w:link w:val="3"/>
    <w:qFormat/>
    <w:uiPriority w:val="0"/>
    <w:rPr>
      <w:rFonts w:ascii="Times New Roman" w:hAnsi="Times New Roman" w:eastAsia="黑体"/>
      <w:bCs/>
      <w:sz w:val="28"/>
      <w:szCs w:val="32"/>
      <w:lang w:eastAsia="en-US"/>
    </w:rPr>
  </w:style>
  <w:style w:type="character" w:customStyle="1" w:styleId="67">
    <w:name w:val="标题 1 Char1"/>
    <w:link w:val="2"/>
    <w:qFormat/>
    <w:uiPriority w:val="0"/>
    <w:rPr>
      <w:rFonts w:eastAsia="黑体"/>
      <w:bCs/>
      <w:kern w:val="44"/>
      <w:sz w:val="32"/>
      <w:szCs w:val="44"/>
      <w:lang w:eastAsia="en-US"/>
    </w:rPr>
  </w:style>
  <w:style w:type="character" w:customStyle="1" w:styleId="68">
    <w:name w:val="标题 3 Char"/>
    <w:link w:val="4"/>
    <w:qFormat/>
    <w:uiPriority w:val="0"/>
    <w:rPr>
      <w:rFonts w:eastAsia="黑体"/>
      <w:bCs/>
      <w:sz w:val="24"/>
      <w:szCs w:val="32"/>
      <w:lang w:eastAsia="en-US"/>
    </w:rPr>
  </w:style>
  <w:style w:type="character" w:customStyle="1" w:styleId="69">
    <w:name w:val="标题 4 Char"/>
    <w:basedOn w:val="57"/>
    <w:link w:val="5"/>
    <w:qFormat/>
    <w:uiPriority w:val="0"/>
    <w:rPr>
      <w:rFonts w:ascii="Times New Roman" w:hAnsi="Times New Roman" w:eastAsia="黑体"/>
      <w:bCs/>
      <w:kern w:val="2"/>
      <w:sz w:val="24"/>
      <w:szCs w:val="24"/>
    </w:rPr>
  </w:style>
  <w:style w:type="character" w:customStyle="1" w:styleId="70">
    <w:name w:val="标题 5 Char"/>
    <w:basedOn w:val="57"/>
    <w:link w:val="6"/>
    <w:qFormat/>
    <w:uiPriority w:val="0"/>
    <w:rPr>
      <w:b/>
      <w:bCs/>
      <w:sz w:val="28"/>
      <w:szCs w:val="28"/>
      <w:lang w:eastAsia="en-US"/>
    </w:rPr>
  </w:style>
  <w:style w:type="character" w:customStyle="1" w:styleId="71">
    <w:name w:val="标题 6 Char"/>
    <w:basedOn w:val="57"/>
    <w:link w:val="7"/>
    <w:qFormat/>
    <w:uiPriority w:val="9"/>
    <w:rPr>
      <w:rFonts w:ascii="宋体" w:hAnsi="宋体" w:cs="宋体"/>
      <w:b/>
      <w:bCs/>
      <w:kern w:val="2"/>
      <w:sz w:val="24"/>
      <w:szCs w:val="24"/>
      <w:lang w:val="zh-CN" w:bidi="zh-CN"/>
    </w:rPr>
  </w:style>
  <w:style w:type="character" w:customStyle="1" w:styleId="72">
    <w:name w:val="正文缩进 Char"/>
    <w:link w:val="13"/>
    <w:qFormat/>
    <w:uiPriority w:val="0"/>
    <w:rPr>
      <w:rFonts w:ascii="Times New Roman" w:hAnsi="Times New Roman"/>
      <w:kern w:val="2"/>
      <w:sz w:val="21"/>
      <w:szCs w:val="24"/>
    </w:rPr>
  </w:style>
  <w:style w:type="character" w:customStyle="1" w:styleId="73">
    <w:name w:val="题注 Char1"/>
    <w:link w:val="14"/>
    <w:qFormat/>
    <w:uiPriority w:val="0"/>
    <w:rPr>
      <w:kern w:val="2"/>
      <w:sz w:val="21"/>
      <w:szCs w:val="24"/>
    </w:rPr>
  </w:style>
  <w:style w:type="character" w:customStyle="1" w:styleId="74">
    <w:name w:val="文档结构图 Char"/>
    <w:link w:val="15"/>
    <w:qFormat/>
    <w:uiPriority w:val="0"/>
    <w:rPr>
      <w:rFonts w:ascii="宋体" w:eastAsia="宋体"/>
      <w:sz w:val="18"/>
      <w:szCs w:val="18"/>
    </w:rPr>
  </w:style>
  <w:style w:type="character" w:customStyle="1" w:styleId="75">
    <w:name w:val="批注文字 Char"/>
    <w:basedOn w:val="57"/>
    <w:link w:val="17"/>
    <w:qFormat/>
    <w:uiPriority w:val="0"/>
  </w:style>
  <w:style w:type="character" w:customStyle="1" w:styleId="76">
    <w:name w:val="正文文本 3 Char"/>
    <w:basedOn w:val="57"/>
    <w:link w:val="19"/>
    <w:qFormat/>
    <w:uiPriority w:val="0"/>
    <w:rPr>
      <w:rFonts w:ascii="Times New Roman" w:hAnsi="Times New Roman"/>
      <w:kern w:val="2"/>
      <w:sz w:val="16"/>
      <w:szCs w:val="16"/>
    </w:rPr>
  </w:style>
  <w:style w:type="character" w:customStyle="1" w:styleId="77">
    <w:name w:val="正文文本 Char"/>
    <w:link w:val="21"/>
    <w:qFormat/>
    <w:uiPriority w:val="0"/>
    <w:rPr>
      <w:rFonts w:ascii="宋体" w:hAnsi="宋体"/>
      <w:sz w:val="24"/>
      <w:szCs w:val="24"/>
      <w:lang w:eastAsia="en-US"/>
    </w:rPr>
  </w:style>
  <w:style w:type="character" w:customStyle="1" w:styleId="78">
    <w:name w:val="正文文本缩进 Char1"/>
    <w:basedOn w:val="57"/>
    <w:link w:val="22"/>
    <w:qFormat/>
    <w:uiPriority w:val="0"/>
  </w:style>
  <w:style w:type="character" w:customStyle="1" w:styleId="79">
    <w:name w:val="纯文本 Char3"/>
    <w:basedOn w:val="57"/>
    <w:link w:val="27"/>
    <w:qFormat/>
    <w:uiPriority w:val="0"/>
    <w:rPr>
      <w:rFonts w:ascii="宋体" w:hAnsi="Courier New"/>
      <w:kern w:val="2"/>
      <w:sz w:val="24"/>
    </w:rPr>
  </w:style>
  <w:style w:type="character" w:customStyle="1" w:styleId="80">
    <w:name w:val="正文文本缩进 2 Char"/>
    <w:basedOn w:val="57"/>
    <w:link w:val="30"/>
    <w:qFormat/>
    <w:uiPriority w:val="0"/>
    <w:rPr>
      <w:rFonts w:ascii="仿宋体" w:hAnsi="Times New Roman" w:eastAsia="仿宋体"/>
      <w:b/>
      <w:bCs/>
      <w:kern w:val="2"/>
      <w:sz w:val="24"/>
      <w:szCs w:val="24"/>
    </w:rPr>
  </w:style>
  <w:style w:type="character" w:customStyle="1" w:styleId="81">
    <w:name w:val="批注框文本 Char"/>
    <w:link w:val="31"/>
    <w:qFormat/>
    <w:uiPriority w:val="0"/>
    <w:rPr>
      <w:sz w:val="18"/>
      <w:szCs w:val="18"/>
    </w:rPr>
  </w:style>
  <w:style w:type="character" w:customStyle="1" w:styleId="82">
    <w:name w:val="页脚 Char"/>
    <w:link w:val="32"/>
    <w:qFormat/>
    <w:uiPriority w:val="0"/>
    <w:rPr>
      <w:rFonts w:ascii="Calibri" w:hAnsi="Calibri"/>
      <w:sz w:val="18"/>
      <w:szCs w:val="18"/>
      <w:lang w:eastAsia="en-US"/>
    </w:rPr>
  </w:style>
  <w:style w:type="character" w:customStyle="1" w:styleId="83">
    <w:name w:val="页眉 Char"/>
    <w:link w:val="33"/>
    <w:qFormat/>
    <w:uiPriority w:val="0"/>
    <w:rPr>
      <w:sz w:val="18"/>
      <w:szCs w:val="18"/>
    </w:rPr>
  </w:style>
  <w:style w:type="character" w:customStyle="1" w:styleId="84">
    <w:name w:val="脚注文本 Char"/>
    <w:basedOn w:val="57"/>
    <w:link w:val="38"/>
    <w:semiHidden/>
    <w:qFormat/>
    <w:uiPriority w:val="0"/>
    <w:rPr>
      <w:rFonts w:ascii="Times New Roman" w:hAnsi="Times New Roman"/>
      <w:kern w:val="2"/>
      <w:sz w:val="18"/>
      <w:szCs w:val="18"/>
    </w:rPr>
  </w:style>
  <w:style w:type="character" w:customStyle="1" w:styleId="85">
    <w:name w:val="正文文本缩进 3 Char"/>
    <w:basedOn w:val="57"/>
    <w:link w:val="40"/>
    <w:qFormat/>
    <w:uiPriority w:val="0"/>
    <w:rPr>
      <w:rFonts w:ascii="Times New Roman" w:hAnsi="Times New Roman"/>
      <w:kern w:val="2"/>
      <w:sz w:val="16"/>
      <w:szCs w:val="16"/>
    </w:rPr>
  </w:style>
  <w:style w:type="character" w:customStyle="1" w:styleId="86">
    <w:name w:val="正文文本 2 Char"/>
    <w:link w:val="44"/>
    <w:qFormat/>
    <w:uiPriority w:val="0"/>
    <w:rPr>
      <w:rFonts w:ascii="Times New Roman" w:hAnsi="Times New Roman"/>
      <w:kern w:val="2"/>
      <w:sz w:val="21"/>
      <w:szCs w:val="24"/>
    </w:rPr>
  </w:style>
  <w:style w:type="character" w:customStyle="1" w:styleId="87">
    <w:name w:val="普通(网站) Char1"/>
    <w:link w:val="46"/>
    <w:qFormat/>
    <w:uiPriority w:val="0"/>
    <w:rPr>
      <w:rFonts w:ascii="宋体" w:hAnsi="宋体"/>
      <w:sz w:val="24"/>
      <w:szCs w:val="24"/>
    </w:rPr>
  </w:style>
  <w:style w:type="character" w:customStyle="1" w:styleId="88">
    <w:name w:val="批注主题 Char"/>
    <w:link w:val="49"/>
    <w:qFormat/>
    <w:uiPriority w:val="0"/>
    <w:rPr>
      <w:b/>
      <w:bCs/>
    </w:rPr>
  </w:style>
  <w:style w:type="character" w:customStyle="1" w:styleId="89">
    <w:name w:val="正文首行缩进 2 Char"/>
    <w:basedOn w:val="78"/>
    <w:link w:val="51"/>
    <w:qFormat/>
    <w:uiPriority w:val="0"/>
    <w:rPr>
      <w:sz w:val="22"/>
      <w:szCs w:val="22"/>
      <w:lang w:eastAsia="en-US"/>
    </w:rPr>
  </w:style>
  <w:style w:type="table" w:customStyle="1" w:styleId="90">
    <w:name w:val="Table Normal"/>
    <w:unhideWhenUsed/>
    <w:qFormat/>
    <w:uiPriority w:val="0"/>
    <w:rPr>
      <w:sz w:val="22"/>
      <w:szCs w:val="22"/>
      <w:lang w:eastAsia="en-US"/>
    </w:rPr>
    <w:tblPr>
      <w:tblCellMar>
        <w:top w:w="0" w:type="dxa"/>
        <w:left w:w="0" w:type="dxa"/>
        <w:bottom w:w="0" w:type="dxa"/>
        <w:right w:w="0" w:type="dxa"/>
      </w:tblCellMar>
    </w:tblPr>
  </w:style>
  <w:style w:type="paragraph" w:customStyle="1" w:styleId="91">
    <w:name w:val="TOC 11"/>
    <w:basedOn w:val="1"/>
    <w:qFormat/>
    <w:uiPriority w:val="39"/>
    <w:pPr>
      <w:widowControl/>
      <w:spacing w:before="102"/>
      <w:jc w:val="left"/>
    </w:pPr>
    <w:rPr>
      <w:rFonts w:ascii="宋体" w:hAnsi="宋体" w:cs="Times New Roman"/>
      <w:b/>
      <w:bCs/>
      <w:kern w:val="0"/>
      <w:sz w:val="20"/>
      <w:szCs w:val="20"/>
      <w:lang w:eastAsia="en-US"/>
    </w:rPr>
  </w:style>
  <w:style w:type="paragraph" w:customStyle="1" w:styleId="92">
    <w:name w:val="TOC 21"/>
    <w:basedOn w:val="1"/>
    <w:qFormat/>
    <w:uiPriority w:val="39"/>
    <w:pPr>
      <w:widowControl/>
      <w:ind w:left="387"/>
      <w:jc w:val="left"/>
    </w:pPr>
    <w:rPr>
      <w:rFonts w:ascii="宋体" w:hAnsi="宋体" w:cs="Times New Roman"/>
      <w:kern w:val="0"/>
      <w:sz w:val="20"/>
      <w:szCs w:val="20"/>
      <w:lang w:eastAsia="en-US"/>
    </w:rPr>
  </w:style>
  <w:style w:type="paragraph" w:customStyle="1" w:styleId="93">
    <w:name w:val="图片居中"/>
    <w:link w:val="602"/>
    <w:qFormat/>
    <w:uiPriority w:val="0"/>
    <w:pPr>
      <w:adjustRightInd w:val="0"/>
      <w:snapToGrid w:val="0"/>
      <w:jc w:val="center"/>
    </w:pPr>
    <w:rPr>
      <w:rFonts w:ascii="Times New Roman" w:hAnsi="Times New Roman" w:eastAsia="Times New Roman" w:cs="Times New Roman"/>
      <w:sz w:val="29"/>
      <w:szCs w:val="29"/>
      <w:lang w:val="en-US" w:eastAsia="en-US" w:bidi="ar-SA"/>
    </w:rPr>
  </w:style>
  <w:style w:type="paragraph" w:customStyle="1" w:styleId="94">
    <w:name w:val="标题 21"/>
    <w:basedOn w:val="1"/>
    <w:qFormat/>
    <w:uiPriority w:val="1"/>
    <w:pPr>
      <w:widowControl/>
      <w:spacing w:before="13"/>
      <w:ind w:left="138"/>
      <w:jc w:val="left"/>
      <w:outlineLvl w:val="2"/>
    </w:pPr>
    <w:rPr>
      <w:rFonts w:ascii="黑体" w:hAnsi="黑体" w:eastAsia="黑体" w:cs="Times New Roman"/>
      <w:kern w:val="0"/>
      <w:sz w:val="28"/>
      <w:szCs w:val="28"/>
      <w:lang w:eastAsia="en-US"/>
    </w:rPr>
  </w:style>
  <w:style w:type="paragraph" w:customStyle="1" w:styleId="95">
    <w:name w:val="标题 31"/>
    <w:basedOn w:val="1"/>
    <w:qFormat/>
    <w:uiPriority w:val="1"/>
    <w:pPr>
      <w:widowControl/>
      <w:spacing w:before="134"/>
      <w:ind w:left="620"/>
      <w:jc w:val="left"/>
      <w:outlineLvl w:val="3"/>
    </w:pPr>
    <w:rPr>
      <w:rFonts w:ascii="宋体" w:hAnsi="宋体" w:cs="Times New Roman"/>
      <w:b/>
      <w:bCs/>
      <w:kern w:val="0"/>
      <w:szCs w:val="24"/>
      <w:lang w:eastAsia="en-US"/>
    </w:rPr>
  </w:style>
  <w:style w:type="paragraph" w:styleId="96">
    <w:name w:val="List Paragraph"/>
    <w:basedOn w:val="1"/>
    <w:qFormat/>
    <w:uiPriority w:val="34"/>
    <w:pPr>
      <w:widowControl/>
      <w:jc w:val="left"/>
    </w:pPr>
    <w:rPr>
      <w:rFonts w:ascii="Calibri" w:hAnsi="Calibri" w:cs="Times New Roman"/>
      <w:kern w:val="0"/>
      <w:sz w:val="22"/>
      <w:lang w:eastAsia="en-US"/>
    </w:rPr>
  </w:style>
  <w:style w:type="paragraph" w:customStyle="1" w:styleId="97">
    <w:name w:val="Table Paragraph"/>
    <w:basedOn w:val="1"/>
    <w:qFormat/>
    <w:uiPriority w:val="1"/>
    <w:pPr>
      <w:widowControl/>
      <w:jc w:val="left"/>
    </w:pPr>
    <w:rPr>
      <w:rFonts w:ascii="Calibri" w:hAnsi="Calibri" w:cs="Times New Roman"/>
      <w:kern w:val="0"/>
      <w:sz w:val="22"/>
      <w:lang w:eastAsia="en-US"/>
    </w:rPr>
  </w:style>
  <w:style w:type="paragraph" w:customStyle="1" w:styleId="98">
    <w:name w:val="TOC 31"/>
    <w:basedOn w:val="1"/>
    <w:qFormat/>
    <w:uiPriority w:val="39"/>
    <w:pPr>
      <w:widowControl/>
      <w:spacing w:before="147"/>
      <w:ind w:left="638"/>
      <w:jc w:val="left"/>
    </w:pPr>
    <w:rPr>
      <w:rFonts w:ascii="宋体" w:hAnsi="宋体" w:cs="Times New Roman"/>
      <w:b/>
      <w:bCs/>
      <w:kern w:val="0"/>
      <w:szCs w:val="24"/>
      <w:lang w:eastAsia="en-US"/>
    </w:rPr>
  </w:style>
  <w:style w:type="table" w:customStyle="1" w:styleId="99">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0">
    <w:name w:val="Table Normal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1">
    <w:name w:val="Table Normal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2">
    <w:name w:val="Table Normal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3">
    <w:name w:val="Table Normal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4">
    <w:name w:val="Table Normal6"/>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05">
    <w:name w:val="TOC 标题1"/>
    <w:basedOn w:val="2"/>
    <w:next w:val="1"/>
    <w:unhideWhenUsed/>
    <w:qFormat/>
    <w:uiPriority w:val="39"/>
    <w:pPr>
      <w:spacing w:before="480" w:after="0" w:line="276" w:lineRule="auto"/>
      <w:outlineLvl w:val="9"/>
    </w:pPr>
    <w:rPr>
      <w:rFonts w:ascii="Cambria" w:hAnsi="Cambria"/>
      <w:color w:val="365F91"/>
      <w:kern w:val="0"/>
      <w:szCs w:val="28"/>
      <w:lang w:eastAsia="zh-CN"/>
    </w:rPr>
  </w:style>
  <w:style w:type="table" w:customStyle="1" w:styleId="106">
    <w:name w:val="Table Normal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7">
    <w:name w:val="Table Normal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8">
    <w:name w:val="Table Normal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09">
    <w:name w:val="Table Normal1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0">
    <w:name w:val="Table Normal1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1">
    <w:name w:val="Table Normal1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2">
    <w:name w:val="Table Normal13"/>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3">
    <w:name w:val="Table Normal14"/>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4">
    <w:name w:val="Table Normal15"/>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5">
    <w:name w:val="Table Normal1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6">
    <w:name w:val="Table Normal1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7">
    <w:name w:val="Table Normal1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8">
    <w:name w:val="Table Normal1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19">
    <w:name w:val="Table Normal20"/>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0">
    <w:name w:val="Table Normal2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1">
    <w:name w:val="Table Normal2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122">
    <w:name w:val="Table Normal23"/>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23">
    <w:name w:val="0正文"/>
    <w:basedOn w:val="1"/>
    <w:link w:val="124"/>
    <w:qFormat/>
    <w:uiPriority w:val="0"/>
    <w:pPr>
      <w:ind w:firstLine="480"/>
    </w:pPr>
    <w:rPr>
      <w:rFonts w:cs="Times New Roman"/>
      <w:szCs w:val="24"/>
    </w:rPr>
  </w:style>
  <w:style w:type="character" w:customStyle="1" w:styleId="124">
    <w:name w:val="0正文 Char"/>
    <w:link w:val="123"/>
    <w:qFormat/>
    <w:uiPriority w:val="0"/>
    <w:rPr>
      <w:rFonts w:ascii="Times New Roman" w:hAnsi="Times New Roman"/>
      <w:kern w:val="2"/>
      <w:sz w:val="24"/>
      <w:szCs w:val="24"/>
    </w:rPr>
  </w:style>
  <w:style w:type="paragraph" w:customStyle="1" w:styleId="125">
    <w:name w:val="0表/图标题"/>
    <w:basedOn w:val="123"/>
    <w:link w:val="126"/>
    <w:qFormat/>
    <w:uiPriority w:val="0"/>
    <w:pPr>
      <w:spacing w:line="240" w:lineRule="auto"/>
      <w:ind w:firstLine="0" w:firstLineChars="0"/>
      <w:jc w:val="center"/>
    </w:pPr>
    <w:rPr>
      <w:b/>
      <w:sz w:val="21"/>
    </w:rPr>
  </w:style>
  <w:style w:type="character" w:customStyle="1" w:styleId="126">
    <w:name w:val="0表/图标题 Char"/>
    <w:link w:val="125"/>
    <w:qFormat/>
    <w:uiPriority w:val="0"/>
    <w:rPr>
      <w:rFonts w:ascii="Times New Roman" w:hAnsi="Times New Roman"/>
      <w:b/>
      <w:kern w:val="2"/>
      <w:sz w:val="21"/>
      <w:szCs w:val="24"/>
    </w:rPr>
  </w:style>
  <w:style w:type="paragraph" w:customStyle="1" w:styleId="127">
    <w:name w:val="0 表格"/>
    <w:basedOn w:val="123"/>
    <w:link w:val="128"/>
    <w:qFormat/>
    <w:uiPriority w:val="0"/>
    <w:pPr>
      <w:spacing w:line="240" w:lineRule="auto"/>
      <w:ind w:firstLine="0" w:firstLineChars="0"/>
      <w:jc w:val="center"/>
    </w:pPr>
    <w:rPr>
      <w:sz w:val="21"/>
      <w:szCs w:val="21"/>
    </w:rPr>
  </w:style>
  <w:style w:type="character" w:customStyle="1" w:styleId="128">
    <w:name w:val="0 表格 Char"/>
    <w:link w:val="127"/>
    <w:qFormat/>
    <w:uiPriority w:val="0"/>
    <w:rPr>
      <w:rFonts w:ascii="Times New Roman" w:hAnsi="Times New Roman"/>
      <w:kern w:val="2"/>
      <w:sz w:val="21"/>
      <w:szCs w:val="21"/>
    </w:rPr>
  </w:style>
  <w:style w:type="character" w:customStyle="1" w:styleId="129">
    <w:name w:val="未处理的提及1"/>
    <w:semiHidden/>
    <w:unhideWhenUsed/>
    <w:qFormat/>
    <w:uiPriority w:val="99"/>
    <w:rPr>
      <w:color w:val="605E5C"/>
      <w:shd w:val="clear" w:color="auto" w:fill="E1DFDD"/>
    </w:rPr>
  </w:style>
  <w:style w:type="paragraph" w:customStyle="1" w:styleId="130">
    <w:name w:val="4"/>
    <w:basedOn w:val="1"/>
    <w:qFormat/>
    <w:uiPriority w:val="0"/>
    <w:rPr>
      <w:rFonts w:cs="Times New Roman"/>
      <w:szCs w:val="20"/>
    </w:rPr>
  </w:style>
  <w:style w:type="paragraph" w:customStyle="1" w:styleId="131">
    <w:name w:val="小表文居中"/>
    <w:basedOn w:val="1"/>
    <w:qFormat/>
    <w:uiPriority w:val="0"/>
    <w:pPr>
      <w:spacing w:before="20"/>
      <w:jc w:val="center"/>
    </w:pPr>
    <w:rPr>
      <w:rFonts w:cs="Times New Roman"/>
      <w:sz w:val="18"/>
      <w:szCs w:val="24"/>
    </w:rPr>
  </w:style>
  <w:style w:type="character" w:customStyle="1" w:styleId="132">
    <w:name w:val="报告书正文 Char"/>
    <w:basedOn w:val="57"/>
    <w:link w:val="133"/>
    <w:qFormat/>
    <w:uiPriority w:val="0"/>
    <w:rPr>
      <w:kern w:val="2"/>
      <w:sz w:val="24"/>
    </w:rPr>
  </w:style>
  <w:style w:type="paragraph" w:customStyle="1" w:styleId="133">
    <w:name w:val="报告书正文"/>
    <w:basedOn w:val="1"/>
    <w:link w:val="132"/>
    <w:qFormat/>
    <w:uiPriority w:val="0"/>
    <w:pPr>
      <w:spacing w:line="300" w:lineRule="auto"/>
    </w:pPr>
    <w:rPr>
      <w:rFonts w:ascii="Calibri" w:hAnsi="Calibri" w:cs="Times New Roman"/>
      <w:szCs w:val="20"/>
    </w:rPr>
  </w:style>
  <w:style w:type="paragraph" w:customStyle="1" w:styleId="134">
    <w:name w:val="样式2"/>
    <w:basedOn w:val="1"/>
    <w:link w:val="336"/>
    <w:qFormat/>
    <w:uiPriority w:val="0"/>
    <w:pPr>
      <w:tabs>
        <w:tab w:val="left" w:pos="1935"/>
      </w:tabs>
      <w:jc w:val="left"/>
    </w:pPr>
    <w:rPr>
      <w:rFonts w:cs="Times New Roman"/>
      <w:color w:val="000000"/>
      <w:sz w:val="28"/>
      <w:szCs w:val="28"/>
      <w:lang w:val="zh-CN"/>
    </w:rPr>
  </w:style>
  <w:style w:type="paragraph" w:customStyle="1" w:styleId="135">
    <w:name w:val="样式4"/>
    <w:basedOn w:val="134"/>
    <w:link w:val="384"/>
    <w:qFormat/>
    <w:uiPriority w:val="0"/>
    <w:pPr>
      <w:tabs>
        <w:tab w:val="left" w:pos="567"/>
      </w:tabs>
      <w:ind w:firstLine="480"/>
      <w:jc w:val="both"/>
    </w:pPr>
    <w:rPr>
      <w:bCs/>
      <w:color w:val="auto"/>
      <w:sz w:val="24"/>
      <w:szCs w:val="24"/>
    </w:rPr>
  </w:style>
  <w:style w:type="paragraph" w:customStyle="1" w:styleId="136">
    <w:name w:val="Default"/>
    <w:basedOn w:val="1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37">
    <w:name w:val="纯文本1"/>
    <w:basedOn w:val="1"/>
    <w:qFormat/>
    <w:uiPriority w:val="99"/>
    <w:pPr>
      <w:autoSpaceDE w:val="0"/>
      <w:autoSpaceDN w:val="0"/>
      <w:textAlignment w:val="baseline"/>
    </w:pPr>
    <w:rPr>
      <w:rFonts w:ascii="宋体" w:cs="Times New Roman"/>
      <w:szCs w:val="20"/>
    </w:rPr>
  </w:style>
  <w:style w:type="paragraph" w:customStyle="1" w:styleId="138">
    <w:name w:val="样式 样式 首行缩进:  2 字符 + 首行缩进:  2 字符"/>
    <w:basedOn w:val="1"/>
    <w:next w:val="34"/>
    <w:qFormat/>
    <w:uiPriority w:val="0"/>
    <w:pPr>
      <w:ind w:firstLine="560"/>
    </w:pPr>
    <w:rPr>
      <w:rFonts w:cs="Times New Roman"/>
      <w:sz w:val="28"/>
      <w:szCs w:val="24"/>
    </w:rPr>
  </w:style>
  <w:style w:type="paragraph" w:customStyle="1" w:styleId="139">
    <w:name w:val="表ma"/>
    <w:basedOn w:val="1"/>
    <w:qFormat/>
    <w:uiPriority w:val="0"/>
    <w:pPr>
      <w:widowControl/>
    </w:pPr>
    <w:rPr>
      <w:rFonts w:cs="Times New Roman"/>
      <w:kern w:val="0"/>
      <w:szCs w:val="20"/>
    </w:rPr>
  </w:style>
  <w:style w:type="paragraph" w:customStyle="1" w:styleId="140">
    <w:name w:val="小表文"/>
    <w:basedOn w:val="1"/>
    <w:qFormat/>
    <w:uiPriority w:val="0"/>
    <w:pPr>
      <w:spacing w:before="20"/>
    </w:pPr>
    <w:rPr>
      <w:rFonts w:cs="Times New Roman"/>
      <w:sz w:val="18"/>
      <w:szCs w:val="24"/>
    </w:rPr>
  </w:style>
  <w:style w:type="paragraph" w:customStyle="1" w:styleId="141">
    <w:name w:val="最新表格"/>
    <w:basedOn w:val="1"/>
    <w:qFormat/>
    <w:uiPriority w:val="0"/>
    <w:pPr>
      <w:jc w:val="center"/>
    </w:pPr>
    <w:rPr>
      <w:rFonts w:cs="Times New Roman"/>
      <w:szCs w:val="21"/>
    </w:rPr>
  </w:style>
  <w:style w:type="paragraph" w:customStyle="1" w:styleId="142">
    <w:name w:val="表文"/>
    <w:basedOn w:val="1"/>
    <w:link w:val="143"/>
    <w:qFormat/>
    <w:uiPriority w:val="0"/>
    <w:pPr>
      <w:spacing w:before="20"/>
      <w:jc w:val="center"/>
    </w:pPr>
    <w:rPr>
      <w:rFonts w:cs="Times New Roman"/>
      <w:bCs/>
      <w:sz w:val="18"/>
      <w:szCs w:val="24"/>
    </w:rPr>
  </w:style>
  <w:style w:type="character" w:customStyle="1" w:styleId="143">
    <w:name w:val="表文 Char"/>
    <w:link w:val="142"/>
    <w:qFormat/>
    <w:uiPriority w:val="0"/>
    <w:rPr>
      <w:rFonts w:ascii="Times New Roman" w:hAnsi="Times New Roman"/>
      <w:bCs/>
      <w:kern w:val="2"/>
      <w:sz w:val="18"/>
      <w:szCs w:val="24"/>
    </w:rPr>
  </w:style>
  <w:style w:type="paragraph" w:customStyle="1" w:styleId="144">
    <w:name w:val="表号"/>
    <w:basedOn w:val="1"/>
    <w:link w:val="354"/>
    <w:qFormat/>
    <w:uiPriority w:val="0"/>
    <w:pPr>
      <w:overflowPunct w:val="0"/>
      <w:ind w:firstLine="113"/>
      <w:outlineLvl w:val="6"/>
    </w:pPr>
    <w:rPr>
      <w:rFonts w:cs="Times New Roman"/>
      <w:szCs w:val="24"/>
    </w:rPr>
  </w:style>
  <w:style w:type="paragraph" w:customStyle="1" w:styleId="145">
    <w:name w:val="G（正文）"/>
    <w:basedOn w:val="21"/>
    <w:qFormat/>
    <w:uiPriority w:val="0"/>
    <w:pPr>
      <w:widowControl w:val="0"/>
      <w:tabs>
        <w:tab w:val="left" w:pos="4530"/>
      </w:tabs>
      <w:spacing w:before="0" w:line="480" w:lineRule="exact"/>
      <w:ind w:left="0"/>
      <w:jc w:val="both"/>
    </w:pPr>
    <w:rPr>
      <w:rFonts w:ascii="Times New Roman" w:hAnsi="Times New Roman"/>
      <w:kern w:val="2"/>
      <w:sz w:val="28"/>
      <w:szCs w:val="28"/>
      <w:lang w:eastAsia="zh-CN"/>
    </w:rPr>
  </w:style>
  <w:style w:type="paragraph" w:customStyle="1" w:styleId="146">
    <w:name w:val="！表head"/>
    <w:basedOn w:val="1"/>
    <w:qFormat/>
    <w:uiPriority w:val="0"/>
    <w:pPr>
      <w:ind w:left="-100" w:leftChars="-50"/>
    </w:pPr>
    <w:rPr>
      <w:rFonts w:ascii="宋体" w:hAnsi="宋体" w:eastAsia="黑体" w:cs="宋体"/>
      <w:color w:val="000000"/>
      <w:kern w:val="0"/>
      <w:szCs w:val="20"/>
    </w:rPr>
  </w:style>
  <w:style w:type="paragraph" w:customStyle="1" w:styleId="147">
    <w:name w:val="p0"/>
    <w:basedOn w:val="1"/>
    <w:qFormat/>
    <w:uiPriority w:val="0"/>
    <w:pPr>
      <w:widowControl/>
    </w:pPr>
    <w:rPr>
      <w:rFonts w:cs="Times New Roman"/>
      <w:szCs w:val="21"/>
    </w:rPr>
  </w:style>
  <w:style w:type="paragraph" w:customStyle="1" w:styleId="148">
    <w:name w:val="表名"/>
    <w:basedOn w:val="1"/>
    <w:qFormat/>
    <w:uiPriority w:val="0"/>
    <w:pPr>
      <w:spacing w:before="163"/>
      <w:jc w:val="center"/>
    </w:pPr>
    <w:rPr>
      <w:rFonts w:ascii="Arial" w:hAnsi="Arial" w:eastAsia="黑体" w:cs="Times New Roman"/>
      <w:szCs w:val="24"/>
    </w:rPr>
  </w:style>
  <w:style w:type="paragraph" w:customStyle="1" w:styleId="149">
    <w:name w:val="z-窗体顶端1"/>
    <w:basedOn w:val="1"/>
    <w:link w:val="150"/>
    <w:qFormat/>
    <w:uiPriority w:val="0"/>
    <w:pPr>
      <w:spacing w:line="500" w:lineRule="exact"/>
      <w:ind w:firstLine="420"/>
    </w:pPr>
    <w:rPr>
      <w:rFonts w:ascii="Calibri" w:hAnsi="Calibri" w:eastAsia="仿宋_GB2312" w:cs="Times New Roman"/>
      <w:sz w:val="28"/>
    </w:rPr>
  </w:style>
  <w:style w:type="character" w:customStyle="1" w:styleId="150">
    <w:name w:val="z-窗体顶端 字符"/>
    <w:basedOn w:val="57"/>
    <w:link w:val="149"/>
    <w:qFormat/>
    <w:uiPriority w:val="0"/>
    <w:rPr>
      <w:rFonts w:eastAsia="仿宋_GB2312"/>
      <w:kern w:val="2"/>
      <w:sz w:val="28"/>
      <w:szCs w:val="22"/>
    </w:rPr>
  </w:style>
  <w:style w:type="paragraph" w:customStyle="1" w:styleId="151">
    <w:name w:val="表左对齐"/>
    <w:basedOn w:val="139"/>
    <w:qFormat/>
    <w:uiPriority w:val="0"/>
    <w:pPr>
      <w:widowControl w:val="0"/>
      <w:jc w:val="left"/>
    </w:pPr>
    <w:rPr>
      <w:rFonts w:cs="宋体"/>
      <w:sz w:val="21"/>
    </w:rPr>
  </w:style>
  <w:style w:type="paragraph" w:customStyle="1" w:styleId="152">
    <w:name w:val="首行缩进:2 字符"/>
    <w:basedOn w:val="1"/>
    <w:qFormat/>
    <w:uiPriority w:val="0"/>
    <w:pPr>
      <w:ind w:firstLine="560"/>
    </w:pPr>
    <w:rPr>
      <w:rFonts w:cs="Times New Roman"/>
      <w:sz w:val="28"/>
      <w:szCs w:val="20"/>
    </w:rPr>
  </w:style>
  <w:style w:type="paragraph" w:customStyle="1" w:styleId="153">
    <w:name w:val="xl30"/>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szCs w:val="21"/>
    </w:rPr>
  </w:style>
  <w:style w:type="paragraph" w:customStyle="1" w:styleId="154">
    <w:name w:val="正文(小)"/>
    <w:basedOn w:val="1"/>
    <w:qFormat/>
    <w:uiPriority w:val="0"/>
    <w:pPr>
      <w:spacing w:before="20"/>
    </w:pPr>
    <w:rPr>
      <w:rFonts w:cs="Times New Roman"/>
      <w:sz w:val="18"/>
      <w:szCs w:val="24"/>
    </w:rPr>
  </w:style>
  <w:style w:type="paragraph" w:customStyle="1" w:styleId="155">
    <w:name w:val="HH"/>
    <w:basedOn w:val="1"/>
    <w:qFormat/>
    <w:uiPriority w:val="0"/>
    <w:pPr>
      <w:ind w:firstLine="480"/>
    </w:pPr>
    <w:rPr>
      <w:rFonts w:cs="宋体"/>
      <w:szCs w:val="24"/>
    </w:rPr>
  </w:style>
  <w:style w:type="paragraph" w:customStyle="1" w:styleId="156">
    <w:name w:val="标题4"/>
    <w:basedOn w:val="5"/>
    <w:qFormat/>
    <w:uiPriority w:val="0"/>
  </w:style>
  <w:style w:type="table" w:customStyle="1" w:styleId="157">
    <w:name w:val="报告表格式新建"/>
    <w:basedOn w:val="52"/>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tcPr>
      <w:vAlign w:val="center"/>
    </w:tcPr>
  </w:style>
  <w:style w:type="paragraph" w:customStyle="1" w:styleId="158">
    <w:name w:val="报告表格内容"/>
    <w:basedOn w:val="1"/>
    <w:next w:val="1"/>
    <w:qFormat/>
    <w:uiPriority w:val="0"/>
    <w:pPr>
      <w:autoSpaceDE w:val="0"/>
      <w:autoSpaceDN w:val="0"/>
      <w:jc w:val="center"/>
      <w:textAlignment w:val="bottom"/>
    </w:pPr>
    <w:rPr>
      <w:rFonts w:cs="Times New Roman"/>
      <w:kern w:val="0"/>
      <w:szCs w:val="20"/>
    </w:rPr>
  </w:style>
  <w:style w:type="paragraph" w:customStyle="1" w:styleId="159">
    <w:name w:val="空行样式"/>
    <w:basedOn w:val="1"/>
    <w:next w:val="1"/>
    <w:qFormat/>
    <w:uiPriority w:val="0"/>
    <w:rPr>
      <w:rFonts w:cs="Times New Roman"/>
      <w:szCs w:val="20"/>
    </w:rPr>
  </w:style>
  <w:style w:type="character" w:customStyle="1" w:styleId="160">
    <w:name w:val="样式7 Char"/>
    <w:link w:val="161"/>
    <w:qFormat/>
    <w:uiPriority w:val="0"/>
    <w:rPr>
      <w:kern w:val="2"/>
      <w:sz w:val="26"/>
      <w:szCs w:val="26"/>
    </w:rPr>
  </w:style>
  <w:style w:type="paragraph" w:customStyle="1" w:styleId="161">
    <w:name w:val="样式7"/>
    <w:basedOn w:val="1"/>
    <w:link w:val="160"/>
    <w:qFormat/>
    <w:uiPriority w:val="0"/>
    <w:pPr>
      <w:widowControl/>
      <w:spacing w:line="480" w:lineRule="exact"/>
      <w:jc w:val="center"/>
    </w:pPr>
    <w:rPr>
      <w:rFonts w:ascii="Calibri" w:hAnsi="Calibri" w:cs="Times New Roman"/>
      <w:sz w:val="26"/>
      <w:szCs w:val="26"/>
    </w:rPr>
  </w:style>
  <w:style w:type="paragraph" w:customStyle="1" w:styleId="162">
    <w:name w:val="表格样式"/>
    <w:basedOn w:val="1"/>
    <w:qFormat/>
    <w:uiPriority w:val="0"/>
    <w:pPr>
      <w:jc w:val="center"/>
      <w:textAlignment w:val="center"/>
    </w:pPr>
    <w:rPr>
      <w:rFonts w:cs="Times New Roman"/>
      <w:sz w:val="28"/>
      <w:szCs w:val="24"/>
    </w:rPr>
  </w:style>
  <w:style w:type="paragraph" w:customStyle="1" w:styleId="163">
    <w:name w:val="图标题11"/>
    <w:basedOn w:val="1"/>
    <w:next w:val="1"/>
    <w:link w:val="164"/>
    <w:qFormat/>
    <w:uiPriority w:val="99"/>
    <w:pPr>
      <w:ind w:firstLine="0" w:firstLineChars="0"/>
      <w:jc w:val="center"/>
    </w:pPr>
    <w:rPr>
      <w:rFonts w:eastAsia="黑体" w:cs="Times New Roman"/>
      <w:sz w:val="21"/>
      <w:szCs w:val="28"/>
    </w:rPr>
  </w:style>
  <w:style w:type="character" w:customStyle="1" w:styleId="164">
    <w:name w:val="图标题11 字符"/>
    <w:basedOn w:val="57"/>
    <w:link w:val="163"/>
    <w:qFormat/>
    <w:uiPriority w:val="99"/>
    <w:rPr>
      <w:rFonts w:eastAsia="黑体"/>
      <w:kern w:val="2"/>
      <w:sz w:val="21"/>
      <w:szCs w:val="28"/>
    </w:rPr>
  </w:style>
  <w:style w:type="character" w:customStyle="1" w:styleId="165">
    <w:name w:val="无间隔 Char"/>
    <w:basedOn w:val="57"/>
    <w:link w:val="65"/>
    <w:qFormat/>
    <w:uiPriority w:val="1"/>
    <w:rPr>
      <w:rFonts w:ascii="Times New Roman" w:hAnsi="Times New Roman" w:eastAsia="仿宋_GB2312"/>
      <w:kern w:val="2"/>
      <w:sz w:val="18"/>
      <w:szCs w:val="28"/>
    </w:rPr>
  </w:style>
  <w:style w:type="table" w:customStyle="1" w:styleId="166">
    <w:name w:val="基本表"/>
    <w:basedOn w:val="52"/>
    <w:qFormat/>
    <w:uiPriority w:val="99"/>
    <w:pPr>
      <w:spacing w:line="240" w:lineRule="atLeast"/>
      <w:jc w:val="center"/>
    </w:pPr>
    <w:rPr>
      <w:rFonts w:cstheme="minorBidi"/>
      <w:kern w:val="2"/>
      <w:sz w:val="18"/>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
    <w:tcPr>
      <w:vAlign w:val="center"/>
    </w:tcPr>
  </w:style>
  <w:style w:type="paragraph" w:customStyle="1" w:styleId="167">
    <w:name w:val="表头"/>
    <w:basedOn w:val="1"/>
    <w:link w:val="168"/>
    <w:qFormat/>
    <w:uiPriority w:val="0"/>
    <w:pPr>
      <w:spacing w:before="50" w:beforeLines="50"/>
      <w:jc w:val="center"/>
    </w:pPr>
    <w:rPr>
      <w:rFonts w:cs="Times New Roman"/>
      <w:b/>
      <w:szCs w:val="21"/>
    </w:rPr>
  </w:style>
  <w:style w:type="character" w:customStyle="1" w:styleId="168">
    <w:name w:val="表头 Char Char"/>
    <w:link w:val="167"/>
    <w:qFormat/>
    <w:uiPriority w:val="0"/>
    <w:rPr>
      <w:rFonts w:ascii="Times New Roman" w:hAnsi="Times New Roman"/>
      <w:b/>
      <w:kern w:val="2"/>
      <w:sz w:val="21"/>
      <w:szCs w:val="21"/>
    </w:rPr>
  </w:style>
  <w:style w:type="paragraph" w:customStyle="1" w:styleId="169">
    <w:name w:val="表格内文字"/>
    <w:basedOn w:val="1"/>
    <w:qFormat/>
    <w:uiPriority w:val="0"/>
    <w:pPr>
      <w:jc w:val="center"/>
    </w:pPr>
    <w:rPr>
      <w:rFonts w:cs="Times New Roman"/>
      <w:szCs w:val="21"/>
    </w:rPr>
  </w:style>
  <w:style w:type="character" w:customStyle="1" w:styleId="170">
    <w:name w:val="未处理的提及2"/>
    <w:basedOn w:val="57"/>
    <w:semiHidden/>
    <w:unhideWhenUsed/>
    <w:qFormat/>
    <w:uiPriority w:val="99"/>
    <w:rPr>
      <w:color w:val="605E5C"/>
      <w:shd w:val="clear" w:color="auto" w:fill="E1DFDD"/>
    </w:rPr>
  </w:style>
  <w:style w:type="paragraph" w:customStyle="1" w:styleId="171">
    <w:name w:val="段落 Char"/>
    <w:basedOn w:val="1"/>
    <w:qFormat/>
    <w:uiPriority w:val="0"/>
    <w:pPr>
      <w:topLinePunct/>
    </w:pPr>
    <w:rPr>
      <w:rFonts w:cs="Times New Roman"/>
      <w:szCs w:val="24"/>
    </w:rPr>
  </w:style>
  <w:style w:type="character" w:customStyle="1" w:styleId="172">
    <w:name w:val="纯文本 Char"/>
    <w:qFormat/>
    <w:uiPriority w:val="0"/>
    <w:rPr>
      <w:rFonts w:ascii="宋体" w:hAnsi="Courier New" w:cs="Courier New"/>
      <w:kern w:val="2"/>
      <w:sz w:val="21"/>
      <w:szCs w:val="21"/>
    </w:rPr>
  </w:style>
  <w:style w:type="character" w:customStyle="1" w:styleId="173">
    <w:name w:val="description"/>
    <w:basedOn w:val="57"/>
    <w:qFormat/>
    <w:uiPriority w:val="0"/>
  </w:style>
  <w:style w:type="character" w:customStyle="1" w:styleId="174">
    <w:name w:val="样式 宋体 小三 加粗"/>
    <w:qFormat/>
    <w:uiPriority w:val="0"/>
    <w:rPr>
      <w:rFonts w:ascii="宋体" w:hAnsi="宋体" w:eastAsia="黑体"/>
      <w:b/>
      <w:bCs/>
      <w:spacing w:val="6"/>
      <w:kern w:val="2"/>
      <w:position w:val="10"/>
      <w:sz w:val="30"/>
      <w:lang w:val="en-US" w:eastAsia="zh-CN" w:bidi="ar-SA"/>
    </w:rPr>
  </w:style>
  <w:style w:type="character" w:customStyle="1" w:styleId="175">
    <w:name w:val="页码1"/>
    <w:basedOn w:val="57"/>
    <w:qFormat/>
    <w:uiPriority w:val="0"/>
  </w:style>
  <w:style w:type="character" w:customStyle="1" w:styleId="176">
    <w:name w:val="报告正文（小四） Char Char"/>
    <w:link w:val="177"/>
    <w:qFormat/>
    <w:uiPriority w:val="0"/>
    <w:rPr>
      <w:rFonts w:ascii="宋体" w:hAnsi="宋体" w:cs="宋体"/>
      <w:kern w:val="2"/>
      <w:sz w:val="24"/>
      <w:szCs w:val="24"/>
    </w:rPr>
  </w:style>
  <w:style w:type="paragraph" w:customStyle="1" w:styleId="177">
    <w:name w:val="报告正文（小四）"/>
    <w:basedOn w:val="1"/>
    <w:link w:val="176"/>
    <w:qFormat/>
    <w:uiPriority w:val="0"/>
    <w:pPr>
      <w:ind w:firstLine="480"/>
    </w:pPr>
    <w:rPr>
      <w:rFonts w:ascii="宋体" w:hAnsi="宋体" w:cs="宋体"/>
      <w:szCs w:val="24"/>
    </w:rPr>
  </w:style>
  <w:style w:type="character" w:customStyle="1" w:styleId="178">
    <w:name w:val="报告表正文 Char"/>
    <w:link w:val="179"/>
    <w:qFormat/>
    <w:uiPriority w:val="0"/>
    <w:rPr>
      <w:sz w:val="24"/>
    </w:rPr>
  </w:style>
  <w:style w:type="paragraph" w:customStyle="1" w:styleId="179">
    <w:name w:val="报告表正文"/>
    <w:basedOn w:val="1"/>
    <w:link w:val="178"/>
    <w:qFormat/>
    <w:uiPriority w:val="0"/>
    <w:pPr>
      <w:spacing w:line="312" w:lineRule="auto"/>
      <w:ind w:left="113" w:right="113" w:firstLine="482"/>
      <w:jc w:val="left"/>
      <w:textAlignment w:val="baseline"/>
    </w:pPr>
    <w:rPr>
      <w:rFonts w:ascii="Calibri" w:hAnsi="Calibri" w:cs="Times New Roman"/>
      <w:kern w:val="0"/>
      <w:szCs w:val="20"/>
    </w:rPr>
  </w:style>
  <w:style w:type="character" w:customStyle="1" w:styleId="180">
    <w:name w:val="标题 2 Char"/>
    <w:qFormat/>
    <w:uiPriority w:val="0"/>
    <w:rPr>
      <w:rFonts w:ascii="宋体" w:hAnsi="宋体" w:eastAsia="宋体"/>
      <w:kern w:val="2"/>
      <w:sz w:val="28"/>
      <w:szCs w:val="24"/>
      <w:lang w:val="en-US" w:eastAsia="zh-CN" w:bidi="ar-SA"/>
    </w:rPr>
  </w:style>
  <w:style w:type="character" w:customStyle="1" w:styleId="181">
    <w:name w:val="正文文本缩进 Char"/>
    <w:qFormat/>
    <w:uiPriority w:val="0"/>
    <w:rPr>
      <w:rFonts w:eastAsia="宋体"/>
      <w:kern w:val="2"/>
      <w:sz w:val="21"/>
      <w:szCs w:val="24"/>
      <w:lang w:val="en-US" w:eastAsia="zh-CN" w:bidi="ar-SA"/>
    </w:rPr>
  </w:style>
  <w:style w:type="character" w:customStyle="1" w:styleId="182">
    <w:name w:val="表格文字 Char Char"/>
    <w:qFormat/>
    <w:uiPriority w:val="0"/>
    <w:rPr>
      <w:rFonts w:ascii="宋体"/>
      <w:color w:val="000000"/>
      <w:sz w:val="24"/>
      <w:lang w:val="en-US" w:eastAsia="zh-CN" w:bidi="ar-SA"/>
    </w:rPr>
  </w:style>
  <w:style w:type="character" w:customStyle="1" w:styleId="183">
    <w:name w:val="表中文字[858D7CFB-ED40-4347-BF05-701D383B685F]"/>
    <w:link w:val="184"/>
    <w:qFormat/>
    <w:uiPriority w:val="0"/>
    <w:rPr>
      <w:kern w:val="2"/>
      <w:sz w:val="21"/>
    </w:rPr>
  </w:style>
  <w:style w:type="paragraph" w:customStyle="1" w:styleId="184">
    <w:name w:val="表中文字"/>
    <w:basedOn w:val="1"/>
    <w:link w:val="183"/>
    <w:qFormat/>
    <w:uiPriority w:val="0"/>
    <w:pPr>
      <w:jc w:val="center"/>
    </w:pPr>
    <w:rPr>
      <w:rFonts w:ascii="Calibri" w:hAnsi="Calibri" w:cs="Times New Roman"/>
      <w:szCs w:val="20"/>
    </w:rPr>
  </w:style>
  <w:style w:type="character" w:customStyle="1" w:styleId="185">
    <w:name w:val="content1"/>
    <w:qFormat/>
    <w:uiPriority w:val="0"/>
    <w:rPr>
      <w:rFonts w:hint="eastAsia" w:ascii="宋体" w:hAnsi="宋体" w:eastAsia="宋体"/>
      <w:color w:val="333333"/>
      <w:sz w:val="21"/>
      <w:szCs w:val="21"/>
    </w:rPr>
  </w:style>
  <w:style w:type="character" w:customStyle="1" w:styleId="186">
    <w:name w:val="表格文字2 Char"/>
    <w:link w:val="187"/>
    <w:qFormat/>
    <w:uiPriority w:val="0"/>
    <w:rPr>
      <w:rFonts w:ascii="宋体"/>
      <w:sz w:val="24"/>
    </w:rPr>
  </w:style>
  <w:style w:type="paragraph" w:customStyle="1" w:styleId="187">
    <w:name w:val="表格文字2"/>
    <w:basedOn w:val="65"/>
    <w:link w:val="186"/>
    <w:qFormat/>
    <w:uiPriority w:val="0"/>
    <w:pPr>
      <w:spacing w:before="60" w:line="240" w:lineRule="auto"/>
      <w:textAlignment w:val="baseline"/>
    </w:pPr>
    <w:rPr>
      <w:rFonts w:ascii="宋体" w:hAnsi="Calibri" w:eastAsia="宋体"/>
      <w:kern w:val="0"/>
      <w:sz w:val="24"/>
      <w:szCs w:val="20"/>
    </w:rPr>
  </w:style>
  <w:style w:type="character" w:customStyle="1" w:styleId="188">
    <w:name w:val="报告书 Char"/>
    <w:link w:val="189"/>
    <w:qFormat/>
    <w:uiPriority w:val="0"/>
    <w:rPr>
      <w:rFonts w:ascii="宋体" w:hAnsi="宋体" w:cs="宋体"/>
      <w:color w:val="0000FF"/>
      <w:sz w:val="24"/>
    </w:rPr>
  </w:style>
  <w:style w:type="paragraph" w:customStyle="1" w:styleId="189">
    <w:name w:val="报告书"/>
    <w:basedOn w:val="1"/>
    <w:link w:val="188"/>
    <w:qFormat/>
    <w:uiPriority w:val="0"/>
    <w:pPr>
      <w:autoSpaceDE w:val="0"/>
      <w:autoSpaceDN w:val="0"/>
      <w:spacing w:line="520" w:lineRule="exact"/>
      <w:ind w:firstLine="480"/>
      <w:jc w:val="left"/>
      <w:textAlignment w:val="bottom"/>
    </w:pPr>
    <w:rPr>
      <w:rFonts w:ascii="宋体" w:hAnsi="宋体" w:cs="宋体"/>
      <w:color w:val="0000FF"/>
      <w:kern w:val="0"/>
      <w:szCs w:val="20"/>
    </w:rPr>
  </w:style>
  <w:style w:type="character" w:customStyle="1" w:styleId="190">
    <w:name w:val="unnamed2"/>
    <w:basedOn w:val="57"/>
    <w:qFormat/>
    <w:uiPriority w:val="0"/>
  </w:style>
  <w:style w:type="character" w:customStyle="1" w:styleId="191">
    <w:name w:val="文本 Char"/>
    <w:link w:val="192"/>
    <w:qFormat/>
    <w:uiPriority w:val="0"/>
    <w:rPr>
      <w:kern w:val="2"/>
      <w:sz w:val="24"/>
      <w:szCs w:val="24"/>
    </w:rPr>
  </w:style>
  <w:style w:type="paragraph" w:customStyle="1" w:styleId="192">
    <w:name w:val="文本"/>
    <w:basedOn w:val="1"/>
    <w:next w:val="30"/>
    <w:link w:val="191"/>
    <w:qFormat/>
    <w:uiPriority w:val="0"/>
    <w:pPr>
      <w:ind w:firstLine="495"/>
    </w:pPr>
    <w:rPr>
      <w:rFonts w:ascii="Calibri" w:hAnsi="Calibri" w:cs="Times New Roman"/>
      <w:szCs w:val="24"/>
    </w:rPr>
  </w:style>
  <w:style w:type="paragraph" w:customStyle="1" w:styleId="193">
    <w:name w:val="段落1"/>
    <w:basedOn w:val="1"/>
    <w:qFormat/>
    <w:uiPriority w:val="0"/>
    <w:pPr>
      <w:spacing w:line="480" w:lineRule="exact"/>
    </w:pPr>
    <w:rPr>
      <w:rFonts w:eastAsia="楷体_GB2312" w:cs="Times New Roman"/>
      <w:spacing w:val="6"/>
      <w:sz w:val="28"/>
      <w:szCs w:val="24"/>
    </w:rPr>
  </w:style>
  <w:style w:type="paragraph" w:customStyle="1" w:styleId="194">
    <w:name w:val="表"/>
    <w:basedOn w:val="1"/>
    <w:qFormat/>
    <w:uiPriority w:val="0"/>
    <w:pPr>
      <w:jc w:val="center"/>
    </w:pPr>
    <w:rPr>
      <w:rFonts w:hAnsi="宋体" w:eastAsia="黑体" w:cs="Times New Roman"/>
      <w:color w:val="000000"/>
      <w:szCs w:val="24"/>
    </w:rPr>
  </w:style>
  <w:style w:type="paragraph" w:customStyle="1" w:styleId="195">
    <w:name w:val="Char Char Char Char"/>
    <w:basedOn w:val="1"/>
    <w:semiHidden/>
    <w:qFormat/>
    <w:uiPriority w:val="0"/>
    <w:pPr>
      <w:spacing w:line="540" w:lineRule="exact"/>
    </w:pPr>
    <w:rPr>
      <w:rFonts w:ascii="楷体_GB2312" w:eastAsia="楷体_GB2312" w:cs="Times New Roman"/>
      <w:kern w:val="0"/>
      <w:szCs w:val="24"/>
    </w:rPr>
  </w:style>
  <w:style w:type="paragraph" w:customStyle="1" w:styleId="196">
    <w:name w:val="报告书表格"/>
    <w:basedOn w:val="1"/>
    <w:qFormat/>
    <w:uiPriority w:val="0"/>
    <w:pPr>
      <w:spacing w:before="60" w:after="60" w:line="240" w:lineRule="atLeast"/>
      <w:jc w:val="center"/>
      <w:textAlignment w:val="baseline"/>
    </w:pPr>
    <w:rPr>
      <w:rFonts w:cs="Times New Roman"/>
      <w:kern w:val="0"/>
      <w:szCs w:val="20"/>
    </w:rPr>
  </w:style>
  <w:style w:type="paragraph" w:customStyle="1" w:styleId="197">
    <w:name w:val="Char1"/>
    <w:basedOn w:val="1"/>
    <w:qFormat/>
    <w:uiPriority w:val="0"/>
    <w:rPr>
      <w:rFonts w:cs="Times New Roman"/>
      <w:szCs w:val="24"/>
    </w:rPr>
  </w:style>
  <w:style w:type="paragraph" w:customStyle="1" w:styleId="198">
    <w:name w:val="表格式"/>
    <w:basedOn w:val="37"/>
    <w:qFormat/>
    <w:uiPriority w:val="0"/>
    <w:pPr>
      <w:spacing w:line="400" w:lineRule="exact"/>
      <w:ind w:left="0" w:firstLine="0" w:firstLineChars="0"/>
      <w:jc w:val="center"/>
    </w:pPr>
    <w:rPr>
      <w:rFonts w:ascii="宋体"/>
      <w:szCs w:val="20"/>
    </w:rPr>
  </w:style>
  <w:style w:type="paragraph" w:customStyle="1" w:styleId="199">
    <w:name w:val="样式 样式 行距: 1.5 倍行距 + 首行缩进:  2 字符"/>
    <w:basedOn w:val="1"/>
    <w:qFormat/>
    <w:uiPriority w:val="0"/>
    <w:pPr>
      <w:ind w:firstLine="420"/>
    </w:pPr>
    <w:rPr>
      <w:rFonts w:cs="宋体"/>
      <w:szCs w:val="20"/>
    </w:rPr>
  </w:style>
  <w:style w:type="paragraph" w:customStyle="1" w:styleId="200">
    <w:name w:val="Char4"/>
    <w:basedOn w:val="1"/>
    <w:qFormat/>
    <w:uiPriority w:val="0"/>
    <w:rPr>
      <w:rFonts w:cs="Times New Roman"/>
      <w:sz w:val="28"/>
      <w:szCs w:val="20"/>
    </w:rPr>
  </w:style>
  <w:style w:type="paragraph" w:customStyle="1" w:styleId="201">
    <w:name w:val="表格标题11"/>
    <w:next w:val="202"/>
    <w:qFormat/>
    <w:uiPriority w:val="0"/>
    <w:pPr>
      <w:keepNext/>
      <w:adjustRightInd w:val="0"/>
      <w:snapToGrid w:val="0"/>
      <w:spacing w:before="50" w:beforeLines="50"/>
      <w:jc w:val="center"/>
      <w:textAlignment w:val="baseline"/>
    </w:pPr>
    <w:rPr>
      <w:rFonts w:ascii="Times New Roman" w:hAnsi="Times New Roman" w:eastAsia="黑体" w:cs="Times New Roman"/>
      <w:kern w:val="2"/>
      <w:sz w:val="21"/>
      <w:szCs w:val="21"/>
      <w:lang w:val="en-US" w:eastAsia="zh-CN" w:bidi="ar-SA"/>
    </w:rPr>
  </w:style>
  <w:style w:type="paragraph" w:customStyle="1" w:styleId="202">
    <w:name w:val="报告表格"/>
    <w:basedOn w:val="1"/>
    <w:qFormat/>
    <w:uiPriority w:val="0"/>
    <w:pPr>
      <w:autoSpaceDE w:val="0"/>
      <w:autoSpaceDN w:val="0"/>
      <w:spacing w:before="40" w:after="40"/>
      <w:jc w:val="center"/>
      <w:textAlignment w:val="bottom"/>
    </w:pPr>
    <w:rPr>
      <w:rFonts w:cs="Times New Roman"/>
      <w:kern w:val="0"/>
      <w:szCs w:val="20"/>
    </w:rPr>
  </w:style>
  <w:style w:type="paragraph" w:customStyle="1" w:styleId="203">
    <w:name w:val="+正文"/>
    <w:basedOn w:val="1"/>
    <w:qFormat/>
    <w:uiPriority w:val="0"/>
    <w:rPr>
      <w:rFonts w:cs="Times New Roman"/>
      <w:szCs w:val="24"/>
    </w:rPr>
  </w:style>
  <w:style w:type="paragraph" w:customStyle="1" w:styleId="204">
    <w:name w:val="1"/>
    <w:basedOn w:val="1"/>
    <w:qFormat/>
    <w:uiPriority w:val="0"/>
    <w:pPr>
      <w:ind w:firstLine="538" w:firstLineChars="192"/>
    </w:pPr>
    <w:rPr>
      <w:rFonts w:ascii="宋体" w:hAnsi="宋体" w:cs="Times New Roman"/>
      <w:bCs/>
      <w:sz w:val="28"/>
      <w:szCs w:val="28"/>
    </w:rPr>
  </w:style>
  <w:style w:type="paragraph" w:customStyle="1" w:styleId="205">
    <w:name w:val="Char"/>
    <w:basedOn w:val="1"/>
    <w:qFormat/>
    <w:uiPriority w:val="0"/>
    <w:rPr>
      <w:rFonts w:cs="Times New Roman"/>
      <w:szCs w:val="24"/>
    </w:rPr>
  </w:style>
  <w:style w:type="paragraph" w:customStyle="1" w:styleId="206">
    <w:name w:val="edri-正文"/>
    <w:basedOn w:val="1"/>
    <w:qFormat/>
    <w:uiPriority w:val="0"/>
    <w:pPr>
      <w:jc w:val="center"/>
      <w:textAlignment w:val="baseline"/>
    </w:pPr>
    <w:rPr>
      <w:rFonts w:ascii="黑体" w:eastAsia="黑体" w:cs="Times New Roman"/>
      <w:snapToGrid w:val="0"/>
      <w:kern w:val="0"/>
      <w:szCs w:val="20"/>
    </w:rPr>
  </w:style>
  <w:style w:type="paragraph" w:customStyle="1" w:styleId="207">
    <w:name w:val="默认段落字体 Para Char Char Char Char"/>
    <w:basedOn w:val="1"/>
    <w:qFormat/>
    <w:uiPriority w:val="0"/>
    <w:rPr>
      <w:rFonts w:cs="Times New Roman"/>
      <w:szCs w:val="24"/>
    </w:rPr>
  </w:style>
  <w:style w:type="paragraph" w:customStyle="1" w:styleId="208">
    <w:name w:val="1表格"/>
    <w:basedOn w:val="1"/>
    <w:qFormat/>
    <w:uiPriority w:val="0"/>
    <w:pPr>
      <w:spacing w:line="160" w:lineRule="atLeast"/>
      <w:jc w:val="center"/>
    </w:pPr>
    <w:rPr>
      <w:rFonts w:eastAsia="仿宋_GB2312" w:cs="Times New Roman"/>
      <w:szCs w:val="20"/>
    </w:rPr>
  </w:style>
  <w:style w:type="paragraph" w:customStyle="1" w:styleId="209">
    <w:name w:val="Char Char Char Char Char Char1 Char"/>
    <w:basedOn w:val="1"/>
    <w:qFormat/>
    <w:uiPriority w:val="0"/>
    <w:pPr>
      <w:widowControl/>
      <w:spacing w:after="160" w:line="240" w:lineRule="exact"/>
      <w:jc w:val="left"/>
    </w:pPr>
    <w:rPr>
      <w:rFonts w:cs="Times New Roman"/>
      <w:szCs w:val="24"/>
    </w:rPr>
  </w:style>
  <w:style w:type="paragraph" w:customStyle="1" w:styleId="210">
    <w:name w:val="报告"/>
    <w:basedOn w:val="1"/>
    <w:qFormat/>
    <w:uiPriority w:val="0"/>
    <w:pPr>
      <w:ind w:firstLine="505"/>
      <w:textAlignment w:val="baseline"/>
    </w:pPr>
    <w:rPr>
      <w:rFonts w:cs="Times New Roman"/>
      <w:kern w:val="0"/>
      <w:szCs w:val="20"/>
    </w:rPr>
  </w:style>
  <w:style w:type="paragraph" w:customStyle="1" w:styleId="211">
    <w:name w:val="Char1 Char Char Char"/>
    <w:basedOn w:val="1"/>
    <w:qFormat/>
    <w:uiPriority w:val="0"/>
    <w:rPr>
      <w:rFonts w:cs="Times New Roman"/>
      <w:szCs w:val="24"/>
    </w:rPr>
  </w:style>
  <w:style w:type="paragraph" w:customStyle="1" w:styleId="212">
    <w:name w:val="char"/>
    <w:basedOn w:val="1"/>
    <w:qFormat/>
    <w:uiPriority w:val="0"/>
    <w:pPr>
      <w:widowControl/>
      <w:spacing w:after="160" w:line="240" w:lineRule="exact"/>
      <w:jc w:val="left"/>
    </w:pPr>
    <w:rPr>
      <w:rFonts w:cs="Times New Roman"/>
      <w:szCs w:val="24"/>
    </w:rPr>
  </w:style>
  <w:style w:type="paragraph" w:customStyle="1" w:styleId="213">
    <w:name w:val="正文(首行缩进)宋旭峰"/>
    <w:basedOn w:val="13"/>
    <w:qFormat/>
    <w:uiPriority w:val="99"/>
    <w:pPr>
      <w:ind w:firstLine="0"/>
    </w:pPr>
    <w:rPr>
      <w:snapToGrid w:val="0"/>
      <w:szCs w:val="20"/>
    </w:rPr>
  </w:style>
  <w:style w:type="paragraph" w:customStyle="1" w:styleId="214">
    <w:name w:val="列表段落1"/>
    <w:basedOn w:val="1"/>
    <w:qFormat/>
    <w:uiPriority w:val="34"/>
    <w:pPr>
      <w:ind w:firstLine="420"/>
    </w:pPr>
    <w:rPr>
      <w:rFonts w:cs="Times New Roman"/>
      <w:szCs w:val="24"/>
    </w:rPr>
  </w:style>
  <w:style w:type="character" w:customStyle="1" w:styleId="215">
    <w:name w:val="纯文本 Char1"/>
    <w:qFormat/>
    <w:uiPriority w:val="0"/>
    <w:rPr>
      <w:rFonts w:ascii="宋体" w:hAnsi="Courier New" w:cs="Courier New"/>
      <w:kern w:val="2"/>
      <w:sz w:val="21"/>
      <w:szCs w:val="21"/>
    </w:rPr>
  </w:style>
  <w:style w:type="character" w:customStyle="1" w:styleId="216">
    <w:name w:val="正文文本 2 字符"/>
    <w:basedOn w:val="57"/>
    <w:qFormat/>
    <w:uiPriority w:val="0"/>
    <w:rPr>
      <w:sz w:val="22"/>
      <w:szCs w:val="22"/>
      <w:lang w:eastAsia="en-US"/>
    </w:rPr>
  </w:style>
  <w:style w:type="character" w:customStyle="1" w:styleId="217">
    <w:name w:val="题注 Char"/>
    <w:qFormat/>
    <w:uiPriority w:val="0"/>
    <w:rPr>
      <w:rFonts w:ascii="Calibri" w:hAnsi="Calibri" w:cs="黑体"/>
      <w:kern w:val="2"/>
      <w:sz w:val="21"/>
      <w:szCs w:val="24"/>
      <w:lang w:val="en-US" w:eastAsia="zh-CN" w:bidi="ar-SA"/>
    </w:rPr>
  </w:style>
  <w:style w:type="character" w:customStyle="1" w:styleId="218">
    <w:name w:val="lh151"/>
    <w:basedOn w:val="57"/>
    <w:qFormat/>
    <w:uiPriority w:val="0"/>
  </w:style>
  <w:style w:type="character" w:customStyle="1" w:styleId="219">
    <w:name w:val="正文文本 字符1"/>
    <w:semiHidden/>
    <w:qFormat/>
    <w:uiPriority w:val="0"/>
    <w:rPr>
      <w:rFonts w:ascii="Times New Roman" w:hAnsi="Times New Roman" w:eastAsia="宋体" w:cs="Times New Roman"/>
      <w:sz w:val="24"/>
      <w:szCs w:val="24"/>
    </w:rPr>
  </w:style>
  <w:style w:type="paragraph" w:customStyle="1" w:styleId="220">
    <w:name w:val="本正文"/>
    <w:basedOn w:val="21"/>
    <w:qFormat/>
    <w:uiPriority w:val="0"/>
    <w:pPr>
      <w:spacing w:line="300" w:lineRule="auto"/>
      <w:ind w:firstLine="420"/>
    </w:pPr>
    <w:rPr>
      <w:szCs w:val="21"/>
    </w:rPr>
  </w:style>
  <w:style w:type="character" w:customStyle="1" w:styleId="221">
    <w:name w:val="fontstyle01"/>
    <w:basedOn w:val="57"/>
    <w:qFormat/>
    <w:uiPriority w:val="0"/>
    <w:rPr>
      <w:rFonts w:ascii="仿宋_GB2312" w:hAnsi="仿宋_GB2312" w:eastAsia="仿宋_GB2312" w:cs="仿宋_GB2312"/>
      <w:color w:val="000000"/>
      <w:sz w:val="28"/>
      <w:szCs w:val="28"/>
    </w:rPr>
  </w:style>
  <w:style w:type="character" w:customStyle="1" w:styleId="222">
    <w:name w:val="fontstyle21"/>
    <w:basedOn w:val="57"/>
    <w:qFormat/>
    <w:uiPriority w:val="0"/>
    <w:rPr>
      <w:rFonts w:ascii="Calibri" w:hAnsi="Calibri" w:cs="Calibri"/>
      <w:color w:val="000000"/>
      <w:sz w:val="22"/>
      <w:szCs w:val="22"/>
    </w:rPr>
  </w:style>
  <w:style w:type="paragraph" w:customStyle="1" w:styleId="223">
    <w:name w:val="0环评标题2"/>
    <w:basedOn w:val="3"/>
    <w:qFormat/>
    <w:uiPriority w:val="0"/>
    <w:pPr>
      <w:adjustRightInd/>
      <w:spacing w:line="480" w:lineRule="exact"/>
      <w:ind w:firstLine="200"/>
    </w:pPr>
    <w:rPr>
      <w:rFonts w:ascii="ˎ̥" w:hAnsi="ˎ̥" w:eastAsia="Arial" w:cs="Arial"/>
      <w:kern w:val="2"/>
      <w:sz w:val="26"/>
    </w:rPr>
  </w:style>
  <w:style w:type="paragraph" w:customStyle="1" w:styleId="224">
    <w:name w:val="样式 正文 首行缩进:  2 字符 SL CON + 首行缩进:  2 字符"/>
    <w:basedOn w:val="225"/>
    <w:qFormat/>
    <w:uiPriority w:val="0"/>
    <w:pPr>
      <w:tabs>
        <w:tab w:val="left" w:pos="377"/>
      </w:tabs>
      <w:ind w:firstLine="480"/>
    </w:pPr>
  </w:style>
  <w:style w:type="paragraph" w:customStyle="1" w:styleId="225">
    <w:name w:val="正文 首行缩进:  2 字符 SL CON"/>
    <w:basedOn w:val="1"/>
    <w:qFormat/>
    <w:uiPriority w:val="0"/>
    <w:pPr>
      <w:widowControl/>
      <w:tabs>
        <w:tab w:val="left" w:pos="377"/>
      </w:tabs>
      <w:jc w:val="left"/>
    </w:pPr>
    <w:rPr>
      <w:rFonts w:ascii="宋体" w:hAnsi="Calibri" w:cs="宋体"/>
      <w:kern w:val="0"/>
      <w:lang w:eastAsia="en-US"/>
    </w:rPr>
  </w:style>
  <w:style w:type="paragraph" w:customStyle="1" w:styleId="226">
    <w:name w:val="图名使用"/>
    <w:basedOn w:val="1"/>
    <w:qFormat/>
    <w:uiPriority w:val="0"/>
    <w:pPr>
      <w:widowControl/>
      <w:spacing w:line="440" w:lineRule="exact"/>
      <w:jc w:val="center"/>
    </w:pPr>
    <w:rPr>
      <w:rFonts w:ascii="Calibri" w:hAnsi="Calibri" w:eastAsia="黑体" w:cs="Times New Roman"/>
      <w:sz w:val="22"/>
      <w:szCs w:val="21"/>
      <w:lang w:eastAsia="en-US"/>
    </w:rPr>
  </w:style>
  <w:style w:type="paragraph" w:customStyle="1" w:styleId="227">
    <w:name w:val="Body Text 22"/>
    <w:basedOn w:val="1"/>
    <w:qFormat/>
    <w:uiPriority w:val="0"/>
    <w:pPr>
      <w:widowControl/>
      <w:spacing w:line="440" w:lineRule="atLeast"/>
      <w:ind w:firstLine="480"/>
      <w:jc w:val="left"/>
    </w:pPr>
    <w:rPr>
      <w:rFonts w:ascii="仿宋_GB2312" w:hAnsi="仿宋_GB2312" w:eastAsia="ˎ̥" w:cs="仿宋_GB2312"/>
      <w:sz w:val="22"/>
      <w:lang w:eastAsia="en-US"/>
    </w:rPr>
  </w:style>
  <w:style w:type="paragraph" w:customStyle="1" w:styleId="228">
    <w:name w:val="0环评正文"/>
    <w:basedOn w:val="1"/>
    <w:qFormat/>
    <w:uiPriority w:val="0"/>
    <w:pPr>
      <w:widowControl/>
      <w:spacing w:line="480" w:lineRule="exact"/>
      <w:jc w:val="left"/>
    </w:pPr>
    <w:rPr>
      <w:rFonts w:ascii="Calibri" w:hAnsi="Calibri" w:cs="Times New Roman"/>
      <w:sz w:val="26"/>
      <w:lang w:eastAsia="en-US"/>
    </w:rPr>
  </w:style>
  <w:style w:type="paragraph" w:customStyle="1" w:styleId="229">
    <w:name w:val="二级无标题条"/>
    <w:basedOn w:val="1"/>
    <w:qFormat/>
    <w:uiPriority w:val="0"/>
    <w:pPr>
      <w:widowControl/>
      <w:jc w:val="left"/>
    </w:pPr>
    <w:rPr>
      <w:rFonts w:ascii="Calibri" w:hAnsi="Calibri" w:cs="Times New Roman"/>
      <w:lang w:eastAsia="en-US"/>
    </w:rPr>
  </w:style>
  <w:style w:type="paragraph" w:customStyle="1" w:styleId="230">
    <w:name w:val="表头使用"/>
    <w:basedOn w:val="1"/>
    <w:qFormat/>
    <w:uiPriority w:val="0"/>
    <w:pPr>
      <w:widowControl/>
      <w:jc w:val="right"/>
    </w:pPr>
    <w:rPr>
      <w:rFonts w:ascii="Calibri" w:hAnsi="Calibri" w:eastAsia="黑体" w:cs="Times New Roman"/>
      <w:kern w:val="0"/>
      <w:sz w:val="22"/>
      <w:szCs w:val="24"/>
      <w:lang w:eastAsia="en-US"/>
    </w:rPr>
  </w:style>
  <w:style w:type="paragraph" w:customStyle="1" w:styleId="231">
    <w:name w:val="纯文本2"/>
    <w:basedOn w:val="1"/>
    <w:qFormat/>
    <w:uiPriority w:val="0"/>
    <w:pPr>
      <w:widowControl/>
      <w:jc w:val="left"/>
    </w:pPr>
    <w:rPr>
      <w:rFonts w:ascii="宋体" w:hAnsi="Courier New" w:cs="Courier New"/>
      <w:kern w:val="0"/>
      <w:sz w:val="20"/>
      <w:szCs w:val="21"/>
      <w:lang w:eastAsia="en-US"/>
    </w:rPr>
  </w:style>
  <w:style w:type="paragraph" w:customStyle="1" w:styleId="232">
    <w:name w:val="正文（科宏）"/>
    <w:qFormat/>
    <w:uiPriority w:val="0"/>
    <w:pPr>
      <w:widowControl w:val="0"/>
      <w:spacing w:line="360" w:lineRule="auto"/>
      <w:ind w:firstLine="200" w:firstLineChars="200"/>
      <w:jc w:val="both"/>
    </w:pPr>
    <w:rPr>
      <w:rFonts w:ascii="Arial" w:hAnsi="Arial" w:eastAsia="仿宋_GB2312" w:cs="Times New Roman"/>
      <w:sz w:val="28"/>
      <w:lang w:val="en-US" w:eastAsia="zh-CN" w:bidi="ar-SA"/>
    </w:rPr>
  </w:style>
  <w:style w:type="character" w:customStyle="1" w:styleId="233">
    <w:name w:val="样式 样式 正文 首行缩进:  2 字符 SL CON + 首行缩进:  2 字符 + 宋体 Char Char Char"/>
    <w:qFormat/>
    <w:uiPriority w:val="0"/>
    <w:rPr>
      <w:kern w:val="2"/>
      <w:sz w:val="24"/>
      <w:szCs w:val="21"/>
    </w:rPr>
  </w:style>
  <w:style w:type="paragraph" w:customStyle="1" w:styleId="234">
    <w:name w:val="样式 样式 正文 首行缩进:  2 字符 SL CON + 首行缩进:  2 字符 + 宋体"/>
    <w:basedOn w:val="224"/>
    <w:qFormat/>
    <w:uiPriority w:val="0"/>
    <w:rPr>
      <w:rFonts w:ascii="Calibri"/>
    </w:rPr>
  </w:style>
  <w:style w:type="paragraph" w:customStyle="1" w:styleId="235">
    <w:name w:val="普通(网站)2"/>
    <w:basedOn w:val="1"/>
    <w:qFormat/>
    <w:uiPriority w:val="0"/>
    <w:pPr>
      <w:widowControl/>
      <w:spacing w:before="100" w:beforeAutospacing="1" w:after="100" w:afterAutospacing="1"/>
      <w:jc w:val="left"/>
    </w:pPr>
    <w:rPr>
      <w:rFonts w:ascii="宋体" w:hAnsi="宋体" w:cs="Times New Roman"/>
      <w:szCs w:val="20"/>
    </w:rPr>
  </w:style>
  <w:style w:type="character" w:customStyle="1" w:styleId="236">
    <w:name w:val="样式 小四 Char Char"/>
    <w:link w:val="237"/>
    <w:qFormat/>
    <w:uiPriority w:val="0"/>
    <w:rPr>
      <w:szCs w:val="24"/>
      <w:lang w:val="zh-CN"/>
    </w:rPr>
  </w:style>
  <w:style w:type="paragraph" w:customStyle="1" w:styleId="237">
    <w:name w:val="样式 小四"/>
    <w:basedOn w:val="1"/>
    <w:link w:val="236"/>
    <w:qFormat/>
    <w:uiPriority w:val="0"/>
    <w:pPr>
      <w:ind w:firstLine="480"/>
    </w:pPr>
    <w:rPr>
      <w:rFonts w:cs="Times New Roman"/>
      <w:kern w:val="0"/>
      <w:sz w:val="20"/>
      <w:szCs w:val="24"/>
      <w:lang w:val="zh-CN"/>
    </w:rPr>
  </w:style>
  <w:style w:type="paragraph" w:customStyle="1" w:styleId="238">
    <w:name w:val="C正文"/>
    <w:basedOn w:val="1"/>
    <w:qFormat/>
    <w:uiPriority w:val="0"/>
    <w:pPr>
      <w:contextualSpacing/>
    </w:pPr>
    <w:rPr>
      <w:rFonts w:cs="Times New Roman"/>
      <w:szCs w:val="24"/>
    </w:rPr>
  </w:style>
  <w:style w:type="paragraph" w:customStyle="1" w:styleId="239">
    <w:name w:val="C表格"/>
    <w:basedOn w:val="1"/>
    <w:next w:val="238"/>
    <w:qFormat/>
    <w:uiPriority w:val="0"/>
    <w:pPr>
      <w:ind w:firstLine="480"/>
      <w:contextualSpacing/>
      <w:jc w:val="center"/>
    </w:pPr>
    <w:rPr>
      <w:rFonts w:eastAsia="黑体" w:cs="Times New Roman"/>
      <w:szCs w:val="24"/>
    </w:rPr>
  </w:style>
  <w:style w:type="character" w:customStyle="1" w:styleId="240">
    <w:name w:val="泸县焦化三级标题 Char Char"/>
    <w:link w:val="241"/>
    <w:qFormat/>
    <w:uiPriority w:val="0"/>
    <w:rPr>
      <w:b/>
      <w:bCs/>
      <w:sz w:val="24"/>
      <w:szCs w:val="24"/>
    </w:rPr>
  </w:style>
  <w:style w:type="paragraph" w:customStyle="1" w:styleId="241">
    <w:name w:val="泸县焦化三级标题"/>
    <w:basedOn w:val="1"/>
    <w:link w:val="240"/>
    <w:qFormat/>
    <w:uiPriority w:val="0"/>
    <w:pPr>
      <w:keepNext/>
      <w:keepLines/>
      <w:autoSpaceDE w:val="0"/>
      <w:autoSpaceDN w:val="0"/>
      <w:outlineLvl w:val="2"/>
    </w:pPr>
    <w:rPr>
      <w:rFonts w:cs="Times New Roman"/>
      <w:b/>
      <w:bCs/>
      <w:kern w:val="0"/>
      <w:szCs w:val="24"/>
    </w:rPr>
  </w:style>
  <w:style w:type="paragraph" w:customStyle="1" w:styleId="242">
    <w:name w:val="p_MsoNormal"/>
    <w:basedOn w:val="1"/>
    <w:qFormat/>
    <w:uiPriority w:val="0"/>
    <w:pPr>
      <w:widowControl/>
      <w:autoSpaceDE w:val="0"/>
      <w:autoSpaceDN w:val="0"/>
      <w:spacing w:line="400" w:lineRule="atLeast"/>
      <w:ind w:firstLine="482"/>
      <w:jc w:val="left"/>
      <w:textAlignment w:val="baseline"/>
    </w:pPr>
    <w:rPr>
      <w:rFonts w:ascii="宋体" w:hAnsi="宋体" w:cs="宋体"/>
      <w:kern w:val="0"/>
      <w:szCs w:val="24"/>
    </w:rPr>
  </w:style>
  <w:style w:type="character" w:customStyle="1" w:styleId="243">
    <w:name w:val="批注文字 Char1"/>
    <w:qFormat/>
    <w:uiPriority w:val="0"/>
    <w:rPr>
      <w:rFonts w:ascii="Times New Roman" w:hAnsi="Times New Roman" w:eastAsia="宋体" w:cs="Times New Roman"/>
      <w:szCs w:val="24"/>
    </w:rPr>
  </w:style>
  <w:style w:type="character" w:customStyle="1" w:styleId="244">
    <w:name w:val="标题 Char1"/>
    <w:basedOn w:val="57"/>
    <w:link w:val="48"/>
    <w:qFormat/>
    <w:uiPriority w:val="0"/>
    <w:rPr>
      <w:rFonts w:ascii="Arial" w:hAnsi="Arial"/>
      <w:b/>
      <w:sz w:val="32"/>
    </w:rPr>
  </w:style>
  <w:style w:type="character" w:customStyle="1" w:styleId="245">
    <w:name w:val="sub"/>
    <w:qFormat/>
    <w:uiPriority w:val="0"/>
    <w:rPr>
      <w:rFonts w:ascii="宋体" w:hAnsi="宋体" w:eastAsia="宋体" w:cs="宋体"/>
      <w:color w:val="000000"/>
      <w:sz w:val="18"/>
      <w:szCs w:val="18"/>
    </w:rPr>
  </w:style>
  <w:style w:type="character" w:customStyle="1" w:styleId="246">
    <w:name w:val="sup"/>
    <w:qFormat/>
    <w:uiPriority w:val="0"/>
    <w:rPr>
      <w:rFonts w:ascii="宋体" w:hAnsi="宋体" w:eastAsia="宋体" w:cs="宋体"/>
      <w:color w:val="000000"/>
      <w:sz w:val="18"/>
      <w:szCs w:val="18"/>
    </w:rPr>
  </w:style>
  <w:style w:type="paragraph" w:customStyle="1" w:styleId="247">
    <w:name w:val="表格内格式"/>
    <w:basedOn w:val="1"/>
    <w:next w:val="1"/>
    <w:qFormat/>
    <w:uiPriority w:val="0"/>
    <w:pPr>
      <w:autoSpaceDE w:val="0"/>
      <w:autoSpaceDN w:val="0"/>
      <w:jc w:val="center"/>
      <w:textAlignment w:val="baseline"/>
    </w:pPr>
    <w:rPr>
      <w:rFonts w:cs="Times New Roman"/>
      <w:kern w:val="0"/>
      <w:szCs w:val="20"/>
    </w:rPr>
  </w:style>
  <w:style w:type="paragraph" w:customStyle="1" w:styleId="248">
    <w:name w:val="正文格式"/>
    <w:basedOn w:val="1"/>
    <w:qFormat/>
    <w:uiPriority w:val="0"/>
    <w:pPr>
      <w:autoSpaceDE w:val="0"/>
      <w:autoSpaceDN w:val="0"/>
      <w:ind w:firstLine="480"/>
      <w:textAlignment w:val="baseline"/>
    </w:pPr>
    <w:rPr>
      <w:rFonts w:cs="Times New Roman"/>
      <w:kern w:val="0"/>
      <w:szCs w:val="20"/>
    </w:rPr>
  </w:style>
  <w:style w:type="character" w:customStyle="1" w:styleId="249">
    <w:name w:val="Unresolved Mention"/>
    <w:basedOn w:val="57"/>
    <w:semiHidden/>
    <w:unhideWhenUsed/>
    <w:qFormat/>
    <w:uiPriority w:val="99"/>
    <w:rPr>
      <w:color w:val="605E5C"/>
      <w:shd w:val="clear" w:color="auto" w:fill="E1DFDD"/>
    </w:rPr>
  </w:style>
  <w:style w:type="paragraph" w:customStyle="1" w:styleId="250">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251">
    <w:name w:val="表标题名"/>
    <w:basedOn w:val="148"/>
    <w:link w:val="252"/>
    <w:qFormat/>
    <w:uiPriority w:val="0"/>
    <w:pPr>
      <w:tabs>
        <w:tab w:val="left" w:pos="1350"/>
      </w:tabs>
      <w:autoSpaceDE w:val="0"/>
      <w:autoSpaceDN w:val="0"/>
      <w:spacing w:before="0"/>
    </w:pPr>
    <w:rPr>
      <w:rFonts w:ascii="Times New Roman" w:hAnsi="Times New Roman" w:eastAsia="宋体"/>
      <w:shd w:val="clear" w:color="auto" w:fill="FFFFFF"/>
    </w:rPr>
  </w:style>
  <w:style w:type="character" w:customStyle="1" w:styleId="252">
    <w:name w:val="表标题名 Char"/>
    <w:link w:val="251"/>
    <w:qFormat/>
    <w:uiPriority w:val="0"/>
    <w:rPr>
      <w:kern w:val="2"/>
      <w:sz w:val="21"/>
      <w:szCs w:val="24"/>
    </w:rPr>
  </w:style>
  <w:style w:type="paragraph" w:customStyle="1" w:styleId="253">
    <w:name w:val="0表格正文"/>
    <w:link w:val="254"/>
    <w:qFormat/>
    <w:uiPriority w:val="0"/>
    <w:pPr>
      <w:jc w:val="center"/>
    </w:pPr>
    <w:rPr>
      <w:rFonts w:ascii="Times New Roman" w:hAnsi="Times New Roman" w:eastAsia="宋体" w:cstheme="minorBidi"/>
      <w:sz w:val="21"/>
      <w:szCs w:val="21"/>
      <w:lang w:val="en-US" w:eastAsia="zh-CN" w:bidi="ar-SA"/>
    </w:rPr>
  </w:style>
  <w:style w:type="character" w:customStyle="1" w:styleId="254">
    <w:name w:val="0表格正文 字符"/>
    <w:basedOn w:val="57"/>
    <w:link w:val="253"/>
    <w:qFormat/>
    <w:uiPriority w:val="0"/>
    <w:rPr>
      <w:rFonts w:cstheme="minorBidi"/>
      <w:sz w:val="21"/>
      <w:szCs w:val="21"/>
    </w:rPr>
  </w:style>
  <w:style w:type="character" w:customStyle="1" w:styleId="255">
    <w:name w:val="【表内字】 Char"/>
    <w:link w:val="256"/>
    <w:qFormat/>
    <w:uiPriority w:val="0"/>
    <w:rPr>
      <w:sz w:val="21"/>
      <w:szCs w:val="24"/>
    </w:rPr>
  </w:style>
  <w:style w:type="paragraph" w:customStyle="1" w:styleId="256">
    <w:name w:val="【表内字】"/>
    <w:basedOn w:val="1"/>
    <w:link w:val="255"/>
    <w:qFormat/>
    <w:uiPriority w:val="0"/>
    <w:pPr>
      <w:jc w:val="center"/>
    </w:pPr>
    <w:rPr>
      <w:rFonts w:cs="Times New Roman"/>
      <w:kern w:val="0"/>
      <w:szCs w:val="24"/>
    </w:rPr>
  </w:style>
  <w:style w:type="character" w:customStyle="1" w:styleId="257">
    <w:name w:val="日期 Char"/>
    <w:basedOn w:val="57"/>
    <w:link w:val="29"/>
    <w:qFormat/>
    <w:uiPriority w:val="0"/>
    <w:rPr>
      <w:rFonts w:ascii="宋体" w:cs="宋体" w:eastAsiaTheme="minorEastAsia"/>
      <w:sz w:val="24"/>
      <w:szCs w:val="24"/>
    </w:rPr>
  </w:style>
  <w:style w:type="paragraph" w:customStyle="1" w:styleId="258">
    <w:name w:val="1、L表名、图名"/>
    <w:basedOn w:val="1"/>
    <w:qFormat/>
    <w:uiPriority w:val="0"/>
    <w:pPr>
      <w:jc w:val="center"/>
    </w:pPr>
    <w:rPr>
      <w:rFonts w:cs="Times New Roman"/>
      <w:bCs/>
      <w:szCs w:val="18"/>
    </w:rPr>
  </w:style>
  <w:style w:type="paragraph" w:customStyle="1" w:styleId="25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6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261">
    <w:name w:val="S表格正文"/>
    <w:basedOn w:val="52"/>
    <w:qFormat/>
    <w:uiPriority w:val="99"/>
    <w:rPr>
      <w:rFonts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262">
    <w:name w:val="0表头"/>
    <w:basedOn w:val="253"/>
    <w:link w:val="263"/>
    <w:qFormat/>
    <w:uiPriority w:val="0"/>
    <w:rPr>
      <w:rFonts w:eastAsia="黑体"/>
      <w:b/>
    </w:rPr>
  </w:style>
  <w:style w:type="character" w:customStyle="1" w:styleId="263">
    <w:name w:val="0表头 字符"/>
    <w:basedOn w:val="254"/>
    <w:link w:val="262"/>
    <w:qFormat/>
    <w:uiPriority w:val="0"/>
    <w:rPr>
      <w:rFonts w:eastAsia="黑体" w:cstheme="minorBidi"/>
      <w:b/>
      <w:sz w:val="21"/>
      <w:szCs w:val="21"/>
    </w:rPr>
  </w:style>
  <w:style w:type="character" w:customStyle="1" w:styleId="264">
    <w:name w:val="SSEC 表字居中 字符"/>
    <w:link w:val="265"/>
    <w:qFormat/>
    <w:uiPriority w:val="0"/>
    <w:rPr>
      <w:rFonts w:ascii="宋体"/>
      <w:kern w:val="2"/>
      <w:sz w:val="21"/>
      <w:szCs w:val="21"/>
    </w:rPr>
  </w:style>
  <w:style w:type="paragraph" w:customStyle="1" w:styleId="265">
    <w:name w:val="SSEC 表字居中"/>
    <w:link w:val="264"/>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266">
    <w:name w:val="1 Char Char Char Char"/>
    <w:basedOn w:val="1"/>
    <w:qFormat/>
    <w:uiPriority w:val="0"/>
    <w:rPr>
      <w:rFonts w:cs="Times New Roman"/>
      <w:szCs w:val="24"/>
    </w:rPr>
  </w:style>
  <w:style w:type="character" w:customStyle="1" w:styleId="267">
    <w:name w:val="SSEC表字居中 20150323 Char"/>
    <w:link w:val="268"/>
    <w:qFormat/>
    <w:locked/>
    <w:uiPriority w:val="0"/>
    <w:rPr>
      <w:rFonts w:ascii="宋体" w:hAnsi="宋体"/>
      <w:kern w:val="2"/>
      <w:sz w:val="21"/>
      <w:szCs w:val="21"/>
    </w:rPr>
  </w:style>
  <w:style w:type="paragraph" w:customStyle="1" w:styleId="268">
    <w:name w:val="SSEC表字居中 20150323"/>
    <w:link w:val="267"/>
    <w:qFormat/>
    <w:uiPriority w:val="0"/>
    <w:pPr>
      <w:adjustRightInd w:val="0"/>
      <w:snapToGrid w:val="0"/>
      <w:jc w:val="center"/>
    </w:pPr>
    <w:rPr>
      <w:rFonts w:ascii="宋体" w:hAnsi="宋体" w:eastAsia="宋体" w:cs="Times New Roman"/>
      <w:kern w:val="2"/>
      <w:sz w:val="21"/>
      <w:szCs w:val="21"/>
      <w:lang w:val="en-US" w:eastAsia="zh-CN" w:bidi="ar-SA"/>
    </w:rPr>
  </w:style>
  <w:style w:type="character" w:customStyle="1" w:styleId="269">
    <w:name w:val="【正文】 Char Char"/>
    <w:qFormat/>
    <w:uiPriority w:val="0"/>
    <w:rPr>
      <w:sz w:val="24"/>
      <w:lang w:bidi="ar-SA"/>
    </w:rPr>
  </w:style>
  <w:style w:type="paragraph" w:customStyle="1" w:styleId="270">
    <w:name w:val="TOC 标题11"/>
    <w:next w:val="1"/>
    <w:unhideWhenUsed/>
    <w:qFormat/>
    <w:uiPriority w:val="39"/>
    <w:pPr>
      <w:spacing w:line="360" w:lineRule="auto"/>
      <w:jc w:val="center"/>
    </w:pPr>
    <w:rPr>
      <w:rFonts w:ascii="Times New Roman" w:hAnsi="Times New Roman" w:eastAsia="Times New Roman" w:cstheme="majorBidi"/>
      <w:b/>
      <w:bCs/>
      <w:sz w:val="21"/>
      <w:szCs w:val="28"/>
      <w:lang w:val="en-US" w:eastAsia="zh-CN" w:bidi="ar-SA"/>
    </w:rPr>
  </w:style>
  <w:style w:type="table" w:customStyle="1" w:styleId="271">
    <w:name w:val="S表格样式"/>
    <w:basedOn w:val="52"/>
    <w:qFormat/>
    <w:uiPriority w:val="99"/>
    <w:rPr>
      <w:rFonts w:eastAsiaTheme="minorEastAsia"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tblHeader/>
      <w:jc w:val="center"/>
    </w:trPr>
    <w:tcPr>
      <w:vAlign w:val="center"/>
    </w:tcPr>
  </w:style>
  <w:style w:type="table" w:customStyle="1" w:styleId="272">
    <w:name w:val="表格正文"/>
    <w:basedOn w:val="53"/>
    <w:qFormat/>
    <w:uiPriority w:val="99"/>
    <w:pPr>
      <w:jc w:val="center"/>
    </w:pPr>
    <w:rPr>
      <w:rFonts w:eastAsiaTheme="minorEastAsia" w:cstheme="minorBidi"/>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273">
    <w:name w:val="样式1"/>
    <w:basedOn w:val="52"/>
    <w:qFormat/>
    <w:uiPriority w:val="99"/>
    <w:rPr>
      <w:rFonts w:asciiTheme="minorHAnsi" w:hAnsiTheme="minorHAnsi" w:eastAsiaTheme="minorEastAsia" w:cstheme="minorBidi"/>
      <w:kern w:val="2"/>
      <w:sz w:val="21"/>
      <w:szCs w:val="21"/>
    </w:rPr>
    <w:tblPr>
      <w:tblCellMar>
        <w:top w:w="0" w:type="dxa"/>
        <w:left w:w="108" w:type="dxa"/>
        <w:bottom w:w="0" w:type="dxa"/>
        <w:right w:w="108" w:type="dxa"/>
      </w:tblCellMar>
    </w:tblPr>
    <w:tblStylePr w:type="firstRow">
      <w:rPr>
        <w:rFonts w:ascii="Times New Roman" w:hAnsi="Times New Roman" w:eastAsia="宋体"/>
        <w:b/>
        <w:i w:val="0"/>
        <w:sz w:val="21"/>
      </w:rPr>
      <w:tblPr>
        <w:jc w:val="center"/>
      </w:tblPr>
      <w:trPr>
        <w:jc w:val="center"/>
      </w:trPr>
      <w:tcPr>
        <w:vAlign w:val="center"/>
      </w:tcPr>
    </w:tblStylePr>
  </w:style>
  <w:style w:type="table" w:customStyle="1" w:styleId="274">
    <w:name w:val="表格标题行"/>
    <w:basedOn w:val="52"/>
    <w:qFormat/>
    <w:uiPriority w:val="99"/>
    <w:rPr>
      <w:rFonts w:asciiTheme="minorHAnsi" w:hAnsiTheme="minorHAnsi" w:eastAsiaTheme="minorEastAsia" w:cstheme="minorBidi"/>
      <w:kern w:val="2"/>
      <w:sz w:val="21"/>
      <w:szCs w:val="21"/>
    </w:rPr>
    <w:tblPr>
      <w:tblCellMar>
        <w:top w:w="0" w:type="dxa"/>
        <w:left w:w="108" w:type="dxa"/>
        <w:bottom w:w="0" w:type="dxa"/>
        <w:right w:w="108" w:type="dxa"/>
      </w:tblCellMar>
    </w:tblPr>
    <w:tblStylePr w:type="firstRow">
      <w:pPr>
        <w:wordWrap/>
        <w:spacing w:line="240" w:lineRule="auto"/>
      </w:pPr>
      <w:rPr>
        <w:rFonts w:ascii="Times New Roman" w:hAnsi="Times New Roman" w:eastAsia="宋体"/>
        <w:b/>
        <w:i w:val="0"/>
        <w:sz w:val="21"/>
      </w:rPr>
      <w:tblPr>
        <w:jc w:val="center"/>
      </w:tblPr>
      <w:trPr>
        <w:jc w:val="center"/>
      </w:trPr>
      <w:tcPr>
        <w:tcBorders>
          <w:top w:val="nil"/>
          <w:left w:val="nil"/>
          <w:bottom w:val="nil"/>
          <w:right w:val="nil"/>
          <w:insideH w:val="nil"/>
          <w:insideV w:val="nil"/>
        </w:tcBorders>
        <w:vAlign w:val="center"/>
      </w:tcPr>
    </w:tblStylePr>
  </w:style>
  <w:style w:type="paragraph" w:customStyle="1" w:styleId="275">
    <w:name w:val="表格标题"/>
    <w:basedOn w:val="1"/>
    <w:link w:val="276"/>
    <w:qFormat/>
    <w:uiPriority w:val="0"/>
    <w:pPr>
      <w:jc w:val="center"/>
    </w:pPr>
    <w:rPr>
      <w:kern w:val="0"/>
      <w:szCs w:val="21"/>
    </w:rPr>
  </w:style>
  <w:style w:type="character" w:customStyle="1" w:styleId="276">
    <w:name w:val="表格标题 字符"/>
    <w:basedOn w:val="57"/>
    <w:link w:val="275"/>
    <w:qFormat/>
    <w:uiPriority w:val="0"/>
    <w:rPr>
      <w:rFonts w:cstheme="minorBidi"/>
      <w:sz w:val="24"/>
      <w:szCs w:val="21"/>
    </w:rPr>
  </w:style>
  <w:style w:type="paragraph" w:customStyle="1" w:styleId="277">
    <w:name w:val="文本框"/>
    <w:basedOn w:val="27"/>
    <w:qFormat/>
    <w:uiPriority w:val="0"/>
    <w:pPr>
      <w:framePr w:wrap="around" w:vAnchor="text" w:hAnchor="text" w:y="1"/>
    </w:pPr>
    <w:rPr>
      <w:rFonts w:ascii="Times New Roman" w:hAnsi="Times New Roman" w:eastAsia="华文仿宋"/>
      <w:kern w:val="0"/>
      <w:szCs w:val="21"/>
    </w:rPr>
  </w:style>
  <w:style w:type="paragraph" w:customStyle="1" w:styleId="27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79">
    <w:name w:val="表格内容V"/>
    <w:basedOn w:val="52"/>
    <w:qFormat/>
    <w:uiPriority w:val="99"/>
    <w:rPr>
      <w:rFonts w:asciiTheme="minorHAnsi" w:hAnsiTheme="minorHAnsi" w:eastAsiaTheme="minorEastAsia" w:cstheme="minorBidi"/>
      <w:kern w:val="2"/>
      <w:sz w:val="21"/>
      <w:szCs w:val="21"/>
    </w:rPr>
    <w:tblPr>
      <w:jc w:val="center"/>
      <w:tblCellSpacing w:w="11" w:type="dxa"/>
      <w:tblCellMar>
        <w:top w:w="0" w:type="dxa"/>
        <w:left w:w="108" w:type="dxa"/>
        <w:bottom w:w="0" w:type="dxa"/>
        <w:right w:w="108" w:type="dxa"/>
      </w:tblCellMar>
    </w:tblPr>
    <w:trPr>
      <w:tblCellSpacing w:w="11" w:type="dxa"/>
      <w:jc w:val="center"/>
    </w:trPr>
    <w:tcPr>
      <w:vAlign w:val="center"/>
    </w:tcPr>
  </w:style>
  <w:style w:type="table" w:customStyle="1" w:styleId="280">
    <w:name w:val="0表格内容"/>
    <w:basedOn w:val="52"/>
    <w:qFormat/>
    <w:uiPriority w:val="99"/>
    <w:rPr>
      <w:rFonts w:cstheme="minorBidi"/>
      <w:sz w:val="21"/>
      <w:szCs w:val="21"/>
    </w:rPr>
    <w:tblPr>
      <w:jc w:val="center"/>
      <w:tblCellMar>
        <w:top w:w="0" w:type="dxa"/>
        <w:left w:w="108" w:type="dxa"/>
        <w:bottom w:w="0" w:type="dxa"/>
        <w:right w:w="108" w:type="dxa"/>
      </w:tblCellMar>
    </w:tblPr>
    <w:trPr>
      <w:jc w:val="center"/>
    </w:trPr>
    <w:tcPr>
      <w:vAlign w:val="center"/>
    </w:tcPr>
  </w:style>
  <w:style w:type="table" w:customStyle="1" w:styleId="281">
    <w:name w:val="表格正文1"/>
    <w:basedOn w:val="53"/>
    <w:qFormat/>
    <w:uiPriority w:val="99"/>
    <w:pPr>
      <w:jc w:val="center"/>
    </w:pPr>
    <w:rPr>
      <w:rFonts w:eastAsiaTheme="minorEastAsia" w:cstheme="minorBidi"/>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styleId="282">
    <w:name w:val="Placeholder Text"/>
    <w:basedOn w:val="57"/>
    <w:semiHidden/>
    <w:qFormat/>
    <w:uiPriority w:val="99"/>
    <w:rPr>
      <w:color w:val="808080"/>
    </w:rPr>
  </w:style>
  <w:style w:type="table" w:customStyle="1" w:styleId="283">
    <w:name w:val="网格型1"/>
    <w:basedOn w:val="52"/>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4">
    <w:name w:val="网格型2"/>
    <w:basedOn w:val="52"/>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5">
    <w:name w:val="网格型3"/>
    <w:basedOn w:val="52"/>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
    <w:name w:val="S表格正文1"/>
    <w:basedOn w:val="52"/>
    <w:qFormat/>
    <w:uiPriority w:val="99"/>
    <w:rPr>
      <w:rFonts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287">
    <w:name w:val="TOC Heading"/>
    <w:basedOn w:val="2"/>
    <w:next w:val="1"/>
    <w:unhideWhenUsed/>
    <w:qFormat/>
    <w:uiPriority w:val="39"/>
    <w:pPr>
      <w:spacing w:before="240" w:beforeLines="100" w:after="0" w:line="259" w:lineRule="auto"/>
      <w:outlineLvl w:val="9"/>
    </w:pPr>
    <w:rPr>
      <w:rFonts w:asciiTheme="majorHAnsi" w:hAnsiTheme="majorHAnsi" w:eastAsiaTheme="majorEastAsia" w:cstheme="majorBidi"/>
      <w:b/>
      <w:bCs w:val="0"/>
      <w:color w:val="2F5597" w:themeColor="accent1" w:themeShade="BF"/>
      <w:kern w:val="0"/>
      <w:szCs w:val="32"/>
      <w:lang w:eastAsia="zh-CN"/>
    </w:rPr>
  </w:style>
  <w:style w:type="paragraph" w:customStyle="1" w:styleId="288">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89">
    <w:name w:val="Normal_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90">
    <w:name w:val="表格正文2"/>
    <w:basedOn w:val="53"/>
    <w:qFormat/>
    <w:uiPriority w:val="99"/>
    <w:pPr>
      <w:jc w:val="center"/>
    </w:pPr>
    <w:rPr>
      <w:rFonts w:eastAsiaTheme="minorEastAsia" w:cstheme="minorBidi"/>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291">
    <w:name w:val="表格 Char Char"/>
    <w:link w:val="292"/>
    <w:qFormat/>
    <w:uiPriority w:val="0"/>
    <w:rPr>
      <w:rFonts w:ascii="宋体" w:hAnsi="宋体" w:cs="宋体"/>
      <w:sz w:val="24"/>
    </w:rPr>
  </w:style>
  <w:style w:type="paragraph" w:customStyle="1" w:styleId="292">
    <w:name w:val="表格"/>
    <w:basedOn w:val="1"/>
    <w:link w:val="291"/>
    <w:qFormat/>
    <w:uiPriority w:val="0"/>
    <w:pPr>
      <w:widowControl/>
      <w:jc w:val="center"/>
      <w:textAlignment w:val="baseline"/>
    </w:pPr>
    <w:rPr>
      <w:rFonts w:ascii="宋体" w:hAnsi="宋体" w:cs="宋体"/>
      <w:kern w:val="0"/>
      <w:szCs w:val="20"/>
    </w:rPr>
  </w:style>
  <w:style w:type="paragraph" w:customStyle="1" w:styleId="293">
    <w:name w:val="表内文字"/>
    <w:basedOn w:val="1"/>
    <w:qFormat/>
    <w:uiPriority w:val="0"/>
    <w:pPr>
      <w:widowControl/>
      <w:ind w:left="57" w:right="57"/>
      <w:jc w:val="center"/>
    </w:pPr>
    <w:rPr>
      <w:rFonts w:ascii="Times" w:hAnsi="Times" w:cs="Times"/>
      <w:snapToGrid w:val="0"/>
      <w:spacing w:val="-20"/>
      <w:kern w:val="0"/>
      <w:szCs w:val="21"/>
    </w:rPr>
  </w:style>
  <w:style w:type="paragraph" w:customStyle="1" w:styleId="294">
    <w:name w:val="L-正文"/>
    <w:basedOn w:val="1"/>
    <w:qFormat/>
    <w:uiPriority w:val="0"/>
    <w:pPr>
      <w:ind w:firstLine="480"/>
    </w:pPr>
    <w:rPr>
      <w:rFonts w:ascii="宋体" w:cs="Tahoma"/>
      <w:color w:val="444444"/>
      <w:kern w:val="0"/>
      <w:szCs w:val="27"/>
      <w:shd w:val="clear" w:color="auto" w:fill="FFFFFF"/>
    </w:rPr>
  </w:style>
  <w:style w:type="paragraph" w:customStyle="1" w:styleId="295">
    <w:name w:val="表格内容11"/>
    <w:next w:val="21"/>
    <w:qFormat/>
    <w:uiPriority w:val="0"/>
    <w:pPr>
      <w:adjustRightInd w:val="0"/>
      <w:snapToGrid w:val="0"/>
      <w:jc w:val="center"/>
      <w:textAlignment w:val="baseline"/>
    </w:pPr>
    <w:rPr>
      <w:rFonts w:ascii="Times New Roman" w:hAnsi="Times New Roman" w:eastAsia="宋体" w:cs="Times New Roman"/>
      <w:kern w:val="2"/>
      <w:sz w:val="21"/>
      <w:lang w:val="en-US" w:eastAsia="zh-CN" w:bidi="ar-SA"/>
    </w:rPr>
  </w:style>
  <w:style w:type="table" w:customStyle="1" w:styleId="296">
    <w:name w:val="网格型ZHJICIA1"/>
    <w:basedOn w:val="52"/>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7">
    <w:name w:val="标题 7 Char"/>
    <w:basedOn w:val="57"/>
    <w:link w:val="8"/>
    <w:qFormat/>
    <w:uiPriority w:val="0"/>
    <w:rPr>
      <w:b/>
      <w:bCs/>
      <w:kern w:val="2"/>
      <w:sz w:val="24"/>
      <w:szCs w:val="24"/>
    </w:rPr>
  </w:style>
  <w:style w:type="character" w:customStyle="1" w:styleId="298">
    <w:name w:val="注释标题 Char"/>
    <w:basedOn w:val="57"/>
    <w:link w:val="12"/>
    <w:qFormat/>
    <w:uiPriority w:val="0"/>
    <w:rPr>
      <w:kern w:val="2"/>
      <w:sz w:val="30"/>
    </w:rPr>
  </w:style>
  <w:style w:type="paragraph" w:customStyle="1" w:styleId="299">
    <w:name w:val="正文1"/>
    <w:basedOn w:val="22"/>
    <w:qFormat/>
    <w:uiPriority w:val="0"/>
    <w:pPr>
      <w:widowControl w:val="0"/>
      <w:spacing w:line="500" w:lineRule="exact"/>
      <w:ind w:firstLine="520"/>
      <w:jc w:val="both"/>
    </w:pPr>
    <w:rPr>
      <w:rFonts w:ascii="Times New Roman" w:hAnsi="Times New Roman"/>
      <w:kern w:val="2"/>
      <w:sz w:val="26"/>
      <w:szCs w:val="26"/>
      <w:lang w:eastAsia="zh-CN"/>
    </w:rPr>
  </w:style>
  <w:style w:type="paragraph" w:customStyle="1" w:styleId="300">
    <w:name w:val="报告正文"/>
    <w:basedOn w:val="50"/>
    <w:qFormat/>
    <w:uiPriority w:val="0"/>
    <w:pPr>
      <w:ind w:firstLine="480" w:firstLineChars="200"/>
    </w:pPr>
    <w:rPr>
      <w:rFonts w:ascii="宋体" w:hAnsi="宋体"/>
      <w:sz w:val="24"/>
    </w:rPr>
  </w:style>
  <w:style w:type="character" w:customStyle="1" w:styleId="301">
    <w:name w:val="正文首行缩进 Char1"/>
    <w:basedOn w:val="77"/>
    <w:link w:val="50"/>
    <w:qFormat/>
    <w:uiPriority w:val="0"/>
    <w:rPr>
      <w:rFonts w:ascii="宋体" w:hAnsi="宋体"/>
      <w:kern w:val="2"/>
      <w:sz w:val="21"/>
      <w:szCs w:val="24"/>
      <w:lang w:eastAsia="en-US"/>
    </w:rPr>
  </w:style>
  <w:style w:type="character" w:customStyle="1" w:styleId="302">
    <w:name w:val="HTML 预设格式 Char"/>
    <w:basedOn w:val="57"/>
    <w:link w:val="45"/>
    <w:qFormat/>
    <w:uiPriority w:val="0"/>
    <w:rPr>
      <w:rFonts w:ascii="Arial" w:hAnsi="Arial" w:cs="Arial"/>
      <w:sz w:val="24"/>
      <w:szCs w:val="24"/>
    </w:rPr>
  </w:style>
  <w:style w:type="character" w:customStyle="1" w:styleId="303">
    <w:name w:val="样式 Char4 Char Char Char + Times New Roman Char"/>
    <w:link w:val="304"/>
    <w:qFormat/>
    <w:uiPriority w:val="0"/>
    <w:rPr>
      <w:rFonts w:cs="宋体"/>
      <w:kern w:val="2"/>
      <w:sz w:val="24"/>
      <w:szCs w:val="26"/>
    </w:rPr>
  </w:style>
  <w:style w:type="paragraph" w:customStyle="1" w:styleId="304">
    <w:name w:val="样式 Char4 Char Char Char + Times New Roman"/>
    <w:basedOn w:val="305"/>
    <w:link w:val="303"/>
    <w:qFormat/>
    <w:uiPriority w:val="0"/>
    <w:rPr>
      <w:rFonts w:ascii="Times New Roman" w:hAnsi="Times New Roman"/>
    </w:rPr>
  </w:style>
  <w:style w:type="paragraph" w:customStyle="1" w:styleId="305">
    <w:name w:val="Char4 Char Char Char"/>
    <w:basedOn w:val="1"/>
    <w:qFormat/>
    <w:uiPriority w:val="0"/>
    <w:pPr>
      <w:spacing w:line="400" w:lineRule="exact"/>
    </w:pPr>
    <w:rPr>
      <w:rFonts w:ascii="宋体" w:hAnsi="宋体" w:cs="宋体"/>
      <w:szCs w:val="26"/>
    </w:rPr>
  </w:style>
  <w:style w:type="character" w:customStyle="1" w:styleId="306">
    <w:name w:val="标准样式 Char Char"/>
    <w:qFormat/>
    <w:uiPriority w:val="0"/>
    <w:rPr>
      <w:rFonts w:eastAsia="宋体"/>
      <w:kern w:val="2"/>
      <w:sz w:val="28"/>
      <w:lang w:val="en-US" w:eastAsia="zh-CN" w:bidi="ar-SA"/>
    </w:rPr>
  </w:style>
  <w:style w:type="character" w:customStyle="1" w:styleId="307">
    <w:name w:val="样式105 Char"/>
    <w:link w:val="308"/>
    <w:qFormat/>
    <w:uiPriority w:val="0"/>
    <w:rPr>
      <w:rFonts w:ascii="宋体" w:hAnsi="宋体" w:cs="宋体"/>
      <w:sz w:val="26"/>
      <w:szCs w:val="26"/>
    </w:rPr>
  </w:style>
  <w:style w:type="paragraph" w:customStyle="1" w:styleId="308">
    <w:name w:val="样式105"/>
    <w:link w:val="307"/>
    <w:qFormat/>
    <w:uiPriority w:val="0"/>
    <w:pPr>
      <w:adjustRightInd w:val="0"/>
      <w:snapToGrid w:val="0"/>
      <w:spacing w:line="460" w:lineRule="exact"/>
      <w:ind w:firstLine="520" w:firstLineChars="200"/>
    </w:pPr>
    <w:rPr>
      <w:rFonts w:ascii="宋体" w:hAnsi="宋体" w:eastAsia="宋体" w:cs="宋体"/>
      <w:sz w:val="26"/>
      <w:szCs w:val="26"/>
      <w:lang w:val="en-US" w:eastAsia="zh-CN" w:bidi="ar-SA"/>
    </w:rPr>
  </w:style>
  <w:style w:type="character" w:customStyle="1" w:styleId="309">
    <w:name w:val="样式1 Char"/>
    <w:qFormat/>
    <w:uiPriority w:val="0"/>
    <w:rPr>
      <w:rFonts w:eastAsia="黑体"/>
      <w:kern w:val="2"/>
      <w:sz w:val="28"/>
      <w:lang w:val="en-US" w:eastAsia="zh-CN" w:bidi="ar-SA"/>
    </w:rPr>
  </w:style>
  <w:style w:type="character" w:customStyle="1" w:styleId="310">
    <w:name w:val="fontstyle11"/>
    <w:qFormat/>
    <w:uiPriority w:val="0"/>
    <w:rPr>
      <w:rFonts w:hint="default" w:ascii="Times New Roman" w:hAnsi="Times New Roman" w:cs="Times New Roman"/>
      <w:color w:val="000000"/>
      <w:sz w:val="22"/>
      <w:szCs w:val="22"/>
    </w:rPr>
  </w:style>
  <w:style w:type="character" w:customStyle="1" w:styleId="311">
    <w:name w:val="font01"/>
    <w:qFormat/>
    <w:uiPriority w:val="0"/>
    <w:rPr>
      <w:rFonts w:hint="eastAsia" w:ascii="宋体" w:hAnsi="宋体" w:eastAsia="宋体" w:cs="宋体"/>
      <w:color w:val="000000"/>
      <w:sz w:val="24"/>
      <w:szCs w:val="24"/>
      <w:u w:val="none"/>
      <w:vertAlign w:val="superscript"/>
    </w:rPr>
  </w:style>
  <w:style w:type="character" w:customStyle="1" w:styleId="312">
    <w:name w:val="标准样式 Char1"/>
    <w:link w:val="313"/>
    <w:qFormat/>
    <w:uiPriority w:val="0"/>
    <w:rPr>
      <w:rFonts w:ascii="宋体"/>
      <w:sz w:val="28"/>
    </w:rPr>
  </w:style>
  <w:style w:type="paragraph" w:customStyle="1" w:styleId="313">
    <w:name w:val="标准样式"/>
    <w:link w:val="312"/>
    <w:qFormat/>
    <w:uiPriority w:val="0"/>
    <w:pPr>
      <w:widowControl w:val="0"/>
      <w:spacing w:line="600" w:lineRule="exact"/>
      <w:ind w:firstLine="567"/>
      <w:jc w:val="both"/>
    </w:pPr>
    <w:rPr>
      <w:rFonts w:ascii="宋体" w:hAnsi="Times New Roman" w:eastAsia="宋体" w:cs="Times New Roman"/>
      <w:sz w:val="28"/>
      <w:lang w:val="en-US" w:eastAsia="zh-CN" w:bidi="ar-SA"/>
    </w:rPr>
  </w:style>
  <w:style w:type="character" w:customStyle="1" w:styleId="314">
    <w:name w:val="标题节 Char"/>
    <w:qFormat/>
    <w:uiPriority w:val="0"/>
    <w:rPr>
      <w:rFonts w:eastAsia="宋体"/>
      <w:b/>
      <w:kern w:val="2"/>
      <w:sz w:val="26"/>
      <w:szCs w:val="32"/>
      <w:lang w:val="en-US" w:eastAsia="zh-CN" w:bidi="ar-SA"/>
    </w:rPr>
  </w:style>
  <w:style w:type="character" w:customStyle="1" w:styleId="315">
    <w:name w:val="页码2"/>
    <w:basedOn w:val="57"/>
    <w:qFormat/>
    <w:uiPriority w:val="0"/>
  </w:style>
  <w:style w:type="character" w:customStyle="1" w:styleId="316">
    <w:name w:val="三级标题 Char"/>
    <w:qFormat/>
    <w:uiPriority w:val="0"/>
    <w:rPr>
      <w:rFonts w:eastAsia="宋体"/>
      <w:b/>
      <w:kern w:val="2"/>
      <w:sz w:val="26"/>
      <w:szCs w:val="26"/>
      <w:lang w:val="en-US" w:eastAsia="zh-CN" w:bidi="ar-SA"/>
    </w:rPr>
  </w:style>
  <w:style w:type="character" w:customStyle="1" w:styleId="317">
    <w:name w:val="apple-style-span"/>
    <w:basedOn w:val="57"/>
    <w:qFormat/>
    <w:uiPriority w:val="0"/>
  </w:style>
  <w:style w:type="character" w:customStyle="1" w:styleId="318">
    <w:name w:val="正文（首行缩进2字） Char"/>
    <w:link w:val="319"/>
    <w:qFormat/>
    <w:uiPriority w:val="0"/>
    <w:rPr>
      <w:kern w:val="2"/>
      <w:sz w:val="28"/>
      <w:szCs w:val="30"/>
    </w:rPr>
  </w:style>
  <w:style w:type="paragraph" w:customStyle="1" w:styleId="319">
    <w:name w:val="正文（首行缩进2字）"/>
    <w:basedOn w:val="1"/>
    <w:link w:val="318"/>
    <w:qFormat/>
    <w:uiPriority w:val="0"/>
    <w:pPr>
      <w:spacing w:line="500" w:lineRule="exact"/>
      <w:ind w:firstLine="560"/>
    </w:pPr>
    <w:rPr>
      <w:rFonts w:cs="Times New Roman"/>
      <w:sz w:val="28"/>
      <w:szCs w:val="30"/>
    </w:rPr>
  </w:style>
  <w:style w:type="character" w:customStyle="1" w:styleId="320">
    <w:name w:val="引用 Char"/>
    <w:link w:val="321"/>
    <w:qFormat/>
    <w:uiPriority w:val="0"/>
    <w:rPr>
      <w:iCs/>
      <w:color w:val="000000"/>
      <w:kern w:val="2"/>
      <w:sz w:val="22"/>
      <w:szCs w:val="24"/>
    </w:rPr>
  </w:style>
  <w:style w:type="paragraph" w:customStyle="1" w:styleId="321">
    <w:name w:val="引用1"/>
    <w:basedOn w:val="1"/>
    <w:next w:val="1"/>
    <w:link w:val="320"/>
    <w:qFormat/>
    <w:uiPriority w:val="0"/>
    <w:rPr>
      <w:rFonts w:cs="Times New Roman"/>
      <w:iCs/>
      <w:color w:val="000000"/>
      <w:sz w:val="22"/>
      <w:szCs w:val="24"/>
    </w:rPr>
  </w:style>
  <w:style w:type="character" w:customStyle="1" w:styleId="322">
    <w:name w:val="样式 标题 1 + 段后: 1.5 行 Char"/>
    <w:qFormat/>
    <w:uiPriority w:val="0"/>
    <w:rPr>
      <w:rFonts w:ascii="宋体" w:hAnsi="宋体" w:eastAsia="宋体" w:cs="宋体"/>
      <w:b/>
      <w:bCs/>
      <w:kern w:val="44"/>
      <w:sz w:val="32"/>
      <w:szCs w:val="44"/>
      <w:lang w:val="en-US" w:eastAsia="zh-CN" w:bidi="ar-SA"/>
    </w:rPr>
  </w:style>
  <w:style w:type="character" w:customStyle="1" w:styleId="323">
    <w:name w:val="style81"/>
    <w:qFormat/>
    <w:uiPriority w:val="0"/>
    <w:rPr>
      <w:sz w:val="20"/>
      <w:szCs w:val="20"/>
    </w:rPr>
  </w:style>
  <w:style w:type="character" w:customStyle="1" w:styleId="324">
    <w:name w:val="表头排版 Char"/>
    <w:link w:val="325"/>
    <w:qFormat/>
    <w:uiPriority w:val="0"/>
    <w:rPr>
      <w:kern w:val="2"/>
      <w:sz w:val="26"/>
      <w:szCs w:val="21"/>
    </w:rPr>
  </w:style>
  <w:style w:type="paragraph" w:customStyle="1" w:styleId="325">
    <w:name w:val="表头排版"/>
    <w:basedOn w:val="1"/>
    <w:link w:val="324"/>
    <w:qFormat/>
    <w:uiPriority w:val="0"/>
    <w:pPr>
      <w:spacing w:line="480" w:lineRule="exact"/>
      <w:jc w:val="right"/>
    </w:pPr>
    <w:rPr>
      <w:rFonts w:cs="Times New Roman"/>
      <w:sz w:val="26"/>
      <w:szCs w:val="21"/>
    </w:rPr>
  </w:style>
  <w:style w:type="character" w:customStyle="1" w:styleId="326">
    <w:name w:val="style61"/>
    <w:qFormat/>
    <w:uiPriority w:val="0"/>
    <w:rPr>
      <w:color w:val="333333"/>
      <w:sz w:val="21"/>
      <w:szCs w:val="21"/>
    </w:rPr>
  </w:style>
  <w:style w:type="character" w:customStyle="1" w:styleId="327">
    <w:name w:val="f91"/>
    <w:qFormat/>
    <w:uiPriority w:val="0"/>
    <w:rPr>
      <w:rFonts w:hint="default"/>
      <w:sz w:val="18"/>
      <w:szCs w:val="18"/>
    </w:rPr>
  </w:style>
  <w:style w:type="character" w:customStyle="1" w:styleId="328">
    <w:name w:val="标题1"/>
    <w:basedOn w:val="57"/>
    <w:qFormat/>
    <w:uiPriority w:val="0"/>
  </w:style>
  <w:style w:type="character" w:customStyle="1" w:styleId="329">
    <w:name w:val="样式2 Char Char"/>
    <w:qFormat/>
    <w:uiPriority w:val="0"/>
    <w:rPr>
      <w:rFonts w:ascii="黑体" w:hAnsi="宋体" w:eastAsia="黑体"/>
      <w:b/>
      <w:kern w:val="2"/>
      <w:sz w:val="28"/>
      <w:szCs w:val="28"/>
      <w:lang w:val="en-US" w:eastAsia="zh-CN" w:bidi="ar-SA"/>
    </w:rPr>
  </w:style>
  <w:style w:type="character" w:customStyle="1" w:styleId="330">
    <w:name w:val="样式92 Char"/>
    <w:link w:val="331"/>
    <w:qFormat/>
    <w:uiPriority w:val="0"/>
    <w:rPr>
      <w:rFonts w:cs="宋体"/>
      <w:sz w:val="26"/>
      <w:szCs w:val="26"/>
    </w:rPr>
  </w:style>
  <w:style w:type="paragraph" w:customStyle="1" w:styleId="331">
    <w:name w:val="样式92"/>
    <w:basedOn w:val="1"/>
    <w:link w:val="330"/>
    <w:qFormat/>
    <w:uiPriority w:val="0"/>
    <w:pPr>
      <w:widowControl/>
      <w:spacing w:line="460" w:lineRule="exact"/>
      <w:ind w:firstLine="567" w:firstLineChars="218"/>
      <w:jc w:val="left"/>
    </w:pPr>
    <w:rPr>
      <w:rFonts w:cs="宋体"/>
      <w:kern w:val="0"/>
      <w:sz w:val="26"/>
      <w:szCs w:val="26"/>
    </w:rPr>
  </w:style>
  <w:style w:type="character" w:customStyle="1" w:styleId="332">
    <w:name w:val="正文首行缩进 Char"/>
    <w:qFormat/>
    <w:uiPriority w:val="0"/>
    <w:rPr>
      <w:rFonts w:eastAsia="宋体"/>
      <w:kern w:val="2"/>
      <w:sz w:val="28"/>
      <w:szCs w:val="28"/>
      <w:lang w:val="en-US" w:eastAsia="zh-CN" w:bidi="ar-SA"/>
    </w:rPr>
  </w:style>
  <w:style w:type="character" w:customStyle="1" w:styleId="333">
    <w:name w:val="txtbreak"/>
    <w:basedOn w:val="57"/>
    <w:qFormat/>
    <w:uiPriority w:val="0"/>
  </w:style>
  <w:style w:type="character" w:customStyle="1" w:styleId="334">
    <w:name w:val="UserStyle_0"/>
    <w:qFormat/>
    <w:uiPriority w:val="0"/>
    <w:rPr>
      <w:rFonts w:ascii="宋体" w:hAnsi="宋体" w:eastAsia="宋体"/>
      <w:color w:val="000000"/>
      <w:sz w:val="24"/>
      <w:szCs w:val="24"/>
      <w:vertAlign w:val="superscript"/>
    </w:rPr>
  </w:style>
  <w:style w:type="character" w:customStyle="1" w:styleId="335">
    <w:name w:val="表格 Char"/>
    <w:qFormat/>
    <w:uiPriority w:val="0"/>
    <w:rPr>
      <w:kern w:val="2"/>
      <w:sz w:val="22"/>
      <w:szCs w:val="22"/>
      <w:lang w:val="en-US" w:eastAsia="zh-CN" w:bidi="ar-SA"/>
    </w:rPr>
  </w:style>
  <w:style w:type="character" w:customStyle="1" w:styleId="336">
    <w:name w:val="样式2 Char"/>
    <w:link w:val="134"/>
    <w:qFormat/>
    <w:uiPriority w:val="0"/>
    <w:rPr>
      <w:color w:val="000000"/>
      <w:kern w:val="2"/>
      <w:sz w:val="28"/>
      <w:szCs w:val="28"/>
      <w:lang w:val="zh-CN"/>
    </w:rPr>
  </w:style>
  <w:style w:type="paragraph" w:customStyle="1" w:styleId="337">
    <w:name w:val="样式 标题 2标题节标题 2 Char Char + 段前: 2 行"/>
    <w:basedOn w:val="3"/>
    <w:next w:val="1"/>
    <w:qFormat/>
    <w:uiPriority w:val="0"/>
    <w:pPr>
      <w:widowControl w:val="0"/>
      <w:spacing w:before="156" w:line="460" w:lineRule="exact"/>
      <w:ind w:firstLine="200"/>
      <w:jc w:val="both"/>
    </w:pPr>
    <w:rPr>
      <w:rFonts w:hAnsi="Arial"/>
      <w:b/>
      <w:bCs w:val="0"/>
      <w:kern w:val="2"/>
      <w:sz w:val="26"/>
      <w:szCs w:val="20"/>
      <w:lang w:eastAsia="zh-CN"/>
    </w:rPr>
  </w:style>
  <w:style w:type="character" w:customStyle="1" w:styleId="338">
    <w:name w:val="排版正文 Char"/>
    <w:qFormat/>
    <w:uiPriority w:val="0"/>
    <w:rPr>
      <w:szCs w:val="24"/>
    </w:rPr>
  </w:style>
  <w:style w:type="character" w:customStyle="1" w:styleId="339">
    <w:name w:val="表头 Char1"/>
    <w:qFormat/>
    <w:uiPriority w:val="0"/>
    <w:rPr>
      <w:rFonts w:eastAsia="宋体"/>
      <w:spacing w:val="2"/>
      <w:kern w:val="2"/>
      <w:sz w:val="26"/>
      <w:szCs w:val="26"/>
      <w:lang w:val="en-US" w:eastAsia="zh-CN" w:bidi="ar-SA"/>
    </w:rPr>
  </w:style>
  <w:style w:type="character" w:customStyle="1" w:styleId="340">
    <w:name w:val="t141"/>
    <w:qFormat/>
    <w:uiPriority w:val="0"/>
    <w:rPr>
      <w:rFonts w:hint="default" w:ascii="ˎ̥" w:hAnsi="ˎ̥"/>
      <w:sz w:val="21"/>
      <w:szCs w:val="21"/>
    </w:rPr>
  </w:style>
  <w:style w:type="character" w:customStyle="1" w:styleId="341">
    <w:name w:val="标准样式1 Char"/>
    <w:link w:val="342"/>
    <w:qFormat/>
    <w:uiPriority w:val="0"/>
    <w:rPr>
      <w:rFonts w:ascii="宋体" w:hAnsi="宋体"/>
      <w:bCs/>
      <w:kern w:val="2"/>
      <w:sz w:val="28"/>
      <w:szCs w:val="24"/>
    </w:rPr>
  </w:style>
  <w:style w:type="paragraph" w:customStyle="1" w:styleId="342">
    <w:name w:val="标准样式1"/>
    <w:basedOn w:val="1"/>
    <w:link w:val="341"/>
    <w:qFormat/>
    <w:uiPriority w:val="0"/>
    <w:pPr>
      <w:spacing w:line="600" w:lineRule="exact"/>
      <w:ind w:firstLine="150" w:firstLineChars="150"/>
    </w:pPr>
    <w:rPr>
      <w:rFonts w:ascii="宋体" w:hAnsi="宋体" w:cs="Times New Roman"/>
      <w:bCs/>
      <w:sz w:val="28"/>
      <w:szCs w:val="24"/>
    </w:rPr>
  </w:style>
  <w:style w:type="character" w:customStyle="1" w:styleId="343">
    <w:name w:val="title10"/>
    <w:basedOn w:val="57"/>
    <w:qFormat/>
    <w:uiPriority w:val="0"/>
  </w:style>
  <w:style w:type="character" w:customStyle="1" w:styleId="344">
    <w:name w:val="表文字 Char"/>
    <w:link w:val="345"/>
    <w:qFormat/>
    <w:uiPriority w:val="0"/>
    <w:rPr>
      <w:kern w:val="2"/>
      <w:sz w:val="21"/>
      <w:szCs w:val="21"/>
    </w:rPr>
  </w:style>
  <w:style w:type="paragraph" w:customStyle="1" w:styleId="345">
    <w:name w:val="表文字"/>
    <w:basedOn w:val="1"/>
    <w:link w:val="344"/>
    <w:qFormat/>
    <w:uiPriority w:val="0"/>
    <w:pPr>
      <w:topLinePunct/>
      <w:spacing w:line="240" w:lineRule="exact"/>
      <w:textAlignment w:val="baseline"/>
    </w:pPr>
    <w:rPr>
      <w:rFonts w:cs="Times New Roman"/>
      <w:szCs w:val="21"/>
    </w:rPr>
  </w:style>
  <w:style w:type="character" w:customStyle="1" w:styleId="346">
    <w:name w:val="环评证文 Char"/>
    <w:link w:val="347"/>
    <w:qFormat/>
    <w:uiPriority w:val="0"/>
    <w:rPr>
      <w:rFonts w:ascii="宋体" w:hAnsi="宋体"/>
      <w:color w:val="000000"/>
      <w:kern w:val="2"/>
      <w:sz w:val="24"/>
      <w:szCs w:val="24"/>
    </w:rPr>
  </w:style>
  <w:style w:type="paragraph" w:customStyle="1" w:styleId="347">
    <w:name w:val="环评证文"/>
    <w:basedOn w:val="1"/>
    <w:link w:val="346"/>
    <w:qFormat/>
    <w:uiPriority w:val="0"/>
    <w:pPr>
      <w:spacing w:line="440" w:lineRule="exact"/>
      <w:ind w:firstLine="480"/>
    </w:pPr>
    <w:rPr>
      <w:rFonts w:ascii="宋体" w:hAnsi="宋体" w:cs="Times New Roman"/>
      <w:color w:val="000000"/>
      <w:szCs w:val="24"/>
    </w:rPr>
  </w:style>
  <w:style w:type="character" w:customStyle="1" w:styleId="348">
    <w:name w:val="环评正文 Char"/>
    <w:link w:val="349"/>
    <w:qFormat/>
    <w:uiPriority w:val="0"/>
    <w:rPr>
      <w:rFonts w:ascii="宋体" w:hAnsi="宋体"/>
      <w:color w:val="000000"/>
      <w:kern w:val="2"/>
      <w:sz w:val="24"/>
      <w:szCs w:val="24"/>
    </w:rPr>
  </w:style>
  <w:style w:type="paragraph" w:customStyle="1" w:styleId="349">
    <w:name w:val="环评正文"/>
    <w:basedOn w:val="1"/>
    <w:link w:val="348"/>
    <w:qFormat/>
    <w:uiPriority w:val="0"/>
    <w:pPr>
      <w:spacing w:line="440" w:lineRule="exact"/>
    </w:pPr>
    <w:rPr>
      <w:rFonts w:ascii="宋体" w:hAnsi="宋体" w:cs="Times New Roman"/>
      <w:color w:val="000000"/>
      <w:szCs w:val="24"/>
    </w:rPr>
  </w:style>
  <w:style w:type="character" w:customStyle="1" w:styleId="350">
    <w:name w:val="样式5 Char Char"/>
    <w:qFormat/>
    <w:uiPriority w:val="0"/>
    <w:rPr>
      <w:rFonts w:eastAsia="宋体"/>
      <w:color w:val="FF0000"/>
      <w:kern w:val="2"/>
      <w:sz w:val="24"/>
      <w:lang w:val="en-US" w:eastAsia="zh-CN" w:bidi="ar-SA"/>
    </w:rPr>
  </w:style>
  <w:style w:type="character" w:customStyle="1" w:styleId="351">
    <w:name w:val="NormalCharacter"/>
    <w:semiHidden/>
    <w:qFormat/>
    <w:uiPriority w:val="0"/>
  </w:style>
  <w:style w:type="character" w:customStyle="1" w:styleId="352">
    <w:name w:val="表内字 Char Char"/>
    <w:link w:val="353"/>
    <w:qFormat/>
    <w:uiPriority w:val="0"/>
    <w:rPr>
      <w:rFonts w:ascii="Tahoma" w:hAnsi="Tahoma"/>
      <w:sz w:val="21"/>
      <w:szCs w:val="21"/>
    </w:rPr>
  </w:style>
  <w:style w:type="paragraph" w:customStyle="1" w:styleId="353">
    <w:name w:val="表内字"/>
    <w:basedOn w:val="37"/>
    <w:link w:val="352"/>
    <w:qFormat/>
    <w:uiPriority w:val="0"/>
    <w:pPr>
      <w:autoSpaceDE w:val="0"/>
      <w:autoSpaceDN w:val="0"/>
      <w:ind w:left="0" w:firstLine="0" w:firstLineChars="0"/>
      <w:jc w:val="center"/>
    </w:pPr>
    <w:rPr>
      <w:rFonts w:ascii="Tahoma" w:hAnsi="Tahoma"/>
      <w:kern w:val="0"/>
      <w:szCs w:val="21"/>
    </w:rPr>
  </w:style>
  <w:style w:type="character" w:customStyle="1" w:styleId="354">
    <w:name w:val="表号 Char"/>
    <w:link w:val="144"/>
    <w:qFormat/>
    <w:locked/>
    <w:uiPriority w:val="0"/>
    <w:rPr>
      <w:kern w:val="2"/>
      <w:sz w:val="21"/>
      <w:szCs w:val="24"/>
    </w:rPr>
  </w:style>
  <w:style w:type="character" w:customStyle="1" w:styleId="355">
    <w:name w:val="正文1 Char"/>
    <w:qFormat/>
    <w:uiPriority w:val="0"/>
    <w:rPr>
      <w:rFonts w:eastAsia="宋体"/>
      <w:kern w:val="2"/>
      <w:sz w:val="26"/>
      <w:szCs w:val="26"/>
      <w:lang w:val="en-US" w:eastAsia="zh-CN" w:bidi="ar-SA"/>
    </w:rPr>
  </w:style>
  <w:style w:type="character" w:customStyle="1" w:styleId="356">
    <w:name w:val="标准样式 Char"/>
    <w:qFormat/>
    <w:uiPriority w:val="0"/>
    <w:rPr>
      <w:rFonts w:ascii="宋体" w:eastAsia="宋体"/>
      <w:sz w:val="28"/>
      <w:szCs w:val="28"/>
      <w:lang w:val="en-US" w:eastAsia="zh-CN" w:bidi="ar-SA"/>
    </w:rPr>
  </w:style>
  <w:style w:type="character" w:customStyle="1" w:styleId="357">
    <w:name w:val="样式115 Char"/>
    <w:link w:val="358"/>
    <w:qFormat/>
    <w:uiPriority w:val="0"/>
    <w:rPr>
      <w:rFonts w:cs="宋体"/>
      <w:sz w:val="26"/>
      <w:szCs w:val="26"/>
    </w:rPr>
  </w:style>
  <w:style w:type="paragraph" w:customStyle="1" w:styleId="358">
    <w:name w:val="样式115"/>
    <w:basedOn w:val="1"/>
    <w:link w:val="357"/>
    <w:qFormat/>
    <w:uiPriority w:val="0"/>
    <w:pPr>
      <w:widowControl/>
      <w:spacing w:line="460" w:lineRule="exact"/>
      <w:ind w:firstLine="567" w:firstLineChars="218"/>
      <w:jc w:val="left"/>
    </w:pPr>
    <w:rPr>
      <w:rFonts w:cs="宋体"/>
      <w:kern w:val="0"/>
      <w:sz w:val="26"/>
      <w:szCs w:val="26"/>
    </w:rPr>
  </w:style>
  <w:style w:type="character" w:customStyle="1" w:styleId="359">
    <w:name w:val="样式 13 磅 行距: 固定值 23 磅 Char"/>
    <w:qFormat/>
    <w:uiPriority w:val="0"/>
    <w:rPr>
      <w:rFonts w:eastAsia="宋体" w:cs="宋体"/>
      <w:kern w:val="2"/>
      <w:sz w:val="26"/>
      <w:lang w:val="en-US" w:eastAsia="zh-CN" w:bidi="ar-SA"/>
    </w:rPr>
  </w:style>
  <w:style w:type="character" w:customStyle="1" w:styleId="360">
    <w:name w:val="样式 表头 + 小四 Char"/>
    <w:link w:val="361"/>
    <w:qFormat/>
    <w:uiPriority w:val="0"/>
    <w:rPr>
      <w:b/>
      <w:bCs/>
      <w:spacing w:val="2"/>
      <w:kern w:val="2"/>
      <w:sz w:val="24"/>
      <w:szCs w:val="24"/>
    </w:rPr>
  </w:style>
  <w:style w:type="paragraph" w:customStyle="1" w:styleId="361">
    <w:name w:val="样式 表头 + 小四"/>
    <w:basedOn w:val="167"/>
    <w:link w:val="360"/>
    <w:qFormat/>
    <w:uiPriority w:val="0"/>
    <w:pPr>
      <w:tabs>
        <w:tab w:val="left" w:pos="2040"/>
      </w:tabs>
      <w:adjustRightInd/>
      <w:spacing w:after="50" w:afterLines="50"/>
      <w:ind w:firstLine="420"/>
    </w:pPr>
    <w:rPr>
      <w:bCs/>
      <w:spacing w:val="2"/>
      <w:szCs w:val="24"/>
    </w:rPr>
  </w:style>
  <w:style w:type="character" w:customStyle="1" w:styleId="362">
    <w:name w:val="样式18 Char Char"/>
    <w:qFormat/>
    <w:uiPriority w:val="0"/>
    <w:rPr>
      <w:sz w:val="26"/>
      <w:szCs w:val="26"/>
    </w:rPr>
  </w:style>
  <w:style w:type="character" w:customStyle="1" w:styleId="363">
    <w:name w:val="样式 四号"/>
    <w:qFormat/>
    <w:uiPriority w:val="0"/>
    <w:rPr>
      <w:rFonts w:eastAsia="仿宋_GB2312"/>
      <w:sz w:val="28"/>
    </w:rPr>
  </w:style>
  <w:style w:type="character" w:customStyle="1" w:styleId="364">
    <w:name w:val="标题 3 Char Char Char"/>
    <w:qFormat/>
    <w:uiPriority w:val="0"/>
    <w:rPr>
      <w:rFonts w:eastAsia="宋体"/>
      <w:b/>
      <w:sz w:val="26"/>
      <w:szCs w:val="28"/>
      <w:lang w:val="en-US" w:eastAsia="zh-CN" w:bidi="ar-SA"/>
    </w:rPr>
  </w:style>
  <w:style w:type="character" w:customStyle="1" w:styleId="365">
    <w:name w:val="txt1"/>
    <w:qFormat/>
    <w:uiPriority w:val="0"/>
    <w:rPr>
      <w:spacing w:val="60"/>
      <w:sz w:val="14"/>
      <w:szCs w:val="14"/>
    </w:rPr>
  </w:style>
  <w:style w:type="character" w:customStyle="1" w:styleId="366">
    <w:name w:val="fontstyle31"/>
    <w:qFormat/>
    <w:uiPriority w:val="0"/>
    <w:rPr>
      <w:rFonts w:hint="default" w:ascii="Times New Roman" w:hAnsi="Times New Roman" w:cs="Times New Roman"/>
      <w:b/>
      <w:bCs/>
      <w:color w:val="000000"/>
      <w:sz w:val="24"/>
      <w:szCs w:val="24"/>
    </w:rPr>
  </w:style>
  <w:style w:type="character" w:customStyle="1" w:styleId="367">
    <w:name w:val="表头 Char"/>
    <w:qFormat/>
    <w:uiPriority w:val="0"/>
    <w:rPr>
      <w:rFonts w:eastAsia="宋体"/>
      <w:spacing w:val="2"/>
      <w:kern w:val="2"/>
      <w:sz w:val="26"/>
      <w:szCs w:val="26"/>
      <w:lang w:val="en-US" w:eastAsia="zh-CN" w:bidi="ar-SA"/>
    </w:rPr>
  </w:style>
  <w:style w:type="character" w:customStyle="1" w:styleId="368">
    <w:name w:val="câ-¹"/>
    <w:basedOn w:val="57"/>
    <w:qFormat/>
    <w:uiPriority w:val="0"/>
  </w:style>
  <w:style w:type="character" w:customStyle="1" w:styleId="369">
    <w:name w:val="样式 13 磅 行距: 固定值 23 磅 Char1"/>
    <w:qFormat/>
    <w:uiPriority w:val="0"/>
    <w:rPr>
      <w:rFonts w:eastAsia="宋体" w:cs="宋体"/>
      <w:kern w:val="2"/>
      <w:sz w:val="26"/>
      <w:lang w:val="en-US" w:eastAsia="zh-CN" w:bidi="ar-SA"/>
    </w:rPr>
  </w:style>
  <w:style w:type="character" w:customStyle="1" w:styleId="370">
    <w:name w:val="标题11"/>
    <w:basedOn w:val="57"/>
    <w:qFormat/>
    <w:uiPriority w:val="0"/>
  </w:style>
  <w:style w:type="character" w:customStyle="1" w:styleId="371">
    <w:name w:val="样式5 Char"/>
    <w:link w:val="372"/>
    <w:qFormat/>
    <w:uiPriority w:val="0"/>
    <w:rPr>
      <w:kern w:val="2"/>
      <w:sz w:val="24"/>
    </w:rPr>
  </w:style>
  <w:style w:type="paragraph" w:customStyle="1" w:styleId="372">
    <w:name w:val="样式5"/>
    <w:basedOn w:val="30"/>
    <w:link w:val="371"/>
    <w:qFormat/>
    <w:uiPriority w:val="0"/>
    <w:pPr>
      <w:spacing w:line="500" w:lineRule="exact"/>
      <w:ind w:firstLine="200"/>
    </w:pPr>
    <w:rPr>
      <w:rFonts w:ascii="Times New Roman" w:eastAsia="宋体"/>
      <w:b w:val="0"/>
      <w:bCs w:val="0"/>
      <w:szCs w:val="20"/>
    </w:rPr>
  </w:style>
  <w:style w:type="character" w:customStyle="1" w:styleId="373">
    <w:name w:val="环评证文 Char Char Char"/>
    <w:qFormat/>
    <w:uiPriority w:val="0"/>
    <w:rPr>
      <w:rFonts w:ascii="宋体" w:hAnsi="宋体" w:eastAsia="宋体"/>
      <w:color w:val="000000"/>
      <w:kern w:val="2"/>
      <w:sz w:val="24"/>
      <w:szCs w:val="24"/>
      <w:lang w:val="en-US" w:eastAsia="zh-CN" w:bidi="ar-SA"/>
    </w:rPr>
  </w:style>
  <w:style w:type="character" w:customStyle="1" w:styleId="374">
    <w:name w:val="zhou11"/>
    <w:qFormat/>
    <w:uiPriority w:val="0"/>
    <w:rPr>
      <w:color w:val="000000"/>
      <w:sz w:val="21"/>
      <w:szCs w:val="21"/>
    </w:rPr>
  </w:style>
  <w:style w:type="character" w:customStyle="1" w:styleId="375">
    <w:name w:val="标题 3 Char1"/>
    <w:qFormat/>
    <w:uiPriority w:val="0"/>
    <w:rPr>
      <w:rFonts w:eastAsia="宋体"/>
      <w:b/>
      <w:sz w:val="26"/>
      <w:szCs w:val="28"/>
      <w:lang w:val="en-US" w:eastAsia="zh-CN" w:bidi="ar-SA"/>
    </w:rPr>
  </w:style>
  <w:style w:type="character" w:customStyle="1" w:styleId="376">
    <w:name w:val="标题 Char"/>
    <w:qFormat/>
    <w:uiPriority w:val="0"/>
    <w:rPr>
      <w:rFonts w:ascii="Arial" w:hAnsi="Arial"/>
      <w:bCs/>
      <w:kern w:val="2"/>
      <w:sz w:val="24"/>
      <w:szCs w:val="32"/>
    </w:rPr>
  </w:style>
  <w:style w:type="character" w:customStyle="1" w:styleId="377">
    <w:name w:val="样式 样式 Char4 Char Char Char + Times New Roman + (符号) 宋体 Char"/>
    <w:link w:val="378"/>
    <w:qFormat/>
    <w:uiPriority w:val="0"/>
    <w:rPr>
      <w:rFonts w:cs="宋体"/>
      <w:kern w:val="2"/>
      <w:sz w:val="24"/>
      <w:szCs w:val="26"/>
    </w:rPr>
  </w:style>
  <w:style w:type="paragraph" w:customStyle="1" w:styleId="378">
    <w:name w:val="样式 样式 Char4 Char Char Char + Times New Roman + (符号) 宋体"/>
    <w:basedOn w:val="1"/>
    <w:link w:val="377"/>
    <w:qFormat/>
    <w:uiPriority w:val="0"/>
    <w:pPr>
      <w:spacing w:line="400" w:lineRule="exact"/>
      <w:ind w:firstLine="480"/>
    </w:pPr>
    <w:rPr>
      <w:rFonts w:cs="宋体"/>
      <w:szCs w:val="26"/>
    </w:rPr>
  </w:style>
  <w:style w:type="character" w:customStyle="1" w:styleId="379">
    <w:name w:val="content3"/>
    <w:basedOn w:val="57"/>
    <w:qFormat/>
    <w:uiPriority w:val="0"/>
  </w:style>
  <w:style w:type="character" w:customStyle="1" w:styleId="380">
    <w:name w:val="普通文字 Char1"/>
    <w:qFormat/>
    <w:uiPriority w:val="0"/>
    <w:rPr>
      <w:rFonts w:ascii="宋体" w:hAnsi="Courier New" w:eastAsia="宋体"/>
      <w:kern w:val="2"/>
      <w:sz w:val="21"/>
      <w:lang w:val="en-US" w:eastAsia="zh-CN" w:bidi="ar-SA"/>
    </w:rPr>
  </w:style>
  <w:style w:type="character" w:customStyle="1" w:styleId="381">
    <w:name w:val="apple-converted-space"/>
    <w:basedOn w:val="57"/>
    <w:qFormat/>
    <w:uiPriority w:val="0"/>
  </w:style>
  <w:style w:type="character" w:customStyle="1" w:styleId="382">
    <w:name w:val="样式18 Char"/>
    <w:link w:val="383"/>
    <w:qFormat/>
    <w:uiPriority w:val="0"/>
    <w:rPr>
      <w:sz w:val="26"/>
      <w:szCs w:val="26"/>
    </w:rPr>
  </w:style>
  <w:style w:type="paragraph" w:customStyle="1" w:styleId="383">
    <w:name w:val="样式18"/>
    <w:basedOn w:val="358"/>
    <w:link w:val="382"/>
    <w:qFormat/>
    <w:uiPriority w:val="0"/>
    <w:rPr>
      <w:rFonts w:cs="Times New Roman"/>
    </w:rPr>
  </w:style>
  <w:style w:type="character" w:customStyle="1" w:styleId="384">
    <w:name w:val="样式4 Char"/>
    <w:link w:val="135"/>
    <w:qFormat/>
    <w:uiPriority w:val="0"/>
    <w:rPr>
      <w:bCs/>
      <w:kern w:val="2"/>
      <w:sz w:val="24"/>
      <w:szCs w:val="24"/>
      <w:lang w:val="zh-CN"/>
    </w:rPr>
  </w:style>
  <w:style w:type="character" w:customStyle="1" w:styleId="385">
    <w:name w:val="share Char"/>
    <w:link w:val="386"/>
    <w:qFormat/>
    <w:uiPriority w:val="0"/>
    <w:rPr>
      <w:b/>
      <w:kern w:val="2"/>
      <w:sz w:val="24"/>
      <w:szCs w:val="24"/>
    </w:rPr>
  </w:style>
  <w:style w:type="paragraph" w:customStyle="1" w:styleId="386">
    <w:name w:val="share"/>
    <w:basedOn w:val="1"/>
    <w:link w:val="385"/>
    <w:qFormat/>
    <w:uiPriority w:val="0"/>
    <w:pPr>
      <w:spacing w:line="400" w:lineRule="exact"/>
      <w:ind w:firstLine="482"/>
    </w:pPr>
    <w:rPr>
      <w:rFonts w:cs="Times New Roman"/>
      <w:b/>
      <w:szCs w:val="24"/>
    </w:rPr>
  </w:style>
  <w:style w:type="character" w:customStyle="1" w:styleId="387">
    <w:name w:val="正文 首行缩进:  2 字符 Char"/>
    <w:link w:val="388"/>
    <w:qFormat/>
    <w:uiPriority w:val="0"/>
    <w:rPr>
      <w:kern w:val="2"/>
      <w:sz w:val="28"/>
    </w:rPr>
  </w:style>
  <w:style w:type="paragraph" w:customStyle="1" w:styleId="388">
    <w:name w:val="正文 首行缩进:  2 字符"/>
    <w:basedOn w:val="1"/>
    <w:link w:val="387"/>
    <w:qFormat/>
    <w:uiPriority w:val="0"/>
    <w:pPr>
      <w:ind w:firstLine="579"/>
    </w:pPr>
    <w:rPr>
      <w:rFonts w:cs="Times New Roman"/>
      <w:sz w:val="28"/>
      <w:szCs w:val="20"/>
    </w:rPr>
  </w:style>
  <w:style w:type="character" w:customStyle="1" w:styleId="389">
    <w:name w:val="标题 1 Char"/>
    <w:qFormat/>
    <w:uiPriority w:val="0"/>
    <w:rPr>
      <w:rFonts w:ascii="宋体" w:hAnsi="宋体" w:eastAsia="宋体"/>
      <w:b/>
      <w:bCs/>
      <w:kern w:val="2"/>
      <w:sz w:val="36"/>
      <w:szCs w:val="24"/>
      <w:lang w:val="en-US" w:eastAsia="zh-CN" w:bidi="ar-SA"/>
    </w:rPr>
  </w:style>
  <w:style w:type="character" w:customStyle="1" w:styleId="390">
    <w:name w:val="纯文本 Char2"/>
    <w:qFormat/>
    <w:uiPriority w:val="0"/>
    <w:rPr>
      <w:rFonts w:ascii="宋体" w:hAnsi="Courier New" w:eastAsia="宋体"/>
      <w:kern w:val="2"/>
      <w:sz w:val="24"/>
      <w:lang w:val="en-US" w:eastAsia="zh-CN" w:bidi="ar-SA"/>
    </w:rPr>
  </w:style>
  <w:style w:type="character" w:customStyle="1" w:styleId="391">
    <w:name w:val="正文文字 Char Char"/>
    <w:qFormat/>
    <w:uiPriority w:val="0"/>
    <w:rPr>
      <w:rFonts w:eastAsia="宋体"/>
      <w:kern w:val="2"/>
      <w:sz w:val="26"/>
      <w:szCs w:val="26"/>
      <w:lang w:val="en-US" w:eastAsia="zh-CN" w:bidi="ar-SA"/>
    </w:rPr>
  </w:style>
  <w:style w:type="character" w:customStyle="1" w:styleId="392">
    <w:name w:val="正文缩进 Char Char1"/>
    <w:qFormat/>
    <w:uiPriority w:val="0"/>
    <w:rPr>
      <w:rFonts w:eastAsia="宋体"/>
      <w:kern w:val="2"/>
      <w:sz w:val="26"/>
      <w:lang w:val="en-US" w:eastAsia="zh-CN" w:bidi="ar-SA"/>
    </w:rPr>
  </w:style>
  <w:style w:type="character" w:customStyle="1" w:styleId="393">
    <w:name w:val="font21"/>
    <w:basedOn w:val="57"/>
    <w:qFormat/>
    <w:uiPriority w:val="0"/>
    <w:rPr>
      <w:rFonts w:hint="default" w:ascii="Times New Roman" w:hAnsi="Times New Roman" w:cs="Times New Roman"/>
      <w:color w:val="000000"/>
      <w:sz w:val="18"/>
      <w:szCs w:val="18"/>
      <w:u w:val="none"/>
    </w:rPr>
  </w:style>
  <w:style w:type="character" w:customStyle="1" w:styleId="394">
    <w:name w:val="样式20 Char"/>
    <w:link w:val="395"/>
    <w:qFormat/>
    <w:uiPriority w:val="0"/>
    <w:rPr>
      <w:sz w:val="26"/>
      <w:szCs w:val="26"/>
    </w:rPr>
  </w:style>
  <w:style w:type="paragraph" w:customStyle="1" w:styleId="395">
    <w:name w:val="样式20"/>
    <w:basedOn w:val="1"/>
    <w:link w:val="394"/>
    <w:qFormat/>
    <w:uiPriority w:val="0"/>
    <w:pPr>
      <w:keepNext/>
      <w:widowControl/>
      <w:tabs>
        <w:tab w:val="left" w:pos="630"/>
      </w:tabs>
      <w:spacing w:line="460" w:lineRule="exact"/>
      <w:jc w:val="center"/>
      <w:outlineLvl w:val="5"/>
    </w:pPr>
    <w:rPr>
      <w:rFonts w:cs="Times New Roman"/>
      <w:kern w:val="0"/>
      <w:sz w:val="26"/>
      <w:szCs w:val="26"/>
    </w:rPr>
  </w:style>
  <w:style w:type="paragraph" w:customStyle="1" w:styleId="396">
    <w:name w:val="章"/>
    <w:basedOn w:val="397"/>
    <w:qFormat/>
    <w:uiPriority w:val="0"/>
    <w:pPr>
      <w:tabs>
        <w:tab w:val="left" w:pos="2160"/>
      </w:tabs>
      <w:spacing w:before="0" w:beforeLines="0" w:after="0" w:afterLines="0" w:line="360" w:lineRule="auto"/>
    </w:pPr>
    <w:rPr>
      <w:rFonts w:hAnsi="宋体" w:cs="Times New Roman"/>
      <w:bCs w:val="0"/>
      <w:szCs w:val="32"/>
    </w:rPr>
  </w:style>
  <w:style w:type="paragraph" w:customStyle="1" w:styleId="397">
    <w:name w:val="样式 标题 1 + 段后: 1.5 行"/>
    <w:basedOn w:val="2"/>
    <w:qFormat/>
    <w:uiPriority w:val="0"/>
    <w:pPr>
      <w:widowControl w:val="0"/>
      <w:tabs>
        <w:tab w:val="left" w:pos="2160"/>
      </w:tabs>
      <w:spacing w:before="312" w:beforeLines="100" w:after="312" w:afterLines="100" w:line="460" w:lineRule="exact"/>
    </w:pPr>
    <w:rPr>
      <w:rFonts w:ascii="黑体" w:hAnsi="Arial" w:cs="Arial"/>
      <w:szCs w:val="20"/>
      <w:lang w:eastAsia="zh-CN"/>
    </w:rPr>
  </w:style>
  <w:style w:type="paragraph" w:customStyle="1" w:styleId="398">
    <w:name w:val="中文报告书样式"/>
    <w:basedOn w:val="1"/>
    <w:qFormat/>
    <w:uiPriority w:val="0"/>
    <w:pPr>
      <w:spacing w:line="480" w:lineRule="atLeast"/>
      <w:ind w:firstLine="482"/>
      <w:textAlignment w:val="baseline"/>
    </w:pPr>
    <w:rPr>
      <w:rFonts w:cs="Times New Roman"/>
      <w:kern w:val="24"/>
      <w:szCs w:val="20"/>
    </w:rPr>
  </w:style>
  <w:style w:type="paragraph" w:customStyle="1" w:styleId="399">
    <w:name w:val="Char Char Char Char Char Char Char Char Char Char Char Char Char Char Char Char"/>
    <w:basedOn w:val="1"/>
    <w:next w:val="1"/>
    <w:qFormat/>
    <w:uiPriority w:val="0"/>
    <w:rPr>
      <w:rFonts w:cs="Times New Roman"/>
      <w:szCs w:val="24"/>
    </w:rPr>
  </w:style>
  <w:style w:type="paragraph" w:customStyle="1" w:styleId="400">
    <w:name w:val="排版正文"/>
    <w:basedOn w:val="1"/>
    <w:qFormat/>
    <w:uiPriority w:val="0"/>
    <w:pPr>
      <w:spacing w:line="460" w:lineRule="exact"/>
      <w:ind w:firstLine="560"/>
    </w:pPr>
    <w:rPr>
      <w:rFonts w:cs="Times New Roman"/>
      <w:color w:val="000000"/>
      <w:sz w:val="28"/>
      <w:szCs w:val="24"/>
    </w:rPr>
  </w:style>
  <w:style w:type="paragraph" w:customStyle="1" w:styleId="401">
    <w:name w:val="样式 标题 2节 + (西文) 宋体 (中文) 宋体 小四 段前: 0 磅 段后: 0 磅 行距: 1.5 倍行距"/>
    <w:basedOn w:val="3"/>
    <w:qFormat/>
    <w:uiPriority w:val="0"/>
    <w:pPr>
      <w:widowControl w:val="0"/>
      <w:adjustRightInd/>
      <w:snapToGrid/>
      <w:spacing w:line="480" w:lineRule="exact"/>
      <w:jc w:val="both"/>
    </w:pPr>
    <w:rPr>
      <w:rFonts w:ascii="黑体" w:hAnsi="宋体" w:cs="宋体"/>
      <w:b/>
      <w:kern w:val="2"/>
      <w:szCs w:val="28"/>
      <w:lang w:eastAsia="zh-CN"/>
    </w:rPr>
  </w:style>
  <w:style w:type="paragraph" w:customStyle="1" w:styleId="402">
    <w:name w:val="4 Char Char Char Char Char Char Char Char Char Char Char Char Char Char Char Char Char Char"/>
    <w:basedOn w:val="1"/>
    <w:semiHidden/>
    <w:qFormat/>
    <w:uiPriority w:val="0"/>
    <w:rPr>
      <w:rFonts w:ascii="宋体" w:hAnsi="宋体" w:cs="宋体"/>
      <w:sz w:val="30"/>
      <w:szCs w:val="30"/>
    </w:rPr>
  </w:style>
  <w:style w:type="paragraph" w:customStyle="1" w:styleId="403">
    <w:name w:val="样式 标题 2节 + (西文) 宋体 (中文) 宋体 四号 段前: 0 磅 段后: 0 磅 行距: 固定值 25 磅"/>
    <w:basedOn w:val="3"/>
    <w:qFormat/>
    <w:uiPriority w:val="0"/>
    <w:pPr>
      <w:widowControl w:val="0"/>
      <w:adjustRightInd/>
      <w:snapToGrid/>
      <w:spacing w:line="480" w:lineRule="exact"/>
      <w:jc w:val="both"/>
    </w:pPr>
    <w:rPr>
      <w:rFonts w:ascii="宋体" w:hAnsi="宋体" w:cs="宋体"/>
      <w:b/>
      <w:kern w:val="2"/>
      <w:szCs w:val="28"/>
      <w:lang w:eastAsia="zh-CN"/>
    </w:rPr>
  </w:style>
  <w:style w:type="paragraph" w:customStyle="1" w:styleId="404">
    <w:name w:val="样式 正文缩进首行缩进两字特点 Char正文缩进 Char正文（首行缩进两字） Char正文（首行缩进两字） Char..."/>
    <w:basedOn w:val="1"/>
    <w:qFormat/>
    <w:uiPriority w:val="0"/>
    <w:pPr>
      <w:ind w:firstLine="480"/>
    </w:pPr>
    <w:rPr>
      <w:rFonts w:cs="Times New Roman"/>
      <w:szCs w:val="24"/>
    </w:rPr>
  </w:style>
  <w:style w:type="paragraph" w:customStyle="1" w:styleId="405">
    <w:name w:val="Heading1"/>
    <w:basedOn w:val="1"/>
    <w:next w:val="1"/>
    <w:qFormat/>
    <w:uiPriority w:val="0"/>
    <w:pPr>
      <w:keepNext/>
      <w:keepLines/>
      <w:tabs>
        <w:tab w:val="left" w:pos="1230"/>
      </w:tabs>
      <w:spacing w:before="240" w:after="120"/>
      <w:ind w:left="1230" w:hanging="1230"/>
      <w:jc w:val="center"/>
    </w:pPr>
    <w:rPr>
      <w:rFonts w:eastAsia="黑体" w:cs="Times New Roman"/>
      <w:b/>
      <w:kern w:val="44"/>
      <w:sz w:val="42"/>
      <w:szCs w:val="24"/>
    </w:rPr>
  </w:style>
  <w:style w:type="paragraph" w:customStyle="1" w:styleId="406">
    <w:name w:val="pic-info"/>
    <w:basedOn w:val="1"/>
    <w:qFormat/>
    <w:uiPriority w:val="0"/>
    <w:pPr>
      <w:widowControl/>
      <w:spacing w:before="100" w:beforeAutospacing="1" w:after="100" w:afterAutospacing="1"/>
      <w:jc w:val="left"/>
    </w:pPr>
    <w:rPr>
      <w:rFonts w:ascii="宋体" w:hAnsi="宋体" w:cs="宋体"/>
      <w:kern w:val="0"/>
      <w:szCs w:val="24"/>
    </w:rPr>
  </w:style>
  <w:style w:type="paragraph" w:customStyle="1" w:styleId="407">
    <w:name w:val="Char2"/>
    <w:basedOn w:val="1"/>
    <w:qFormat/>
    <w:uiPriority w:val="0"/>
    <w:rPr>
      <w:rFonts w:cs="Times New Roman"/>
      <w:color w:val="000000"/>
      <w:kern w:val="0"/>
      <w:szCs w:val="21"/>
      <w:lang w:val="zh-CN"/>
    </w:rPr>
  </w:style>
  <w:style w:type="paragraph" w:customStyle="1" w:styleId="408">
    <w:name w:val="111111111111111111222"/>
    <w:basedOn w:val="1"/>
    <w:qFormat/>
    <w:uiPriority w:val="0"/>
    <w:pPr>
      <w:spacing w:line="440" w:lineRule="exact"/>
      <w:ind w:firstLine="480"/>
    </w:pPr>
    <w:rPr>
      <w:rFonts w:ascii="宋体" w:hAnsi="宋体" w:cs="Times New Roman"/>
      <w:szCs w:val="24"/>
    </w:rPr>
  </w:style>
  <w:style w:type="paragraph" w:customStyle="1" w:styleId="409">
    <w:name w:val="样式116"/>
    <w:basedOn w:val="331"/>
    <w:qFormat/>
    <w:uiPriority w:val="0"/>
    <w:pPr>
      <w:spacing w:line="240" w:lineRule="exact"/>
    </w:pPr>
  </w:style>
  <w:style w:type="paragraph" w:customStyle="1" w:styleId="410">
    <w:name w:val="样式 样式 标题 2标题节标题 2 Char Char + 段前: 2 行 + 左侧:  1 字符4"/>
    <w:basedOn w:val="337"/>
    <w:qFormat/>
    <w:uiPriority w:val="0"/>
    <w:pPr>
      <w:spacing w:before="50" w:beforeLines="0" w:after="50"/>
    </w:pPr>
    <w:rPr>
      <w:rFonts w:hAnsi="Times New Roman" w:eastAsia="宋体" w:cs="宋体"/>
      <w:bCs/>
    </w:rPr>
  </w:style>
  <w:style w:type="paragraph" w:customStyle="1" w:styleId="411">
    <w:name w:val="z正文 Char Char Char"/>
    <w:basedOn w:val="1"/>
    <w:qFormat/>
    <w:uiPriority w:val="0"/>
    <w:rPr>
      <w:rFonts w:ascii="宋体" w:hAnsi="宋体" w:eastAsia="仿宋_GB2312" w:cs="宋体"/>
      <w:sz w:val="28"/>
      <w:szCs w:val="28"/>
    </w:rPr>
  </w:style>
  <w:style w:type="paragraph" w:customStyle="1" w:styleId="412">
    <w:name w:val="表文排版"/>
    <w:basedOn w:val="21"/>
    <w:next w:val="1"/>
    <w:qFormat/>
    <w:uiPriority w:val="0"/>
    <w:pPr>
      <w:widowControl w:val="0"/>
      <w:spacing w:before="0"/>
      <w:ind w:left="0"/>
      <w:jc w:val="center"/>
    </w:pPr>
    <w:rPr>
      <w:rFonts w:ascii="Times New Roman" w:hAnsi="Times New Roman"/>
      <w:kern w:val="2"/>
      <w:sz w:val="22"/>
      <w:lang w:eastAsia="zh-CN"/>
    </w:rPr>
  </w:style>
  <w:style w:type="paragraph" w:customStyle="1" w:styleId="413">
    <w:name w:val="UserStyle_3"/>
    <w:basedOn w:val="414"/>
    <w:next w:val="1"/>
    <w:qFormat/>
    <w:uiPriority w:val="0"/>
    <w:pPr>
      <w:keepLines/>
      <w:spacing w:line="460" w:lineRule="exact"/>
      <w:ind w:firstLine="200" w:firstLineChars="200"/>
    </w:pPr>
    <w:rPr>
      <w:rFonts w:ascii="Times New Roman"/>
      <w:sz w:val="26"/>
      <w:szCs w:val="20"/>
    </w:rPr>
  </w:style>
  <w:style w:type="paragraph" w:customStyle="1" w:styleId="414">
    <w:name w:val="Heading2"/>
    <w:basedOn w:val="1"/>
    <w:next w:val="1"/>
    <w:qFormat/>
    <w:uiPriority w:val="0"/>
    <w:pPr>
      <w:keepNext/>
      <w:spacing w:before="156" w:line="440" w:lineRule="exact"/>
      <w:ind w:firstLine="472" w:firstLineChars="196"/>
    </w:pPr>
    <w:rPr>
      <w:rFonts w:ascii="Arial" w:hAnsi="Arial" w:eastAsia="黑体" w:cs="Times New Roman"/>
      <w:b/>
      <w:color w:val="000000"/>
      <w:szCs w:val="24"/>
    </w:rPr>
  </w:style>
  <w:style w:type="paragraph" w:customStyle="1" w:styleId="415">
    <w:name w:val="样式 标题 3 + 四号"/>
    <w:basedOn w:val="4"/>
    <w:qFormat/>
    <w:uiPriority w:val="0"/>
    <w:pPr>
      <w:widowControl w:val="0"/>
      <w:spacing w:before="100" w:after="100" w:line="460" w:lineRule="exact"/>
      <w:jc w:val="both"/>
    </w:pPr>
    <w:rPr>
      <w:rFonts w:ascii="宋体" w:hAnsi="宋体"/>
      <w:b/>
      <w:kern w:val="2"/>
      <w:sz w:val="26"/>
      <w:szCs w:val="28"/>
      <w:lang w:eastAsia="zh-CN"/>
    </w:rPr>
  </w:style>
  <w:style w:type="paragraph" w:customStyle="1" w:styleId="416">
    <w:name w:val="NormalIndent"/>
    <w:basedOn w:val="1"/>
    <w:next w:val="1"/>
    <w:qFormat/>
    <w:uiPriority w:val="0"/>
    <w:pPr>
      <w:ind w:firstLine="420"/>
    </w:pPr>
    <w:rPr>
      <w:rFonts w:cs="Times New Roman"/>
      <w:szCs w:val="24"/>
    </w:rPr>
  </w:style>
  <w:style w:type="paragraph" w:customStyle="1" w:styleId="417">
    <w:name w:val="Body Text 21"/>
    <w:basedOn w:val="1"/>
    <w:qFormat/>
    <w:uiPriority w:val="0"/>
    <w:pPr>
      <w:spacing w:line="312" w:lineRule="auto"/>
      <w:textAlignment w:val="baseline"/>
    </w:pPr>
    <w:rPr>
      <w:rFonts w:cs="Times New Roman"/>
      <w:kern w:val="0"/>
      <w:sz w:val="28"/>
      <w:szCs w:val="20"/>
    </w:rPr>
  </w:style>
  <w:style w:type="paragraph" w:customStyle="1" w:styleId="418">
    <w:name w:val="何家沟正文"/>
    <w:basedOn w:val="1"/>
    <w:qFormat/>
    <w:uiPriority w:val="0"/>
    <w:pPr>
      <w:ind w:firstLine="460"/>
    </w:pPr>
    <w:rPr>
      <w:rFonts w:hAnsi="宋体" w:cs="宋体"/>
      <w:sz w:val="23"/>
      <w:szCs w:val="23"/>
    </w:rPr>
  </w:style>
  <w:style w:type="paragraph" w:customStyle="1" w:styleId="419">
    <w:name w:val="样式 标题 2节 + (西文) 宋体 (中文) 宋体 四号 段前: 0 磅 段后: 0 磅 行距: 1.5 倍行距"/>
    <w:basedOn w:val="3"/>
    <w:qFormat/>
    <w:uiPriority w:val="0"/>
    <w:pPr>
      <w:widowControl w:val="0"/>
      <w:adjustRightInd/>
      <w:snapToGrid/>
      <w:spacing w:line="500" w:lineRule="exact"/>
      <w:jc w:val="both"/>
    </w:pPr>
    <w:rPr>
      <w:rFonts w:ascii="宋体" w:hAnsi="宋体" w:eastAsia="宋体" w:cs="宋体"/>
      <w:b/>
      <w:kern w:val="2"/>
      <w:szCs w:val="28"/>
      <w:lang w:eastAsia="zh-CN"/>
    </w:rPr>
  </w:style>
  <w:style w:type="paragraph" w:customStyle="1" w:styleId="420">
    <w:name w:val="样式 样式 标题 2标题节标题 2 Char Char + 段前: 2 行 + 首行缩进:  2 字符 段前: 0.5 行 ...1"/>
    <w:basedOn w:val="337"/>
    <w:next w:val="1"/>
    <w:qFormat/>
    <w:uiPriority w:val="0"/>
    <w:pPr>
      <w:spacing w:before="0" w:beforeLines="0" w:line="240" w:lineRule="auto"/>
      <w:ind w:firstLine="482"/>
    </w:pPr>
    <w:rPr>
      <w:rFonts w:ascii="Arial"/>
      <w:bCs/>
      <w:sz w:val="24"/>
      <w:szCs w:val="24"/>
    </w:rPr>
  </w:style>
  <w:style w:type="paragraph" w:customStyle="1" w:styleId="421">
    <w:name w:val="正文(首行缩进)"/>
    <w:basedOn w:val="1"/>
    <w:qFormat/>
    <w:uiPriority w:val="0"/>
    <w:pPr>
      <w:ind w:firstLine="510"/>
    </w:pPr>
    <w:rPr>
      <w:rFonts w:ascii="宋体" w:hAnsi="宋体" w:cs="Times New Roman"/>
      <w:snapToGrid w:val="0"/>
      <w:kern w:val="0"/>
      <w:szCs w:val="20"/>
    </w:rPr>
  </w:style>
  <w:style w:type="paragraph" w:customStyle="1" w:styleId="422">
    <w:name w:val="标书标题1"/>
    <w:basedOn w:val="2"/>
    <w:qFormat/>
    <w:uiPriority w:val="0"/>
    <w:pPr>
      <w:keepNext w:val="0"/>
      <w:keepLines w:val="0"/>
      <w:widowControl w:val="0"/>
      <w:tabs>
        <w:tab w:val="left" w:pos="360"/>
      </w:tabs>
      <w:spacing w:before="480" w:beforeLines="100" w:after="240" w:afterLines="100" w:line="460" w:lineRule="exact"/>
      <w:ind w:left="284" w:hanging="284"/>
    </w:pPr>
    <w:rPr>
      <w:rFonts w:ascii="Arial Narrow" w:hAnsi="Arial Narrow"/>
      <w:b/>
      <w:bCs w:val="0"/>
      <w:snapToGrid w:val="0"/>
      <w:kern w:val="0"/>
      <w:sz w:val="30"/>
      <w:lang w:eastAsia="zh-CN"/>
    </w:rPr>
  </w:style>
  <w:style w:type="paragraph" w:customStyle="1" w:styleId="423">
    <w:name w:val="样式15"/>
    <w:basedOn w:val="1"/>
    <w:qFormat/>
    <w:uiPriority w:val="0"/>
    <w:pPr>
      <w:keepNext/>
      <w:keepLines/>
      <w:widowControl/>
      <w:spacing w:before="360" w:after="360"/>
      <w:jc w:val="center"/>
      <w:outlineLvl w:val="0"/>
    </w:pPr>
    <w:rPr>
      <w:rFonts w:cs="Times New Roman"/>
      <w:b/>
      <w:bCs/>
      <w:sz w:val="32"/>
      <w:szCs w:val="32"/>
    </w:rPr>
  </w:style>
  <w:style w:type="paragraph" w:customStyle="1" w:styleId="424">
    <w:name w:val="Char21"/>
    <w:basedOn w:val="1"/>
    <w:qFormat/>
    <w:uiPriority w:val="0"/>
    <w:rPr>
      <w:rFonts w:cs="Times New Roman"/>
      <w:sz w:val="30"/>
      <w:szCs w:val="20"/>
    </w:rPr>
  </w:style>
  <w:style w:type="paragraph" w:customStyle="1" w:styleId="425">
    <w:name w:val="xl31"/>
    <w:basedOn w:val="1"/>
    <w:semiHidden/>
    <w:qFormat/>
    <w:uiPriority w:val="0"/>
    <w:pPr>
      <w:widowControl/>
      <w:spacing w:before="100" w:beforeAutospacing="1" w:after="100" w:afterAutospacing="1"/>
      <w:jc w:val="center"/>
    </w:pPr>
    <w:rPr>
      <w:rFonts w:cs="Times New Roman"/>
      <w:kern w:val="0"/>
      <w:szCs w:val="24"/>
    </w:rPr>
  </w:style>
  <w:style w:type="paragraph" w:customStyle="1" w:styleId="426">
    <w:name w:val="样式 首行缩进:  2 字符1"/>
    <w:basedOn w:val="1"/>
    <w:qFormat/>
    <w:uiPriority w:val="0"/>
    <w:pPr>
      <w:spacing w:before="120" w:line="440" w:lineRule="atLeast"/>
      <w:ind w:firstLine="497" w:firstLineChars="207"/>
    </w:pPr>
    <w:rPr>
      <w:rFonts w:ascii="Arial" w:hAnsi="宋体" w:cs="Arial"/>
      <w:szCs w:val="24"/>
    </w:rPr>
  </w:style>
  <w:style w:type="paragraph" w:customStyle="1" w:styleId="427">
    <w:name w:val="样式 样式 标题 2标题节标题 2 Char Char + 段前: 2 行 + 段前: 0.5 行 段后: 0.5 行1"/>
    <w:basedOn w:val="337"/>
    <w:qFormat/>
    <w:uiPriority w:val="0"/>
  </w:style>
  <w:style w:type="paragraph" w:customStyle="1" w:styleId="428">
    <w:name w:val="a3"/>
    <w:basedOn w:val="1"/>
    <w:qFormat/>
    <w:uiPriority w:val="0"/>
    <w:pPr>
      <w:spacing w:line="288" w:lineRule="auto"/>
      <w:jc w:val="center"/>
    </w:pPr>
    <w:rPr>
      <w:rFonts w:cs="Times New Roman"/>
      <w:szCs w:val="24"/>
    </w:rPr>
  </w:style>
  <w:style w:type="paragraph" w:customStyle="1" w:styleId="429">
    <w:name w:val="样式3"/>
    <w:basedOn w:val="27"/>
    <w:qFormat/>
    <w:uiPriority w:val="0"/>
    <w:pPr>
      <w:spacing w:line="500" w:lineRule="exact"/>
      <w:ind w:firstLine="360" w:firstLineChars="150"/>
    </w:pPr>
    <w:rPr>
      <w:rFonts w:hAnsi="宋体" w:cs="宋体"/>
      <w:b/>
      <w:szCs w:val="24"/>
    </w:rPr>
  </w:style>
  <w:style w:type="paragraph" w:customStyle="1" w:styleId="430">
    <w:name w:val="样式 样式 标题 2标题节标题 2 Char Char + 段前: 2 行 + 左侧:  1 字符3"/>
    <w:basedOn w:val="337"/>
    <w:qFormat/>
    <w:uiPriority w:val="0"/>
    <w:pPr>
      <w:spacing w:before="50" w:beforeLines="0" w:after="50"/>
    </w:pPr>
    <w:rPr>
      <w:rFonts w:hAnsi="Times New Roman" w:eastAsia="宋体" w:cs="宋体"/>
      <w:bCs/>
    </w:rPr>
  </w:style>
  <w:style w:type="paragraph" w:customStyle="1" w:styleId="431">
    <w:name w:val="标书标题4"/>
    <w:basedOn w:val="5"/>
    <w:qFormat/>
    <w:uiPriority w:val="0"/>
    <w:pPr>
      <w:keepNext w:val="0"/>
      <w:keepLines w:val="0"/>
      <w:numPr>
        <w:ilvl w:val="0"/>
        <w:numId w:val="0"/>
      </w:numPr>
      <w:tabs>
        <w:tab w:val="left" w:pos="851"/>
      </w:tabs>
      <w:spacing w:before="0" w:line="300" w:lineRule="auto"/>
      <w:ind w:left="851" w:hanging="851" w:firstLineChars="200"/>
    </w:pPr>
    <w:rPr>
      <w:rFonts w:ascii="Arial Narrow" w:hAnsi="Arial Narrow" w:eastAsia="仿宋_GB2312"/>
      <w:b/>
      <w:bCs w:val="0"/>
      <w:kern w:val="0"/>
      <w:sz w:val="28"/>
      <w:szCs w:val="20"/>
    </w:rPr>
  </w:style>
  <w:style w:type="paragraph" w:customStyle="1" w:styleId="432">
    <w:name w:val="Char4 Char Char Char2"/>
    <w:basedOn w:val="1"/>
    <w:semiHidden/>
    <w:qFormat/>
    <w:uiPriority w:val="0"/>
    <w:rPr>
      <w:rFonts w:ascii="宋体" w:hAnsi="宋体" w:cs="宋体"/>
      <w:szCs w:val="26"/>
    </w:rPr>
  </w:style>
  <w:style w:type="paragraph" w:customStyle="1" w:styleId="433">
    <w:name w:val="标书标题3"/>
    <w:basedOn w:val="4"/>
    <w:qFormat/>
    <w:uiPriority w:val="0"/>
    <w:pPr>
      <w:keepNext w:val="0"/>
      <w:keepLines w:val="0"/>
      <w:widowControl w:val="0"/>
      <w:spacing w:before="120" w:after="60" w:line="300" w:lineRule="auto"/>
      <w:ind w:firstLine="522" w:firstLineChars="200"/>
      <w:jc w:val="both"/>
    </w:pPr>
    <w:rPr>
      <w:rFonts w:ascii="宋体" w:hAnsi="宋体"/>
      <w:color w:val="000000"/>
      <w:sz w:val="26"/>
      <w:szCs w:val="26"/>
      <w:lang w:eastAsia="zh-CN"/>
    </w:rPr>
  </w:style>
  <w:style w:type="paragraph" w:customStyle="1" w:styleId="434">
    <w:name w:val="样式 样式 样式 样式 样式 正文A + 首行缩进:  2 字符 + 首行缩进:  2 字符 + 两端对齐 首行缩进:  2 字..."/>
    <w:basedOn w:val="1"/>
    <w:qFormat/>
    <w:uiPriority w:val="0"/>
    <w:pPr>
      <w:tabs>
        <w:tab w:val="left" w:pos="578"/>
        <w:tab w:val="left" w:pos="1074"/>
        <w:tab w:val="left" w:pos="1595"/>
        <w:tab w:val="left" w:pos="2073"/>
        <w:tab w:val="left" w:pos="2507"/>
        <w:tab w:val="left" w:pos="3025"/>
        <w:tab w:val="left" w:pos="3991"/>
      </w:tabs>
      <w:ind w:firstLine="480"/>
    </w:pPr>
    <w:rPr>
      <w:rFonts w:cs="宋体"/>
      <w:kern w:val="0"/>
      <w:szCs w:val="20"/>
    </w:rPr>
  </w:style>
  <w:style w:type="paragraph" w:customStyle="1" w:styleId="435">
    <w:name w:val="标书标题2"/>
    <w:basedOn w:val="3"/>
    <w:qFormat/>
    <w:uiPriority w:val="0"/>
    <w:pPr>
      <w:keepNext w:val="0"/>
      <w:keepLines w:val="0"/>
      <w:widowControl w:val="0"/>
      <w:tabs>
        <w:tab w:val="left" w:pos="574"/>
      </w:tabs>
      <w:spacing w:before="240" w:after="120" w:line="300" w:lineRule="auto"/>
      <w:ind w:firstLine="200"/>
    </w:pPr>
    <w:rPr>
      <w:rFonts w:ascii="Arial Narrow" w:hAnsi="Arial Narrow" w:eastAsia="宋体"/>
      <w:b/>
      <w:bCs w:val="0"/>
      <w:lang w:eastAsia="zh-CN"/>
    </w:rPr>
  </w:style>
  <w:style w:type="paragraph" w:customStyle="1" w:styleId="436">
    <w:name w:val="ygs正文"/>
    <w:basedOn w:val="1"/>
    <w:qFormat/>
    <w:uiPriority w:val="0"/>
    <w:pPr>
      <w:spacing w:line="440" w:lineRule="exact"/>
      <w:ind w:firstLine="480"/>
    </w:pPr>
    <w:rPr>
      <w:rFonts w:ascii="宋体" w:hAnsi="宋体" w:cs="Times New Roman"/>
      <w:bCs/>
      <w:szCs w:val="24"/>
    </w:rPr>
  </w:style>
  <w:style w:type="paragraph" w:customStyle="1" w:styleId="437">
    <w:name w:val="Char Char Char Char Char2 Char"/>
    <w:basedOn w:val="1"/>
    <w:qFormat/>
    <w:uiPriority w:val="0"/>
    <w:rPr>
      <w:rFonts w:ascii="宋体" w:hAnsi="宋体" w:cs="宋体"/>
      <w:szCs w:val="26"/>
    </w:rPr>
  </w:style>
  <w:style w:type="paragraph" w:customStyle="1" w:styleId="438">
    <w:name w:val="declear"/>
    <w:basedOn w:val="1"/>
    <w:qFormat/>
    <w:uiPriority w:val="0"/>
    <w:pPr>
      <w:widowControl/>
      <w:spacing w:before="100" w:beforeAutospacing="1" w:after="100" w:afterAutospacing="1"/>
      <w:jc w:val="left"/>
    </w:pPr>
    <w:rPr>
      <w:rFonts w:ascii="宋体" w:hAnsi="宋体" w:cs="宋体"/>
      <w:kern w:val="0"/>
      <w:szCs w:val="24"/>
    </w:rPr>
  </w:style>
  <w:style w:type="paragraph" w:customStyle="1" w:styleId="439">
    <w:name w:val="正 文"/>
    <w:basedOn w:val="1"/>
    <w:qFormat/>
    <w:uiPriority w:val="0"/>
    <w:pPr>
      <w:spacing w:line="440" w:lineRule="exact"/>
    </w:pPr>
    <w:rPr>
      <w:rFonts w:hAnsi="宋体" w:cs="Times New Roman"/>
      <w:szCs w:val="24"/>
    </w:rPr>
  </w:style>
  <w:style w:type="paragraph" w:customStyle="1" w:styleId="440">
    <w:name w:val="正文   1"/>
    <w:basedOn w:val="1"/>
    <w:qFormat/>
    <w:uiPriority w:val="0"/>
    <w:pPr>
      <w:spacing w:line="460" w:lineRule="atLeast"/>
      <w:ind w:firstLine="520"/>
    </w:pPr>
    <w:rPr>
      <w:rFonts w:cs="Times New Roman"/>
      <w:bCs/>
      <w:sz w:val="26"/>
      <w:szCs w:val="24"/>
    </w:rPr>
  </w:style>
  <w:style w:type="paragraph" w:customStyle="1" w:styleId="441">
    <w:name w:val="表格中的文字"/>
    <w:basedOn w:val="1"/>
    <w:qFormat/>
    <w:uiPriority w:val="0"/>
    <w:pPr>
      <w:jc w:val="center"/>
    </w:pPr>
    <w:rPr>
      <w:rFonts w:cs="Times New Roman"/>
    </w:rPr>
  </w:style>
  <w:style w:type="paragraph" w:customStyle="1" w:styleId="442">
    <w:name w:val="表格体"/>
    <w:basedOn w:val="65"/>
    <w:qFormat/>
    <w:uiPriority w:val="0"/>
    <w:pPr>
      <w:spacing w:line="240" w:lineRule="auto"/>
    </w:pPr>
    <w:rPr>
      <w:rFonts w:eastAsia="宋体"/>
      <w:sz w:val="21"/>
      <w:szCs w:val="22"/>
    </w:rPr>
  </w:style>
  <w:style w:type="paragraph" w:customStyle="1" w:styleId="443">
    <w:name w:val="6表格"/>
    <w:basedOn w:val="1"/>
    <w:qFormat/>
    <w:uiPriority w:val="0"/>
    <w:pPr>
      <w:spacing w:before="120"/>
      <w:jc w:val="center"/>
    </w:pPr>
    <w:rPr>
      <w:rFonts w:cs="Times New Roman"/>
      <w:kern w:val="0"/>
      <w:szCs w:val="20"/>
    </w:rPr>
  </w:style>
  <w:style w:type="paragraph" w:customStyle="1" w:styleId="444">
    <w:name w:val="Char Char2 Char Char Char Char Char Char"/>
    <w:basedOn w:val="1"/>
    <w:semiHidden/>
    <w:qFormat/>
    <w:uiPriority w:val="0"/>
    <w:rPr>
      <w:rFonts w:cs="宋体"/>
      <w:szCs w:val="26"/>
    </w:rPr>
  </w:style>
  <w:style w:type="paragraph" w:customStyle="1" w:styleId="445">
    <w:name w:val="样式 样式 标题 2标题节标题 2 Char Char + 段前: 2 行 + 左侧:  1 字符 右侧:  1 字符1"/>
    <w:basedOn w:val="337"/>
    <w:qFormat/>
    <w:uiPriority w:val="0"/>
    <w:pPr>
      <w:spacing w:before="50" w:beforeLines="0" w:after="50"/>
    </w:pPr>
    <w:rPr>
      <w:rFonts w:hAnsi="Times New Roman" w:eastAsia="宋体" w:cs="宋体"/>
      <w:bCs/>
    </w:rPr>
  </w:style>
  <w:style w:type="paragraph" w:customStyle="1" w:styleId="446">
    <w:name w:val="样式19"/>
    <w:basedOn w:val="1"/>
    <w:qFormat/>
    <w:uiPriority w:val="0"/>
    <w:pPr>
      <w:keepNext/>
      <w:keepLines/>
      <w:widowControl/>
      <w:spacing w:line="460" w:lineRule="exact"/>
      <w:jc w:val="left"/>
      <w:textAlignment w:val="baseline"/>
      <w:outlineLvl w:val="2"/>
    </w:pPr>
    <w:rPr>
      <w:rFonts w:cs="Times New Roman"/>
      <w:b/>
      <w:kern w:val="0"/>
      <w:sz w:val="26"/>
      <w:szCs w:val="26"/>
    </w:rPr>
  </w:style>
  <w:style w:type="paragraph" w:customStyle="1" w:styleId="447">
    <w:name w:val="样式 样式 标题 2标题节标题 2 Char Char + 段前: 2 行 + 左侧:  1 字符2"/>
    <w:basedOn w:val="337"/>
    <w:qFormat/>
    <w:uiPriority w:val="0"/>
    <w:pPr>
      <w:spacing w:before="50" w:beforeLines="0" w:after="50"/>
    </w:pPr>
    <w:rPr>
      <w:rFonts w:hAnsi="Times New Roman" w:eastAsia="宋体" w:cs="宋体"/>
      <w:bCs/>
    </w:rPr>
  </w:style>
  <w:style w:type="paragraph" w:customStyle="1" w:styleId="448">
    <w:name w:val="b"/>
    <w:basedOn w:val="3"/>
    <w:qFormat/>
    <w:uiPriority w:val="0"/>
    <w:pPr>
      <w:keepNext w:val="0"/>
      <w:keepLines w:val="0"/>
      <w:spacing w:after="50" w:afterLines="50" w:line="240" w:lineRule="auto"/>
      <w:jc w:val="both"/>
      <w:textAlignment w:val="baseline"/>
    </w:pPr>
    <w:rPr>
      <w:rFonts w:eastAsia="仿宋_GB2312"/>
      <w:b/>
      <w:color w:val="000000"/>
      <w:sz w:val="32"/>
      <w:lang w:eastAsia="zh-CN"/>
    </w:rPr>
  </w:style>
  <w:style w:type="paragraph" w:customStyle="1" w:styleId="449">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cs="Arial Unicode MS"/>
      <w:kern w:val="0"/>
      <w:szCs w:val="21"/>
    </w:rPr>
  </w:style>
  <w:style w:type="paragraph" w:customStyle="1" w:styleId="450">
    <w:name w:val="样式 正文缩进正文缩进2正文缩进 Char Char正文缩进 Char Char Char Char正文缩进 Char ..."/>
    <w:basedOn w:val="13"/>
    <w:qFormat/>
    <w:uiPriority w:val="0"/>
    <w:pPr>
      <w:ind w:firstLine="200"/>
    </w:pPr>
    <w:rPr>
      <w:rFonts w:cs="宋体"/>
    </w:rPr>
  </w:style>
  <w:style w:type="paragraph" w:customStyle="1" w:styleId="451">
    <w:name w:val="123"/>
    <w:basedOn w:val="1"/>
    <w:next w:val="1"/>
    <w:qFormat/>
    <w:uiPriority w:val="0"/>
    <w:pPr>
      <w:ind w:firstLine="562"/>
    </w:pPr>
    <w:rPr>
      <w:rFonts w:cs="Times New Roman"/>
      <w:b/>
      <w:bCs/>
      <w:color w:val="000000"/>
      <w:sz w:val="28"/>
      <w:szCs w:val="24"/>
    </w:rPr>
  </w:style>
  <w:style w:type="paragraph" w:customStyle="1" w:styleId="452">
    <w:name w:val="样式 13 磅 行距: 固定值 23 磅"/>
    <w:basedOn w:val="1"/>
    <w:qFormat/>
    <w:uiPriority w:val="0"/>
    <w:pPr>
      <w:spacing w:line="460" w:lineRule="exact"/>
      <w:ind w:firstLine="520"/>
    </w:pPr>
    <w:rPr>
      <w:rFonts w:cs="Times New Roman"/>
      <w:sz w:val="26"/>
      <w:szCs w:val="20"/>
    </w:rPr>
  </w:style>
  <w:style w:type="paragraph" w:customStyle="1" w:styleId="453">
    <w:name w:val="样式6565656"/>
    <w:basedOn w:val="1"/>
    <w:qFormat/>
    <w:uiPriority w:val="0"/>
    <w:pPr>
      <w:spacing w:line="460" w:lineRule="atLeast"/>
      <w:ind w:firstLine="480"/>
    </w:pPr>
    <w:rPr>
      <w:rFonts w:cs="Times New Roman"/>
      <w:bCs/>
      <w:szCs w:val="24"/>
    </w:rPr>
  </w:style>
  <w:style w:type="paragraph" w:customStyle="1" w:styleId="454">
    <w:name w:val="样式 样式 标题 2标题节标题 2 Char Char + 段前: 2 行 + 段前: 0.5 行 段后: 0.5 行"/>
    <w:basedOn w:val="337"/>
    <w:next w:val="1"/>
    <w:qFormat/>
    <w:uiPriority w:val="0"/>
    <w:pPr>
      <w:spacing w:before="120" w:beforeLines="0" w:after="120"/>
    </w:pPr>
    <w:rPr>
      <w:rFonts w:hAnsi="Times New Roman" w:eastAsia="宋体" w:cs="宋体"/>
      <w:bCs/>
    </w:rPr>
  </w:style>
  <w:style w:type="paragraph" w:customStyle="1" w:styleId="455">
    <w:name w:val="二级标题"/>
    <w:basedOn w:val="1"/>
    <w:next w:val="1"/>
    <w:qFormat/>
    <w:uiPriority w:val="0"/>
    <w:pPr>
      <w:spacing w:before="156" w:beforeLines="50" w:after="156" w:afterLines="50" w:line="460" w:lineRule="exact"/>
      <w:outlineLvl w:val="1"/>
    </w:pPr>
    <w:rPr>
      <w:rFonts w:cs="Times New Roman"/>
      <w:b/>
      <w:bCs/>
      <w:sz w:val="30"/>
      <w:szCs w:val="30"/>
    </w:rPr>
  </w:style>
  <w:style w:type="paragraph" w:customStyle="1" w:styleId="456">
    <w:name w:val="样式 首行缩进:  0.85 厘米8"/>
    <w:basedOn w:val="1"/>
    <w:qFormat/>
    <w:uiPriority w:val="0"/>
    <w:pPr>
      <w:spacing w:line="288" w:lineRule="auto"/>
      <w:ind w:firstLine="482"/>
    </w:pPr>
    <w:rPr>
      <w:rFonts w:cs="宋体"/>
      <w:szCs w:val="26"/>
    </w:rPr>
  </w:style>
  <w:style w:type="paragraph" w:customStyle="1" w:styleId="457">
    <w:name w:val="Char Char Char3 Char Char Char2 Char"/>
    <w:basedOn w:val="1"/>
    <w:semiHidden/>
    <w:qFormat/>
    <w:uiPriority w:val="0"/>
    <w:rPr>
      <w:rFonts w:ascii="宋体" w:hAnsi="宋体" w:cs="宋体"/>
      <w:szCs w:val="26"/>
    </w:rPr>
  </w:style>
  <w:style w:type="paragraph" w:customStyle="1" w:styleId="458">
    <w:name w:val="编号正文"/>
    <w:basedOn w:val="1"/>
    <w:qFormat/>
    <w:uiPriority w:val="0"/>
    <w:pPr>
      <w:tabs>
        <w:tab w:val="left" w:pos="1260"/>
      </w:tabs>
      <w:spacing w:after="50" w:afterLines="50" w:line="300" w:lineRule="auto"/>
      <w:ind w:left="1260" w:hanging="806"/>
    </w:pPr>
    <w:rPr>
      <w:rFonts w:ascii="Arial Narrow" w:hAnsi="Arial Narrow" w:eastAsia="仿宋_GB2312" w:cs="Times New Roman"/>
      <w:sz w:val="28"/>
      <w:szCs w:val="28"/>
    </w:rPr>
  </w:style>
  <w:style w:type="paragraph" w:customStyle="1" w:styleId="459">
    <w:name w:val="Char3"/>
    <w:basedOn w:val="1"/>
    <w:qFormat/>
    <w:uiPriority w:val="0"/>
    <w:rPr>
      <w:rFonts w:cs="Times New Roman"/>
      <w:szCs w:val="24"/>
    </w:rPr>
  </w:style>
  <w:style w:type="paragraph" w:customStyle="1" w:styleId="460">
    <w:name w:val="表格文字居中"/>
    <w:basedOn w:val="1"/>
    <w:next w:val="1"/>
    <w:qFormat/>
    <w:uiPriority w:val="0"/>
    <w:pPr>
      <w:spacing w:line="460" w:lineRule="exact"/>
      <w:jc w:val="center"/>
    </w:pPr>
    <w:rPr>
      <w:rFonts w:cs="Times New Roman"/>
      <w:color w:val="000000"/>
      <w:sz w:val="22"/>
    </w:rPr>
  </w:style>
  <w:style w:type="paragraph" w:customStyle="1" w:styleId="461">
    <w:name w:val="样式 标题 2 + Times New Roman 非加粗"/>
    <w:basedOn w:val="3"/>
    <w:qFormat/>
    <w:uiPriority w:val="0"/>
    <w:pPr>
      <w:keepLines w:val="0"/>
      <w:widowControl w:val="0"/>
      <w:adjustRightInd/>
      <w:snapToGrid/>
      <w:spacing w:before="156" w:line="240" w:lineRule="auto"/>
      <w:ind w:firstLine="472" w:firstLineChars="196"/>
      <w:jc w:val="both"/>
    </w:pPr>
    <w:rPr>
      <w:bCs w:val="0"/>
      <w:color w:val="000000"/>
      <w:kern w:val="2"/>
      <w:szCs w:val="24"/>
      <w:lang w:eastAsia="zh-CN"/>
    </w:rPr>
  </w:style>
  <w:style w:type="paragraph" w:customStyle="1" w:styleId="462">
    <w:name w:val="xl27"/>
    <w:basedOn w:val="1"/>
    <w:qFormat/>
    <w:uiPriority w:val="0"/>
    <w:pPr>
      <w:widowControl/>
      <w:pBdr>
        <w:left w:val="single" w:color="auto" w:sz="12"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color w:val="000000"/>
      <w:kern w:val="0"/>
      <w:szCs w:val="20"/>
    </w:rPr>
  </w:style>
  <w:style w:type="paragraph" w:customStyle="1" w:styleId="463">
    <w:name w:val="Char Char Char1 Char Char Char Char Char Char Char Char Char Char Char Char Char Char Char Char Char Char Char Char Char Char"/>
    <w:basedOn w:val="1"/>
    <w:qFormat/>
    <w:uiPriority w:val="0"/>
    <w:rPr>
      <w:rFonts w:ascii="宋体" w:hAnsi="宋体" w:cs="宋体"/>
      <w:szCs w:val="26"/>
    </w:rPr>
  </w:style>
  <w:style w:type="paragraph" w:customStyle="1" w:styleId="464">
    <w:name w:val="Z7[图表]"/>
    <w:next w:val="1"/>
    <w:qFormat/>
    <w:uiPriority w:val="0"/>
    <w:pPr>
      <w:jc w:val="center"/>
    </w:pPr>
    <w:rPr>
      <w:rFonts w:ascii="Times New Roman" w:hAnsi="Times New Roman" w:eastAsia="仿宋_GB2312" w:cs="Times New Roman"/>
      <w:bCs/>
      <w:sz w:val="21"/>
      <w:szCs w:val="44"/>
      <w:lang w:val="en-US" w:eastAsia="zh-CN" w:bidi="ar-SA"/>
    </w:rPr>
  </w:style>
  <w:style w:type="paragraph" w:customStyle="1" w:styleId="465">
    <w:name w:val="HtmlNormal"/>
    <w:basedOn w:val="1"/>
    <w:qFormat/>
    <w:uiPriority w:val="0"/>
    <w:pPr>
      <w:spacing w:before="100" w:beforeAutospacing="1" w:after="100" w:afterAutospacing="1" w:line="384" w:lineRule="auto"/>
      <w:jc w:val="left"/>
    </w:pPr>
    <w:rPr>
      <w:rFonts w:ascii="Arial Unicode MS" w:hAnsi="Arial Unicode MS" w:eastAsia="Times New Roman" w:cs="Times New Roman"/>
      <w:color w:val="000000"/>
      <w:kern w:val="0"/>
      <w:szCs w:val="21"/>
    </w:rPr>
  </w:style>
  <w:style w:type="paragraph" w:customStyle="1" w:styleId="466">
    <w:name w:val="样式 13 磅 黑色 行距: 固定值 23 磅"/>
    <w:basedOn w:val="1"/>
    <w:qFormat/>
    <w:uiPriority w:val="0"/>
    <w:pPr>
      <w:spacing w:line="440" w:lineRule="exact"/>
      <w:jc w:val="center"/>
    </w:pPr>
    <w:rPr>
      <w:rFonts w:ascii="宋体" w:hAnsi="宋体" w:cs="Arial"/>
      <w:szCs w:val="24"/>
    </w:rPr>
  </w:style>
  <w:style w:type="paragraph" w:customStyle="1" w:styleId="467">
    <w:name w:val="样式 样式 标题 2标题节标题 2 Char Char + 段前: 2 行 + 首行缩进:  2 字符 段前: 0.5 行 ..."/>
    <w:basedOn w:val="337"/>
    <w:qFormat/>
    <w:uiPriority w:val="0"/>
    <w:pPr>
      <w:spacing w:before="0" w:beforeLines="0"/>
      <w:ind w:firstLine="0"/>
    </w:pPr>
    <w:rPr>
      <w:rFonts w:hAnsi="Times New Roman" w:eastAsia="宋体" w:cs="宋体"/>
      <w:bCs/>
    </w:rPr>
  </w:style>
  <w:style w:type="paragraph" w:customStyle="1" w:styleId="468">
    <w:name w:val="xl24"/>
    <w:basedOn w:val="1"/>
    <w:qFormat/>
    <w:uiPriority w:val="0"/>
    <w:pPr>
      <w:widowControl/>
      <w:spacing w:before="100" w:beforeAutospacing="1" w:after="100" w:afterAutospacing="1"/>
      <w:jc w:val="center"/>
      <w:textAlignment w:val="center"/>
    </w:pPr>
    <w:rPr>
      <w:rFonts w:ascii="Arial Unicode MS" w:hAnsi="Arial Unicode MS" w:eastAsia="Arial Unicode MS" w:cs="Times New Roman"/>
      <w:kern w:val="0"/>
      <w:sz w:val="22"/>
    </w:rPr>
  </w:style>
  <w:style w:type="paragraph" w:customStyle="1" w:styleId="469">
    <w:name w:val="xl26"/>
    <w:basedOn w:val="1"/>
    <w:qFormat/>
    <w:uiPriority w:val="0"/>
    <w:pPr>
      <w:widowControl/>
      <w:pBdr>
        <w:bottom w:val="single" w:color="auto" w:sz="4" w:space="0"/>
        <w:right w:val="single" w:color="auto" w:sz="4" w:space="0"/>
      </w:pBdr>
      <w:spacing w:before="100" w:beforeAutospacing="1" w:after="100" w:afterAutospacing="1"/>
      <w:textAlignment w:val="top"/>
    </w:pPr>
    <w:rPr>
      <w:rFonts w:ascii="宋体" w:hAnsi="宋体" w:cs="Times New Roman"/>
      <w:kern w:val="0"/>
      <w:szCs w:val="21"/>
    </w:rPr>
  </w:style>
  <w:style w:type="paragraph" w:customStyle="1" w:styleId="470">
    <w:name w:val="Z2[封面]"/>
    <w:next w:val="1"/>
    <w:qFormat/>
    <w:uiPriority w:val="0"/>
    <w:pPr>
      <w:spacing w:line="360" w:lineRule="auto"/>
      <w:jc w:val="center"/>
    </w:pPr>
    <w:rPr>
      <w:rFonts w:ascii="Times New Roman" w:hAnsi="Times New Roman" w:eastAsia="楷体_GB2312" w:cs="Times New Roman"/>
      <w:bCs/>
      <w:sz w:val="32"/>
      <w:szCs w:val="44"/>
      <w:lang w:val="en-US" w:eastAsia="zh-CN" w:bidi="ar-SA"/>
    </w:rPr>
  </w:style>
  <w:style w:type="paragraph" w:customStyle="1" w:styleId="471">
    <w:name w:val="UserStyle_5"/>
    <w:qFormat/>
    <w:uiPriority w:val="0"/>
    <w:pPr>
      <w:spacing w:line="600" w:lineRule="exact"/>
      <w:ind w:firstLine="567"/>
      <w:jc w:val="both"/>
      <w:textAlignment w:val="baseline"/>
    </w:pPr>
    <w:rPr>
      <w:rFonts w:ascii="宋体" w:hAnsi="Times New Roman" w:eastAsia="宋体" w:cs="Times New Roman"/>
      <w:sz w:val="28"/>
      <w:lang w:val="en-US" w:eastAsia="zh-CN" w:bidi="ar-SA"/>
    </w:rPr>
  </w:style>
  <w:style w:type="paragraph" w:customStyle="1" w:styleId="472">
    <w:name w:val="默认段落字体 Para Char"/>
    <w:basedOn w:val="1"/>
    <w:next w:val="1"/>
    <w:qFormat/>
    <w:uiPriority w:val="0"/>
    <w:rPr>
      <w:rFonts w:cs="Times New Roman"/>
      <w:szCs w:val="24"/>
    </w:rPr>
  </w:style>
  <w:style w:type="paragraph" w:customStyle="1" w:styleId="473">
    <w:name w:val="正"/>
    <w:qFormat/>
    <w:uiPriority w:val="0"/>
    <w:pPr>
      <w:spacing w:line="480" w:lineRule="exact"/>
      <w:ind w:firstLine="470" w:firstLineChars="196"/>
    </w:pPr>
    <w:rPr>
      <w:rFonts w:ascii="Times New Roman" w:hAnsi="Times New Roman" w:eastAsia="宋体" w:cs="Times New Roman"/>
      <w:bCs/>
      <w:kern w:val="2"/>
      <w:sz w:val="24"/>
      <w:szCs w:val="24"/>
      <w:lang w:val="en-US" w:eastAsia="zh-CN" w:bidi="ar-SA"/>
    </w:rPr>
  </w:style>
  <w:style w:type="paragraph" w:customStyle="1" w:styleId="474">
    <w:name w:val="Z5[附件]"/>
    <w:next w:val="1"/>
    <w:qFormat/>
    <w:uiPriority w:val="0"/>
    <w:pPr>
      <w:spacing w:line="360" w:lineRule="auto"/>
      <w:ind w:firstLine="200" w:firstLineChars="200"/>
    </w:pPr>
    <w:rPr>
      <w:rFonts w:ascii="Times New Roman" w:hAnsi="Times New Roman" w:eastAsia="仿宋_GB2312" w:cs="Times New Roman"/>
      <w:b/>
      <w:sz w:val="28"/>
      <w:szCs w:val="24"/>
      <w:lang w:val="en-US" w:eastAsia="zh-CN" w:bidi="ar-SA"/>
    </w:rPr>
  </w:style>
  <w:style w:type="paragraph" w:customStyle="1" w:styleId="475">
    <w:name w:val="xl25"/>
    <w:basedOn w:val="1"/>
    <w:semiHidden/>
    <w:qFormat/>
    <w:uiPriority w:val="0"/>
    <w:pPr>
      <w:widowControl/>
      <w:spacing w:before="100" w:after="100"/>
      <w:jc w:val="center"/>
    </w:pPr>
    <w:rPr>
      <w:rFonts w:eastAsia="Arial Unicode MS" w:cs="Times New Roman"/>
      <w:kern w:val="0"/>
      <w:szCs w:val="20"/>
    </w:rPr>
  </w:style>
  <w:style w:type="paragraph" w:customStyle="1" w:styleId="476">
    <w:name w:val="样式 四号 行距: 固定值 28 磅 首行缩进:  2 字符"/>
    <w:basedOn w:val="1"/>
    <w:qFormat/>
    <w:uiPriority w:val="0"/>
    <w:pPr>
      <w:spacing w:line="560" w:lineRule="exact"/>
      <w:ind w:firstLine="560"/>
    </w:pPr>
    <w:rPr>
      <w:rFonts w:cs="宋体"/>
      <w:sz w:val="28"/>
      <w:szCs w:val="20"/>
    </w:rPr>
  </w:style>
  <w:style w:type="paragraph" w:customStyle="1" w:styleId="477">
    <w:name w:val="样式 样式 标题 2标题节标题 2 Char Char + 段前: 2 行 + 左侧:  1 字符"/>
    <w:basedOn w:val="337"/>
    <w:qFormat/>
    <w:uiPriority w:val="0"/>
    <w:pPr>
      <w:spacing w:before="0" w:beforeLines="0"/>
    </w:pPr>
    <w:rPr>
      <w:rFonts w:hAnsi="Times New Roman" w:eastAsia="宋体" w:cs="宋体"/>
      <w:bCs/>
    </w:rPr>
  </w:style>
  <w:style w:type="paragraph" w:customStyle="1" w:styleId="478">
    <w:name w:val="Char Char Char"/>
    <w:basedOn w:val="1"/>
    <w:qFormat/>
    <w:uiPriority w:val="0"/>
    <w:rPr>
      <w:rFonts w:cs="Times New Roman"/>
      <w:szCs w:val="20"/>
    </w:rPr>
  </w:style>
  <w:style w:type="paragraph" w:customStyle="1" w:styleId="479">
    <w:name w:val="样式 左 首行缩进:  1.01 厘米"/>
    <w:basedOn w:val="1"/>
    <w:qFormat/>
    <w:uiPriority w:val="0"/>
    <w:pPr>
      <w:spacing w:line="460" w:lineRule="exact"/>
    </w:pPr>
    <w:rPr>
      <w:rFonts w:cs="宋体"/>
      <w:sz w:val="26"/>
      <w:szCs w:val="26"/>
    </w:rPr>
  </w:style>
  <w:style w:type="paragraph" w:customStyle="1" w:styleId="480">
    <w:name w:val="样式 13 磅 行距: 固定值 23 磅 首行缩进:  2 字符"/>
    <w:basedOn w:val="1"/>
    <w:qFormat/>
    <w:uiPriority w:val="0"/>
    <w:pPr>
      <w:spacing w:line="460" w:lineRule="exact"/>
      <w:ind w:firstLine="520"/>
    </w:pPr>
    <w:rPr>
      <w:rFonts w:cs="宋体"/>
      <w:sz w:val="26"/>
      <w:szCs w:val="20"/>
    </w:rPr>
  </w:style>
  <w:style w:type="paragraph" w:customStyle="1" w:styleId="481">
    <w:name w:val="表格文字-hao-居中"/>
    <w:qFormat/>
    <w:uiPriority w:val="99"/>
    <w:pPr>
      <w:adjustRightInd w:val="0"/>
      <w:snapToGrid w:val="0"/>
      <w:spacing w:beforeLines="20" w:afterLines="10" w:line="264" w:lineRule="auto"/>
      <w:jc w:val="center"/>
      <w:textAlignment w:val="center"/>
    </w:pPr>
    <w:rPr>
      <w:rFonts w:ascii="Times New Roman" w:hAnsi="Times New Roman" w:eastAsia="宋体" w:cs="Times New Roman"/>
      <w:szCs w:val="24"/>
      <w:lang w:val="en-US" w:eastAsia="zh-CN" w:bidi="ar-SA"/>
    </w:rPr>
  </w:style>
  <w:style w:type="paragraph" w:customStyle="1" w:styleId="482">
    <w:name w:val="Z1[封面]"/>
    <w:next w:val="1"/>
    <w:qFormat/>
    <w:uiPriority w:val="0"/>
    <w:pPr>
      <w:spacing w:line="360" w:lineRule="auto"/>
      <w:jc w:val="center"/>
    </w:pPr>
    <w:rPr>
      <w:rFonts w:ascii="Times New Roman" w:hAnsi="Times New Roman" w:eastAsia="华文中宋" w:cs="Times New Roman"/>
      <w:b/>
      <w:bCs/>
      <w:sz w:val="44"/>
      <w:szCs w:val="44"/>
      <w:lang w:val="en-US" w:eastAsia="zh-CN" w:bidi="ar-SA"/>
    </w:rPr>
  </w:style>
  <w:style w:type="paragraph" w:customStyle="1" w:styleId="483">
    <w:name w:val="Char Char Char Char1"/>
    <w:basedOn w:val="1"/>
    <w:qFormat/>
    <w:uiPriority w:val="0"/>
    <w:rPr>
      <w:rFonts w:ascii="仿宋_GB2312" w:hAnsi="Tahoma" w:eastAsia="仿宋_GB2312" w:cs="Times New Roman"/>
      <w:szCs w:val="21"/>
    </w:rPr>
  </w:style>
  <w:style w:type="paragraph" w:customStyle="1" w:styleId="484">
    <w:name w:val="表格1"/>
    <w:basedOn w:val="1"/>
    <w:qFormat/>
    <w:uiPriority w:val="0"/>
    <w:pPr>
      <w:spacing w:line="360" w:lineRule="exact"/>
      <w:jc w:val="center"/>
    </w:pPr>
    <w:rPr>
      <w:rFonts w:cs="Times New Roman"/>
      <w:color w:val="000000"/>
      <w:szCs w:val="24"/>
    </w:rPr>
  </w:style>
  <w:style w:type="paragraph" w:customStyle="1" w:styleId="485">
    <w:name w:val="正文（首行缩进两字）"/>
    <w:basedOn w:val="1"/>
    <w:qFormat/>
    <w:uiPriority w:val="0"/>
    <w:rPr>
      <w:rFonts w:cs="Times New Roman"/>
      <w:szCs w:val="21"/>
    </w:rPr>
  </w:style>
  <w:style w:type="paragraph" w:customStyle="1" w:styleId="486">
    <w:name w:val="BodyTextIndent2"/>
    <w:basedOn w:val="1"/>
    <w:qFormat/>
    <w:uiPriority w:val="0"/>
    <w:pPr>
      <w:spacing w:after="120" w:line="480" w:lineRule="auto"/>
      <w:ind w:left="420" w:leftChars="200"/>
    </w:pPr>
    <w:rPr>
      <w:rFonts w:cs="Times New Roman"/>
      <w:szCs w:val="24"/>
    </w:rPr>
  </w:style>
  <w:style w:type="paragraph" w:customStyle="1" w:styleId="487">
    <w:name w:val="三级标题"/>
    <w:basedOn w:val="1"/>
    <w:next w:val="1"/>
    <w:semiHidden/>
    <w:qFormat/>
    <w:uiPriority w:val="0"/>
    <w:pPr>
      <w:outlineLvl w:val="2"/>
    </w:pPr>
    <w:rPr>
      <w:rFonts w:cs="Times New Roman"/>
      <w:b/>
      <w:sz w:val="26"/>
      <w:szCs w:val="26"/>
    </w:rPr>
  </w:style>
  <w:style w:type="paragraph" w:customStyle="1" w:styleId="488">
    <w:name w:val="gg_body"/>
    <w:basedOn w:val="1"/>
    <w:qFormat/>
    <w:uiPriority w:val="0"/>
    <w:pPr>
      <w:spacing w:line="460" w:lineRule="exact"/>
    </w:pPr>
    <w:rPr>
      <w:rFonts w:ascii="宋体" w:hAnsi="宋体" w:cs="Times New Roman"/>
      <w:szCs w:val="20"/>
    </w:rPr>
  </w:style>
  <w:style w:type="paragraph" w:customStyle="1" w:styleId="489">
    <w:name w:val="xl5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eastAsia="Arial Unicode MS" w:cs="Arial Unicode MS"/>
      <w:kern w:val="0"/>
      <w:szCs w:val="24"/>
    </w:rPr>
  </w:style>
  <w:style w:type="paragraph" w:customStyle="1" w:styleId="490">
    <w:name w:val="样式8"/>
    <w:basedOn w:val="4"/>
    <w:qFormat/>
    <w:uiPriority w:val="0"/>
    <w:pPr>
      <w:widowControl w:val="0"/>
      <w:spacing w:line="480" w:lineRule="exact"/>
      <w:jc w:val="both"/>
    </w:pPr>
    <w:rPr>
      <w:kern w:val="2"/>
      <w:sz w:val="26"/>
      <w:szCs w:val="24"/>
      <w:lang w:eastAsia="zh-CN"/>
    </w:rPr>
  </w:style>
  <w:style w:type="paragraph" w:customStyle="1" w:styleId="491">
    <w:name w:val="样式 正文文本缩进 + 宋体"/>
    <w:basedOn w:val="22"/>
    <w:qFormat/>
    <w:uiPriority w:val="0"/>
    <w:pPr>
      <w:widowControl w:val="0"/>
      <w:spacing w:before="93" w:beforeLines="30" w:after="93" w:afterLines="30" w:line="460" w:lineRule="exact"/>
      <w:ind w:left="0" w:firstLine="560"/>
      <w:jc w:val="both"/>
    </w:pPr>
    <w:rPr>
      <w:rFonts w:ascii="宋体" w:hAnsi="宋体"/>
      <w:kern w:val="2"/>
      <w:sz w:val="21"/>
      <w:szCs w:val="28"/>
      <w:lang w:eastAsia="zh-CN"/>
    </w:rPr>
  </w:style>
  <w:style w:type="paragraph" w:customStyle="1" w:styleId="492">
    <w:name w:val="样式 样式 标题 2标题节标题 2 Char Char + 段前: 2 行 + 左侧:  1 字符 右侧:  1 字符"/>
    <w:basedOn w:val="337"/>
    <w:qFormat/>
    <w:uiPriority w:val="0"/>
    <w:rPr>
      <w:szCs w:val="26"/>
    </w:rPr>
  </w:style>
  <w:style w:type="paragraph" w:customStyle="1" w:styleId="493">
    <w:name w:val="00000000000000000000000 Char"/>
    <w:basedOn w:val="1"/>
    <w:qFormat/>
    <w:uiPriority w:val="0"/>
    <w:pPr>
      <w:ind w:firstLine="510"/>
    </w:pPr>
    <w:rPr>
      <w:rFonts w:cs="Times New Roman"/>
      <w:color w:val="000000"/>
      <w:szCs w:val="24"/>
      <w:lang w:val="zh-CN"/>
    </w:rPr>
  </w:style>
  <w:style w:type="paragraph" w:customStyle="1" w:styleId="494">
    <w:name w:val="Char Char Char2 Char Char Char Char Char Char Char Char Char Char"/>
    <w:basedOn w:val="1"/>
    <w:semiHidden/>
    <w:qFormat/>
    <w:uiPriority w:val="0"/>
    <w:rPr>
      <w:rFonts w:ascii="宋体" w:hAnsi="宋体" w:cs="宋体"/>
      <w:szCs w:val="26"/>
    </w:rPr>
  </w:style>
  <w:style w:type="paragraph" w:customStyle="1" w:styleId="495">
    <w:name w:val="样式17"/>
    <w:basedOn w:val="1"/>
    <w:qFormat/>
    <w:uiPriority w:val="0"/>
    <w:pPr>
      <w:keepNext/>
      <w:keepLines/>
      <w:widowControl/>
      <w:spacing w:before="80" w:line="460" w:lineRule="exact"/>
      <w:jc w:val="left"/>
      <w:outlineLvl w:val="1"/>
    </w:pPr>
    <w:rPr>
      <w:rFonts w:eastAsia="黑体" w:cs="Times New Roman"/>
      <w:b/>
      <w:bCs/>
      <w:kern w:val="0"/>
      <w:sz w:val="28"/>
      <w:szCs w:val="28"/>
    </w:rPr>
  </w:style>
  <w:style w:type="paragraph" w:customStyle="1" w:styleId="496">
    <w:name w:val="简单回函地址"/>
    <w:basedOn w:val="1"/>
    <w:qFormat/>
    <w:uiPriority w:val="0"/>
    <w:rPr>
      <w:rFonts w:cs="Times New Roman"/>
      <w:szCs w:val="20"/>
    </w:rPr>
  </w:style>
  <w:style w:type="paragraph" w:customStyle="1" w:styleId="497">
    <w:name w:val="Heading3"/>
    <w:basedOn w:val="1"/>
    <w:next w:val="1"/>
    <w:qFormat/>
    <w:uiPriority w:val="0"/>
    <w:pPr>
      <w:keepNext/>
      <w:keepLines/>
      <w:spacing w:before="156" w:line="440" w:lineRule="exact"/>
      <w:ind w:firstLine="472" w:firstLineChars="196"/>
    </w:pPr>
    <w:rPr>
      <w:rFonts w:ascii="Arial" w:hAnsi="Arial" w:eastAsia="黑体" w:cs="Times New Roman"/>
      <w:b/>
      <w:color w:val="000000"/>
      <w:kern w:val="0"/>
      <w:szCs w:val="24"/>
    </w:rPr>
  </w:style>
  <w:style w:type="paragraph" w:customStyle="1" w:styleId="498">
    <w:name w:val="样式 样式 样式 标题 2标题节标题 2 Char Char + 段前: 2 行 + 左侧:  1 字符 + 段前: 0.5 行..."/>
    <w:basedOn w:val="1"/>
    <w:qFormat/>
    <w:uiPriority w:val="0"/>
    <w:pPr>
      <w:keepNext/>
      <w:keepLines/>
      <w:spacing w:line="460" w:lineRule="exact"/>
      <w:outlineLvl w:val="1"/>
    </w:pPr>
    <w:rPr>
      <w:rFonts w:cs="宋体"/>
      <w:b/>
      <w:bCs/>
      <w:sz w:val="26"/>
      <w:szCs w:val="26"/>
    </w:rPr>
  </w:style>
  <w:style w:type="paragraph" w:customStyle="1" w:styleId="499">
    <w:name w:val="一级标题"/>
    <w:basedOn w:val="1"/>
    <w:next w:val="1"/>
    <w:qFormat/>
    <w:uiPriority w:val="0"/>
    <w:pPr>
      <w:spacing w:before="100" w:beforeAutospacing="1" w:after="156" w:afterLines="50" w:line="460" w:lineRule="exact"/>
      <w:jc w:val="center"/>
      <w:outlineLvl w:val="0"/>
    </w:pPr>
    <w:rPr>
      <w:rFonts w:cs="Times New Roman"/>
      <w:b/>
      <w:bCs/>
      <w:sz w:val="32"/>
      <w:szCs w:val="32"/>
    </w:rPr>
  </w:style>
  <w:style w:type="paragraph" w:customStyle="1" w:styleId="500">
    <w:name w:val="UserStyle_1"/>
    <w:qFormat/>
    <w:uiPriority w:val="0"/>
    <w:pPr>
      <w:spacing w:line="480" w:lineRule="exact"/>
      <w:ind w:firstLine="470" w:firstLineChars="196"/>
      <w:textAlignment w:val="baseline"/>
    </w:pPr>
    <w:rPr>
      <w:rFonts w:ascii="Times New Roman" w:hAnsi="Times New Roman" w:eastAsia="宋体" w:cs="Times New Roman"/>
      <w:bCs/>
      <w:kern w:val="2"/>
      <w:sz w:val="24"/>
      <w:szCs w:val="24"/>
      <w:lang w:val="en-US" w:eastAsia="zh-CN" w:bidi="ar-SA"/>
    </w:rPr>
  </w:style>
  <w:style w:type="paragraph" w:customStyle="1" w:styleId="501">
    <w:name w:val="环评表头"/>
    <w:basedOn w:val="1"/>
    <w:qFormat/>
    <w:uiPriority w:val="0"/>
    <w:pPr>
      <w:spacing w:line="440" w:lineRule="exact"/>
      <w:jc w:val="center"/>
    </w:pPr>
    <w:rPr>
      <w:rFonts w:ascii="黑体" w:hAnsi="Arial" w:eastAsia="黑体" w:cs="Arial"/>
      <w:b/>
      <w:color w:val="000000"/>
      <w:szCs w:val="24"/>
    </w:rPr>
  </w:style>
  <w:style w:type="paragraph" w:customStyle="1" w:styleId="502">
    <w:name w:val="UserStyle_6"/>
    <w:basedOn w:val="503"/>
    <w:qFormat/>
    <w:uiPriority w:val="0"/>
  </w:style>
  <w:style w:type="paragraph" w:customStyle="1" w:styleId="503">
    <w:name w:val="UserStyle_4"/>
    <w:basedOn w:val="1"/>
    <w:qFormat/>
    <w:uiPriority w:val="0"/>
    <w:pPr>
      <w:spacing w:line="460" w:lineRule="exact"/>
      <w:ind w:firstLine="567" w:firstLineChars="218"/>
      <w:jc w:val="left"/>
    </w:pPr>
    <w:rPr>
      <w:rFonts w:cs="Times New Roman"/>
      <w:kern w:val="0"/>
      <w:sz w:val="26"/>
      <w:szCs w:val="26"/>
    </w:rPr>
  </w:style>
  <w:style w:type="paragraph" w:customStyle="1" w:styleId="504">
    <w:name w:val="环评标题"/>
    <w:basedOn w:val="349"/>
    <w:qFormat/>
    <w:uiPriority w:val="0"/>
    <w:pPr>
      <w:ind w:firstLine="482"/>
    </w:pPr>
    <w:rPr>
      <w:rFonts w:ascii="黑体" w:eastAsia="黑体"/>
      <w:b/>
    </w:rPr>
  </w:style>
  <w:style w:type="paragraph" w:customStyle="1" w:styleId="505">
    <w:name w:val="Char Char Char Char Char Char Char"/>
    <w:basedOn w:val="1"/>
    <w:next w:val="1"/>
    <w:qFormat/>
    <w:uiPriority w:val="0"/>
    <w:rPr>
      <w:rFonts w:cs="Times New Roman"/>
      <w:szCs w:val="24"/>
    </w:rPr>
  </w:style>
  <w:style w:type="paragraph" w:customStyle="1" w:styleId="506">
    <w:name w:val="Char Char Char Char Char2 Char Char Char Char"/>
    <w:basedOn w:val="1"/>
    <w:qFormat/>
    <w:uiPriority w:val="0"/>
    <w:rPr>
      <w:rFonts w:ascii="宋体" w:hAnsi="宋体" w:cs="宋体"/>
      <w:szCs w:val="26"/>
    </w:rPr>
  </w:style>
  <w:style w:type="paragraph" w:customStyle="1" w:styleId="507">
    <w:name w:val="Char Char Char1 Char Char Char Char"/>
    <w:basedOn w:val="1"/>
    <w:qFormat/>
    <w:uiPriority w:val="0"/>
    <w:rPr>
      <w:rFonts w:ascii="宋体" w:hAnsi="宋体" w:cs="宋体"/>
      <w:szCs w:val="26"/>
    </w:rPr>
  </w:style>
  <w:style w:type="paragraph" w:customStyle="1" w:styleId="508">
    <w:name w:val="样式 正文（首行缩进两字） + 宋体"/>
    <w:basedOn w:val="13"/>
    <w:qFormat/>
    <w:uiPriority w:val="0"/>
    <w:pPr>
      <w:ind w:firstLine="567"/>
    </w:pPr>
    <w:rPr>
      <w:rFonts w:ascii="宋体" w:hAnsi="宋体"/>
      <w:sz w:val="28"/>
      <w:szCs w:val="20"/>
    </w:rPr>
  </w:style>
  <w:style w:type="paragraph" w:customStyle="1" w:styleId="509">
    <w:name w:val="正文四号"/>
    <w:basedOn w:val="1"/>
    <w:qFormat/>
    <w:uiPriority w:val="0"/>
    <w:rPr>
      <w:rFonts w:ascii="宋体" w:cs="宋体"/>
      <w:kern w:val="0"/>
    </w:rPr>
  </w:style>
  <w:style w:type="paragraph" w:customStyle="1" w:styleId="510">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color w:val="000000"/>
      <w:kern w:val="0"/>
      <w:szCs w:val="21"/>
      <w:lang w:eastAsia="en-US"/>
    </w:rPr>
  </w:style>
  <w:style w:type="paragraph" w:customStyle="1" w:styleId="511">
    <w:name w:val="Char Char Char1 Char Char Char Char1"/>
    <w:basedOn w:val="1"/>
    <w:semiHidden/>
    <w:qFormat/>
    <w:uiPriority w:val="0"/>
    <w:rPr>
      <w:rFonts w:ascii="宋体" w:hAnsi="宋体" w:cs="宋体"/>
      <w:szCs w:val="26"/>
    </w:rPr>
  </w:style>
  <w:style w:type="paragraph" w:customStyle="1" w:styleId="512">
    <w:name w:val="表格文字"/>
    <w:basedOn w:val="13"/>
    <w:next w:val="1"/>
    <w:qFormat/>
    <w:uiPriority w:val="0"/>
    <w:pPr>
      <w:spacing w:before="60" w:after="60" w:line="460" w:lineRule="exact"/>
      <w:ind w:firstLine="200"/>
    </w:pPr>
    <w:rPr>
      <w:sz w:val="26"/>
      <w:szCs w:val="20"/>
    </w:rPr>
  </w:style>
  <w:style w:type="paragraph" w:customStyle="1" w:styleId="513">
    <w:name w:val="标题3"/>
    <w:basedOn w:val="1"/>
    <w:qFormat/>
    <w:uiPriority w:val="0"/>
    <w:pPr>
      <w:ind w:firstLine="482"/>
    </w:pPr>
    <w:rPr>
      <w:rFonts w:ascii="仿宋_GB2312" w:eastAsia="仿宋_GB2312" w:cs="Times New Roman"/>
      <w:b/>
      <w:szCs w:val="24"/>
    </w:rPr>
  </w:style>
  <w:style w:type="paragraph" w:customStyle="1" w:styleId="514">
    <w:name w:val="样式 正文缩进表格标题正文（首行缩进两字）1正文缩进1正文（首行缩进两字） Char Char Char Char Ch..."/>
    <w:basedOn w:val="13"/>
    <w:qFormat/>
    <w:uiPriority w:val="0"/>
    <w:pPr>
      <w:spacing w:line="440" w:lineRule="exact"/>
      <w:ind w:firstLine="200"/>
    </w:pPr>
    <w:rPr>
      <w:rFonts w:cs="宋体"/>
      <w:b/>
      <w:bCs/>
      <w:sz w:val="28"/>
      <w:szCs w:val="20"/>
    </w:rPr>
  </w:style>
  <w:style w:type="paragraph" w:customStyle="1" w:styleId="515">
    <w:name w:val="标题03"/>
    <w:basedOn w:val="1"/>
    <w:next w:val="1"/>
    <w:qFormat/>
    <w:uiPriority w:val="0"/>
    <w:pPr>
      <w:spacing w:line="480" w:lineRule="atLeast"/>
      <w:ind w:firstLine="480"/>
    </w:pPr>
    <w:rPr>
      <w:rFonts w:cs="Times New Roman"/>
      <w:b/>
      <w:szCs w:val="20"/>
    </w:rPr>
  </w:style>
  <w:style w:type="paragraph" w:customStyle="1" w:styleId="516">
    <w:name w:val="Char4 Char Char Char1"/>
    <w:basedOn w:val="1"/>
    <w:qFormat/>
    <w:uiPriority w:val="0"/>
    <w:rPr>
      <w:rFonts w:ascii="宋体" w:hAnsi="宋体" w:cs="宋体"/>
      <w:szCs w:val="26"/>
    </w:rPr>
  </w:style>
  <w:style w:type="paragraph" w:customStyle="1" w:styleId="517">
    <w:name w:val="样式 样式 标题 2标题节标题 2 Char Char + 段前: 2 行 + 左侧:  1 字符1"/>
    <w:basedOn w:val="337"/>
    <w:qFormat/>
    <w:uiPriority w:val="0"/>
    <w:pPr>
      <w:spacing w:before="50" w:beforeLines="0" w:after="50"/>
    </w:pPr>
    <w:rPr>
      <w:rFonts w:hAnsi="Times New Roman" w:eastAsia="宋体" w:cs="宋体"/>
      <w:bCs/>
    </w:rPr>
  </w:style>
  <w:style w:type="paragraph" w:customStyle="1" w:styleId="518">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b/>
      <w:kern w:val="0"/>
      <w:szCs w:val="20"/>
    </w:rPr>
  </w:style>
  <w:style w:type="paragraph" w:customStyle="1" w:styleId="519">
    <w:name w:val="样式 样式 样式 标题 2标题节标题 2 Char Char + 段前: 2 行 + 段前: 0.5 行 段后: 0.5 行 +..."/>
    <w:basedOn w:val="454"/>
    <w:next w:val="1"/>
    <w:qFormat/>
    <w:uiPriority w:val="0"/>
    <w:pPr>
      <w:spacing w:before="50" w:after="50"/>
      <w:ind w:firstLine="0"/>
    </w:pPr>
  </w:style>
  <w:style w:type="paragraph" w:customStyle="1" w:styleId="520">
    <w:name w:val="样式 正文缩进正文缩进1正文（首行缩进两字） Char Char Char Char Char Char Char文本条款...1"/>
    <w:basedOn w:val="13"/>
    <w:qFormat/>
    <w:uiPriority w:val="0"/>
    <w:pPr>
      <w:tabs>
        <w:tab w:val="left" w:pos="540"/>
        <w:tab w:val="left" w:pos="1050"/>
        <w:tab w:val="left" w:pos="1260"/>
        <w:tab w:val="left" w:pos="1800"/>
      </w:tabs>
      <w:spacing w:line="500" w:lineRule="exact"/>
      <w:ind w:firstLine="560"/>
    </w:pPr>
    <w:rPr>
      <w:rFonts w:cs="宋体"/>
      <w:kern w:val="24"/>
      <w:sz w:val="28"/>
      <w:szCs w:val="28"/>
    </w:rPr>
  </w:style>
  <w:style w:type="paragraph" w:customStyle="1" w:styleId="521">
    <w:name w:val="样式 五号 居中 行距: 单倍行距"/>
    <w:basedOn w:val="1"/>
    <w:qFormat/>
    <w:uiPriority w:val="0"/>
    <w:pPr>
      <w:jc w:val="center"/>
    </w:pPr>
    <w:rPr>
      <w:rFonts w:cs="宋体"/>
      <w:kern w:val="0"/>
      <w:szCs w:val="21"/>
    </w:rPr>
  </w:style>
  <w:style w:type="paragraph" w:customStyle="1" w:styleId="522">
    <w:name w:val="Char Char Char Char Char Char Char1"/>
    <w:basedOn w:val="1"/>
    <w:qFormat/>
    <w:uiPriority w:val="0"/>
    <w:pPr>
      <w:tabs>
        <w:tab w:val="left" w:pos="600"/>
      </w:tabs>
      <w:ind w:left="600" w:hanging="600"/>
    </w:pPr>
    <w:rPr>
      <w:rFonts w:cs="Times New Roman"/>
      <w:sz w:val="28"/>
      <w:szCs w:val="20"/>
    </w:rPr>
  </w:style>
  <w:style w:type="paragraph" w:customStyle="1" w:styleId="523">
    <w:name w:val="样式 样式 2001 + 首行缩进:  2 字符 + 首行缩进:  2 字符"/>
    <w:basedOn w:val="1"/>
    <w:qFormat/>
    <w:uiPriority w:val="0"/>
    <w:pPr>
      <w:spacing w:line="360" w:lineRule="exact"/>
      <w:ind w:firstLine="560"/>
    </w:pPr>
    <w:rPr>
      <w:rFonts w:cs="Times New Roman"/>
      <w:spacing w:val="20"/>
      <w:kern w:val="0"/>
      <w:szCs w:val="20"/>
    </w:rPr>
  </w:style>
  <w:style w:type="paragraph" w:customStyle="1" w:styleId="524">
    <w:name w:val="样式 标题 3标题 3 Char + 左侧:  1 字符 右侧:  1 字符"/>
    <w:basedOn w:val="4"/>
    <w:qFormat/>
    <w:uiPriority w:val="0"/>
    <w:pPr>
      <w:spacing w:before="156" w:line="460" w:lineRule="exact"/>
      <w:ind w:firstLine="200" w:firstLineChars="200"/>
      <w:jc w:val="both"/>
    </w:pPr>
    <w:rPr>
      <w:bCs w:val="0"/>
      <w:color w:val="000000"/>
      <w:sz w:val="26"/>
      <w:szCs w:val="26"/>
      <w:lang w:eastAsia="zh-CN"/>
    </w:rPr>
  </w:style>
  <w:style w:type="paragraph" w:customStyle="1" w:styleId="525">
    <w:name w:val="表标题"/>
    <w:basedOn w:val="6"/>
    <w:next w:val="1"/>
    <w:link w:val="596"/>
    <w:qFormat/>
    <w:uiPriority w:val="0"/>
    <w:pPr>
      <w:widowControl w:val="0"/>
      <w:spacing w:before="60" w:after="60" w:line="377" w:lineRule="auto"/>
      <w:ind w:firstLine="520"/>
      <w:jc w:val="center"/>
    </w:pPr>
    <w:rPr>
      <w:rFonts w:ascii="Times New Roman" w:hAnsi="Times New Roman" w:eastAsia="黑体"/>
      <w:kern w:val="2"/>
      <w:sz w:val="24"/>
      <w:lang w:eastAsia="zh-CN"/>
    </w:rPr>
  </w:style>
  <w:style w:type="paragraph" w:customStyle="1" w:styleId="526">
    <w:name w:val="样式35"/>
    <w:basedOn w:val="1"/>
    <w:qFormat/>
    <w:uiPriority w:val="0"/>
    <w:pPr>
      <w:spacing w:line="312" w:lineRule="auto"/>
      <w:ind w:firstLine="567"/>
    </w:pPr>
    <w:rPr>
      <w:rFonts w:ascii="宋体" w:cs="Times New Roman"/>
      <w:kern w:val="0"/>
      <w:sz w:val="28"/>
      <w:szCs w:val="20"/>
    </w:rPr>
  </w:style>
  <w:style w:type="paragraph" w:customStyle="1" w:styleId="527">
    <w:name w:val="样式31"/>
    <w:basedOn w:val="1"/>
    <w:qFormat/>
    <w:uiPriority w:val="0"/>
    <w:pPr>
      <w:widowControl/>
      <w:jc w:val="center"/>
    </w:pPr>
    <w:rPr>
      <w:rFonts w:ascii="宋体" w:hAnsi="宋体" w:cs="宋体"/>
      <w:kern w:val="0"/>
      <w:sz w:val="22"/>
    </w:rPr>
  </w:style>
  <w:style w:type="paragraph" w:customStyle="1" w:styleId="528">
    <w:name w:val="标准样式 Char Char2"/>
    <w:basedOn w:val="1"/>
    <w:qFormat/>
    <w:uiPriority w:val="0"/>
    <w:pPr>
      <w:spacing w:line="600" w:lineRule="exact"/>
      <w:ind w:firstLine="567"/>
    </w:pPr>
    <w:rPr>
      <w:rFonts w:ascii="宋体" w:hAnsi="宋体" w:cs="Times New Roman"/>
      <w:sz w:val="28"/>
      <w:szCs w:val="20"/>
    </w:rPr>
  </w:style>
  <w:style w:type="paragraph" w:customStyle="1" w:styleId="529">
    <w:name w:val="font0"/>
    <w:basedOn w:val="1"/>
    <w:qFormat/>
    <w:uiPriority w:val="0"/>
    <w:pPr>
      <w:widowControl/>
      <w:spacing w:before="100" w:beforeAutospacing="1" w:after="100" w:afterAutospacing="1"/>
      <w:jc w:val="left"/>
    </w:pPr>
    <w:rPr>
      <w:rFonts w:hint="eastAsia" w:ascii="宋体" w:hAnsi="宋体" w:cs="Times New Roman"/>
      <w:kern w:val="0"/>
      <w:szCs w:val="24"/>
    </w:rPr>
  </w:style>
  <w:style w:type="paragraph" w:customStyle="1" w:styleId="530">
    <w:name w:val="图"/>
    <w:basedOn w:val="194"/>
    <w:qFormat/>
    <w:uiPriority w:val="0"/>
    <w:pPr>
      <w:spacing w:line="240" w:lineRule="auto"/>
    </w:pPr>
    <w:rPr>
      <w:rFonts w:hAnsi="Times New Roman"/>
      <w:bCs/>
      <w:color w:val="auto"/>
      <w:szCs w:val="22"/>
    </w:rPr>
  </w:style>
  <w:style w:type="paragraph" w:customStyle="1" w:styleId="531">
    <w:name w:val="Char Char Char1"/>
    <w:basedOn w:val="1"/>
    <w:qFormat/>
    <w:uiPriority w:val="0"/>
    <w:rPr>
      <w:rFonts w:cs="Times New Roman"/>
      <w:szCs w:val="20"/>
    </w:rPr>
  </w:style>
  <w:style w:type="paragraph" w:customStyle="1" w:styleId="532">
    <w:name w:val="表签"/>
    <w:basedOn w:val="1"/>
    <w:qFormat/>
    <w:uiPriority w:val="0"/>
    <w:pPr>
      <w:jc w:val="center"/>
    </w:pPr>
    <w:rPr>
      <w:rFonts w:cs="Times New Roman"/>
      <w:b/>
      <w:szCs w:val="24"/>
    </w:rPr>
  </w:style>
  <w:style w:type="paragraph" w:customStyle="1" w:styleId="533">
    <w:name w:val="表格样式1"/>
    <w:basedOn w:val="50"/>
    <w:qFormat/>
    <w:uiPriority w:val="0"/>
    <w:pPr>
      <w:spacing w:after="0"/>
      <w:ind w:firstLine="0" w:firstLineChars="0"/>
      <w:jc w:val="center"/>
    </w:pPr>
    <w:rPr>
      <w:color w:val="000000"/>
      <w:kern w:val="0"/>
      <w:sz w:val="24"/>
      <w:lang w:bidi="en-US"/>
    </w:rPr>
  </w:style>
  <w:style w:type="paragraph" w:customStyle="1" w:styleId="534">
    <w:name w:val="表格文字1"/>
    <w:basedOn w:val="48"/>
    <w:qFormat/>
    <w:uiPriority w:val="0"/>
    <w:pPr>
      <w:spacing w:before="0" w:after="0" w:line="240" w:lineRule="auto"/>
      <w:jc w:val="left"/>
      <w:outlineLvl w:val="9"/>
    </w:pPr>
    <w:rPr>
      <w:b w:val="0"/>
      <w:kern w:val="72"/>
      <w:sz w:val="21"/>
      <w:szCs w:val="72"/>
    </w:rPr>
  </w:style>
  <w:style w:type="paragraph" w:customStyle="1" w:styleId="535">
    <w:name w:val="表体"/>
    <w:basedOn w:val="1"/>
    <w:qFormat/>
    <w:uiPriority w:val="0"/>
    <w:pPr>
      <w:spacing w:line="240" w:lineRule="atLeast"/>
      <w:ind w:left="-63" w:leftChars="-30" w:right="-63" w:rightChars="-30"/>
      <w:jc w:val="center"/>
    </w:pPr>
    <w:rPr>
      <w:rFonts w:cs="Times New Roman"/>
      <w:color w:val="000000"/>
      <w:kern w:val="0"/>
      <w:sz w:val="18"/>
      <w:szCs w:val="18"/>
    </w:rPr>
  </w:style>
  <w:style w:type="paragraph" w:customStyle="1" w:styleId="536">
    <w:name w:val="正文11111111"/>
    <w:basedOn w:val="1"/>
    <w:qFormat/>
    <w:uiPriority w:val="0"/>
    <w:pPr>
      <w:spacing w:line="440" w:lineRule="exact"/>
    </w:pPr>
    <w:rPr>
      <w:rFonts w:cs="宋体"/>
      <w:szCs w:val="24"/>
    </w:rPr>
  </w:style>
  <w:style w:type="character" w:customStyle="1" w:styleId="537">
    <w:name w:val="search_content1"/>
    <w:qFormat/>
    <w:uiPriority w:val="0"/>
    <w:rPr>
      <w:sz w:val="16"/>
      <w:szCs w:val="16"/>
    </w:rPr>
  </w:style>
  <w:style w:type="paragraph" w:customStyle="1" w:styleId="538">
    <w:name w:val="L正文"/>
    <w:basedOn w:val="1"/>
    <w:qFormat/>
    <w:uiPriority w:val="0"/>
    <w:rPr>
      <w:rFonts w:cs="Times New Roman"/>
      <w:szCs w:val="24"/>
    </w:rPr>
  </w:style>
  <w:style w:type="paragraph" w:customStyle="1" w:styleId="539">
    <w:name w:val="表内容-L"/>
    <w:basedOn w:val="540"/>
    <w:qFormat/>
    <w:uiPriority w:val="0"/>
    <w:rPr>
      <w:kern w:val="0"/>
    </w:rPr>
  </w:style>
  <w:style w:type="paragraph" w:customStyle="1" w:styleId="540">
    <w:name w:val="表格内居中"/>
    <w:basedOn w:val="1"/>
    <w:qFormat/>
    <w:uiPriority w:val="0"/>
    <w:pPr>
      <w:jc w:val="center"/>
    </w:pPr>
    <w:rPr>
      <w:rFonts w:cs="Times New Roman"/>
      <w:szCs w:val="20"/>
    </w:rPr>
  </w:style>
  <w:style w:type="paragraph" w:customStyle="1" w:styleId="541">
    <w:name w:val="表-表图题-L"/>
    <w:basedOn w:val="1"/>
    <w:qFormat/>
    <w:uiPriority w:val="0"/>
    <w:pPr>
      <w:jc w:val="center"/>
    </w:pPr>
    <w:rPr>
      <w:rFonts w:cs="Times New Roman"/>
      <w:b/>
      <w:szCs w:val="24"/>
    </w:rPr>
  </w:style>
  <w:style w:type="paragraph" w:customStyle="1" w:styleId="542">
    <w:name w:val="样式 标题 3 + 小四 黑色"/>
    <w:basedOn w:val="4"/>
    <w:qFormat/>
    <w:uiPriority w:val="0"/>
    <w:pPr>
      <w:widowControl w:val="0"/>
      <w:spacing w:before="100" w:beforeAutospacing="1" w:after="100" w:afterAutospacing="1" w:line="240" w:lineRule="auto"/>
      <w:ind w:firstLine="472" w:firstLineChars="196"/>
      <w:jc w:val="both"/>
    </w:pPr>
    <w:rPr>
      <w:rFonts w:ascii="Arial" w:hAnsi="Arial" w:eastAsia="仿宋_GB2312"/>
      <w:color w:val="000000"/>
      <w:sz w:val="28"/>
      <w:lang w:eastAsia="zh-CN"/>
    </w:rPr>
  </w:style>
  <w:style w:type="paragraph" w:customStyle="1" w:styleId="543">
    <w:name w:val="1正文-L"/>
    <w:basedOn w:val="1"/>
    <w:qFormat/>
    <w:uiPriority w:val="0"/>
    <w:pPr>
      <w:ind w:firstLine="480"/>
    </w:pPr>
    <w:rPr>
      <w:rFonts w:cs="Times New Roman"/>
      <w:szCs w:val="24"/>
    </w:rPr>
  </w:style>
  <w:style w:type="paragraph" w:customStyle="1" w:styleId="544">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character" w:customStyle="1" w:styleId="546">
    <w:name w:val="正文缩进 字符1"/>
    <w:qFormat/>
    <w:uiPriority w:val="0"/>
    <w:rPr>
      <w:rFonts w:eastAsia="宋体"/>
    </w:rPr>
  </w:style>
  <w:style w:type="paragraph" w:customStyle="1" w:styleId="547">
    <w:name w:val="【表名】"/>
    <w:basedOn w:val="1"/>
    <w:qFormat/>
    <w:uiPriority w:val="0"/>
    <w:pPr>
      <w:widowControl/>
      <w:spacing w:beforeLines="50"/>
      <w:jc w:val="center"/>
    </w:pPr>
    <w:rPr>
      <w:rFonts w:cs="Arial"/>
      <w:b/>
      <w:kern w:val="0"/>
      <w:szCs w:val="21"/>
      <w:lang w:bidi="en-US"/>
    </w:rPr>
  </w:style>
  <w:style w:type="table" w:customStyle="1" w:styleId="548">
    <w:name w:val="常用"/>
    <w:basedOn w:val="52"/>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549">
    <w:name w:val="样式61"/>
    <w:basedOn w:val="52"/>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550">
    <w:name w:val="表格样式LLL"/>
    <w:basedOn w:val="55"/>
    <w:qFormat/>
    <w:uiPriority w:val="0"/>
    <w:pPr>
      <w:widowControl w:val="0"/>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paragraph" w:customStyle="1" w:styleId="551">
    <w:name w:val="A正文居中"/>
    <w:basedOn w:val="1"/>
    <w:qFormat/>
    <w:uiPriority w:val="0"/>
    <w:pPr>
      <w:jc w:val="center"/>
    </w:pPr>
    <w:rPr>
      <w:rFonts w:cs="Times New Roman"/>
      <w:szCs w:val="24"/>
    </w:rPr>
  </w:style>
  <w:style w:type="character" w:customStyle="1" w:styleId="552">
    <w:name w:val="普通文字 Char Char Char2"/>
    <w:qFormat/>
    <w:uiPriority w:val="0"/>
    <w:rPr>
      <w:rFonts w:ascii="宋体" w:hAnsi="Courier New" w:cs="Courier New"/>
      <w:kern w:val="2"/>
      <w:sz w:val="21"/>
      <w:szCs w:val="21"/>
    </w:rPr>
  </w:style>
  <w:style w:type="paragraph" w:customStyle="1" w:styleId="553">
    <w:name w:val="正文样式"/>
    <w:basedOn w:val="1"/>
    <w:link w:val="562"/>
    <w:qFormat/>
    <w:uiPriority w:val="0"/>
    <w:pPr>
      <w:tabs>
        <w:tab w:val="left" w:pos="1440"/>
        <w:tab w:val="left" w:pos="4368"/>
      </w:tabs>
      <w:ind w:firstLine="493"/>
    </w:pPr>
    <w:rPr>
      <w:rFonts w:cs="Times New Roman"/>
      <w:color w:val="000000"/>
      <w:szCs w:val="24"/>
    </w:rPr>
  </w:style>
  <w:style w:type="paragraph" w:customStyle="1" w:styleId="554">
    <w:name w:val="WJ表头文字"/>
    <w:basedOn w:val="1"/>
    <w:link w:val="555"/>
    <w:qFormat/>
    <w:uiPriority w:val="0"/>
    <w:pPr>
      <w:widowControl/>
      <w:spacing w:line="480" w:lineRule="exact"/>
      <w:jc w:val="center"/>
    </w:pPr>
    <w:rPr>
      <w:rFonts w:ascii="黑体" w:hAnsi="黑体" w:eastAsia="黑体" w:cs="Times New Roman"/>
      <w:kern w:val="0"/>
      <w:szCs w:val="24"/>
    </w:rPr>
  </w:style>
  <w:style w:type="character" w:customStyle="1" w:styleId="555">
    <w:name w:val="WJ表头文字 Char"/>
    <w:link w:val="554"/>
    <w:qFormat/>
    <w:uiPriority w:val="0"/>
    <w:rPr>
      <w:rFonts w:ascii="黑体" w:hAnsi="黑体" w:eastAsia="黑体"/>
      <w:sz w:val="24"/>
      <w:szCs w:val="24"/>
    </w:rPr>
  </w:style>
  <w:style w:type="paragraph" w:customStyle="1" w:styleId="556">
    <w:name w:val="WJ表文字"/>
    <w:basedOn w:val="1"/>
    <w:link w:val="557"/>
    <w:qFormat/>
    <w:uiPriority w:val="0"/>
    <w:pPr>
      <w:spacing w:line="360" w:lineRule="exact"/>
      <w:jc w:val="center"/>
    </w:pPr>
    <w:rPr>
      <w:rFonts w:ascii="宋体" w:hAnsi="宋体" w:cs="Times New Roman"/>
      <w:bCs/>
      <w:szCs w:val="21"/>
    </w:rPr>
  </w:style>
  <w:style w:type="character" w:customStyle="1" w:styleId="557">
    <w:name w:val="WJ表文字 Char"/>
    <w:link w:val="556"/>
    <w:qFormat/>
    <w:uiPriority w:val="0"/>
    <w:rPr>
      <w:rFonts w:ascii="宋体" w:hAnsi="宋体"/>
      <w:bCs/>
      <w:kern w:val="2"/>
      <w:sz w:val="21"/>
      <w:szCs w:val="21"/>
    </w:rPr>
  </w:style>
  <w:style w:type="paragraph" w:customStyle="1" w:styleId="558">
    <w:name w:val="正文-欣欣"/>
    <w:basedOn w:val="1"/>
    <w:link w:val="559"/>
    <w:qFormat/>
    <w:uiPriority w:val="0"/>
    <w:rPr>
      <w:rFonts w:ascii="宋体" w:cs="Times New Roman"/>
      <w:kern w:val="0"/>
      <w:szCs w:val="30"/>
    </w:rPr>
  </w:style>
  <w:style w:type="character" w:customStyle="1" w:styleId="559">
    <w:name w:val="正文-欣欣 Char"/>
    <w:link w:val="558"/>
    <w:qFormat/>
    <w:uiPriority w:val="0"/>
    <w:rPr>
      <w:rFonts w:ascii="宋体"/>
      <w:sz w:val="24"/>
      <w:szCs w:val="30"/>
    </w:rPr>
  </w:style>
  <w:style w:type="paragraph" w:customStyle="1" w:styleId="560">
    <w:name w:val="三级标题样式"/>
    <w:basedOn w:val="1"/>
    <w:next w:val="1"/>
    <w:link w:val="561"/>
    <w:qFormat/>
    <w:uiPriority w:val="0"/>
    <w:pPr>
      <w:jc w:val="left"/>
    </w:pPr>
    <w:rPr>
      <w:rFonts w:ascii="宋体" w:eastAsia="黑体" w:cs="Times New Roman"/>
      <w:kern w:val="0"/>
      <w:sz w:val="30"/>
      <w:szCs w:val="20"/>
    </w:rPr>
  </w:style>
  <w:style w:type="character" w:customStyle="1" w:styleId="561">
    <w:name w:val="三级标题样式 Char"/>
    <w:link w:val="560"/>
    <w:qFormat/>
    <w:uiPriority w:val="0"/>
    <w:rPr>
      <w:rFonts w:ascii="宋体" w:eastAsia="黑体"/>
      <w:sz w:val="30"/>
    </w:rPr>
  </w:style>
  <w:style w:type="character" w:customStyle="1" w:styleId="562">
    <w:name w:val="正文样式 Char Char"/>
    <w:link w:val="553"/>
    <w:qFormat/>
    <w:uiPriority w:val="0"/>
    <w:rPr>
      <w:color w:val="000000"/>
      <w:kern w:val="2"/>
      <w:sz w:val="24"/>
      <w:szCs w:val="24"/>
    </w:rPr>
  </w:style>
  <w:style w:type="character" w:customStyle="1" w:styleId="563">
    <w:name w:val="称呼 Char"/>
    <w:basedOn w:val="57"/>
    <w:link w:val="18"/>
    <w:qFormat/>
    <w:uiPriority w:val="0"/>
    <w:rPr>
      <w:rFonts w:ascii="宋体"/>
      <w:kern w:val="2"/>
      <w:sz w:val="28"/>
      <w:szCs w:val="28"/>
    </w:rPr>
  </w:style>
  <w:style w:type="character" w:customStyle="1" w:styleId="564">
    <w:name w:val="页码3"/>
    <w:basedOn w:val="57"/>
    <w:qFormat/>
    <w:uiPriority w:val="0"/>
  </w:style>
  <w:style w:type="character" w:customStyle="1" w:styleId="565">
    <w:name w:val="标题2"/>
    <w:basedOn w:val="57"/>
    <w:semiHidden/>
    <w:qFormat/>
    <w:uiPriority w:val="0"/>
  </w:style>
  <w:style w:type="paragraph" w:customStyle="1" w:styleId="566">
    <w:name w:val="Char Char Char Char Char Char Char Char Char Char Char Char Char Char Char Char1"/>
    <w:basedOn w:val="1"/>
    <w:next w:val="1"/>
    <w:qFormat/>
    <w:uiPriority w:val="0"/>
    <w:rPr>
      <w:rFonts w:cs="Times New Roman"/>
      <w:szCs w:val="24"/>
    </w:rPr>
  </w:style>
  <w:style w:type="paragraph" w:customStyle="1" w:styleId="567">
    <w:name w:val="Char22"/>
    <w:basedOn w:val="1"/>
    <w:qFormat/>
    <w:uiPriority w:val="0"/>
    <w:rPr>
      <w:rFonts w:cs="Times New Roman"/>
      <w:sz w:val="30"/>
      <w:szCs w:val="20"/>
    </w:rPr>
  </w:style>
  <w:style w:type="paragraph" w:customStyle="1" w:styleId="568">
    <w:name w:val="Char4 Char Char Char3"/>
    <w:basedOn w:val="1"/>
    <w:semiHidden/>
    <w:qFormat/>
    <w:uiPriority w:val="0"/>
    <w:rPr>
      <w:rFonts w:ascii="宋体" w:hAnsi="宋体" w:cs="宋体"/>
      <w:szCs w:val="26"/>
    </w:rPr>
  </w:style>
  <w:style w:type="paragraph" w:customStyle="1" w:styleId="569">
    <w:name w:val="Char Char2 Char Char Char Char Char Char1"/>
    <w:basedOn w:val="1"/>
    <w:semiHidden/>
    <w:qFormat/>
    <w:uiPriority w:val="0"/>
    <w:rPr>
      <w:rFonts w:cs="宋体"/>
      <w:szCs w:val="26"/>
    </w:rPr>
  </w:style>
  <w:style w:type="paragraph" w:customStyle="1" w:styleId="570">
    <w:name w:val="Char Char Char3 Char Char Char2 Char1"/>
    <w:basedOn w:val="1"/>
    <w:semiHidden/>
    <w:qFormat/>
    <w:uiPriority w:val="0"/>
    <w:rPr>
      <w:rFonts w:ascii="宋体" w:hAnsi="宋体" w:cs="宋体"/>
      <w:szCs w:val="26"/>
    </w:rPr>
  </w:style>
  <w:style w:type="paragraph" w:customStyle="1" w:styleId="571">
    <w:name w:val="Char5"/>
    <w:basedOn w:val="1"/>
    <w:qFormat/>
    <w:uiPriority w:val="0"/>
    <w:rPr>
      <w:rFonts w:cs="Times New Roman"/>
      <w:szCs w:val="24"/>
    </w:rPr>
  </w:style>
  <w:style w:type="paragraph" w:customStyle="1" w:styleId="572">
    <w:name w:val="Char Char Char Char2"/>
    <w:basedOn w:val="1"/>
    <w:qFormat/>
    <w:uiPriority w:val="0"/>
    <w:rPr>
      <w:rFonts w:ascii="仿宋_GB2312" w:hAnsi="Tahoma" w:eastAsia="仿宋_GB2312" w:cs="Times New Roman"/>
      <w:szCs w:val="21"/>
    </w:rPr>
  </w:style>
  <w:style w:type="paragraph" w:customStyle="1" w:styleId="573">
    <w:name w:val="Char Char Char2 Char Char Char Char Char Char Char Char Char Char1"/>
    <w:basedOn w:val="1"/>
    <w:semiHidden/>
    <w:qFormat/>
    <w:uiPriority w:val="0"/>
    <w:rPr>
      <w:rFonts w:ascii="宋体" w:hAnsi="宋体" w:cs="宋体"/>
      <w:szCs w:val="26"/>
    </w:rPr>
  </w:style>
  <w:style w:type="paragraph" w:customStyle="1" w:styleId="574">
    <w:name w:val="Char Char Char Char Char Char Char2"/>
    <w:basedOn w:val="1"/>
    <w:next w:val="1"/>
    <w:qFormat/>
    <w:uiPriority w:val="0"/>
    <w:rPr>
      <w:rFonts w:cs="Times New Roman"/>
      <w:szCs w:val="24"/>
    </w:rPr>
  </w:style>
  <w:style w:type="paragraph" w:customStyle="1" w:styleId="575">
    <w:name w:val="Char Char Char1 Char Char Char Char2"/>
    <w:basedOn w:val="1"/>
    <w:semiHidden/>
    <w:qFormat/>
    <w:uiPriority w:val="0"/>
    <w:rPr>
      <w:rFonts w:ascii="宋体" w:hAnsi="宋体" w:cs="宋体"/>
      <w:szCs w:val="26"/>
    </w:rPr>
  </w:style>
  <w:style w:type="paragraph" w:customStyle="1" w:styleId="576">
    <w:name w:val="Char Char Char2"/>
    <w:basedOn w:val="1"/>
    <w:qFormat/>
    <w:uiPriority w:val="0"/>
    <w:rPr>
      <w:rFonts w:cs="Times New Roman"/>
      <w:szCs w:val="20"/>
    </w:rPr>
  </w:style>
  <w:style w:type="paragraph" w:customStyle="1" w:styleId="577">
    <w:name w:val="正文sun"/>
    <w:basedOn w:val="1"/>
    <w:semiHidden/>
    <w:qFormat/>
    <w:uiPriority w:val="0"/>
    <w:rPr>
      <w:rFonts w:cs="Times New Roman"/>
      <w:szCs w:val="24"/>
    </w:rPr>
  </w:style>
  <w:style w:type="paragraph" w:customStyle="1" w:styleId="578">
    <w:name w:val="样式 标题 3标题 3 Char CharH3ReHead 3 WSAh3标题 32标题 311Re11Hea..."/>
    <w:basedOn w:val="4"/>
    <w:qFormat/>
    <w:uiPriority w:val="0"/>
    <w:pPr>
      <w:keepNext w:val="0"/>
      <w:keepLines w:val="0"/>
      <w:widowControl w:val="0"/>
      <w:tabs>
        <w:tab w:val="left" w:pos="0"/>
        <w:tab w:val="left" w:pos="2160"/>
      </w:tabs>
      <w:spacing w:before="156"/>
      <w:ind w:firstLine="472" w:firstLineChars="196"/>
      <w:jc w:val="both"/>
    </w:pPr>
    <w:rPr>
      <w:rFonts w:ascii="Arial" w:hAnsi="Arial"/>
      <w:bCs w:val="0"/>
      <w:color w:val="000000"/>
      <w:kern w:val="44"/>
      <w:szCs w:val="20"/>
      <w:lang w:eastAsia="zh-CN"/>
    </w:rPr>
  </w:style>
  <w:style w:type="paragraph" w:customStyle="1" w:styleId="579">
    <w:name w:val="WPSOffice手动目录 1"/>
    <w:qFormat/>
    <w:uiPriority w:val="0"/>
    <w:rPr>
      <w:rFonts w:ascii="Times New Roman" w:hAnsi="Times New Roman" w:eastAsia="宋体" w:cs="Times New Roman"/>
      <w:lang w:val="en-US" w:eastAsia="zh-CN" w:bidi="ar-SA"/>
    </w:rPr>
  </w:style>
  <w:style w:type="paragraph" w:customStyle="1" w:styleId="58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81">
    <w:name w:val="font11"/>
    <w:basedOn w:val="57"/>
    <w:qFormat/>
    <w:uiPriority w:val="0"/>
    <w:rPr>
      <w:rFonts w:hint="eastAsia" w:ascii="宋体" w:hAnsi="宋体" w:eastAsia="宋体" w:cs="宋体"/>
      <w:color w:val="0000FF"/>
      <w:sz w:val="21"/>
      <w:szCs w:val="21"/>
      <w:u w:val="none"/>
    </w:rPr>
  </w:style>
  <w:style w:type="table" w:customStyle="1" w:styleId="582">
    <w:name w:val="网格型4"/>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3">
    <w:name w:val="网格型 51"/>
    <w:basedOn w:val="52"/>
    <w:qFormat/>
    <w:uiPriority w:val="0"/>
    <w:pPr>
      <w:widowControl w:val="0"/>
      <w:adjustRightInd w:val="0"/>
      <w:snapToGrid w:val="0"/>
      <w:spacing w:line="460" w:lineRule="exact"/>
      <w:ind w:firstLine="52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584">
    <w:name w:val="Table Normal24"/>
    <w:unhideWhenUsed/>
    <w:qFormat/>
    <w:uiPriority w:val="0"/>
    <w:tblPr>
      <w:tblCellMar>
        <w:top w:w="0" w:type="dxa"/>
        <w:left w:w="0" w:type="dxa"/>
        <w:bottom w:w="0" w:type="dxa"/>
        <w:right w:w="0" w:type="dxa"/>
      </w:tblCellMar>
    </w:tblPr>
  </w:style>
  <w:style w:type="character" w:customStyle="1" w:styleId="585">
    <w:name w:val="cf01"/>
    <w:basedOn w:val="57"/>
    <w:qFormat/>
    <w:uiPriority w:val="0"/>
    <w:rPr>
      <w:rFonts w:hint="eastAsia" w:ascii="Microsoft YaHei UI" w:hAnsi="Microsoft YaHei UI" w:eastAsia="Microsoft YaHei UI"/>
      <w:sz w:val="18"/>
      <w:szCs w:val="18"/>
    </w:rPr>
  </w:style>
  <w:style w:type="character" w:customStyle="1" w:styleId="586">
    <w:name w:val="cf11"/>
    <w:basedOn w:val="57"/>
    <w:qFormat/>
    <w:uiPriority w:val="0"/>
    <w:rPr>
      <w:rFonts w:hint="eastAsia" w:ascii="Microsoft YaHei UI" w:hAnsi="Microsoft YaHei UI" w:eastAsia="Microsoft YaHei UI"/>
      <w:sz w:val="18"/>
      <w:szCs w:val="18"/>
    </w:rPr>
  </w:style>
  <w:style w:type="paragraph" w:customStyle="1" w:styleId="587">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588">
    <w:name w:val="rgroup"/>
    <w:basedOn w:val="57"/>
    <w:qFormat/>
    <w:uiPriority w:val="0"/>
  </w:style>
  <w:style w:type="character" w:customStyle="1" w:styleId="589">
    <w:name w:val="WJ正文 Char"/>
    <w:link w:val="590"/>
    <w:qFormat/>
    <w:uiPriority w:val="0"/>
    <w:rPr>
      <w:rFonts w:ascii="宋体" w:hAnsi="宋体"/>
      <w:color w:val="000000"/>
      <w:kern w:val="2"/>
      <w:sz w:val="24"/>
      <w:szCs w:val="24"/>
    </w:rPr>
  </w:style>
  <w:style w:type="paragraph" w:customStyle="1" w:styleId="590">
    <w:name w:val="WJ正文"/>
    <w:basedOn w:val="1"/>
    <w:next w:val="1"/>
    <w:link w:val="589"/>
    <w:qFormat/>
    <w:uiPriority w:val="0"/>
    <w:pPr>
      <w:tabs>
        <w:tab w:val="left" w:pos="600"/>
      </w:tabs>
      <w:spacing w:line="480" w:lineRule="exact"/>
      <w:ind w:firstLine="480"/>
    </w:pPr>
    <w:rPr>
      <w:rFonts w:ascii="宋体" w:hAnsi="宋体" w:cs="Times New Roman"/>
      <w:color w:val="000000"/>
      <w:szCs w:val="24"/>
    </w:rPr>
  </w:style>
  <w:style w:type="table" w:customStyle="1" w:styleId="591">
    <w:name w:val="双线表"/>
    <w:basedOn w:val="52"/>
    <w:qFormat/>
    <w:uiPriority w:val="99"/>
    <w:pPr>
      <w:spacing w:line="360" w:lineRule="auto"/>
      <w:ind w:firstLine="200"/>
      <w:jc w:val="center"/>
    </w:pPr>
    <w:rPr>
      <w:rFonts w:eastAsia="Times New Roman"/>
      <w:kern w:val="2"/>
      <w:sz w:val="24"/>
      <w14:ligatures w14:val="standardContextual"/>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592">
    <w:name w:val="Char1 Char Char1 Char Char Char Char Char Char Char Char Char2 Char"/>
    <w:basedOn w:val="1"/>
    <w:qFormat/>
    <w:uiPriority w:val="0"/>
    <w:pPr>
      <w:adjustRightInd/>
      <w:snapToGrid/>
      <w:spacing w:line="240" w:lineRule="auto"/>
      <w:ind w:firstLine="0" w:firstLineChars="0"/>
    </w:pPr>
    <w:rPr>
      <w:rFonts w:cs="Times New Roman"/>
      <w:sz w:val="21"/>
      <w:szCs w:val="24"/>
    </w:rPr>
  </w:style>
  <w:style w:type="character" w:customStyle="1" w:styleId="593">
    <w:name w:val="普通(网站) Char"/>
    <w:qFormat/>
    <w:locked/>
    <w:uiPriority w:val="99"/>
    <w:rPr>
      <w:rFonts w:ascii="宋体" w:hAnsi="宋体" w:eastAsia="宋体" w:cs="宋体"/>
      <w:kern w:val="0"/>
      <w:sz w:val="18"/>
      <w:szCs w:val="18"/>
      <w14:ligatures w14:val="none"/>
    </w:rPr>
  </w:style>
  <w:style w:type="paragraph" w:customStyle="1" w:styleId="594">
    <w:name w:val="表格内容"/>
    <w:link w:val="595"/>
    <w:qFormat/>
    <w:uiPriority w:val="0"/>
    <w:pPr>
      <w:widowControl w:val="0"/>
      <w:adjustRightInd w:val="0"/>
      <w:snapToGrid w:val="0"/>
      <w:jc w:val="center"/>
    </w:pPr>
    <w:rPr>
      <w:rFonts w:ascii="Times New Roman" w:hAnsi="Times New Roman" w:eastAsia="宋体" w:cstheme="majorBidi"/>
      <w:sz w:val="21"/>
      <w:szCs w:val="21"/>
      <w:lang w:val="en-US" w:eastAsia="zh-CN" w:bidi="ar-SA"/>
    </w:rPr>
  </w:style>
  <w:style w:type="character" w:customStyle="1" w:styleId="595">
    <w:name w:val="表格内容 字符"/>
    <w:basedOn w:val="57"/>
    <w:link w:val="594"/>
    <w:qFormat/>
    <w:uiPriority w:val="0"/>
    <w:rPr>
      <w:rFonts w:cstheme="majorBidi"/>
      <w:sz w:val="21"/>
      <w:szCs w:val="21"/>
    </w:rPr>
  </w:style>
  <w:style w:type="character" w:customStyle="1" w:styleId="596">
    <w:name w:val="表标题 字符"/>
    <w:basedOn w:val="57"/>
    <w:link w:val="525"/>
    <w:qFormat/>
    <w:uiPriority w:val="0"/>
    <w:rPr>
      <w:rFonts w:eastAsia="黑体"/>
      <w:b/>
      <w:bCs/>
      <w:kern w:val="2"/>
      <w:sz w:val="24"/>
      <w:szCs w:val="28"/>
    </w:rPr>
  </w:style>
  <w:style w:type="paragraph" w:customStyle="1" w:styleId="597">
    <w:name w:val="正文（粗）"/>
    <w:basedOn w:val="1"/>
    <w:link w:val="598"/>
    <w:qFormat/>
    <w:uiPriority w:val="0"/>
    <w:pPr>
      <w:keepNext/>
      <w:jc w:val="left"/>
    </w:pPr>
    <w:rPr>
      <w:rFonts w:cs="宋体"/>
      <w:b/>
      <w:snapToGrid w:val="0"/>
      <w:color w:val="000000" w:themeColor="text1"/>
      <w:kern w:val="0"/>
      <w:szCs w:val="24"/>
      <w:lang w:val="zh-CN"/>
      <w14:textFill>
        <w14:solidFill>
          <w14:schemeClr w14:val="tx1"/>
        </w14:solidFill>
      </w14:textFill>
    </w:rPr>
  </w:style>
  <w:style w:type="character" w:customStyle="1" w:styleId="598">
    <w:name w:val="正文（粗） 字符"/>
    <w:basedOn w:val="57"/>
    <w:link w:val="597"/>
    <w:qFormat/>
    <w:uiPriority w:val="0"/>
    <w:rPr>
      <w:rFonts w:cs="宋体"/>
      <w:b/>
      <w:snapToGrid w:val="0"/>
      <w:color w:val="000000" w:themeColor="text1"/>
      <w:sz w:val="24"/>
      <w:szCs w:val="24"/>
      <w:lang w:val="zh-CN"/>
      <w14:textFill>
        <w14:solidFill>
          <w14:schemeClr w14:val="tx1"/>
        </w14:solidFill>
      </w14:textFill>
    </w:rPr>
  </w:style>
  <w:style w:type="paragraph" w:customStyle="1" w:styleId="599">
    <w:name w:val="图标题"/>
    <w:basedOn w:val="14"/>
    <w:link w:val="600"/>
    <w:qFormat/>
    <w:uiPriority w:val="0"/>
    <w:pPr>
      <w:ind w:firstLine="482" w:firstLineChars="0"/>
      <w:outlineLvl w:val="4"/>
    </w:pPr>
    <w:rPr>
      <w:rFonts w:ascii="Times New Roman" w:hAnsi="Times New Roman" w:eastAsia="黑体"/>
      <w:sz w:val="22"/>
    </w:rPr>
  </w:style>
  <w:style w:type="character" w:customStyle="1" w:styleId="600">
    <w:name w:val="图标题 字符"/>
    <w:basedOn w:val="73"/>
    <w:link w:val="599"/>
    <w:qFormat/>
    <w:uiPriority w:val="0"/>
    <w:rPr>
      <w:rFonts w:eastAsia="黑体"/>
      <w:kern w:val="2"/>
      <w:sz w:val="22"/>
      <w:szCs w:val="24"/>
    </w:rPr>
  </w:style>
  <w:style w:type="table" w:customStyle="1" w:styleId="601">
    <w:name w:val="双线框"/>
    <w:basedOn w:val="52"/>
    <w:qFormat/>
    <w:uiPriority w:val="99"/>
    <w:pPr>
      <w:jc w:val="center"/>
    </w:pPr>
    <w:rPr>
      <w:rFonts w:eastAsia="Times New Roman" w:asciiTheme="minorHAnsi" w:hAnsiTheme="minorHAnsi" w:cstheme="minorBidi"/>
      <w:kern w:val="2"/>
      <w:sz w:val="21"/>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602">
    <w:name w:val="图片居中 字符"/>
    <w:basedOn w:val="57"/>
    <w:link w:val="93"/>
    <w:qFormat/>
    <w:uiPriority w:val="0"/>
    <w:rPr>
      <w:rFonts w:eastAsia="Times New Roman"/>
      <w:sz w:val="29"/>
      <w:szCs w:val="29"/>
      <w:lang w:eastAsia="en-US"/>
    </w:rPr>
  </w:style>
  <w:style w:type="paragraph" w:customStyle="1" w:styleId="603">
    <w:name w:val="目录"/>
    <w:next w:val="1"/>
    <w:link w:val="604"/>
    <w:qFormat/>
    <w:uiPriority w:val="0"/>
    <w:pPr>
      <w:tabs>
        <w:tab w:val="right" w:leader="dot" w:pos="8300"/>
      </w:tabs>
      <w:ind w:left="480" w:firstLine="440"/>
    </w:pPr>
    <w:rPr>
      <w:rFonts w:ascii="Times New Roman" w:hAnsi="Times New Roman" w:eastAsia="宋体" w:cs="Times New Roman"/>
      <w:sz w:val="22"/>
      <w:szCs w:val="22"/>
      <w:lang w:val="en-US" w:eastAsia="en-US" w:bidi="ar-SA"/>
    </w:rPr>
  </w:style>
  <w:style w:type="character" w:customStyle="1" w:styleId="604">
    <w:name w:val="目录 字符"/>
    <w:basedOn w:val="57"/>
    <w:link w:val="603"/>
    <w:qFormat/>
    <w:uiPriority w:val="0"/>
    <w:rPr>
      <w:sz w:val="22"/>
      <w:szCs w:val="22"/>
      <w:lang w:eastAsia="en-US"/>
    </w:rPr>
  </w:style>
  <w:style w:type="paragraph" w:customStyle="1" w:styleId="605">
    <w:name w:val="图表内容"/>
    <w:basedOn w:val="1"/>
    <w:next w:val="21"/>
    <w:qFormat/>
    <w:uiPriority w:val="0"/>
    <w:pPr>
      <w:snapToGrid/>
      <w:spacing w:line="240" w:lineRule="auto"/>
      <w:ind w:firstLine="0" w:firstLineChars="0"/>
      <w:jc w:val="center"/>
      <w:textAlignment w:val="baseline"/>
    </w:pPr>
    <w:rPr>
      <w:rFonts w:ascii="宋体" w:cs="Times New Roman" w:hAnsiTheme="minorHAnsi" w:eastAsiaTheme="minorEastAsia"/>
      <w:sz w:val="21"/>
      <w:szCs w:val="20"/>
    </w:rPr>
  </w:style>
  <w:style w:type="paragraph" w:customStyle="1" w:styleId="606">
    <w:name w:val="正法律法规0"/>
    <w:basedOn w:val="1"/>
    <w:qFormat/>
    <w:uiPriority w:val="0"/>
    <w:pPr>
      <w:numPr>
        <w:ilvl w:val="0"/>
        <w:numId w:val="3"/>
      </w:numPr>
      <w:ind w:firstLine="0" w:firstLineChars="0"/>
    </w:pPr>
    <w:rPr>
      <w:rFonts w:cs="Times New Roman"/>
      <w:color w:val="000000" w:themeColor="text1"/>
      <w:kern w:val="0"/>
      <w:szCs w:val="24"/>
      <w14:textFill>
        <w14:solidFill>
          <w14:schemeClr w14:val="tx1"/>
        </w14:solidFill>
      </w14:textFill>
    </w:rPr>
  </w:style>
  <w:style w:type="paragraph" w:customStyle="1" w:styleId="607">
    <w:name w:val="图表标题"/>
    <w:basedOn w:val="1"/>
    <w:next w:val="202"/>
    <w:qFormat/>
    <w:uiPriority w:val="0"/>
    <w:pPr>
      <w:spacing w:line="560" w:lineRule="exact"/>
      <w:ind w:firstLine="0" w:firstLineChars="0"/>
      <w:jc w:val="center"/>
      <w:textAlignment w:val="baseline"/>
    </w:pPr>
    <w:rPr>
      <w:rFonts w:ascii="黑体" w:eastAsia="黑体" w:cs="Times New Roman"/>
      <w:sz w:val="21"/>
      <w:szCs w:val="21"/>
    </w:rPr>
  </w:style>
  <w:style w:type="paragraph" w:customStyle="1" w:styleId="608">
    <w:name w:val="Char Char Char Char Char Char Char3"/>
    <w:basedOn w:val="1"/>
    <w:qFormat/>
    <w:uiPriority w:val="0"/>
    <w:pPr>
      <w:adjustRightInd/>
      <w:snapToGrid/>
      <w:spacing w:line="240" w:lineRule="auto"/>
      <w:ind w:firstLine="0" w:firstLineChars="0"/>
    </w:pPr>
    <w:rPr>
      <w:rFonts w:cs="Times New Roman"/>
      <w:sz w:val="21"/>
      <w:szCs w:val="24"/>
    </w:rPr>
  </w:style>
  <w:style w:type="paragraph" w:customStyle="1" w:styleId="609">
    <w:name w:val="Char Char Char Char Char Char Char4"/>
    <w:basedOn w:val="1"/>
    <w:qFormat/>
    <w:uiPriority w:val="0"/>
    <w:pPr>
      <w:adjustRightInd/>
      <w:snapToGrid/>
      <w:spacing w:line="240" w:lineRule="auto"/>
      <w:ind w:firstLine="0" w:firstLineChars="0"/>
    </w:pPr>
    <w:rPr>
      <w:rFonts w:cs="Times New Roman"/>
      <w:sz w:val="21"/>
      <w:szCs w:val="24"/>
    </w:rPr>
  </w:style>
  <w:style w:type="paragraph" w:customStyle="1" w:styleId="610">
    <w:name w:val="Char Char Char Char Char Char1 Char Char Char Char Char Char Char Char Char Char Char Char Char"/>
    <w:basedOn w:val="1"/>
    <w:qFormat/>
    <w:uiPriority w:val="0"/>
    <w:pPr>
      <w:adjustRightInd/>
      <w:snapToGrid/>
      <w:spacing w:line="400" w:lineRule="exact"/>
    </w:pPr>
    <w:rPr>
      <w:rFonts w:cs="Times New Roman"/>
    </w:rPr>
  </w:style>
  <w:style w:type="table" w:customStyle="1" w:styleId="611">
    <w:name w:val="列表型 31"/>
    <w:basedOn w:val="52"/>
    <w:semiHidden/>
    <w:unhideWhenUsed/>
    <w:qFormat/>
    <w:uiPriority w:val="99"/>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paragraph" w:customStyle="1" w:styleId="612">
    <w:name w:val="标题 11"/>
    <w:basedOn w:val="1"/>
    <w:qFormat/>
    <w:uiPriority w:val="1"/>
    <w:pPr>
      <w:widowControl/>
      <w:adjustRightInd/>
      <w:snapToGrid/>
      <w:spacing w:line="240" w:lineRule="auto"/>
      <w:ind w:firstLine="0" w:firstLineChars="0"/>
      <w:jc w:val="left"/>
      <w:outlineLvl w:val="1"/>
    </w:pPr>
    <w:rPr>
      <w:rFonts w:eastAsia="Times New Roman" w:cs="Times New Roman"/>
      <w:kern w:val="0"/>
      <w:sz w:val="29"/>
      <w:szCs w:val="29"/>
      <w:lang w:eastAsia="en-US"/>
    </w:rPr>
  </w:style>
  <w:style w:type="paragraph" w:customStyle="1" w:styleId="613">
    <w:name w:val="图表名称"/>
    <w:basedOn w:val="1"/>
    <w:next w:val="1"/>
    <w:link w:val="614"/>
    <w:qFormat/>
    <w:uiPriority w:val="99"/>
    <w:pPr>
      <w:adjustRightInd/>
      <w:snapToGrid/>
      <w:spacing w:beforeLines="50" w:line="240" w:lineRule="auto"/>
      <w:ind w:firstLine="0" w:firstLineChars="0"/>
      <w:jc w:val="center"/>
    </w:pPr>
    <w:rPr>
      <w:rFonts w:eastAsia="仿宋_GB2312" w:cs="Times New Roman"/>
      <w:b/>
      <w:szCs w:val="28"/>
    </w:rPr>
  </w:style>
  <w:style w:type="character" w:customStyle="1" w:styleId="614">
    <w:name w:val="图表名称 字符"/>
    <w:basedOn w:val="57"/>
    <w:link w:val="613"/>
    <w:qFormat/>
    <w:uiPriority w:val="99"/>
    <w:rPr>
      <w:rFonts w:eastAsia="仿宋_GB2312"/>
      <w:b/>
      <w:kern w:val="2"/>
      <w:sz w:val="24"/>
      <w:szCs w:val="28"/>
    </w:rPr>
  </w:style>
  <w:style w:type="character" w:customStyle="1" w:styleId="615">
    <w:name w:val="未处理的提及3"/>
    <w:basedOn w:val="57"/>
    <w:semiHidden/>
    <w:unhideWhenUsed/>
    <w:qFormat/>
    <w:uiPriority w:val="99"/>
    <w:rPr>
      <w:color w:val="605E5C"/>
      <w:shd w:val="clear" w:color="auto" w:fill="E1DFDD"/>
    </w:rPr>
  </w:style>
  <w:style w:type="paragraph" w:customStyle="1" w:styleId="616">
    <w:name w:val="TOC 标题2"/>
    <w:basedOn w:val="2"/>
    <w:next w:val="1"/>
    <w:unhideWhenUsed/>
    <w:qFormat/>
    <w:uiPriority w:val="39"/>
    <w:pPr>
      <w:numPr>
        <w:numId w:val="0"/>
      </w:numPr>
      <w:adjustRightInd/>
      <w:snapToGrid/>
      <w:spacing w:before="240" w:beforeLines="100" w:after="0" w:line="259" w:lineRule="auto"/>
      <w:jc w:val="left"/>
      <w:outlineLvl w:val="9"/>
    </w:pPr>
    <w:rPr>
      <w:rFonts w:ascii="等线 Light" w:hAnsi="等线 Light" w:eastAsia="等线 Light"/>
      <w:bCs w:val="0"/>
      <w:color w:val="2F5496"/>
      <w:kern w:val="0"/>
      <w:szCs w:val="32"/>
      <w:lang w:eastAsia="zh-CN"/>
    </w:rPr>
  </w:style>
  <w:style w:type="table" w:customStyle="1" w:styleId="617">
    <w:name w:val="表格样式LLL1"/>
    <w:basedOn w:val="55"/>
    <w:qFormat/>
    <w:uiPriority w:val="0"/>
    <w:pPr>
      <w:widowControl w:val="0"/>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character" w:customStyle="1" w:styleId="618">
    <w:name w:val="正文-204 Char"/>
    <w:link w:val="619"/>
    <w:qFormat/>
    <w:uiPriority w:val="0"/>
    <w:rPr>
      <w:rFonts w:eastAsia="等线"/>
      <w:color w:val="000000"/>
      <w:kern w:val="2"/>
      <w:sz w:val="24"/>
      <w:szCs w:val="24"/>
    </w:rPr>
  </w:style>
  <w:style w:type="paragraph" w:customStyle="1" w:styleId="619">
    <w:name w:val="正文-204"/>
    <w:basedOn w:val="1"/>
    <w:link w:val="618"/>
    <w:qFormat/>
    <w:uiPriority w:val="0"/>
    <w:pPr>
      <w:widowControl/>
      <w:adjustRightInd/>
      <w:snapToGrid/>
      <w:ind w:firstLine="480"/>
      <w:contextualSpacing/>
    </w:pPr>
    <w:rPr>
      <w:rFonts w:eastAsia="等线" w:cs="Times New Roman"/>
      <w:color w:val="000000"/>
      <w:szCs w:val="24"/>
    </w:rPr>
  </w:style>
  <w:style w:type="character" w:customStyle="1" w:styleId="620">
    <w:name w:val="font51"/>
    <w:basedOn w:val="57"/>
    <w:qFormat/>
    <w:uiPriority w:val="0"/>
    <w:rPr>
      <w:rFonts w:hint="default" w:ascii="Times New Roman" w:hAnsi="Times New Roman" w:cs="Times New Roman"/>
      <w:color w:val="000000"/>
      <w:sz w:val="21"/>
      <w:szCs w:val="21"/>
      <w:u w:val="none"/>
    </w:rPr>
  </w:style>
  <w:style w:type="character" w:customStyle="1" w:styleId="621">
    <w:name w:val="font31"/>
    <w:basedOn w:val="57"/>
    <w:qFormat/>
    <w:uiPriority w:val="0"/>
    <w:rPr>
      <w:rFonts w:hint="default" w:ascii="Times New Roman" w:hAnsi="Times New Roman" w:cs="Times New Roman"/>
      <w:color w:val="000000"/>
      <w:sz w:val="21"/>
      <w:szCs w:val="21"/>
      <w:u w:val="none"/>
    </w:rPr>
  </w:style>
  <w:style w:type="character" w:customStyle="1" w:styleId="622">
    <w:name w:val="font61"/>
    <w:basedOn w:val="57"/>
    <w:qFormat/>
    <w:uiPriority w:val="0"/>
    <w:rPr>
      <w:rFonts w:hint="default" w:ascii="Times New Roman" w:hAnsi="Times New Roman" w:cs="Times New Roman"/>
      <w:color w:val="000000"/>
      <w:sz w:val="21"/>
      <w:szCs w:val="21"/>
      <w:u w:val="none"/>
    </w:rPr>
  </w:style>
  <w:style w:type="character" w:customStyle="1" w:styleId="623">
    <w:name w:val="font81"/>
    <w:basedOn w:val="57"/>
    <w:qFormat/>
    <w:uiPriority w:val="0"/>
    <w:rPr>
      <w:rFonts w:hint="eastAsia" w:ascii="宋体" w:hAnsi="宋体" w:eastAsia="宋体" w:cs="宋体"/>
      <w:color w:val="000000"/>
      <w:sz w:val="21"/>
      <w:szCs w:val="21"/>
      <w:u w:val="none"/>
    </w:rPr>
  </w:style>
  <w:style w:type="character" w:customStyle="1" w:styleId="624">
    <w:name w:val="font71"/>
    <w:basedOn w:val="57"/>
    <w:qFormat/>
    <w:uiPriority w:val="0"/>
    <w:rPr>
      <w:rFonts w:hint="eastAsia" w:ascii="宋体" w:hAnsi="宋体" w:eastAsia="宋体" w:cs="宋体"/>
      <w:color w:val="000000"/>
      <w:sz w:val="21"/>
      <w:szCs w:val="21"/>
      <w:u w:val="none"/>
    </w:rPr>
  </w:style>
  <w:style w:type="character" w:customStyle="1" w:styleId="625">
    <w:name w:val="font41"/>
    <w:basedOn w:val="57"/>
    <w:qFormat/>
    <w:uiPriority w:val="0"/>
    <w:rPr>
      <w:rFonts w:hint="default" w:ascii="Times New Roman" w:hAnsi="Times New Roman" w:cs="Times New Roman"/>
      <w:color w:val="000000"/>
      <w:sz w:val="21"/>
      <w:szCs w:val="21"/>
      <w:u w:val="none"/>
    </w:rPr>
  </w:style>
  <w:style w:type="paragraph" w:customStyle="1" w:styleId="626">
    <w:name w:val="a正文格式"/>
    <w:basedOn w:val="1"/>
    <w:qFormat/>
    <w:uiPriority w:val="0"/>
    <w:pPr>
      <w:spacing w:line="360" w:lineRule="auto"/>
      <w:ind w:firstLine="200" w:firstLineChars="200"/>
    </w:pPr>
    <w:rPr>
      <w:sz w:val="24"/>
      <w:szCs w:val="21"/>
    </w:rPr>
  </w:style>
  <w:style w:type="paragraph" w:customStyle="1" w:styleId="627">
    <w:name w:val="表格标题 核工业"/>
    <w:qFormat/>
    <w:uiPriority w:val="0"/>
    <w:pPr>
      <w:keepNext/>
      <w:spacing w:before="50" w:beforeLines="50"/>
      <w:jc w:val="center"/>
    </w:pPr>
    <w:rPr>
      <w:rFonts w:ascii="Times New Roman" w:hAnsi="Times New Roman" w:eastAsia="黑体" w:cs="Times New Roman"/>
      <w:kern w:val="2"/>
      <w:sz w:val="22"/>
      <w:lang w:val="en-US" w:eastAsia="zh-CN" w:bidi="ar-SA"/>
    </w:rPr>
  </w:style>
  <w:style w:type="table" w:customStyle="1" w:styleId="628">
    <w:name w:val="Table Grid_0"/>
    <w:basedOn w:val="5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29">
    <w:name w:val="A表名格式"/>
    <w:basedOn w:val="1"/>
    <w:qFormat/>
    <w:uiPriority w:val="0"/>
    <w:pPr>
      <w:spacing w:line="400" w:lineRule="exact"/>
      <w:jc w:val="center"/>
    </w:pPr>
    <w:rPr>
      <w:rFonts w:eastAsia="黑体"/>
    </w:rPr>
  </w:style>
  <w:style w:type="paragraph" w:customStyle="1" w:styleId="630">
    <w:name w:val="a表格字体"/>
    <w:basedOn w:val="1"/>
    <w:qFormat/>
    <w:uiPriority w:val="0"/>
    <w:pPr>
      <w:jc w:val="center"/>
    </w:pPr>
    <w:rPr>
      <w:szCs w:val="21"/>
    </w:rPr>
  </w:style>
  <w:style w:type="table" w:customStyle="1" w:styleId="631">
    <w:name w:val="网格型81"/>
    <w:basedOn w:val="52"/>
    <w:qFormat/>
    <w:uiPriority w:val="0"/>
    <w:rPr>
      <w:color w:val="00000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2">
    <w:name w:val="1正文"/>
    <w:basedOn w:val="1"/>
    <w:qFormat/>
    <w:uiPriority w:val="0"/>
    <w:pPr>
      <w:widowControl w:val="0"/>
      <w:adjustRightInd w:val="0"/>
      <w:snapToGrid w:val="0"/>
      <w:spacing w:line="460" w:lineRule="exact"/>
      <w:ind w:firstLine="200" w:firstLineChars="200"/>
      <w:jc w:val="both"/>
    </w:pPr>
    <w:rPr>
      <w:rFonts w:ascii="Times New Roman" w:hAnsi="Times New Roman"/>
      <w:kern w:val="2"/>
      <w:sz w:val="24"/>
      <w:szCs w:val="24"/>
      <w:lang w:val="zh-CN" w:eastAsia="zh-CN"/>
    </w:rPr>
  </w:style>
  <w:style w:type="paragraph" w:customStyle="1" w:styleId="633">
    <w:name w:val="表头1"/>
    <w:basedOn w:val="1"/>
    <w:qFormat/>
    <w:uiPriority w:val="0"/>
    <w:pPr>
      <w:widowControl w:val="0"/>
      <w:jc w:val="center"/>
    </w:pPr>
    <w:rPr>
      <w:rFonts w:ascii="Times New Roman" w:hAnsi="Times New Roman"/>
      <w:sz w:val="21"/>
      <w:szCs w:val="24"/>
      <w:lang w:eastAsia="zh-CN"/>
    </w:rPr>
  </w:style>
  <w:style w:type="paragraph" w:customStyle="1" w:styleId="634">
    <w:name w:val="表格内居中文字"/>
    <w:basedOn w:val="1"/>
    <w:qFormat/>
    <w:uiPriority w:val="0"/>
    <w:pPr>
      <w:widowControl w:val="0"/>
      <w:spacing w:line="320" w:lineRule="atLeast"/>
      <w:jc w:val="center"/>
    </w:pPr>
    <w:rPr>
      <w:rFonts w:ascii="Times New Roman" w:hAnsi="Times New Roman"/>
      <w:kern w:val="2"/>
      <w:szCs w:val="24"/>
      <w:lang w:eastAsia="zh-CN"/>
    </w:rPr>
  </w:style>
  <w:style w:type="paragraph" w:customStyle="1" w:styleId="635">
    <w:name w:val="0-7表外文字"/>
    <w:basedOn w:val="1"/>
    <w:qFormat/>
    <w:uiPriority w:val="0"/>
    <w:pPr>
      <w:widowControl w:val="0"/>
      <w:wordWrap w:val="0"/>
      <w:spacing w:beforeLines="20"/>
      <w:jc w:val="center"/>
    </w:pPr>
    <w:rPr>
      <w:rFonts w:ascii="Times New Roman" w:hAnsi="Times New Roman"/>
      <w:b/>
      <w:sz w:val="24"/>
      <w:szCs w:val="20"/>
      <w:lang w:eastAsia="zh-CN"/>
    </w:rPr>
  </w:style>
  <w:style w:type="paragraph" w:customStyle="1" w:styleId="636">
    <w:name w:val="表格(张曦)"/>
    <w:basedOn w:val="1"/>
    <w:qFormat/>
    <w:uiPriority w:val="0"/>
    <w:pPr>
      <w:snapToGrid w:val="0"/>
      <w:jc w:val="center"/>
    </w:pPr>
  </w:style>
  <w:style w:type="paragraph" w:customStyle="1" w:styleId="637">
    <w:name w:val="文本文字"/>
    <w:basedOn w:val="1"/>
    <w:qFormat/>
    <w:uiPriority w:val="0"/>
    <w:pPr>
      <w:adjustRightInd/>
      <w:snapToGrid/>
    </w:pPr>
    <w:rPr>
      <w:rFonts w:eastAsia="仿宋_GB2312" w:cs="Times New Roman"/>
    </w:rPr>
  </w:style>
  <w:style w:type="paragraph" w:customStyle="1" w:styleId="638">
    <w:name w:val="图 片"/>
    <w:next w:val="599"/>
    <w:qFormat/>
    <w:uiPriority w:val="0"/>
    <w:pPr>
      <w:adjustRightInd w:val="0"/>
      <w:snapToGrid w:val="0"/>
      <w:jc w:val="center"/>
    </w:pPr>
    <w:rPr>
      <w:rFonts w:ascii="Times New Roman" w:hAnsi="Times New Roman" w:eastAsia="宋体" w:cs="Times New Roman"/>
      <w:snapToGrid w:val="0"/>
      <w:sz w:val="24"/>
      <w:szCs w:val="24"/>
      <w:lang w:val="en-US" w:eastAsia="zh-CN" w:bidi="ar-SA"/>
    </w:rPr>
  </w:style>
  <w:style w:type="table" w:customStyle="1" w:styleId="639">
    <w:name w:val="双线表1"/>
    <w:basedOn w:val="52"/>
    <w:qFormat/>
    <w:uiPriority w:val="99"/>
    <w:pPr>
      <w:jc w:val="center"/>
    </w:pPr>
    <w:rPr>
      <w:rFonts w:eastAsia="Times New Roman"/>
      <w:snapToGrid w:val="0"/>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paragraph" w:customStyle="1" w:styleId="640">
    <w:name w:val="图表名"/>
    <w:basedOn w:val="1"/>
    <w:qFormat/>
    <w:uiPriority w:val="0"/>
    <w:pPr>
      <w:spacing w:line="360" w:lineRule="auto"/>
      <w:jc w:val="center"/>
    </w:pPr>
    <w:rPr>
      <w:rFonts w:eastAsia="黑体"/>
    </w:rPr>
  </w:style>
  <w:style w:type="paragraph" w:customStyle="1" w:styleId="641">
    <w:name w:val="rpt_表项"/>
    <w:basedOn w:val="1"/>
    <w:uiPriority w:val="0"/>
    <w:pPr>
      <w:spacing w:before="60" w:after="60"/>
      <w:jc w:val="center"/>
    </w:pPr>
    <w:rPr>
      <w:rFonts w:cs="宋体"/>
      <w:sz w:val="22"/>
      <w:szCs w:val="20"/>
    </w:rPr>
  </w:style>
  <w:style w:type="table" w:customStyle="1" w:styleId="642">
    <w:name w:val="网格型42"/>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网格型43"/>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jpeg"/><Relationship Id="rId76" Type="http://schemas.openxmlformats.org/officeDocument/2006/relationships/image" Target="media/image58.jpe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wmf"/><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oleObject" Target="embeddings/oleObject6.bin"/><Relationship Id="rId43" Type="http://schemas.openxmlformats.org/officeDocument/2006/relationships/image" Target="media/image26.wmf"/><Relationship Id="rId42" Type="http://schemas.openxmlformats.org/officeDocument/2006/relationships/oleObject" Target="embeddings/oleObject5.bin"/><Relationship Id="rId41" Type="http://schemas.openxmlformats.org/officeDocument/2006/relationships/image" Target="media/image25.wmf"/><Relationship Id="rId40" Type="http://schemas.openxmlformats.org/officeDocument/2006/relationships/image" Target="media/image24.wmf"/><Relationship Id="rId4" Type="http://schemas.openxmlformats.org/officeDocument/2006/relationships/endnotes" Target="endnotes.xml"/><Relationship Id="rId39" Type="http://schemas.openxmlformats.org/officeDocument/2006/relationships/image" Target="media/image23.wmf"/><Relationship Id="rId38" Type="http://schemas.openxmlformats.org/officeDocument/2006/relationships/image" Target="media/image22.wmf"/><Relationship Id="rId37" Type="http://schemas.openxmlformats.org/officeDocument/2006/relationships/image" Target="media/image21.wmf"/><Relationship Id="rId36" Type="http://schemas.openxmlformats.org/officeDocument/2006/relationships/oleObject" Target="embeddings/oleObject4.bin"/><Relationship Id="rId35" Type="http://schemas.openxmlformats.org/officeDocument/2006/relationships/image" Target="media/image20.wmf"/><Relationship Id="rId34" Type="http://schemas.openxmlformats.org/officeDocument/2006/relationships/oleObject" Target="embeddings/oleObject3.bin"/><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image" Target="media/image8.pn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D950E-2A60-4B8C-949D-EEFB06D57F0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440</Pages>
  <Words>293167</Words>
  <Characters>326297</Characters>
  <Lines>2484</Lines>
  <Paragraphs>699</Paragraphs>
  <TotalTime>33</TotalTime>
  <ScaleCrop>false</ScaleCrop>
  <LinksUpToDate>false</LinksUpToDate>
  <CharactersWithSpaces>327870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2021-11-12T04:08:00Z</dcterms:created>
  <dc:creator>Microsoft</dc:creator>
  <cp:lastModifiedBy>Administrator</cp:lastModifiedBy>
  <cp:lastPrinted>2024-01-19T04:56:00Z</cp:lastPrinted>
  <dcterms:modified xsi:type="dcterms:W3CDTF">2024-09-19T02:07:15Z</dcterms:modified>
  <cp:revision>524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Word 2013</vt:lpwstr>
  </property>
  <property fmtid="{D5CDD505-2E9C-101B-9397-08002B2CF9AE}" pid="4" name="LastSaved">
    <vt:filetime>2020-05-20T00:00:00Z</vt:filetime>
  </property>
  <property fmtid="{D5CDD505-2E9C-101B-9397-08002B2CF9AE}" pid="5" name="KSOProductBuildVer">
    <vt:lpwstr>2052-12.1.0.15990</vt:lpwstr>
  </property>
  <property fmtid="{D5CDD505-2E9C-101B-9397-08002B2CF9AE}" pid="6" name="ICV">
    <vt:lpwstr>1B1F5C41A2FF4F2E987CE3EF948A4574_13</vt:lpwstr>
  </property>
</Properties>
</file>