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240" w:lineRule="auto"/>
        <w:jc w:val="both"/>
        <w:rPr>
          <w:rFonts w:cs="Times New Roman" w:asciiTheme="majorHAnsi" w:hAnsiTheme="majorHAnsi"/>
          <w:sz w:val="36"/>
          <w:szCs w:val="36"/>
        </w:rPr>
      </w:pPr>
    </w:p>
    <w:p>
      <w:pPr>
        <w:pStyle w:val="18"/>
      </w:pPr>
    </w:p>
    <w:p/>
    <w:p>
      <w:pPr>
        <w:adjustRightInd w:val="0"/>
        <w:snapToGrid w:val="0"/>
        <w:jc w:val="center"/>
        <w:outlineLvl w:val="0"/>
        <w:rPr>
          <w:rFonts w:ascii="方正小标宋_GBK" w:eastAsia="方正小标宋_GBK"/>
          <w:bCs/>
          <w:sz w:val="72"/>
          <w:szCs w:val="72"/>
        </w:rPr>
      </w:pPr>
      <w:bookmarkStart w:id="0" w:name="_Toc118974718"/>
      <w:bookmarkStart w:id="1" w:name="_Toc109639826"/>
      <w:r>
        <w:rPr>
          <w:rFonts w:hint="eastAsia" w:ascii="方正小标宋_GBK" w:eastAsia="方正小标宋_GBK"/>
          <w:bCs/>
          <w:sz w:val="72"/>
          <w:szCs w:val="72"/>
        </w:rPr>
        <w:t>建设项目环境影响报告表</w:t>
      </w:r>
      <w:bookmarkEnd w:id="0"/>
      <w:bookmarkEnd w:id="1"/>
    </w:p>
    <w:p>
      <w:pPr>
        <w:adjustRightInd w:val="0"/>
        <w:snapToGrid w:val="0"/>
        <w:spacing w:before="260" w:beforeLines="80"/>
        <w:jc w:val="center"/>
        <w:rPr>
          <w:rFonts w:ascii="楷体_GB2312" w:eastAsia="楷体_GB2312"/>
          <w:bCs/>
          <w:sz w:val="48"/>
          <w:szCs w:val="48"/>
        </w:rPr>
      </w:pPr>
      <w:r>
        <w:rPr>
          <w:rFonts w:hint="eastAsia" w:ascii="楷体_GB2312" w:eastAsia="楷体_GB2312"/>
          <w:bCs/>
          <w:sz w:val="48"/>
          <w:szCs w:val="48"/>
        </w:rPr>
        <w:t>（污染影响类）</w:t>
      </w:r>
    </w:p>
    <w:p>
      <w:pPr>
        <w:adjustRightInd w:val="0"/>
        <w:snapToGrid w:val="0"/>
        <w:jc w:val="center"/>
        <w:rPr>
          <w:rFonts w:eastAsia="仿宋"/>
          <w:sz w:val="44"/>
          <w:szCs w:val="44"/>
        </w:rPr>
      </w:pPr>
      <w:bookmarkStart w:id="2" w:name="_Hlk57883728"/>
      <w:r>
        <w:rPr>
          <w:rFonts w:hint="eastAsia" w:ascii="楷体_GB2312" w:eastAsia="楷体_GB2312"/>
          <w:bCs/>
          <w:sz w:val="48"/>
          <w:szCs w:val="48"/>
          <w:lang w:val="en-US" w:eastAsia="zh-CN"/>
        </w:rPr>
        <w:t>公示</w:t>
      </w:r>
      <w:r>
        <w:rPr>
          <w:rFonts w:hint="eastAsia" w:ascii="楷体_GB2312" w:eastAsia="楷体_GB2312"/>
          <w:bCs/>
          <w:sz w:val="48"/>
          <w:szCs w:val="48"/>
        </w:rPr>
        <w:t>本</w:t>
      </w:r>
      <w:bookmarkStart w:id="39" w:name="_GoBack"/>
      <w:bookmarkEnd w:id="39"/>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bookmarkEnd w:id="2"/>
    <w:p>
      <w:pPr>
        <w:adjustRightInd w:val="0"/>
        <w:snapToGrid w:val="0"/>
        <w:spacing w:line="288" w:lineRule="auto"/>
        <w:ind w:left="1920" w:hanging="1920" w:hangingChars="600"/>
        <w:rPr>
          <w:rFonts w:ascii="仿宋_GB2312" w:eastAsia="仿宋_GB2312"/>
          <w:sz w:val="32"/>
          <w:szCs w:val="32"/>
          <w:u w:val="single"/>
        </w:rPr>
      </w:pPr>
      <w:r>
        <w:rPr>
          <w:rFonts w:hint="eastAsia" w:ascii="仿宋_GB2312" w:eastAsia="仿宋_GB2312"/>
          <w:sz w:val="32"/>
          <w:szCs w:val="32"/>
        </w:rPr>
        <w:t>项目名称：</w:t>
      </w:r>
      <w:bookmarkStart w:id="3" w:name="_Hlk108707361"/>
      <w:r>
        <w:rPr>
          <w:rFonts w:hint="eastAsia" w:ascii="仿宋_GB2312" w:eastAsia="仿宋_GB2312"/>
          <w:sz w:val="32"/>
          <w:szCs w:val="32"/>
          <w:u w:val="single"/>
        </w:rPr>
        <w:t xml:space="preserve"> </w:t>
      </w:r>
      <w:r>
        <w:rPr>
          <w:rFonts w:ascii="仿宋_GB2312" w:eastAsia="仿宋_GB2312"/>
          <w:sz w:val="32"/>
          <w:szCs w:val="32"/>
          <w:u w:val="single"/>
        </w:rPr>
        <w:t xml:space="preserve">    </w:t>
      </w:r>
      <w:bookmarkEnd w:id="3"/>
      <w:r>
        <w:rPr>
          <w:rFonts w:hint="eastAsia" w:ascii="仿宋_GB2312" w:eastAsia="仿宋_GB2312"/>
          <w:sz w:val="32"/>
          <w:szCs w:val="32"/>
          <w:u w:val="single"/>
        </w:rPr>
        <w:t>宣汉县城（明月坝）污水处理厂建设项目</w:t>
      </w:r>
      <w:r>
        <w:rPr>
          <w:rFonts w:ascii="仿宋_GB2312" w:eastAsia="仿宋_GB2312"/>
          <w:sz w:val="32"/>
          <w:szCs w:val="32"/>
          <w:u w:val="single"/>
        </w:rPr>
        <w:t xml:space="preserve">             </w:t>
      </w:r>
    </w:p>
    <w:p>
      <w:pPr>
        <w:adjustRightInd w:val="0"/>
        <w:snapToGrid w:val="0"/>
        <w:spacing w:line="288" w:lineRule="auto"/>
        <w:rPr>
          <w:rFonts w:ascii="仿宋_GB2312" w:eastAsia="仿宋_GB2312"/>
          <w:sz w:val="32"/>
          <w:szCs w:val="32"/>
          <w:u w:val="single"/>
        </w:rPr>
      </w:pPr>
      <w:r>
        <w:rPr>
          <w:rFonts w:hint="eastAsia" w:ascii="仿宋_GB2312" w:eastAsia="仿宋_GB2312"/>
          <w:sz w:val="32"/>
          <w:szCs w:val="32"/>
        </w:rPr>
        <w:t>建设单位（盖章）：</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rPr>
        <w:t xml:space="preserve"> 宣汉发展投资集团有限公司</w:t>
      </w:r>
      <w:r>
        <w:rPr>
          <w:rFonts w:ascii="仿宋_GB2312" w:eastAsia="仿宋_GB2312"/>
          <w:sz w:val="32"/>
          <w:szCs w:val="32"/>
          <w:u w:val="single"/>
        </w:rPr>
        <w:t xml:space="preserve"> </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rPr>
        <w:t xml:space="preserve">      </w:t>
      </w:r>
    </w:p>
    <w:p>
      <w:pPr>
        <w:adjustRightInd w:val="0"/>
        <w:snapToGrid w:val="0"/>
        <w:spacing w:line="288" w:lineRule="auto"/>
        <w:rPr>
          <w:rFonts w:ascii="仿宋_GB2312" w:eastAsia="仿宋_GB2312"/>
          <w:sz w:val="36"/>
          <w:szCs w:val="36"/>
          <w:u w:val="single"/>
        </w:rPr>
      </w:pPr>
      <w:r>
        <w:rPr>
          <w:rFonts w:hint="eastAsia" w:ascii="仿宋_GB2312" w:eastAsia="仿宋_GB2312"/>
          <w:sz w:val="32"/>
          <w:szCs w:val="32"/>
        </w:rPr>
        <w:t>编制日期：</w:t>
      </w:r>
      <w:r>
        <w:rPr>
          <w:rFonts w:hint="eastAsia" w:ascii="仿宋_GB2312" w:eastAsia="仿宋_GB2312"/>
          <w:sz w:val="32"/>
          <w:szCs w:val="32"/>
          <w:u w:val="single"/>
        </w:rPr>
        <w:t xml:space="preserve"> </w:t>
      </w:r>
      <w:r>
        <w:rPr>
          <w:rFonts w:ascii="仿宋_GB2312" w:eastAsia="仿宋_GB2312"/>
          <w:sz w:val="32"/>
          <w:szCs w:val="32"/>
          <w:u w:val="single"/>
        </w:rPr>
        <w:t xml:space="preserve"> </w:t>
      </w:r>
      <w:r>
        <w:rPr>
          <w:rFonts w:hint="eastAsia" w:ascii="仿宋_GB2312" w:eastAsia="仿宋_GB2312"/>
          <w:sz w:val="32"/>
          <w:szCs w:val="32"/>
          <w:u w:val="single"/>
        </w:rPr>
        <w:t xml:space="preserve">            </w:t>
      </w:r>
      <w:r>
        <w:rPr>
          <w:rFonts w:hint="default" w:ascii="Times New Roman" w:hAnsi="Times New Roman" w:eastAsia="仿宋_GB2312" w:cs="Times New Roman"/>
          <w:sz w:val="32"/>
          <w:szCs w:val="32"/>
          <w:u w:val="single"/>
        </w:rPr>
        <w:t>2023年</w:t>
      </w:r>
      <w:r>
        <w:rPr>
          <w:rFonts w:hint="default" w:ascii="Times New Roman" w:hAnsi="Times New Roman" w:eastAsia="仿宋_GB2312" w:cs="Times New Roman"/>
          <w:sz w:val="32"/>
          <w:szCs w:val="32"/>
          <w:u w:val="single"/>
          <w:lang w:val="en-US" w:eastAsia="zh-CN"/>
        </w:rPr>
        <w:t>9</w:t>
      </w:r>
      <w:r>
        <w:rPr>
          <w:rFonts w:hint="default" w:ascii="Times New Roman" w:hAnsi="Times New Roman" w:eastAsia="仿宋_GB2312" w:cs="Times New Roman"/>
          <w:sz w:val="32"/>
          <w:szCs w:val="32"/>
          <w:u w:val="single"/>
        </w:rPr>
        <w:t xml:space="preserve">月 </w:t>
      </w:r>
      <w:r>
        <w:rPr>
          <w:rFonts w:hint="eastAsia" w:ascii="仿宋_GB2312" w:eastAsia="仿宋_GB2312"/>
          <w:sz w:val="32"/>
          <w:szCs w:val="32"/>
          <w:u w:val="single"/>
        </w:rPr>
        <w:t xml:space="preserve">                    </w:t>
      </w: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rPr>
          <w:rFonts w:asciiTheme="majorHAnsi" w:hAnsiTheme="majorHAnsi"/>
        </w:rPr>
      </w:pPr>
    </w:p>
    <w:p>
      <w:pPr>
        <w:pStyle w:val="18"/>
      </w:pPr>
    </w:p>
    <w:p>
      <w:r>
        <w:br w:type="page"/>
      </w:r>
    </w:p>
    <w:p>
      <w:pPr>
        <w:adjustRightInd w:val="0"/>
        <w:snapToGrid w:val="0"/>
        <w:spacing w:line="288" w:lineRule="auto"/>
        <w:jc w:val="center"/>
        <w:rPr>
          <w:rFonts w:ascii="Times New Roman" w:hAnsi="Times New Roman" w:cs="Times New Roman"/>
          <w:b/>
          <w:sz w:val="30"/>
          <w:szCs w:val="30"/>
        </w:rPr>
      </w:pPr>
    </w:p>
    <w:p>
      <w:pPr>
        <w:adjustRightInd w:val="0"/>
        <w:snapToGrid w:val="0"/>
        <w:spacing w:line="288" w:lineRule="auto"/>
        <w:jc w:val="center"/>
        <w:rPr>
          <w:rFonts w:ascii="Times New Roman" w:hAnsi="Times New Roman" w:cs="Times New Roman"/>
          <w:b/>
          <w:sz w:val="30"/>
          <w:szCs w:val="30"/>
        </w:rPr>
      </w:pPr>
      <w:r>
        <w:rPr>
          <w:rFonts w:ascii="Times New Roman" w:hAnsi="Times New Roman" w:cs="Times New Roman"/>
          <w:b/>
          <w:sz w:val="30"/>
          <w:szCs w:val="30"/>
        </w:rPr>
        <w:t>目  录</w:t>
      </w:r>
    </w:p>
    <w:p>
      <w:pPr>
        <w:pStyle w:val="30"/>
        <w:tabs>
          <w:tab w:val="right" w:leader="dot" w:pos="8834"/>
        </w:tabs>
        <w:rPr>
          <w:rFonts w:hint="default" w:asciiTheme="minorHAnsi" w:hAnsiTheme="minorHAnsi" w:eastAsiaTheme="minorEastAsia" w:cstheme="minorBidi"/>
          <w:b w:val="0"/>
          <w:caps w:val="0"/>
          <w:sz w:val="21"/>
          <w:szCs w:val="22"/>
        </w:rPr>
      </w:pPr>
      <w:r>
        <w:rPr>
          <w:rFonts w:hint="default"/>
          <w:caps w:val="0"/>
        </w:rPr>
        <w:fldChar w:fldCharType="begin"/>
      </w:r>
      <w:r>
        <w:rPr>
          <w:caps w:val="0"/>
        </w:rPr>
        <w:instrText xml:space="preserve"> TOC \o "1-1" \h \z \u </w:instrText>
      </w:r>
      <w:r>
        <w:rPr>
          <w:rFonts w:hint="default"/>
          <w:caps w:val="0"/>
        </w:rPr>
        <w:fldChar w:fldCharType="separate"/>
      </w:r>
    </w:p>
    <w:p>
      <w:pPr>
        <w:pStyle w:val="30"/>
        <w:tabs>
          <w:tab w:val="right" w:leader="dot" w:pos="8834"/>
        </w:tabs>
        <w:rPr>
          <w:rFonts w:hint="default" w:eastAsiaTheme="minorEastAsia"/>
          <w:b w:val="0"/>
          <w:bCs/>
          <w:caps w:val="0"/>
          <w:sz w:val="24"/>
        </w:rPr>
      </w:pPr>
      <w:r>
        <w:fldChar w:fldCharType="begin"/>
      </w:r>
      <w:r>
        <w:instrText xml:space="preserve"> HYPERLINK \l "_Toc118974719" </w:instrText>
      </w:r>
      <w:r>
        <w:fldChar w:fldCharType="separate"/>
      </w:r>
      <w:r>
        <w:rPr>
          <w:rStyle w:val="51"/>
          <w:rFonts w:hint="default" w:eastAsiaTheme="minorEastAsia"/>
          <w:b w:val="0"/>
          <w:bCs/>
          <w:snapToGrid w:val="0"/>
          <w:color w:val="auto"/>
          <w:sz w:val="24"/>
          <w:lang w:val="zh-CN"/>
        </w:rPr>
        <w:t>一、建设项目基本情况</w:t>
      </w:r>
      <w:r>
        <w:rPr>
          <w:rFonts w:hint="default" w:eastAsiaTheme="minorEastAsia"/>
          <w:b w:val="0"/>
          <w:bCs/>
          <w:sz w:val="24"/>
        </w:rPr>
        <w:tab/>
      </w:r>
      <w:r>
        <w:rPr>
          <w:rFonts w:hint="default" w:eastAsiaTheme="minorEastAsia"/>
          <w:b w:val="0"/>
          <w:bCs/>
          <w:sz w:val="24"/>
        </w:rPr>
        <w:fldChar w:fldCharType="begin"/>
      </w:r>
      <w:r>
        <w:rPr>
          <w:rFonts w:hint="default" w:eastAsiaTheme="minorEastAsia"/>
          <w:b w:val="0"/>
          <w:bCs/>
          <w:sz w:val="24"/>
        </w:rPr>
        <w:instrText xml:space="preserve"> PAGEREF _Toc118974719 \h </w:instrText>
      </w:r>
      <w:r>
        <w:rPr>
          <w:rFonts w:hint="default" w:eastAsiaTheme="minorEastAsia"/>
          <w:b w:val="0"/>
          <w:bCs/>
          <w:sz w:val="24"/>
        </w:rPr>
        <w:fldChar w:fldCharType="separate"/>
      </w:r>
      <w:r>
        <w:rPr>
          <w:rFonts w:hint="default" w:eastAsiaTheme="minorEastAsia"/>
          <w:b w:val="0"/>
          <w:bCs/>
          <w:sz w:val="24"/>
        </w:rPr>
        <w:t>1</w:t>
      </w:r>
      <w:r>
        <w:rPr>
          <w:rFonts w:hint="default" w:eastAsiaTheme="minorEastAsia"/>
          <w:b w:val="0"/>
          <w:bCs/>
          <w:sz w:val="24"/>
        </w:rPr>
        <w:fldChar w:fldCharType="end"/>
      </w:r>
      <w:r>
        <w:rPr>
          <w:rFonts w:hint="default" w:eastAsiaTheme="minorEastAsia"/>
          <w:b w:val="0"/>
          <w:bCs/>
          <w:sz w:val="24"/>
        </w:rPr>
        <w:fldChar w:fldCharType="end"/>
      </w:r>
    </w:p>
    <w:p>
      <w:pPr>
        <w:pStyle w:val="30"/>
        <w:tabs>
          <w:tab w:val="right" w:leader="dot" w:pos="8834"/>
        </w:tabs>
        <w:rPr>
          <w:rFonts w:hint="default" w:eastAsiaTheme="minorEastAsia"/>
          <w:b w:val="0"/>
          <w:bCs/>
          <w:caps w:val="0"/>
          <w:sz w:val="24"/>
        </w:rPr>
      </w:pPr>
      <w:r>
        <w:fldChar w:fldCharType="begin"/>
      </w:r>
      <w:r>
        <w:instrText xml:space="preserve"> HYPERLINK \l "_Toc118974720" </w:instrText>
      </w:r>
      <w:r>
        <w:fldChar w:fldCharType="separate"/>
      </w:r>
      <w:r>
        <w:rPr>
          <w:rStyle w:val="51"/>
          <w:rFonts w:hint="default" w:eastAsiaTheme="minorEastAsia"/>
          <w:b w:val="0"/>
          <w:bCs/>
          <w:snapToGrid w:val="0"/>
          <w:color w:val="auto"/>
          <w:sz w:val="24"/>
          <w:lang w:val="zh-CN"/>
        </w:rPr>
        <w:t>二、建设项目工程分析</w:t>
      </w:r>
      <w:r>
        <w:rPr>
          <w:rFonts w:hint="default" w:eastAsiaTheme="minorEastAsia"/>
          <w:b w:val="0"/>
          <w:bCs/>
          <w:sz w:val="24"/>
        </w:rPr>
        <w:tab/>
      </w:r>
      <w:r>
        <w:rPr>
          <w:rFonts w:hint="default" w:eastAsiaTheme="minorEastAsia"/>
          <w:b w:val="0"/>
          <w:bCs/>
          <w:sz w:val="24"/>
        </w:rPr>
        <w:fldChar w:fldCharType="begin"/>
      </w:r>
      <w:r>
        <w:rPr>
          <w:rFonts w:hint="default" w:eastAsiaTheme="minorEastAsia"/>
          <w:b w:val="0"/>
          <w:bCs/>
          <w:sz w:val="24"/>
        </w:rPr>
        <w:instrText xml:space="preserve"> PAGEREF _Toc118974720 \h </w:instrText>
      </w:r>
      <w:r>
        <w:rPr>
          <w:rFonts w:hint="default" w:eastAsiaTheme="minorEastAsia"/>
          <w:b w:val="0"/>
          <w:bCs/>
          <w:sz w:val="24"/>
        </w:rPr>
        <w:fldChar w:fldCharType="separate"/>
      </w:r>
      <w:r>
        <w:rPr>
          <w:rFonts w:hint="default" w:eastAsiaTheme="minorEastAsia"/>
          <w:b w:val="0"/>
          <w:bCs/>
          <w:sz w:val="24"/>
        </w:rPr>
        <w:t>27</w:t>
      </w:r>
      <w:r>
        <w:rPr>
          <w:rFonts w:hint="default" w:eastAsiaTheme="minorEastAsia"/>
          <w:b w:val="0"/>
          <w:bCs/>
          <w:sz w:val="24"/>
        </w:rPr>
        <w:fldChar w:fldCharType="end"/>
      </w:r>
      <w:r>
        <w:rPr>
          <w:rFonts w:hint="default" w:eastAsiaTheme="minorEastAsia"/>
          <w:b w:val="0"/>
          <w:bCs/>
          <w:sz w:val="24"/>
        </w:rPr>
        <w:fldChar w:fldCharType="end"/>
      </w:r>
    </w:p>
    <w:p>
      <w:pPr>
        <w:pStyle w:val="30"/>
        <w:tabs>
          <w:tab w:val="right" w:leader="dot" w:pos="8834"/>
        </w:tabs>
        <w:rPr>
          <w:rFonts w:hint="default" w:eastAsiaTheme="minorEastAsia"/>
          <w:b w:val="0"/>
          <w:bCs/>
          <w:caps w:val="0"/>
          <w:sz w:val="24"/>
        </w:rPr>
      </w:pPr>
      <w:r>
        <w:fldChar w:fldCharType="begin"/>
      </w:r>
      <w:r>
        <w:instrText xml:space="preserve"> HYPERLINK \l "_Toc118974741" </w:instrText>
      </w:r>
      <w:r>
        <w:fldChar w:fldCharType="separate"/>
      </w:r>
      <w:r>
        <w:rPr>
          <w:rStyle w:val="51"/>
          <w:rFonts w:hint="default" w:eastAsiaTheme="minorEastAsia"/>
          <w:b w:val="0"/>
          <w:bCs/>
          <w:snapToGrid w:val="0"/>
          <w:color w:val="auto"/>
          <w:sz w:val="24"/>
          <w:lang w:val="zh-CN"/>
        </w:rPr>
        <w:t>三、区域环境质量现状、环境保护目标及评价标准</w:t>
      </w:r>
      <w:r>
        <w:rPr>
          <w:rFonts w:hint="default" w:eastAsiaTheme="minorEastAsia"/>
          <w:b w:val="0"/>
          <w:bCs/>
          <w:sz w:val="24"/>
        </w:rPr>
        <w:tab/>
      </w:r>
      <w:r>
        <w:rPr>
          <w:rFonts w:hint="default" w:eastAsiaTheme="minorEastAsia"/>
          <w:b w:val="0"/>
          <w:bCs/>
          <w:sz w:val="24"/>
        </w:rPr>
        <w:fldChar w:fldCharType="begin"/>
      </w:r>
      <w:r>
        <w:rPr>
          <w:rFonts w:hint="default" w:eastAsiaTheme="minorEastAsia"/>
          <w:b w:val="0"/>
          <w:bCs/>
          <w:sz w:val="24"/>
        </w:rPr>
        <w:instrText xml:space="preserve"> PAGEREF _Toc118974741 \h </w:instrText>
      </w:r>
      <w:r>
        <w:rPr>
          <w:rFonts w:hint="default" w:eastAsiaTheme="minorEastAsia"/>
          <w:b w:val="0"/>
          <w:bCs/>
          <w:sz w:val="24"/>
        </w:rPr>
        <w:fldChar w:fldCharType="separate"/>
      </w:r>
      <w:r>
        <w:rPr>
          <w:rFonts w:hint="default" w:eastAsiaTheme="minorEastAsia"/>
          <w:b w:val="0"/>
          <w:bCs/>
          <w:sz w:val="24"/>
        </w:rPr>
        <w:t>69</w:t>
      </w:r>
      <w:r>
        <w:rPr>
          <w:rFonts w:hint="default" w:eastAsiaTheme="minorEastAsia"/>
          <w:b w:val="0"/>
          <w:bCs/>
          <w:sz w:val="24"/>
        </w:rPr>
        <w:fldChar w:fldCharType="end"/>
      </w:r>
      <w:r>
        <w:rPr>
          <w:rFonts w:hint="default" w:eastAsiaTheme="minorEastAsia"/>
          <w:b w:val="0"/>
          <w:bCs/>
          <w:sz w:val="24"/>
        </w:rPr>
        <w:fldChar w:fldCharType="end"/>
      </w:r>
    </w:p>
    <w:p>
      <w:pPr>
        <w:pStyle w:val="30"/>
        <w:tabs>
          <w:tab w:val="right" w:leader="dot" w:pos="8834"/>
        </w:tabs>
        <w:rPr>
          <w:rFonts w:hint="default" w:eastAsiaTheme="minorEastAsia"/>
          <w:b w:val="0"/>
          <w:bCs/>
          <w:caps w:val="0"/>
          <w:sz w:val="24"/>
        </w:rPr>
      </w:pPr>
      <w:r>
        <w:fldChar w:fldCharType="begin"/>
      </w:r>
      <w:r>
        <w:instrText xml:space="preserve"> HYPERLINK \l "_Toc118974742" </w:instrText>
      </w:r>
      <w:r>
        <w:fldChar w:fldCharType="separate"/>
      </w:r>
      <w:r>
        <w:rPr>
          <w:rStyle w:val="51"/>
          <w:rFonts w:hint="default" w:eastAsiaTheme="minorEastAsia"/>
          <w:b w:val="0"/>
          <w:bCs/>
          <w:snapToGrid w:val="0"/>
          <w:color w:val="auto"/>
          <w:sz w:val="24"/>
          <w:lang w:val="zh-CN"/>
        </w:rPr>
        <w:t>四、主要环境影响和保护措施</w:t>
      </w:r>
      <w:r>
        <w:rPr>
          <w:rFonts w:hint="default" w:eastAsiaTheme="minorEastAsia"/>
          <w:b w:val="0"/>
          <w:bCs/>
          <w:sz w:val="24"/>
        </w:rPr>
        <w:tab/>
      </w:r>
      <w:r>
        <w:rPr>
          <w:rFonts w:hint="default" w:eastAsiaTheme="minorEastAsia"/>
          <w:b w:val="0"/>
          <w:bCs/>
          <w:sz w:val="24"/>
        </w:rPr>
        <w:fldChar w:fldCharType="begin"/>
      </w:r>
      <w:r>
        <w:rPr>
          <w:rFonts w:hint="default" w:eastAsiaTheme="minorEastAsia"/>
          <w:b w:val="0"/>
          <w:bCs/>
          <w:sz w:val="24"/>
        </w:rPr>
        <w:instrText xml:space="preserve"> PAGEREF _Toc118974742 \h </w:instrText>
      </w:r>
      <w:r>
        <w:rPr>
          <w:rFonts w:hint="default" w:eastAsiaTheme="minorEastAsia"/>
          <w:b w:val="0"/>
          <w:bCs/>
          <w:sz w:val="24"/>
        </w:rPr>
        <w:fldChar w:fldCharType="separate"/>
      </w:r>
      <w:r>
        <w:rPr>
          <w:rFonts w:hint="default" w:eastAsiaTheme="minorEastAsia"/>
          <w:b w:val="0"/>
          <w:bCs/>
          <w:sz w:val="24"/>
        </w:rPr>
        <w:t>89</w:t>
      </w:r>
      <w:r>
        <w:rPr>
          <w:rFonts w:hint="default" w:eastAsiaTheme="minorEastAsia"/>
          <w:b w:val="0"/>
          <w:bCs/>
          <w:sz w:val="24"/>
        </w:rPr>
        <w:fldChar w:fldCharType="end"/>
      </w:r>
      <w:r>
        <w:rPr>
          <w:rFonts w:hint="default" w:eastAsiaTheme="minorEastAsia"/>
          <w:b w:val="0"/>
          <w:bCs/>
          <w:sz w:val="24"/>
        </w:rPr>
        <w:fldChar w:fldCharType="end"/>
      </w:r>
    </w:p>
    <w:p>
      <w:pPr>
        <w:pStyle w:val="30"/>
        <w:tabs>
          <w:tab w:val="right" w:leader="dot" w:pos="8834"/>
        </w:tabs>
        <w:rPr>
          <w:rFonts w:hint="default" w:eastAsiaTheme="minorEastAsia"/>
          <w:b w:val="0"/>
          <w:bCs/>
          <w:caps w:val="0"/>
          <w:sz w:val="24"/>
        </w:rPr>
      </w:pPr>
      <w:r>
        <w:fldChar w:fldCharType="begin"/>
      </w:r>
      <w:r>
        <w:instrText xml:space="preserve"> HYPERLINK \l "_Toc118974743" </w:instrText>
      </w:r>
      <w:r>
        <w:fldChar w:fldCharType="separate"/>
      </w:r>
      <w:r>
        <w:rPr>
          <w:rStyle w:val="51"/>
          <w:rFonts w:hint="default" w:eastAsiaTheme="minorEastAsia"/>
          <w:b w:val="0"/>
          <w:bCs/>
          <w:snapToGrid w:val="0"/>
          <w:color w:val="auto"/>
          <w:sz w:val="24"/>
          <w:lang w:val="zh-CN"/>
        </w:rPr>
        <w:t>五、环境保护措施监督检查清单</w:t>
      </w:r>
      <w:r>
        <w:rPr>
          <w:rFonts w:hint="default" w:eastAsiaTheme="minorEastAsia"/>
          <w:b w:val="0"/>
          <w:bCs/>
          <w:sz w:val="24"/>
        </w:rPr>
        <w:tab/>
      </w:r>
      <w:r>
        <w:rPr>
          <w:rFonts w:hint="default" w:eastAsiaTheme="minorEastAsia"/>
          <w:b w:val="0"/>
          <w:bCs/>
          <w:sz w:val="24"/>
        </w:rPr>
        <w:fldChar w:fldCharType="begin"/>
      </w:r>
      <w:r>
        <w:rPr>
          <w:rFonts w:hint="default" w:eastAsiaTheme="minorEastAsia"/>
          <w:b w:val="0"/>
          <w:bCs/>
          <w:sz w:val="24"/>
        </w:rPr>
        <w:instrText xml:space="preserve"> PAGEREF _Toc118974743 \h </w:instrText>
      </w:r>
      <w:r>
        <w:rPr>
          <w:rFonts w:hint="default" w:eastAsiaTheme="minorEastAsia"/>
          <w:b w:val="0"/>
          <w:bCs/>
          <w:sz w:val="24"/>
        </w:rPr>
        <w:fldChar w:fldCharType="separate"/>
      </w:r>
      <w:r>
        <w:rPr>
          <w:rFonts w:hint="default" w:eastAsiaTheme="minorEastAsia"/>
          <w:b w:val="0"/>
          <w:bCs/>
          <w:sz w:val="24"/>
        </w:rPr>
        <w:t>130</w:t>
      </w:r>
      <w:r>
        <w:rPr>
          <w:rFonts w:hint="default" w:eastAsiaTheme="minorEastAsia"/>
          <w:b w:val="0"/>
          <w:bCs/>
          <w:sz w:val="24"/>
        </w:rPr>
        <w:fldChar w:fldCharType="end"/>
      </w:r>
      <w:r>
        <w:rPr>
          <w:rFonts w:hint="default" w:eastAsiaTheme="minorEastAsia"/>
          <w:b w:val="0"/>
          <w:bCs/>
          <w:sz w:val="24"/>
        </w:rPr>
        <w:fldChar w:fldCharType="end"/>
      </w:r>
    </w:p>
    <w:p>
      <w:pPr>
        <w:pStyle w:val="30"/>
        <w:tabs>
          <w:tab w:val="right" w:leader="dot" w:pos="8834"/>
        </w:tabs>
        <w:rPr>
          <w:rFonts w:hint="default" w:eastAsiaTheme="minorEastAsia"/>
          <w:b w:val="0"/>
          <w:bCs/>
          <w:caps w:val="0"/>
          <w:sz w:val="24"/>
        </w:rPr>
      </w:pPr>
      <w:r>
        <w:fldChar w:fldCharType="begin"/>
      </w:r>
      <w:r>
        <w:instrText xml:space="preserve"> HYPERLINK \l "_Toc118974744" </w:instrText>
      </w:r>
      <w:r>
        <w:fldChar w:fldCharType="separate"/>
      </w:r>
      <w:r>
        <w:rPr>
          <w:rStyle w:val="51"/>
          <w:rFonts w:hint="default" w:eastAsiaTheme="minorEastAsia"/>
          <w:b w:val="0"/>
          <w:bCs/>
          <w:snapToGrid w:val="0"/>
          <w:color w:val="auto"/>
          <w:sz w:val="24"/>
          <w:lang w:val="zh-CN"/>
        </w:rPr>
        <w:t>六、结论</w:t>
      </w:r>
      <w:r>
        <w:rPr>
          <w:rFonts w:hint="default" w:eastAsiaTheme="minorEastAsia"/>
          <w:b w:val="0"/>
          <w:bCs/>
          <w:sz w:val="24"/>
        </w:rPr>
        <w:tab/>
      </w:r>
      <w:r>
        <w:rPr>
          <w:rFonts w:hint="default" w:eastAsiaTheme="minorEastAsia"/>
          <w:b w:val="0"/>
          <w:bCs/>
          <w:sz w:val="24"/>
        </w:rPr>
        <w:fldChar w:fldCharType="begin"/>
      </w:r>
      <w:r>
        <w:rPr>
          <w:rFonts w:hint="default" w:eastAsiaTheme="minorEastAsia"/>
          <w:b w:val="0"/>
          <w:bCs/>
          <w:sz w:val="24"/>
        </w:rPr>
        <w:instrText xml:space="preserve"> PAGEREF _Toc118974744 \h </w:instrText>
      </w:r>
      <w:r>
        <w:rPr>
          <w:rFonts w:hint="default" w:eastAsiaTheme="minorEastAsia"/>
          <w:b w:val="0"/>
          <w:bCs/>
          <w:sz w:val="24"/>
        </w:rPr>
        <w:fldChar w:fldCharType="separate"/>
      </w:r>
      <w:r>
        <w:rPr>
          <w:rFonts w:hint="default" w:eastAsiaTheme="minorEastAsia"/>
          <w:b w:val="0"/>
          <w:bCs/>
          <w:sz w:val="24"/>
        </w:rPr>
        <w:t>132</w:t>
      </w:r>
      <w:r>
        <w:rPr>
          <w:rFonts w:hint="default" w:eastAsiaTheme="minorEastAsia"/>
          <w:b w:val="0"/>
          <w:bCs/>
          <w:sz w:val="24"/>
        </w:rPr>
        <w:fldChar w:fldCharType="end"/>
      </w:r>
      <w:r>
        <w:rPr>
          <w:rFonts w:hint="default" w:eastAsiaTheme="minorEastAsia"/>
          <w:b w:val="0"/>
          <w:bCs/>
          <w:sz w:val="24"/>
        </w:rPr>
        <w:fldChar w:fldCharType="end"/>
      </w:r>
    </w:p>
    <w:p>
      <w:pPr>
        <w:rPr>
          <w:rFonts w:ascii="Times New Roman" w:hAnsi="Times New Roman" w:cs="Times New Roman"/>
          <w:caps/>
        </w:rPr>
      </w:pPr>
      <w:r>
        <w:rPr>
          <w:rFonts w:ascii="Times New Roman" w:hAnsi="Times New Roman" w:cs="Times New Roman"/>
          <w:caps/>
        </w:rPr>
        <w:fldChar w:fldCharType="end"/>
      </w: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ascii="Times New Roman" w:hAnsi="Times New Roman" w:cs="Times New Roman"/>
          <w:caps/>
        </w:rPr>
      </w:pPr>
    </w:p>
    <w:p>
      <w:pPr>
        <w:rPr>
          <w:rFonts w:cs="Times New Roman" w:asciiTheme="majorHAnsi" w:hAnsiTheme="majorHAnsi"/>
          <w:b/>
          <w:bCs/>
        </w:rPr>
      </w:pPr>
    </w:p>
    <w:p>
      <w:pPr>
        <w:rPr>
          <w:rFonts w:asciiTheme="majorHAnsi" w:hAnsiTheme="majorHAnsi"/>
          <w:b/>
          <w:bCs/>
        </w:rPr>
      </w:pPr>
      <w:r>
        <w:rPr>
          <w:rFonts w:cs="Times New Roman" w:asciiTheme="majorHAnsi" w:hAnsiTheme="majorHAnsi"/>
          <w:b/>
          <w:bCs/>
        </w:rPr>
        <w:t>附图：</w:t>
      </w:r>
    </w:p>
    <w:p>
      <w:pPr>
        <w:ind w:firstLine="480" w:firstLineChars="200"/>
        <w:rPr>
          <w:rFonts w:asciiTheme="majorHAnsi" w:hAnsiTheme="majorHAnsi"/>
        </w:rPr>
      </w:pPr>
      <w:r>
        <w:rPr>
          <w:rFonts w:hint="eastAsia" w:asciiTheme="majorHAnsi" w:hAnsiTheme="majorHAnsi"/>
        </w:rPr>
        <w:t>附图1</w:t>
      </w:r>
      <w:r>
        <w:rPr>
          <w:rFonts w:asciiTheme="majorHAnsi" w:hAnsiTheme="majorHAnsi"/>
        </w:rPr>
        <w:t xml:space="preserve"> </w:t>
      </w:r>
      <w:r>
        <w:rPr>
          <w:rFonts w:hint="eastAsia" w:asciiTheme="majorHAnsi" w:hAnsiTheme="majorHAnsi"/>
        </w:rPr>
        <w:t>项目地理位置图</w:t>
      </w:r>
    </w:p>
    <w:p>
      <w:pPr>
        <w:ind w:firstLine="480" w:firstLineChars="200"/>
        <w:rPr>
          <w:rFonts w:asciiTheme="majorHAnsi" w:hAnsiTheme="majorHAnsi"/>
        </w:rPr>
      </w:pPr>
      <w:r>
        <w:rPr>
          <w:rFonts w:hint="eastAsia" w:asciiTheme="majorHAnsi" w:hAnsiTheme="majorHAnsi"/>
        </w:rPr>
        <w:t>附图2</w:t>
      </w:r>
      <w:r>
        <w:rPr>
          <w:rFonts w:asciiTheme="majorHAnsi" w:hAnsiTheme="majorHAnsi"/>
        </w:rPr>
        <w:t xml:space="preserve"> </w:t>
      </w:r>
      <w:r>
        <w:rPr>
          <w:rFonts w:hint="eastAsia" w:asciiTheme="majorHAnsi" w:hAnsiTheme="majorHAnsi"/>
        </w:rPr>
        <w:t>宣汉县明月新城控制性详细规划污水工程规划图</w:t>
      </w:r>
    </w:p>
    <w:p>
      <w:pPr>
        <w:ind w:firstLine="480" w:firstLineChars="200"/>
        <w:rPr>
          <w:rFonts w:asciiTheme="majorHAnsi" w:hAnsiTheme="majorHAnsi"/>
        </w:rPr>
      </w:pPr>
      <w:r>
        <w:rPr>
          <w:rFonts w:hint="eastAsia" w:asciiTheme="majorHAnsi" w:hAnsiTheme="majorHAnsi"/>
        </w:rPr>
        <w:t>附图</w:t>
      </w:r>
      <w:r>
        <w:rPr>
          <w:rFonts w:asciiTheme="majorHAnsi" w:hAnsiTheme="majorHAnsi"/>
        </w:rPr>
        <w:t xml:space="preserve">3 </w:t>
      </w:r>
      <w:r>
        <w:rPr>
          <w:rFonts w:hint="eastAsia" w:asciiTheme="majorHAnsi" w:hAnsiTheme="majorHAnsi"/>
        </w:rPr>
        <w:t>项目所在水源地保护区划分图</w:t>
      </w:r>
    </w:p>
    <w:p>
      <w:pPr>
        <w:ind w:firstLine="480" w:firstLineChars="200"/>
        <w:rPr>
          <w:rFonts w:asciiTheme="majorHAnsi" w:hAnsiTheme="majorHAnsi"/>
        </w:rPr>
      </w:pPr>
      <w:r>
        <w:rPr>
          <w:rFonts w:hint="eastAsia" w:asciiTheme="majorHAnsi" w:hAnsiTheme="majorHAnsi"/>
        </w:rPr>
        <w:t>附图</w:t>
      </w:r>
      <w:r>
        <w:rPr>
          <w:rFonts w:asciiTheme="majorHAnsi" w:hAnsiTheme="majorHAnsi"/>
        </w:rPr>
        <w:t xml:space="preserve">4 </w:t>
      </w:r>
      <w:r>
        <w:rPr>
          <w:rFonts w:hint="eastAsia" w:asciiTheme="majorHAnsi" w:hAnsiTheme="majorHAnsi"/>
        </w:rPr>
        <w:t>项目环境保护目标分布图</w:t>
      </w:r>
    </w:p>
    <w:p>
      <w:pPr>
        <w:ind w:firstLine="480" w:firstLineChars="200"/>
        <w:rPr>
          <w:rFonts w:asciiTheme="majorHAnsi" w:hAnsiTheme="majorHAnsi"/>
        </w:rPr>
      </w:pPr>
      <w:r>
        <w:rPr>
          <w:rFonts w:hint="eastAsia" w:asciiTheme="majorHAnsi" w:hAnsiTheme="majorHAnsi"/>
        </w:rPr>
        <w:t>附图</w:t>
      </w:r>
      <w:r>
        <w:rPr>
          <w:rFonts w:asciiTheme="majorHAnsi" w:hAnsiTheme="majorHAnsi"/>
        </w:rPr>
        <w:t xml:space="preserve">5 </w:t>
      </w:r>
      <w:r>
        <w:rPr>
          <w:rFonts w:hint="eastAsia" w:asciiTheme="majorHAnsi" w:hAnsiTheme="majorHAnsi"/>
        </w:rPr>
        <w:t>项目污水处理厂总平面布置示意图</w:t>
      </w:r>
    </w:p>
    <w:p>
      <w:pPr>
        <w:ind w:firstLine="480" w:firstLineChars="200"/>
        <w:rPr>
          <w:rFonts w:asciiTheme="majorHAnsi" w:hAnsiTheme="majorHAnsi"/>
        </w:rPr>
      </w:pPr>
      <w:r>
        <w:rPr>
          <w:rFonts w:hint="eastAsia" w:asciiTheme="majorHAnsi" w:hAnsiTheme="majorHAnsi"/>
        </w:rPr>
        <w:t>附图</w:t>
      </w:r>
      <w:r>
        <w:rPr>
          <w:rFonts w:asciiTheme="majorHAnsi" w:hAnsiTheme="majorHAnsi"/>
        </w:rPr>
        <w:t xml:space="preserve">6 </w:t>
      </w:r>
      <w:r>
        <w:rPr>
          <w:rFonts w:hint="eastAsia" w:asciiTheme="majorHAnsi" w:hAnsiTheme="majorHAnsi"/>
        </w:rPr>
        <w:t>项目污水收集管网总平面图</w:t>
      </w:r>
    </w:p>
    <w:p>
      <w:pPr>
        <w:ind w:firstLine="480" w:firstLineChars="200"/>
        <w:rPr>
          <w:rFonts w:asciiTheme="majorHAnsi" w:hAnsiTheme="majorHAnsi"/>
        </w:rPr>
      </w:pPr>
      <w:r>
        <w:rPr>
          <w:rFonts w:hint="eastAsia" w:asciiTheme="majorHAnsi" w:hAnsiTheme="majorHAnsi"/>
        </w:rPr>
        <w:t>附图</w:t>
      </w:r>
      <w:r>
        <w:rPr>
          <w:rFonts w:asciiTheme="majorHAnsi" w:hAnsiTheme="majorHAnsi"/>
        </w:rPr>
        <w:t xml:space="preserve">7 </w:t>
      </w:r>
      <w:r>
        <w:rPr>
          <w:rFonts w:hint="eastAsia" w:asciiTheme="majorHAnsi" w:hAnsiTheme="majorHAnsi"/>
        </w:rPr>
        <w:t>项目污水处理厂分区防渗示意图</w:t>
      </w:r>
    </w:p>
    <w:p>
      <w:pPr>
        <w:ind w:firstLine="480" w:firstLineChars="200"/>
        <w:rPr>
          <w:rFonts w:asciiTheme="majorHAnsi" w:hAnsiTheme="majorHAnsi"/>
        </w:rPr>
      </w:pPr>
      <w:r>
        <w:rPr>
          <w:rFonts w:hint="eastAsia" w:asciiTheme="majorHAnsi" w:hAnsiTheme="majorHAnsi"/>
        </w:rPr>
        <w:t>附图</w:t>
      </w:r>
      <w:r>
        <w:rPr>
          <w:rFonts w:asciiTheme="majorHAnsi" w:hAnsiTheme="majorHAnsi"/>
        </w:rPr>
        <w:t xml:space="preserve">8 </w:t>
      </w:r>
      <w:r>
        <w:rPr>
          <w:rFonts w:hint="eastAsia" w:asciiTheme="majorHAnsi" w:hAnsiTheme="majorHAnsi"/>
        </w:rPr>
        <w:t>项目污水处理厂卫生防护距离图</w:t>
      </w:r>
    </w:p>
    <w:p>
      <w:pPr>
        <w:ind w:firstLine="480" w:firstLineChars="200"/>
        <w:rPr>
          <w:rFonts w:asciiTheme="majorHAnsi" w:hAnsiTheme="majorHAnsi"/>
        </w:rPr>
      </w:pPr>
      <w:r>
        <w:rPr>
          <w:rFonts w:hint="eastAsia" w:asciiTheme="majorHAnsi" w:hAnsiTheme="majorHAnsi"/>
        </w:rPr>
        <w:t>附图</w:t>
      </w:r>
      <w:r>
        <w:rPr>
          <w:rFonts w:asciiTheme="majorHAnsi" w:hAnsiTheme="majorHAnsi"/>
        </w:rPr>
        <w:t xml:space="preserve">9 </w:t>
      </w:r>
      <w:r>
        <w:rPr>
          <w:rFonts w:hint="eastAsia" w:asciiTheme="majorHAnsi" w:hAnsiTheme="majorHAnsi"/>
        </w:rPr>
        <w:t>项目尾水输送管网走向示意图</w:t>
      </w:r>
    </w:p>
    <w:p>
      <w:pPr>
        <w:ind w:firstLine="480" w:firstLineChars="200"/>
        <w:rPr>
          <w:rFonts w:asciiTheme="majorHAnsi" w:hAnsiTheme="majorHAnsi"/>
        </w:rPr>
      </w:pPr>
      <w:r>
        <w:rPr>
          <w:rFonts w:hint="eastAsia" w:asciiTheme="majorHAnsi" w:hAnsiTheme="majorHAnsi"/>
        </w:rPr>
        <w:t>附图</w:t>
      </w:r>
      <w:r>
        <w:rPr>
          <w:rFonts w:asciiTheme="majorHAnsi" w:hAnsiTheme="majorHAnsi"/>
        </w:rPr>
        <w:t xml:space="preserve">10 </w:t>
      </w:r>
      <w:r>
        <w:rPr>
          <w:rFonts w:hint="eastAsia" w:asciiTheme="majorHAnsi" w:hAnsiTheme="majorHAnsi"/>
        </w:rPr>
        <w:t>项目监测布点示意图</w:t>
      </w:r>
    </w:p>
    <w:p>
      <w:pPr>
        <w:ind w:firstLine="480" w:firstLineChars="200"/>
        <w:rPr>
          <w:rFonts w:asciiTheme="majorHAnsi" w:hAnsiTheme="majorHAnsi"/>
        </w:rPr>
      </w:pPr>
    </w:p>
    <w:p>
      <w:pPr>
        <w:rPr>
          <w:rFonts w:asciiTheme="majorHAnsi" w:hAnsiTheme="majorHAnsi"/>
          <w:b/>
          <w:bCs/>
        </w:rPr>
      </w:pPr>
      <w:r>
        <w:rPr>
          <w:rFonts w:hint="eastAsia" w:asciiTheme="majorHAnsi" w:hAnsiTheme="majorHAnsi"/>
          <w:b/>
          <w:bCs/>
        </w:rPr>
        <w:t>附件</w:t>
      </w:r>
    </w:p>
    <w:p>
      <w:pPr>
        <w:ind w:firstLine="480" w:firstLineChars="200"/>
        <w:rPr>
          <w:rFonts w:asciiTheme="majorHAnsi" w:hAnsiTheme="majorHAnsi"/>
        </w:rPr>
      </w:pPr>
      <w:r>
        <w:rPr>
          <w:rFonts w:hint="eastAsia" w:asciiTheme="majorHAnsi" w:hAnsiTheme="majorHAnsi"/>
        </w:rPr>
        <w:t>附件1</w:t>
      </w:r>
      <w:r>
        <w:rPr>
          <w:rFonts w:asciiTheme="majorHAnsi" w:hAnsiTheme="majorHAnsi"/>
        </w:rPr>
        <w:t xml:space="preserve"> </w:t>
      </w:r>
      <w:r>
        <w:rPr>
          <w:rFonts w:hint="eastAsia" w:asciiTheme="majorHAnsi" w:hAnsiTheme="majorHAnsi"/>
        </w:rPr>
        <w:t>委托书</w:t>
      </w:r>
    </w:p>
    <w:p>
      <w:pPr>
        <w:ind w:firstLine="480" w:firstLineChars="200"/>
        <w:rPr>
          <w:rFonts w:asciiTheme="majorHAnsi" w:hAnsiTheme="majorHAnsi"/>
        </w:rPr>
      </w:pPr>
      <w:r>
        <w:rPr>
          <w:rFonts w:hint="eastAsia" w:asciiTheme="majorHAnsi" w:hAnsiTheme="majorHAnsi"/>
        </w:rPr>
        <w:t>附件2</w:t>
      </w:r>
      <w:r>
        <w:rPr>
          <w:rFonts w:asciiTheme="majorHAnsi" w:hAnsiTheme="majorHAnsi"/>
        </w:rPr>
        <w:t xml:space="preserve"> </w:t>
      </w:r>
      <w:r>
        <w:rPr>
          <w:rFonts w:hint="eastAsia" w:asciiTheme="majorHAnsi" w:hAnsiTheme="majorHAnsi"/>
        </w:rPr>
        <w:t>宣汉县发展和改革局关于《宣汉县城（明月坝）污水处理厂建设项目》可行性研究报告的批复（宣发改审【2022】17号）</w:t>
      </w:r>
    </w:p>
    <w:p>
      <w:pPr>
        <w:ind w:firstLine="480" w:firstLineChars="200"/>
        <w:rPr>
          <w:rFonts w:asciiTheme="majorHAnsi" w:hAnsiTheme="majorHAnsi"/>
        </w:rPr>
      </w:pPr>
      <w:r>
        <w:rPr>
          <w:rFonts w:hint="eastAsia" w:asciiTheme="majorHAnsi" w:hAnsiTheme="majorHAnsi"/>
        </w:rPr>
        <w:t>附件3</w:t>
      </w:r>
      <w:r>
        <w:rPr>
          <w:rFonts w:asciiTheme="majorHAnsi" w:hAnsiTheme="majorHAnsi"/>
        </w:rPr>
        <w:t xml:space="preserve"> </w:t>
      </w:r>
      <w:r>
        <w:rPr>
          <w:rFonts w:hint="eastAsia" w:asciiTheme="majorHAnsi" w:hAnsiTheme="majorHAnsi"/>
        </w:rPr>
        <w:t>营业执照</w:t>
      </w:r>
    </w:p>
    <w:p>
      <w:pPr>
        <w:ind w:firstLine="480" w:firstLineChars="200"/>
        <w:rPr>
          <w:rFonts w:ascii="Times New Roman" w:hAnsi="Times New Roman" w:eastAsia="宋体" w:cs="Times New Roman"/>
        </w:rPr>
      </w:pPr>
      <w:r>
        <w:rPr>
          <w:rFonts w:hint="eastAsia" w:asciiTheme="majorHAnsi" w:hAnsiTheme="majorHAnsi"/>
        </w:rPr>
        <w:t>附件4</w:t>
      </w:r>
      <w:r>
        <w:rPr>
          <w:rFonts w:asciiTheme="majorHAnsi" w:hAnsiTheme="majorHAnsi"/>
        </w:rPr>
        <w:t xml:space="preserve"> </w:t>
      </w:r>
      <w:r>
        <w:rPr>
          <w:rFonts w:hint="eastAsia" w:asciiTheme="majorHAnsi" w:hAnsiTheme="majorHAnsi"/>
        </w:rPr>
        <w:t>法人身</w:t>
      </w:r>
      <w:r>
        <w:rPr>
          <w:rFonts w:ascii="Times New Roman" w:hAnsi="Times New Roman" w:eastAsia="宋体" w:cs="Times New Roman"/>
        </w:rPr>
        <w:t>份证复印件</w:t>
      </w:r>
    </w:p>
    <w:p>
      <w:pPr>
        <w:ind w:firstLine="480" w:firstLineChars="200"/>
        <w:rPr>
          <w:rFonts w:ascii="Times New Roman" w:hAnsi="Times New Roman" w:eastAsia="宋体" w:cs="Times New Roman"/>
        </w:rPr>
      </w:pPr>
      <w:r>
        <w:rPr>
          <w:rFonts w:ascii="Times New Roman" w:hAnsi="Times New Roman" w:eastAsia="宋体" w:cs="Times New Roman"/>
        </w:rPr>
        <w:t>附件5 建设项目用地预审与选址意见书</w:t>
      </w:r>
    </w:p>
    <w:p>
      <w:pPr>
        <w:ind w:firstLine="480" w:firstLineChars="200"/>
        <w:rPr>
          <w:rFonts w:ascii="Times New Roman" w:hAnsi="Times New Roman" w:eastAsia="宋体" w:cs="Times New Roman"/>
        </w:rPr>
      </w:pPr>
      <w:r>
        <w:rPr>
          <w:rFonts w:ascii="Times New Roman" w:hAnsi="Times New Roman" w:eastAsia="宋体" w:cs="Times New Roman"/>
        </w:rPr>
        <w:t>附件6-1 环境质量现状监测报告（</w:t>
      </w:r>
      <w:r>
        <w:rPr>
          <w:rFonts w:hint="eastAsia" w:ascii="Times New Roman" w:hAnsi="Times New Roman" w:eastAsia="宋体" w:cs="Times New Roman"/>
        </w:rPr>
        <w:t>2</w:t>
      </w:r>
      <w:r>
        <w:rPr>
          <w:rFonts w:ascii="Times New Roman" w:hAnsi="Times New Roman" w:eastAsia="宋体" w:cs="Times New Roman"/>
        </w:rPr>
        <w:t>#</w:t>
      </w:r>
      <w:r>
        <w:rPr>
          <w:rFonts w:hint="eastAsia" w:ascii="Times New Roman" w:hAnsi="Times New Roman" w:eastAsia="宋体" w:cs="Times New Roman"/>
        </w:rPr>
        <w:t>、3</w:t>
      </w:r>
      <w:r>
        <w:rPr>
          <w:rFonts w:ascii="Times New Roman" w:hAnsi="Times New Roman" w:eastAsia="宋体" w:cs="Times New Roman"/>
        </w:rPr>
        <w:t>#地表水</w:t>
      </w:r>
      <w:r>
        <w:rPr>
          <w:rFonts w:hint="eastAsia" w:ascii="Times New Roman" w:hAnsi="Times New Roman" w:eastAsia="宋体" w:cs="Times New Roman"/>
        </w:rPr>
        <w:t>断面</w:t>
      </w:r>
      <w:r>
        <w:rPr>
          <w:rFonts w:ascii="Times New Roman" w:hAnsi="Times New Roman" w:eastAsia="宋体" w:cs="Times New Roman"/>
        </w:rPr>
        <w:t>、地下水、土壤）</w:t>
      </w:r>
    </w:p>
    <w:p>
      <w:pPr>
        <w:ind w:firstLine="480" w:firstLineChars="200"/>
        <w:rPr>
          <w:rFonts w:ascii="Times New Roman" w:hAnsi="Times New Roman" w:eastAsia="宋体" w:cs="Times New Roman"/>
        </w:rPr>
      </w:pPr>
      <w:r>
        <w:rPr>
          <w:rFonts w:ascii="Times New Roman" w:hAnsi="Times New Roman" w:eastAsia="宋体" w:cs="Times New Roman"/>
        </w:rPr>
        <w:t>附件6-2 环境质量现状监测报告（</w:t>
      </w:r>
      <w:r>
        <w:rPr>
          <w:rFonts w:hint="eastAsia" w:ascii="Times New Roman" w:hAnsi="Times New Roman" w:eastAsia="宋体" w:cs="Times New Roman"/>
        </w:rPr>
        <w:t>1</w:t>
      </w:r>
      <w:r>
        <w:rPr>
          <w:rFonts w:ascii="Times New Roman" w:hAnsi="Times New Roman" w:eastAsia="宋体" w:cs="Times New Roman"/>
        </w:rPr>
        <w:t>#地表水</w:t>
      </w:r>
      <w:r>
        <w:rPr>
          <w:rFonts w:hint="eastAsia" w:ascii="Times New Roman" w:hAnsi="Times New Roman" w:eastAsia="宋体" w:cs="Times New Roman"/>
        </w:rPr>
        <w:t>断面</w:t>
      </w:r>
      <w:r>
        <w:rPr>
          <w:rFonts w:ascii="Times New Roman" w:hAnsi="Times New Roman" w:eastAsia="宋体" w:cs="Times New Roman"/>
        </w:rPr>
        <w:t>、底泥）</w:t>
      </w:r>
    </w:p>
    <w:p>
      <w:pPr>
        <w:ind w:firstLine="480" w:firstLineChars="200"/>
        <w:sectPr>
          <w:footerReference r:id="rId5" w:type="default"/>
          <w:pgSz w:w="11906" w:h="16838"/>
          <w:pgMar w:top="1701" w:right="1531" w:bottom="1701" w:left="1531" w:header="851" w:footer="992" w:gutter="0"/>
          <w:pgBorders>
            <w:top w:val="none" w:sz="0" w:space="0"/>
            <w:left w:val="none" w:sz="0" w:space="0"/>
            <w:bottom w:val="none" w:sz="0" w:space="0"/>
            <w:right w:val="none" w:sz="0" w:space="0"/>
          </w:pgBorders>
          <w:pgNumType w:start="1"/>
          <w:cols w:space="425" w:num="1"/>
          <w:docGrid w:type="lines" w:linePitch="326" w:charSpace="0"/>
        </w:sectPr>
      </w:pPr>
      <w:r>
        <w:rPr>
          <w:rFonts w:ascii="Times New Roman" w:hAnsi="Times New Roman" w:eastAsia="宋体" w:cs="Times New Roman"/>
        </w:rPr>
        <w:t>附件7 关于宣汉县城（明月坝）污水处理厂建设项目污水处理规模的说明</w:t>
      </w:r>
      <w:r>
        <w:br w:type="page"/>
      </w:r>
    </w:p>
    <w:p>
      <w:pPr>
        <w:pStyle w:val="40"/>
        <w:jc w:val="center"/>
        <w:outlineLvl w:val="0"/>
        <w:rPr>
          <w:rFonts w:ascii="黑体" w:hAnsi="黑体" w:eastAsia="黑体"/>
          <w:snapToGrid w:val="0"/>
          <w:sz w:val="30"/>
          <w:szCs w:val="30"/>
          <w:lang w:val="zh-CN"/>
        </w:rPr>
      </w:pPr>
      <w:bookmarkStart w:id="4" w:name="_Toc118974719"/>
      <w:bookmarkStart w:id="5" w:name="_Toc17493"/>
      <w:bookmarkStart w:id="6" w:name="_Toc25695"/>
      <w:r>
        <w:rPr>
          <w:rFonts w:ascii="黑体" w:hAnsi="黑体" w:eastAsia="黑体"/>
          <w:snapToGrid w:val="0"/>
          <w:sz w:val="30"/>
          <w:szCs w:val="30"/>
          <w:lang w:val="zh-CN"/>
        </w:rPr>
        <w:t>一、建设项目基本情况</w:t>
      </w:r>
      <w:bookmarkEnd w:id="4"/>
      <w:bookmarkEnd w:id="5"/>
      <w:bookmarkEnd w:id="6"/>
    </w:p>
    <w:tbl>
      <w:tblPr>
        <w:tblStyle w:val="4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127"/>
        <w:gridCol w:w="1559"/>
        <w:gridCol w:w="3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val="0"/>
              <w:adjustRightInd w:val="0"/>
              <w:snapToGrid w:val="0"/>
              <w:spacing w:line="240" w:lineRule="auto"/>
              <w:jc w:val="center"/>
              <w:rPr>
                <w:rFonts w:hint="default" w:ascii="Times New Roman" w:hAnsi="Times New Roman" w:cs="Times New Roman"/>
                <w:b/>
                <w:bCs/>
                <w:kern w:val="0"/>
                <w:szCs w:val="20"/>
              </w:rPr>
            </w:pPr>
            <w:r>
              <w:rPr>
                <w:rFonts w:hint="default" w:ascii="Times New Roman" w:hAnsi="Times New Roman" w:cs="Times New Roman"/>
                <w:b/>
                <w:bCs/>
                <w:kern w:val="0"/>
                <w:szCs w:val="20"/>
              </w:rPr>
              <w:t>建设项目名称</w:t>
            </w:r>
          </w:p>
        </w:tc>
        <w:tc>
          <w:tcPr>
            <w:tcW w:w="7364" w:type="dxa"/>
            <w:gridSpan w:val="3"/>
            <w:vAlign w:val="center"/>
          </w:tcPr>
          <w:p>
            <w:pPr>
              <w:widowControl w:val="0"/>
              <w:jc w:val="center"/>
              <w:rPr>
                <w:rFonts w:hint="default" w:ascii="Times New Roman" w:hAnsi="Times New Roman" w:cs="Times New Roman"/>
                <w:kern w:val="0"/>
                <w:szCs w:val="20"/>
              </w:rPr>
            </w:pPr>
            <w:r>
              <w:rPr>
                <w:rFonts w:hint="default" w:ascii="Times New Roman" w:hAnsi="Times New Roman" w:cs="Times New Roman"/>
              </w:rPr>
              <w:t>宣汉县城（明月坝）污水处理厂建设项目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val="0"/>
              <w:adjustRightInd w:val="0"/>
              <w:snapToGrid w:val="0"/>
              <w:spacing w:line="240" w:lineRule="auto"/>
              <w:jc w:val="center"/>
              <w:rPr>
                <w:rFonts w:hint="default" w:ascii="Times New Roman" w:hAnsi="Times New Roman" w:cs="Times New Roman"/>
                <w:b/>
                <w:bCs/>
                <w:kern w:val="0"/>
                <w:szCs w:val="20"/>
              </w:rPr>
            </w:pPr>
            <w:r>
              <w:rPr>
                <w:rFonts w:hint="default" w:ascii="Times New Roman" w:hAnsi="Times New Roman" w:cs="Times New Roman"/>
                <w:b/>
                <w:bCs/>
                <w:kern w:val="0"/>
                <w:szCs w:val="20"/>
              </w:rPr>
              <w:t>项目代码</w:t>
            </w:r>
          </w:p>
        </w:tc>
        <w:tc>
          <w:tcPr>
            <w:tcW w:w="7364" w:type="dxa"/>
            <w:gridSpan w:val="3"/>
            <w:vAlign w:val="center"/>
          </w:tcPr>
          <w:p>
            <w:pPr>
              <w:widowControl w:val="0"/>
              <w:jc w:val="center"/>
              <w:rPr>
                <w:rFonts w:hint="default" w:ascii="Times New Roman" w:hAnsi="Times New Roman" w:cs="Times New Roman"/>
                <w:kern w:val="0"/>
                <w:szCs w:val="20"/>
              </w:rPr>
            </w:pPr>
            <w:r>
              <w:rPr>
                <w:rFonts w:hint="default" w:ascii="Times New Roman" w:hAnsi="Times New Roman" w:cs="Times New Roman"/>
              </w:rPr>
              <w:t>2201-511722-17-01-660778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696" w:type="dxa"/>
            <w:vAlign w:val="center"/>
          </w:tcPr>
          <w:p>
            <w:pPr>
              <w:widowControl w:val="0"/>
              <w:adjustRightInd w:val="0"/>
              <w:snapToGrid w:val="0"/>
              <w:spacing w:line="240" w:lineRule="auto"/>
              <w:jc w:val="center"/>
              <w:rPr>
                <w:rFonts w:hint="default" w:ascii="Times New Roman" w:hAnsi="Times New Roman" w:cs="Times New Roman"/>
                <w:b/>
                <w:bCs/>
                <w:kern w:val="0"/>
                <w:szCs w:val="20"/>
              </w:rPr>
            </w:pPr>
            <w:r>
              <w:rPr>
                <w:rFonts w:hint="default" w:ascii="Times New Roman" w:hAnsi="Times New Roman" w:cs="Times New Roman"/>
                <w:b/>
                <w:bCs/>
                <w:kern w:val="0"/>
                <w:szCs w:val="20"/>
              </w:rPr>
              <w:t>建设单位联系人</w:t>
            </w:r>
          </w:p>
        </w:tc>
        <w:tc>
          <w:tcPr>
            <w:tcW w:w="2127" w:type="dxa"/>
            <w:vAlign w:val="center"/>
          </w:tcPr>
          <w:p>
            <w:pPr>
              <w:widowControl w:val="0"/>
              <w:spacing w:line="240" w:lineRule="auto"/>
              <w:jc w:val="center"/>
              <w:rPr>
                <w:rFonts w:hint="default" w:ascii="Times New Roman" w:hAnsi="Times New Roman" w:cs="Times New Roman" w:eastAsiaTheme="minorEastAsia"/>
                <w:kern w:val="0"/>
                <w:szCs w:val="20"/>
                <w:lang w:val="en-US" w:eastAsia="zh-CN"/>
              </w:rPr>
            </w:pPr>
            <w:r>
              <w:rPr>
                <w:rFonts w:hint="eastAsia" w:ascii="Times New Roman" w:hAnsi="Times New Roman" w:cs="Times New Roman"/>
                <w:kern w:val="0"/>
                <w:szCs w:val="20"/>
                <w:lang w:val="en-US" w:eastAsia="zh-CN"/>
              </w:rPr>
              <w:t>***</w:t>
            </w:r>
          </w:p>
        </w:tc>
        <w:tc>
          <w:tcPr>
            <w:tcW w:w="1559" w:type="dxa"/>
            <w:vAlign w:val="center"/>
          </w:tcPr>
          <w:p>
            <w:pPr>
              <w:widowControl w:val="0"/>
              <w:spacing w:line="240" w:lineRule="auto"/>
              <w:jc w:val="center"/>
              <w:rPr>
                <w:rFonts w:hint="default" w:ascii="Times New Roman" w:hAnsi="Times New Roman" w:cs="Times New Roman"/>
                <w:kern w:val="0"/>
                <w:szCs w:val="20"/>
              </w:rPr>
            </w:pPr>
            <w:r>
              <w:rPr>
                <w:rFonts w:hint="default" w:ascii="Times New Roman" w:hAnsi="Times New Roman" w:cs="Times New Roman"/>
                <w:kern w:val="0"/>
                <w:szCs w:val="20"/>
              </w:rPr>
              <w:t>联系方式</w:t>
            </w:r>
          </w:p>
        </w:tc>
        <w:tc>
          <w:tcPr>
            <w:tcW w:w="3678" w:type="dxa"/>
            <w:vAlign w:val="center"/>
          </w:tcPr>
          <w:p>
            <w:pPr>
              <w:widowControl w:val="0"/>
              <w:jc w:val="center"/>
              <w:rPr>
                <w:rFonts w:hint="default" w:ascii="Times New Roman" w:hAnsi="Times New Roman" w:cs="Times New Roman"/>
                <w:kern w:val="0"/>
                <w:szCs w:val="20"/>
              </w:rPr>
            </w:pPr>
            <w:r>
              <w:rPr>
                <w:rFonts w:hint="default" w:ascii="Times New Roman" w:hAnsi="Times New Roman" w:cs="Times New Roman"/>
              </w:rPr>
              <w:t>159</w:t>
            </w:r>
            <w:r>
              <w:rPr>
                <w:rFonts w:hint="eastAsia" w:ascii="Times New Roman" w:hAnsi="Times New Roman" w:cs="Times New Roman"/>
                <w:lang w:val="en-US" w:eastAsia="zh-CN"/>
              </w:rPr>
              <w:t>****</w:t>
            </w:r>
            <w:r>
              <w:rPr>
                <w:rFonts w:hint="default" w:ascii="Times New Roman" w:hAnsi="Times New Roman" w:cs="Times New Roman"/>
              </w:rPr>
              <w:t>2255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val="0"/>
              <w:adjustRightInd w:val="0"/>
              <w:snapToGrid w:val="0"/>
              <w:spacing w:line="240" w:lineRule="auto"/>
              <w:jc w:val="center"/>
              <w:rPr>
                <w:rFonts w:hint="default" w:ascii="Times New Roman" w:hAnsi="Times New Roman" w:cs="Times New Roman"/>
                <w:b/>
                <w:bCs/>
                <w:kern w:val="0"/>
                <w:szCs w:val="20"/>
              </w:rPr>
            </w:pPr>
            <w:r>
              <w:rPr>
                <w:rFonts w:hint="default" w:ascii="Times New Roman" w:hAnsi="Times New Roman" w:cs="Times New Roman"/>
                <w:b/>
                <w:bCs/>
                <w:kern w:val="0"/>
                <w:szCs w:val="20"/>
              </w:rPr>
              <w:t>建设地点</w:t>
            </w:r>
          </w:p>
        </w:tc>
        <w:tc>
          <w:tcPr>
            <w:tcW w:w="7364" w:type="dxa"/>
            <w:gridSpan w:val="3"/>
            <w:vAlign w:val="center"/>
          </w:tcPr>
          <w:p>
            <w:pPr>
              <w:widowControl w:val="0"/>
              <w:jc w:val="center"/>
              <w:rPr>
                <w:rFonts w:hint="default" w:ascii="Times New Roman" w:hAnsi="Times New Roman" w:cs="Times New Roman"/>
                <w:kern w:val="0"/>
                <w:szCs w:val="20"/>
              </w:rPr>
            </w:pPr>
            <w:r>
              <w:rPr>
                <w:rFonts w:hint="default" w:ascii="Times New Roman" w:hAnsi="Times New Roman" w:cs="Times New Roman"/>
              </w:rPr>
              <w:t>宣汉县明月新城（宣汉县蒲江街道明月社区）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val="0"/>
              <w:adjustRightInd w:val="0"/>
              <w:snapToGrid w:val="0"/>
              <w:spacing w:line="240" w:lineRule="auto"/>
              <w:jc w:val="center"/>
              <w:rPr>
                <w:rFonts w:hint="default" w:ascii="Times New Roman" w:hAnsi="Times New Roman" w:cs="Times New Roman"/>
                <w:b/>
                <w:bCs/>
                <w:kern w:val="0"/>
                <w:szCs w:val="20"/>
              </w:rPr>
            </w:pPr>
            <w:r>
              <w:rPr>
                <w:rFonts w:hint="default" w:ascii="Times New Roman" w:hAnsi="Times New Roman" w:cs="Times New Roman"/>
                <w:b/>
                <w:bCs/>
                <w:kern w:val="0"/>
                <w:szCs w:val="20"/>
              </w:rPr>
              <w:t>地理坐标</w:t>
            </w:r>
          </w:p>
        </w:tc>
        <w:tc>
          <w:tcPr>
            <w:tcW w:w="7364" w:type="dxa"/>
            <w:gridSpan w:val="3"/>
            <w:vAlign w:val="center"/>
          </w:tcPr>
          <w:p>
            <w:pPr>
              <w:widowControl w:val="0"/>
              <w:jc w:val="center"/>
              <w:rPr>
                <w:rFonts w:hint="default" w:ascii="Times New Roman" w:hAnsi="Times New Roman" w:cs="Times New Roman"/>
                <w:kern w:val="0"/>
                <w:szCs w:val="20"/>
              </w:rPr>
            </w:pPr>
            <w:r>
              <w:rPr>
                <w:rFonts w:hint="default" w:ascii="Times New Roman" w:hAnsi="Times New Roman" w:cs="Times New Roman"/>
                <w:kern w:val="0"/>
                <w:szCs w:val="20"/>
              </w:rPr>
              <w:t>（</w:t>
            </w:r>
            <w:r>
              <w:rPr>
                <w:rFonts w:hint="default" w:ascii="Times New Roman" w:hAnsi="Times New Roman" w:cs="Times New Roman"/>
                <w:kern w:val="0"/>
                <w:szCs w:val="20"/>
                <w:u w:val="single"/>
              </w:rPr>
              <w:t>107</w:t>
            </w:r>
            <w:r>
              <w:rPr>
                <w:rFonts w:hint="default" w:ascii="Times New Roman" w:hAnsi="Times New Roman" w:cs="Times New Roman"/>
                <w:kern w:val="0"/>
                <w:szCs w:val="20"/>
              </w:rPr>
              <w:t>度</w:t>
            </w:r>
            <w:r>
              <w:rPr>
                <w:rFonts w:hint="default" w:ascii="Times New Roman" w:hAnsi="Times New Roman" w:cs="Times New Roman"/>
                <w:kern w:val="0"/>
                <w:szCs w:val="20"/>
                <w:u w:val="single"/>
              </w:rPr>
              <w:t>44</w:t>
            </w:r>
            <w:r>
              <w:rPr>
                <w:rFonts w:hint="default" w:ascii="Times New Roman" w:hAnsi="Times New Roman" w:cs="Times New Roman"/>
                <w:kern w:val="0"/>
                <w:szCs w:val="20"/>
              </w:rPr>
              <w:t>分</w:t>
            </w:r>
            <w:r>
              <w:rPr>
                <w:rFonts w:hint="default" w:ascii="Times New Roman" w:hAnsi="Times New Roman" w:cs="Times New Roman"/>
                <w:kern w:val="0"/>
                <w:szCs w:val="20"/>
                <w:u w:val="single"/>
              </w:rPr>
              <w:t>36.657</w:t>
            </w:r>
            <w:r>
              <w:rPr>
                <w:rFonts w:hint="default" w:ascii="Times New Roman" w:hAnsi="Times New Roman" w:cs="Times New Roman"/>
                <w:kern w:val="0"/>
                <w:szCs w:val="20"/>
              </w:rPr>
              <w:t>秒，</w:t>
            </w:r>
            <w:r>
              <w:rPr>
                <w:rFonts w:hint="default" w:ascii="Times New Roman" w:hAnsi="Times New Roman" w:cs="Times New Roman"/>
                <w:kern w:val="0"/>
                <w:szCs w:val="20"/>
                <w:u w:val="single"/>
              </w:rPr>
              <w:t>31</w:t>
            </w:r>
            <w:r>
              <w:rPr>
                <w:rFonts w:hint="default" w:ascii="Times New Roman" w:hAnsi="Times New Roman" w:cs="Times New Roman"/>
                <w:kern w:val="0"/>
                <w:szCs w:val="20"/>
              </w:rPr>
              <w:t>度</w:t>
            </w:r>
            <w:r>
              <w:rPr>
                <w:rFonts w:hint="default" w:ascii="Times New Roman" w:hAnsi="Times New Roman" w:cs="Times New Roman"/>
                <w:kern w:val="0"/>
                <w:szCs w:val="20"/>
                <w:u w:val="single"/>
              </w:rPr>
              <w:t>21</w:t>
            </w:r>
            <w:r>
              <w:rPr>
                <w:rFonts w:hint="default" w:ascii="Times New Roman" w:hAnsi="Times New Roman" w:cs="Times New Roman"/>
                <w:kern w:val="0"/>
                <w:szCs w:val="20"/>
              </w:rPr>
              <w:t>分</w:t>
            </w:r>
            <w:r>
              <w:rPr>
                <w:rFonts w:hint="default" w:ascii="Times New Roman" w:hAnsi="Times New Roman" w:cs="Times New Roman"/>
                <w:kern w:val="0"/>
                <w:szCs w:val="20"/>
                <w:u w:val="single"/>
              </w:rPr>
              <w:t>59.101</w:t>
            </w:r>
            <w:r>
              <w:rPr>
                <w:rFonts w:hint="default" w:ascii="Times New Roman" w:hAnsi="Times New Roman" w:cs="Times New Roman"/>
                <w:kern w:val="0"/>
                <w:szCs w:val="20"/>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val="0"/>
              <w:adjustRightInd w:val="0"/>
              <w:snapToGrid w:val="0"/>
              <w:spacing w:line="240" w:lineRule="auto"/>
              <w:jc w:val="center"/>
              <w:rPr>
                <w:rFonts w:hint="default" w:ascii="Times New Roman" w:hAnsi="Times New Roman" w:cs="Times New Roman"/>
                <w:b/>
                <w:bCs/>
                <w:kern w:val="0"/>
                <w:szCs w:val="20"/>
              </w:rPr>
            </w:pPr>
            <w:r>
              <w:rPr>
                <w:rFonts w:hint="default" w:ascii="Times New Roman" w:hAnsi="Times New Roman" w:cs="Times New Roman"/>
                <w:b/>
                <w:bCs/>
                <w:kern w:val="0"/>
                <w:szCs w:val="20"/>
              </w:rPr>
              <w:t>国民经济</w:t>
            </w:r>
          </w:p>
          <w:p>
            <w:pPr>
              <w:widowControl w:val="0"/>
              <w:adjustRightInd w:val="0"/>
              <w:snapToGrid w:val="0"/>
              <w:spacing w:line="240" w:lineRule="auto"/>
              <w:jc w:val="center"/>
              <w:rPr>
                <w:rFonts w:hint="default" w:ascii="Times New Roman" w:hAnsi="Times New Roman" w:cs="Times New Roman"/>
                <w:b/>
                <w:bCs/>
                <w:kern w:val="0"/>
                <w:szCs w:val="20"/>
              </w:rPr>
            </w:pPr>
            <w:r>
              <w:rPr>
                <w:rFonts w:hint="default" w:ascii="Times New Roman" w:hAnsi="Times New Roman" w:cs="Times New Roman"/>
                <w:b/>
                <w:bCs/>
                <w:kern w:val="0"/>
                <w:szCs w:val="20"/>
              </w:rPr>
              <w:t>行业类别</w:t>
            </w:r>
          </w:p>
        </w:tc>
        <w:tc>
          <w:tcPr>
            <w:tcW w:w="2127" w:type="dxa"/>
            <w:vAlign w:val="center"/>
          </w:tcPr>
          <w:p>
            <w:pPr>
              <w:widowControl w:val="0"/>
              <w:jc w:val="center"/>
              <w:rPr>
                <w:rFonts w:hint="default" w:ascii="Times New Roman" w:hAnsi="Times New Roman" w:cs="Times New Roman"/>
              </w:rPr>
            </w:pPr>
            <w:r>
              <w:rPr>
                <w:rFonts w:hint="default" w:ascii="Times New Roman" w:hAnsi="Times New Roman" w:cs="Times New Roman"/>
              </w:rPr>
              <w:t>D4620 污水处理及其再生利用</w:t>
            </w:r>
          </w:p>
        </w:tc>
        <w:tc>
          <w:tcPr>
            <w:tcW w:w="1559" w:type="dxa"/>
            <w:vAlign w:val="center"/>
          </w:tcPr>
          <w:p>
            <w:pPr>
              <w:widowControl w:val="0"/>
              <w:adjustRightInd w:val="0"/>
              <w:snapToGrid w:val="0"/>
              <w:jc w:val="center"/>
              <w:rPr>
                <w:rFonts w:hint="default" w:ascii="Times New Roman" w:hAnsi="Times New Roman" w:cs="Times New Roman"/>
                <w:kern w:val="0"/>
                <w:szCs w:val="20"/>
              </w:rPr>
            </w:pPr>
            <w:bookmarkStart w:id="7" w:name="_Hlk49843745"/>
            <w:r>
              <w:rPr>
                <w:rFonts w:hint="default" w:ascii="Times New Roman" w:hAnsi="Times New Roman" w:cs="Times New Roman"/>
                <w:kern w:val="0"/>
                <w:szCs w:val="20"/>
              </w:rPr>
              <w:t>建设项目</w:t>
            </w:r>
          </w:p>
          <w:p>
            <w:pPr>
              <w:widowControl w:val="0"/>
              <w:spacing w:line="240" w:lineRule="auto"/>
              <w:jc w:val="center"/>
              <w:rPr>
                <w:rFonts w:hint="default" w:ascii="Times New Roman" w:hAnsi="Times New Roman" w:cs="Times New Roman"/>
                <w:kern w:val="0"/>
                <w:szCs w:val="20"/>
              </w:rPr>
            </w:pPr>
            <w:r>
              <w:rPr>
                <w:rFonts w:hint="default" w:ascii="Times New Roman" w:hAnsi="Times New Roman" w:cs="Times New Roman"/>
                <w:kern w:val="0"/>
                <w:szCs w:val="20"/>
              </w:rPr>
              <w:t>行业类别</w:t>
            </w:r>
            <w:bookmarkEnd w:id="7"/>
          </w:p>
        </w:tc>
        <w:tc>
          <w:tcPr>
            <w:tcW w:w="3678" w:type="dxa"/>
            <w:vAlign w:val="center"/>
          </w:tcPr>
          <w:p>
            <w:pPr>
              <w:widowControl w:val="0"/>
              <w:adjustRightInd w:val="0"/>
              <w:snapToGrid w:val="0"/>
              <w:spacing w:line="276" w:lineRule="auto"/>
              <w:jc w:val="center"/>
              <w:rPr>
                <w:rFonts w:hint="default" w:ascii="Times New Roman" w:hAnsi="Times New Roman" w:cs="Times New Roman"/>
                <w:bCs/>
              </w:rPr>
            </w:pPr>
            <w:r>
              <w:rPr>
                <w:rFonts w:hint="default" w:ascii="Times New Roman" w:hAnsi="Times New Roman" w:cs="Times New Roman"/>
                <w:bCs/>
              </w:rPr>
              <w:t>95污水处理及其再生利用</w:t>
            </w:r>
          </w:p>
          <w:p>
            <w:pPr>
              <w:widowControl w:val="0"/>
              <w:jc w:val="center"/>
              <w:rPr>
                <w:rFonts w:hint="default" w:ascii="Times New Roman" w:hAnsi="Times New Roman" w:cs="Times New Roman"/>
                <w:kern w:val="0"/>
                <w:szCs w:val="20"/>
              </w:rPr>
            </w:pPr>
            <w:r>
              <w:rPr>
                <w:rFonts w:hint="default" w:ascii="Times New Roman" w:hAnsi="Times New Roman" w:cs="Times New Roman"/>
                <w:bCs/>
              </w:rPr>
              <w:t>新建、扩建日处理10万吨以下500吨及以上城乡污水处理的；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96" w:type="dxa"/>
            <w:vAlign w:val="center"/>
          </w:tcPr>
          <w:p>
            <w:pPr>
              <w:widowControl w:val="0"/>
              <w:jc w:val="center"/>
              <w:rPr>
                <w:rFonts w:hint="default" w:ascii="Times New Roman" w:hAnsi="Times New Roman" w:cs="Times New Roman"/>
                <w:b/>
                <w:bCs/>
                <w:kern w:val="0"/>
                <w:szCs w:val="20"/>
              </w:rPr>
            </w:pPr>
            <w:r>
              <w:rPr>
                <w:rFonts w:hint="default" w:ascii="Times New Roman" w:hAnsi="Times New Roman" w:cs="Times New Roman"/>
                <w:b/>
                <w:bCs/>
                <w:kern w:val="0"/>
                <w:szCs w:val="20"/>
              </w:rPr>
              <w:t>建设性质</w:t>
            </w:r>
          </w:p>
        </w:tc>
        <w:tc>
          <w:tcPr>
            <w:tcW w:w="2127" w:type="dxa"/>
            <w:vAlign w:val="center"/>
          </w:tcPr>
          <w:p>
            <w:pPr>
              <w:widowControl w:val="0"/>
              <w:jc w:val="left"/>
              <w:rPr>
                <w:rFonts w:hint="default" w:ascii="Times New Roman" w:hAnsi="Times New Roman" w:cs="Times New Roman"/>
                <w:kern w:val="0"/>
                <w:szCs w:val="20"/>
              </w:rPr>
            </w:pPr>
            <w:r>
              <w:rPr>
                <w:rFonts w:hint="default" w:ascii="Times New Roman" w:hAnsi="Times New Roman" w:cs="Times New Roman"/>
                <w:kern w:val="0"/>
                <w:szCs w:val="20"/>
              </w:rPr>
              <w:sym w:font="Wingdings 2" w:char="0052"/>
            </w:r>
            <w:r>
              <w:rPr>
                <w:rFonts w:hint="default" w:ascii="Times New Roman" w:hAnsi="Times New Roman" w:cs="Times New Roman"/>
                <w:kern w:val="0"/>
                <w:szCs w:val="20"/>
              </w:rPr>
              <w:t>新建（迁建）</w:t>
            </w:r>
          </w:p>
          <w:p>
            <w:pPr>
              <w:widowControl w:val="0"/>
              <w:jc w:val="left"/>
              <w:rPr>
                <w:rFonts w:hint="default" w:ascii="Times New Roman" w:hAnsi="Times New Roman" w:cs="Times New Roman"/>
                <w:kern w:val="0"/>
                <w:szCs w:val="20"/>
              </w:rPr>
            </w:pPr>
            <w:r>
              <w:rPr>
                <w:rFonts w:hint="default" w:ascii="Times New Roman" w:hAnsi="Times New Roman" w:cs="Times New Roman"/>
                <w:kern w:val="0"/>
                <w:szCs w:val="20"/>
              </w:rPr>
              <w:t>□改建</w:t>
            </w:r>
          </w:p>
          <w:p>
            <w:pPr>
              <w:widowControl w:val="0"/>
              <w:jc w:val="left"/>
              <w:rPr>
                <w:rFonts w:hint="default" w:ascii="Times New Roman" w:hAnsi="Times New Roman" w:cs="Times New Roman"/>
                <w:kern w:val="0"/>
                <w:szCs w:val="20"/>
              </w:rPr>
            </w:pPr>
            <w:r>
              <w:rPr>
                <w:rFonts w:hint="default" w:ascii="Times New Roman" w:hAnsi="Times New Roman" w:cs="Times New Roman"/>
                <w:kern w:val="0"/>
                <w:szCs w:val="20"/>
              </w:rPr>
              <w:t>□扩建</w:t>
            </w:r>
          </w:p>
          <w:p>
            <w:pPr>
              <w:widowControl w:val="0"/>
              <w:spacing w:line="240" w:lineRule="auto"/>
              <w:jc w:val="left"/>
              <w:rPr>
                <w:rFonts w:hint="default" w:ascii="Times New Roman" w:hAnsi="Times New Roman" w:cs="Times New Roman"/>
                <w:kern w:val="0"/>
                <w:szCs w:val="20"/>
              </w:rPr>
            </w:pPr>
            <w:r>
              <w:rPr>
                <w:rFonts w:hint="default" w:ascii="Times New Roman" w:hAnsi="Times New Roman" w:cs="Times New Roman"/>
                <w:kern w:val="0"/>
                <w:szCs w:val="20"/>
              </w:rPr>
              <w:t>□技术改造</w:t>
            </w:r>
          </w:p>
        </w:tc>
        <w:tc>
          <w:tcPr>
            <w:tcW w:w="1559" w:type="dxa"/>
            <w:vAlign w:val="center"/>
          </w:tcPr>
          <w:p>
            <w:pPr>
              <w:widowControl w:val="0"/>
              <w:adjustRightInd w:val="0"/>
              <w:snapToGrid w:val="0"/>
              <w:jc w:val="center"/>
              <w:rPr>
                <w:rFonts w:hint="default" w:ascii="Times New Roman" w:hAnsi="Times New Roman" w:cs="Times New Roman"/>
                <w:kern w:val="0"/>
                <w:szCs w:val="20"/>
              </w:rPr>
            </w:pPr>
            <w:r>
              <w:rPr>
                <w:rFonts w:hint="default" w:ascii="Times New Roman" w:hAnsi="Times New Roman" w:cs="Times New Roman"/>
                <w:kern w:val="0"/>
                <w:szCs w:val="20"/>
              </w:rPr>
              <w:t>建设项目</w:t>
            </w:r>
          </w:p>
          <w:p>
            <w:pPr>
              <w:widowControl w:val="0"/>
              <w:spacing w:line="240" w:lineRule="auto"/>
              <w:jc w:val="center"/>
              <w:rPr>
                <w:rFonts w:hint="default" w:ascii="Times New Roman" w:hAnsi="Times New Roman" w:cs="Times New Roman"/>
                <w:kern w:val="0"/>
                <w:szCs w:val="20"/>
              </w:rPr>
            </w:pPr>
            <w:r>
              <w:rPr>
                <w:rFonts w:hint="default" w:ascii="Times New Roman" w:hAnsi="Times New Roman" w:cs="Times New Roman"/>
                <w:kern w:val="0"/>
                <w:szCs w:val="20"/>
              </w:rPr>
              <w:t>申报情形</w:t>
            </w:r>
          </w:p>
        </w:tc>
        <w:tc>
          <w:tcPr>
            <w:tcW w:w="3678" w:type="dxa"/>
            <w:vAlign w:val="center"/>
          </w:tcPr>
          <w:p>
            <w:pPr>
              <w:widowControl w:val="0"/>
              <w:jc w:val="left"/>
              <w:rPr>
                <w:rFonts w:hint="default" w:ascii="Times New Roman" w:hAnsi="Times New Roman" w:cs="Times New Roman"/>
                <w:kern w:val="0"/>
                <w:szCs w:val="20"/>
              </w:rPr>
            </w:pPr>
            <w:r>
              <w:rPr>
                <w:rFonts w:hint="default" w:ascii="Times New Roman" w:hAnsi="Times New Roman" w:cs="Times New Roman"/>
                <w:kern w:val="0"/>
                <w:szCs w:val="20"/>
              </w:rPr>
              <w:sym w:font="Wingdings 2" w:char="0052"/>
            </w:r>
            <w:r>
              <w:rPr>
                <w:rFonts w:hint="default" w:ascii="Times New Roman" w:hAnsi="Times New Roman" w:cs="Times New Roman"/>
                <w:kern w:val="0"/>
                <w:szCs w:val="20"/>
              </w:rPr>
              <w:t>首次申报项目</w:t>
            </w:r>
          </w:p>
          <w:p>
            <w:pPr>
              <w:widowControl w:val="0"/>
              <w:jc w:val="left"/>
              <w:rPr>
                <w:rFonts w:hint="default" w:ascii="Times New Roman" w:hAnsi="Times New Roman" w:cs="Times New Roman"/>
                <w:kern w:val="0"/>
                <w:szCs w:val="20"/>
              </w:rPr>
            </w:pPr>
            <w:r>
              <w:rPr>
                <w:rFonts w:hint="default" w:ascii="Times New Roman" w:hAnsi="Times New Roman" w:cs="Times New Roman"/>
                <w:kern w:val="0"/>
                <w:szCs w:val="20"/>
              </w:rPr>
              <w:t>□不予批准后再次申报项目</w:t>
            </w:r>
          </w:p>
          <w:p>
            <w:pPr>
              <w:widowControl w:val="0"/>
              <w:jc w:val="left"/>
              <w:rPr>
                <w:rFonts w:hint="default" w:ascii="Times New Roman" w:hAnsi="Times New Roman" w:cs="Times New Roman"/>
                <w:kern w:val="0"/>
                <w:szCs w:val="20"/>
              </w:rPr>
            </w:pPr>
            <w:r>
              <w:rPr>
                <w:rFonts w:hint="default" w:ascii="Times New Roman" w:hAnsi="Times New Roman" w:cs="Times New Roman"/>
                <w:kern w:val="0"/>
                <w:szCs w:val="20"/>
              </w:rPr>
              <w:t>□超五年重新审核项目</w:t>
            </w:r>
          </w:p>
          <w:p>
            <w:pPr>
              <w:widowControl w:val="0"/>
              <w:jc w:val="left"/>
              <w:rPr>
                <w:rFonts w:hint="default" w:ascii="Times New Roman" w:hAnsi="Times New Roman" w:cs="Times New Roman"/>
                <w:kern w:val="0"/>
                <w:szCs w:val="20"/>
              </w:rPr>
            </w:pPr>
            <w:r>
              <w:rPr>
                <w:rFonts w:hint="default" w:ascii="Times New Roman" w:hAnsi="Times New Roman" w:cs="Times New Roman"/>
                <w:kern w:val="0"/>
                <w:szCs w:val="20"/>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val="0"/>
              <w:adjustRightInd w:val="0"/>
              <w:snapToGrid w:val="0"/>
              <w:spacing w:line="240" w:lineRule="auto"/>
              <w:jc w:val="center"/>
              <w:rPr>
                <w:rFonts w:hint="default" w:ascii="Times New Roman" w:hAnsi="Times New Roman" w:cs="Times New Roman"/>
                <w:b/>
                <w:bCs/>
                <w:kern w:val="0"/>
                <w:szCs w:val="20"/>
              </w:rPr>
            </w:pPr>
            <w:r>
              <w:rPr>
                <w:rFonts w:hint="default" w:ascii="Times New Roman" w:hAnsi="Times New Roman" w:cs="Times New Roman"/>
                <w:b/>
                <w:bCs/>
                <w:kern w:val="0"/>
                <w:szCs w:val="20"/>
              </w:rPr>
              <w:t>项目审批（核准/备案）部门（选填）</w:t>
            </w:r>
          </w:p>
        </w:tc>
        <w:tc>
          <w:tcPr>
            <w:tcW w:w="2127" w:type="dxa"/>
            <w:vAlign w:val="center"/>
          </w:tcPr>
          <w:p>
            <w:pPr>
              <w:widowControl w:val="0"/>
              <w:spacing w:line="240" w:lineRule="auto"/>
              <w:jc w:val="center"/>
              <w:rPr>
                <w:rFonts w:hint="default" w:ascii="Times New Roman" w:hAnsi="Times New Roman" w:cs="Times New Roman"/>
                <w:kern w:val="0"/>
                <w:szCs w:val="20"/>
              </w:rPr>
            </w:pPr>
            <w:r>
              <w:rPr>
                <w:rFonts w:hint="default" w:ascii="Times New Roman" w:hAnsi="Times New Roman" w:cs="Times New Roman"/>
              </w:rPr>
              <w:t>宣汉县发展和改革局</w:t>
            </w:r>
          </w:p>
        </w:tc>
        <w:tc>
          <w:tcPr>
            <w:tcW w:w="1559" w:type="dxa"/>
            <w:vAlign w:val="center"/>
          </w:tcPr>
          <w:p>
            <w:pPr>
              <w:widowControl w:val="0"/>
              <w:adjustRightInd w:val="0"/>
              <w:snapToGrid w:val="0"/>
              <w:spacing w:line="240" w:lineRule="auto"/>
              <w:jc w:val="center"/>
              <w:rPr>
                <w:rFonts w:hint="default" w:ascii="Times New Roman" w:hAnsi="Times New Roman" w:cs="Times New Roman"/>
                <w:kern w:val="0"/>
                <w:szCs w:val="20"/>
              </w:rPr>
            </w:pPr>
            <w:r>
              <w:rPr>
                <w:rFonts w:hint="default" w:ascii="Times New Roman" w:hAnsi="Times New Roman" w:cs="Times New Roman"/>
                <w:kern w:val="0"/>
                <w:szCs w:val="20"/>
              </w:rPr>
              <w:t>项目审批（核准/备案）文号（选填）</w:t>
            </w:r>
          </w:p>
        </w:tc>
        <w:tc>
          <w:tcPr>
            <w:tcW w:w="3678" w:type="dxa"/>
            <w:vAlign w:val="center"/>
          </w:tcPr>
          <w:p>
            <w:pPr>
              <w:widowControl w:val="0"/>
              <w:jc w:val="center"/>
              <w:rPr>
                <w:rFonts w:hint="default" w:ascii="Times New Roman" w:hAnsi="Times New Roman" w:cs="Times New Roman"/>
                <w:kern w:val="0"/>
                <w:szCs w:val="20"/>
              </w:rPr>
            </w:pPr>
            <w:r>
              <w:rPr>
                <w:rFonts w:hint="default" w:ascii="Times New Roman" w:hAnsi="Times New Roman" w:cs="Times New Roman"/>
              </w:rPr>
              <w:t>宣发改审【2022】17号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val="0"/>
              <w:adjustRightInd w:val="0"/>
              <w:snapToGrid w:val="0"/>
              <w:jc w:val="center"/>
              <w:rPr>
                <w:rFonts w:hint="default" w:ascii="Times New Roman" w:hAnsi="Times New Roman" w:cs="Times New Roman"/>
                <w:b/>
                <w:bCs/>
                <w:kern w:val="0"/>
                <w:szCs w:val="20"/>
              </w:rPr>
            </w:pPr>
            <w:r>
              <w:rPr>
                <w:rFonts w:hint="default" w:ascii="Times New Roman" w:hAnsi="Times New Roman" w:cs="Times New Roman"/>
                <w:b/>
                <w:bCs/>
                <w:kern w:val="0"/>
                <w:szCs w:val="20"/>
              </w:rPr>
              <w:t>总投资(万元)</w:t>
            </w:r>
          </w:p>
        </w:tc>
        <w:tc>
          <w:tcPr>
            <w:tcW w:w="2127" w:type="dxa"/>
            <w:vAlign w:val="center"/>
          </w:tcPr>
          <w:p>
            <w:pPr>
              <w:widowControl w:val="0"/>
              <w:spacing w:line="240" w:lineRule="auto"/>
              <w:jc w:val="center"/>
              <w:rPr>
                <w:rFonts w:hint="default" w:ascii="Times New Roman" w:hAnsi="Times New Roman" w:cs="Times New Roman"/>
                <w:kern w:val="0"/>
                <w:szCs w:val="20"/>
              </w:rPr>
            </w:pPr>
            <w:r>
              <w:rPr>
                <w:rFonts w:hint="default" w:ascii="Times New Roman" w:hAnsi="Times New Roman" w:cs="Times New Roman"/>
              </w:rPr>
              <w:t>8205.3</w:t>
            </w:r>
          </w:p>
        </w:tc>
        <w:tc>
          <w:tcPr>
            <w:tcW w:w="1559" w:type="dxa"/>
            <w:vAlign w:val="center"/>
          </w:tcPr>
          <w:p>
            <w:pPr>
              <w:widowControl w:val="0"/>
              <w:spacing w:line="240" w:lineRule="auto"/>
              <w:jc w:val="center"/>
              <w:rPr>
                <w:rFonts w:hint="default" w:ascii="Times New Roman" w:hAnsi="Times New Roman" w:cs="Times New Roman"/>
                <w:kern w:val="0"/>
                <w:szCs w:val="20"/>
              </w:rPr>
            </w:pPr>
            <w:r>
              <w:rPr>
                <w:rFonts w:hint="default" w:ascii="Times New Roman" w:hAnsi="Times New Roman" w:cs="Times New Roman"/>
                <w:kern w:val="0"/>
                <w:szCs w:val="20"/>
              </w:rPr>
              <w:t>环保投资</w:t>
            </w:r>
          </w:p>
          <w:p>
            <w:pPr>
              <w:widowControl w:val="0"/>
              <w:spacing w:line="240" w:lineRule="auto"/>
              <w:jc w:val="center"/>
              <w:rPr>
                <w:rFonts w:hint="default" w:ascii="Times New Roman" w:hAnsi="Times New Roman" w:cs="Times New Roman"/>
                <w:kern w:val="0"/>
                <w:szCs w:val="20"/>
              </w:rPr>
            </w:pPr>
            <w:r>
              <w:rPr>
                <w:rFonts w:hint="default" w:ascii="Times New Roman" w:hAnsi="Times New Roman" w:cs="Times New Roman"/>
                <w:kern w:val="0"/>
                <w:szCs w:val="20"/>
              </w:rPr>
              <w:t>（万元）</w:t>
            </w:r>
          </w:p>
        </w:tc>
        <w:tc>
          <w:tcPr>
            <w:tcW w:w="3678" w:type="dxa"/>
            <w:vAlign w:val="center"/>
          </w:tcPr>
          <w:p>
            <w:pPr>
              <w:widowControl w:val="0"/>
              <w:spacing w:line="240" w:lineRule="auto"/>
              <w:jc w:val="center"/>
              <w:rPr>
                <w:rFonts w:hint="default" w:ascii="Times New Roman" w:hAnsi="Times New Roman" w:cs="Times New Roman"/>
                <w:kern w:val="0"/>
                <w:szCs w:val="20"/>
              </w:rPr>
            </w:pPr>
            <w:r>
              <w:rPr>
                <w:rFonts w:hint="default" w:ascii="Times New Roman" w:hAnsi="Times New Roman" w:cs="Times New Roman"/>
                <w:kern w:val="0"/>
                <w:szCs w:val="20"/>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vAlign w:val="center"/>
          </w:tcPr>
          <w:p>
            <w:pPr>
              <w:widowControl w:val="0"/>
              <w:adjustRightInd w:val="0"/>
              <w:snapToGrid w:val="0"/>
              <w:jc w:val="center"/>
              <w:rPr>
                <w:rFonts w:hint="default" w:ascii="Times New Roman" w:hAnsi="Times New Roman" w:cs="Times New Roman"/>
                <w:b/>
                <w:bCs/>
                <w:kern w:val="0"/>
                <w:szCs w:val="20"/>
              </w:rPr>
            </w:pPr>
            <w:r>
              <w:rPr>
                <w:rFonts w:hint="default" w:ascii="Times New Roman" w:hAnsi="Times New Roman" w:cs="Times New Roman"/>
                <w:b/>
                <w:bCs/>
                <w:kern w:val="0"/>
                <w:szCs w:val="20"/>
              </w:rPr>
              <w:t>环保投资占比(%)</w:t>
            </w:r>
          </w:p>
        </w:tc>
        <w:tc>
          <w:tcPr>
            <w:tcW w:w="2127" w:type="dxa"/>
            <w:vAlign w:val="center"/>
          </w:tcPr>
          <w:p>
            <w:pPr>
              <w:widowControl w:val="0"/>
              <w:spacing w:line="240" w:lineRule="auto"/>
              <w:jc w:val="center"/>
              <w:rPr>
                <w:rFonts w:hint="default" w:ascii="Times New Roman" w:hAnsi="Times New Roman" w:cs="Times New Roman"/>
                <w:kern w:val="0"/>
                <w:szCs w:val="20"/>
              </w:rPr>
            </w:pPr>
            <w:r>
              <w:rPr>
                <w:rFonts w:hint="default" w:ascii="Times New Roman" w:hAnsi="Times New Roman" w:cs="Times New Roman"/>
                <w:kern w:val="0"/>
                <w:szCs w:val="20"/>
              </w:rPr>
              <w:t>1.5</w:t>
            </w:r>
          </w:p>
        </w:tc>
        <w:tc>
          <w:tcPr>
            <w:tcW w:w="1559" w:type="dxa"/>
            <w:vAlign w:val="center"/>
          </w:tcPr>
          <w:p>
            <w:pPr>
              <w:widowControl w:val="0"/>
              <w:spacing w:line="240" w:lineRule="auto"/>
              <w:jc w:val="center"/>
              <w:rPr>
                <w:rFonts w:hint="default" w:ascii="Times New Roman" w:hAnsi="Times New Roman" w:cs="Times New Roman"/>
                <w:kern w:val="0"/>
                <w:szCs w:val="20"/>
              </w:rPr>
            </w:pPr>
            <w:r>
              <w:rPr>
                <w:rFonts w:hint="default" w:ascii="Times New Roman" w:hAnsi="Times New Roman" w:cs="Times New Roman"/>
                <w:kern w:val="0"/>
                <w:szCs w:val="20"/>
              </w:rPr>
              <w:t>施工工期</w:t>
            </w:r>
          </w:p>
        </w:tc>
        <w:tc>
          <w:tcPr>
            <w:tcW w:w="3678" w:type="dxa"/>
            <w:vAlign w:val="center"/>
          </w:tcPr>
          <w:p>
            <w:pPr>
              <w:widowControl w:val="0"/>
              <w:spacing w:line="240" w:lineRule="auto"/>
              <w:jc w:val="center"/>
              <w:rPr>
                <w:rFonts w:hint="default" w:ascii="Times New Roman" w:hAnsi="Times New Roman" w:cs="Times New Roman"/>
                <w:kern w:val="0"/>
                <w:szCs w:val="20"/>
              </w:rPr>
            </w:pPr>
            <w:r>
              <w:rPr>
                <w:rFonts w:hint="default" w:ascii="Times New Roman" w:hAnsi="Times New Roman" w:cs="Times New Roman"/>
                <w:kern w:val="0"/>
                <w:szCs w:val="20"/>
              </w:rPr>
              <w:t>25个月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val="0"/>
              <w:adjustRightInd w:val="0"/>
              <w:snapToGrid w:val="0"/>
              <w:jc w:val="center"/>
              <w:rPr>
                <w:rFonts w:hint="default" w:ascii="Times New Roman" w:hAnsi="Times New Roman" w:cs="Times New Roman"/>
                <w:b/>
                <w:bCs/>
                <w:kern w:val="0"/>
                <w:szCs w:val="20"/>
              </w:rPr>
            </w:pPr>
            <w:r>
              <w:rPr>
                <w:rFonts w:hint="default" w:ascii="Times New Roman" w:hAnsi="Times New Roman" w:cs="Times New Roman"/>
                <w:b/>
                <w:bCs/>
                <w:kern w:val="0"/>
                <w:szCs w:val="20"/>
              </w:rPr>
              <w:t>是否开工建设</w:t>
            </w:r>
          </w:p>
        </w:tc>
        <w:tc>
          <w:tcPr>
            <w:tcW w:w="2127" w:type="dxa"/>
            <w:vAlign w:val="center"/>
          </w:tcPr>
          <w:p>
            <w:pPr>
              <w:widowControl w:val="0"/>
              <w:adjustRightInd w:val="0"/>
              <w:snapToGrid w:val="0"/>
              <w:jc w:val="center"/>
              <w:rPr>
                <w:rFonts w:hint="default" w:ascii="Times New Roman" w:hAnsi="Times New Roman" w:cs="Times New Roman"/>
                <w:kern w:val="0"/>
                <w:szCs w:val="20"/>
              </w:rPr>
            </w:pPr>
            <w:r>
              <w:rPr>
                <w:rFonts w:hint="default" w:ascii="Times New Roman" w:hAnsi="Times New Roman" w:cs="Times New Roman"/>
                <w:kern w:val="0"/>
                <w:szCs w:val="20"/>
              </w:rPr>
              <w:sym w:font="Wingdings 2" w:char="0052"/>
            </w:r>
            <w:r>
              <w:rPr>
                <w:rFonts w:hint="default" w:ascii="Times New Roman" w:hAnsi="Times New Roman" w:cs="Times New Roman"/>
                <w:kern w:val="0"/>
                <w:szCs w:val="20"/>
              </w:rPr>
              <w:t>否</w:t>
            </w:r>
          </w:p>
          <w:p>
            <w:pPr>
              <w:widowControl w:val="0"/>
              <w:adjustRightInd w:val="0"/>
              <w:snapToGrid w:val="0"/>
              <w:jc w:val="center"/>
              <w:rPr>
                <w:rFonts w:hint="default" w:ascii="Times New Roman" w:hAnsi="Times New Roman" w:cs="Times New Roman"/>
                <w:kern w:val="0"/>
                <w:szCs w:val="20"/>
              </w:rPr>
            </w:pPr>
            <w:r>
              <w:rPr>
                <w:rFonts w:hint="default" w:ascii="Times New Roman" w:hAnsi="Times New Roman" w:cs="Times New Roman"/>
                <w:kern w:val="0"/>
                <w:szCs w:val="20"/>
              </w:rPr>
              <w:sym w:font="Wingdings 2" w:char="00A3"/>
            </w:r>
            <w:r>
              <w:rPr>
                <w:rFonts w:hint="default" w:ascii="Times New Roman" w:hAnsi="Times New Roman" w:cs="Times New Roman"/>
                <w:kern w:val="0"/>
                <w:szCs w:val="20"/>
              </w:rPr>
              <w:t xml:space="preserve"> 是</w:t>
            </w:r>
          </w:p>
        </w:tc>
        <w:tc>
          <w:tcPr>
            <w:tcW w:w="1559" w:type="dxa"/>
            <w:vAlign w:val="center"/>
          </w:tcPr>
          <w:p>
            <w:pPr>
              <w:widowControl w:val="0"/>
              <w:adjustRightInd w:val="0"/>
              <w:snapToGrid w:val="0"/>
              <w:spacing w:line="240" w:lineRule="auto"/>
              <w:jc w:val="center"/>
              <w:rPr>
                <w:rFonts w:hint="default" w:ascii="Times New Roman" w:hAnsi="Times New Roman" w:cs="Times New Roman"/>
                <w:kern w:val="0"/>
                <w:szCs w:val="20"/>
              </w:rPr>
            </w:pPr>
            <w:r>
              <w:rPr>
                <w:rFonts w:hint="default" w:ascii="Times New Roman" w:hAnsi="Times New Roman" w:cs="Times New Roman"/>
                <w:kern w:val="0"/>
                <w:szCs w:val="20"/>
              </w:rPr>
              <w:t>用地（用海）面积（m</w:t>
            </w:r>
            <w:r>
              <w:rPr>
                <w:rFonts w:hint="default" w:ascii="Times New Roman" w:hAnsi="Times New Roman" w:cs="Times New Roman"/>
                <w:kern w:val="0"/>
                <w:szCs w:val="20"/>
                <w:vertAlign w:val="superscript"/>
              </w:rPr>
              <w:t>2</w:t>
            </w:r>
            <w:r>
              <w:rPr>
                <w:rFonts w:hint="default" w:ascii="Times New Roman" w:hAnsi="Times New Roman" w:cs="Times New Roman"/>
                <w:kern w:val="0"/>
                <w:szCs w:val="20"/>
              </w:rPr>
              <w:t>）</w:t>
            </w:r>
          </w:p>
        </w:tc>
        <w:tc>
          <w:tcPr>
            <w:tcW w:w="3678" w:type="dxa"/>
            <w:vAlign w:val="center"/>
          </w:tcPr>
          <w:p>
            <w:pPr>
              <w:widowControl w:val="0"/>
              <w:spacing w:line="240" w:lineRule="auto"/>
              <w:jc w:val="center"/>
              <w:rPr>
                <w:rFonts w:hint="default" w:ascii="Times New Roman" w:hAnsi="Times New Roman" w:cs="Times New Roman"/>
                <w:kern w:val="0"/>
                <w:szCs w:val="20"/>
              </w:rPr>
            </w:pPr>
            <w:r>
              <w:rPr>
                <w:rFonts w:hint="default" w:ascii="Times New Roman" w:hAnsi="Times New Roman" w:cs="Times New Roman"/>
                <w:kern w:val="0"/>
                <w:szCs w:val="20"/>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val="0"/>
              <w:adjustRightInd w:val="0"/>
              <w:snapToGrid w:val="0"/>
              <w:spacing w:line="240" w:lineRule="auto"/>
              <w:jc w:val="center"/>
              <w:rPr>
                <w:rFonts w:hint="default" w:ascii="Times New Roman" w:hAnsi="Times New Roman" w:cs="Times New Roman"/>
                <w:b/>
                <w:bCs/>
                <w:kern w:val="0"/>
                <w:szCs w:val="20"/>
              </w:rPr>
            </w:pPr>
            <w:r>
              <w:rPr>
                <w:rFonts w:hint="default" w:ascii="Times New Roman" w:hAnsi="Times New Roman" w:cs="Times New Roman"/>
                <w:b/>
                <w:bCs/>
                <w:kern w:val="0"/>
                <w:szCs w:val="20"/>
              </w:rPr>
              <w:t>专项评价设置情况</w:t>
            </w:r>
          </w:p>
        </w:tc>
        <w:tc>
          <w:tcPr>
            <w:tcW w:w="7364" w:type="dxa"/>
            <w:gridSpan w:val="3"/>
            <w:vAlign w:val="center"/>
          </w:tcPr>
          <w:p>
            <w:pPr>
              <w:widowControl/>
              <w:ind w:firstLine="480" w:firstLineChars="200"/>
              <w:jc w:val="left"/>
              <w:rPr>
                <w:rFonts w:hint="default" w:ascii="Times New Roman" w:hAnsi="Times New Roman" w:cs="Times New Roman"/>
                <w:kern w:val="0"/>
              </w:rPr>
            </w:pPr>
            <w:r>
              <w:rPr>
                <w:rFonts w:hint="default" w:ascii="Times New Roman" w:hAnsi="Times New Roman" w:cs="Times New Roman"/>
                <w:kern w:val="0"/>
              </w:rPr>
              <w:t>本项目与建设项目环境影响报告表编制技术指南（污染影响类）（试行）专项评价设置情况对比见下表。</w:t>
            </w:r>
          </w:p>
          <w:p>
            <w:pPr>
              <w:pStyle w:val="169"/>
              <w:numPr>
                <w:ilvl w:val="0"/>
                <w:numId w:val="3"/>
              </w:numPr>
              <w:spacing w:before="0" w:after="0" w:line="360" w:lineRule="auto"/>
              <w:ind w:left="0" w:firstLine="0"/>
              <w:jc w:val="center"/>
              <w:rPr>
                <w:rFonts w:hint="default" w:ascii="Times New Roman" w:hAnsi="Times New Roman" w:eastAsia="黑体" w:cs="Times New Roman"/>
                <w:szCs w:val="24"/>
              </w:rPr>
            </w:pPr>
            <w:r>
              <w:rPr>
                <w:rFonts w:hint="default" w:ascii="Times New Roman" w:hAnsi="Times New Roman" w:eastAsia="黑体" w:cs="Times New Roman"/>
                <w:szCs w:val="24"/>
              </w:rPr>
              <w:t>专项评价设置原则表</w:t>
            </w:r>
          </w:p>
          <w:tbl>
            <w:tblPr>
              <w:tblStyle w:val="4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1"/>
              <w:gridCol w:w="3471"/>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pStyle w:val="56"/>
                    <w:rPr>
                      <w:rFonts w:hint="default" w:ascii="Times New Roman" w:hAnsi="Times New Roman" w:cs="Times New Roman" w:eastAsiaTheme="minorEastAsia"/>
                      <w:b/>
                      <w:bCs/>
                    </w:rPr>
                  </w:pPr>
                  <w:r>
                    <w:rPr>
                      <w:rFonts w:hint="default" w:ascii="Times New Roman" w:hAnsi="Times New Roman" w:cs="Times New Roman" w:eastAsiaTheme="minorEastAsia"/>
                      <w:b/>
                      <w:bCs/>
                    </w:rPr>
                    <w:t>专项评价的类别</w:t>
                  </w:r>
                </w:p>
              </w:tc>
              <w:tc>
                <w:tcPr>
                  <w:tcW w:w="2432" w:type="pct"/>
                  <w:vAlign w:val="center"/>
                </w:tcPr>
                <w:p>
                  <w:pPr>
                    <w:pStyle w:val="56"/>
                    <w:rPr>
                      <w:rFonts w:hint="default" w:ascii="Times New Roman" w:hAnsi="Times New Roman" w:cs="Times New Roman" w:eastAsiaTheme="minorEastAsia"/>
                      <w:b/>
                      <w:bCs/>
                    </w:rPr>
                  </w:pPr>
                  <w:r>
                    <w:rPr>
                      <w:rFonts w:hint="default" w:ascii="Times New Roman" w:hAnsi="Times New Roman" w:cs="Times New Roman" w:eastAsiaTheme="minorEastAsia"/>
                      <w:b/>
                      <w:bCs/>
                    </w:rPr>
                    <w:t>设置原则</w:t>
                  </w:r>
                </w:p>
              </w:tc>
              <w:tc>
                <w:tcPr>
                  <w:tcW w:w="1628" w:type="pct"/>
                  <w:vAlign w:val="center"/>
                </w:tcPr>
                <w:p>
                  <w:pPr>
                    <w:pStyle w:val="56"/>
                    <w:rPr>
                      <w:rFonts w:hint="default" w:ascii="Times New Roman" w:hAnsi="Times New Roman" w:cs="Times New Roman" w:eastAsiaTheme="minorEastAsia"/>
                      <w:b/>
                      <w:bCs/>
                      <w:lang w:val="en-US"/>
                    </w:rPr>
                  </w:pPr>
                  <w:r>
                    <w:rPr>
                      <w:rFonts w:hint="default" w:ascii="Times New Roman" w:hAnsi="Times New Roman" w:cs="Times New Roman" w:eastAsiaTheme="minorEastAsia"/>
                      <w:b/>
                      <w:bCs/>
                      <w:lang w:val="en-US"/>
                    </w:rPr>
                    <w:t>本项目设置情况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pStyle w:val="56"/>
                    <w:rPr>
                      <w:rFonts w:hint="default" w:ascii="Times New Roman" w:hAnsi="Times New Roman" w:cs="Times New Roman" w:eastAsiaTheme="minorEastAsia"/>
                    </w:rPr>
                  </w:pPr>
                  <w:r>
                    <w:rPr>
                      <w:rFonts w:hint="default" w:ascii="Times New Roman" w:hAnsi="Times New Roman" w:cs="Times New Roman" w:eastAsiaTheme="minorEastAsia"/>
                    </w:rPr>
                    <w:t>大气</w:t>
                  </w:r>
                </w:p>
              </w:tc>
              <w:tc>
                <w:tcPr>
                  <w:tcW w:w="2432" w:type="pct"/>
                  <w:vAlign w:val="center"/>
                </w:tcPr>
                <w:p>
                  <w:pPr>
                    <w:pStyle w:val="56"/>
                    <w:rPr>
                      <w:rFonts w:hint="default" w:ascii="Times New Roman" w:hAnsi="Times New Roman" w:cs="Times New Roman" w:eastAsiaTheme="minorEastAsia"/>
                    </w:rPr>
                  </w:pPr>
                  <w:r>
                    <w:rPr>
                      <w:rFonts w:hint="default" w:ascii="Times New Roman" w:hAnsi="Times New Roman" w:cs="Times New Roman" w:eastAsiaTheme="minorEastAsia"/>
                    </w:rPr>
                    <w:t>排放废气含有毒有害污染物</w:t>
                  </w:r>
                  <w:r>
                    <w:rPr>
                      <w:rFonts w:hint="default" w:ascii="Times New Roman" w:hAnsi="Times New Roman" w:cs="Times New Roman" w:eastAsiaTheme="minorEastAsia"/>
                      <w:vertAlign w:val="superscript"/>
                    </w:rPr>
                    <w:t>1</w:t>
                  </w:r>
                  <w:r>
                    <w:rPr>
                      <w:rFonts w:hint="default" w:ascii="Times New Roman" w:hAnsi="Times New Roman" w:cs="Times New Roman" w:eastAsiaTheme="minorEastAsia"/>
                    </w:rPr>
                    <w:t>、二噁英、苯并[a]芘、氰化物、氯气且厂界外500米范围内有环境空气保护目标</w:t>
                  </w:r>
                  <w:r>
                    <w:rPr>
                      <w:rFonts w:hint="default" w:ascii="Times New Roman" w:hAnsi="Times New Roman" w:cs="Times New Roman" w:eastAsiaTheme="minorEastAsia"/>
                      <w:vertAlign w:val="superscript"/>
                    </w:rPr>
                    <w:t>2</w:t>
                  </w:r>
                  <w:r>
                    <w:rPr>
                      <w:rFonts w:hint="default" w:ascii="Times New Roman" w:hAnsi="Times New Roman" w:cs="Times New Roman" w:eastAsiaTheme="minorEastAsia"/>
                    </w:rPr>
                    <w:t>的建设项目</w:t>
                  </w:r>
                </w:p>
              </w:tc>
              <w:tc>
                <w:tcPr>
                  <w:tcW w:w="1628" w:type="pct"/>
                  <w:vAlign w:val="center"/>
                </w:tcPr>
                <w:p>
                  <w:pPr>
                    <w:pStyle w:val="56"/>
                    <w:rPr>
                      <w:rFonts w:hint="default" w:ascii="Times New Roman" w:hAnsi="Times New Roman" w:cs="Times New Roman" w:eastAsiaTheme="minorEastAsia"/>
                    </w:rPr>
                  </w:pPr>
                  <w:r>
                    <w:rPr>
                      <w:rFonts w:hint="default" w:ascii="Times New Roman" w:hAnsi="Times New Roman" w:cs="Times New Roman"/>
                      <w:szCs w:val="21"/>
                      <w:lang w:val="en-US"/>
                    </w:rPr>
                    <w:t>本项目不涉及有毒有害污染物，因此，不设置大气专项评价。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pStyle w:val="56"/>
                    <w:rPr>
                      <w:rFonts w:hint="default" w:ascii="Times New Roman" w:hAnsi="Times New Roman" w:cs="Times New Roman" w:eastAsiaTheme="minorEastAsia"/>
                    </w:rPr>
                  </w:pPr>
                  <w:r>
                    <w:rPr>
                      <w:rFonts w:hint="default" w:ascii="Times New Roman" w:hAnsi="Times New Roman" w:cs="Times New Roman" w:eastAsiaTheme="minorEastAsia"/>
                    </w:rPr>
                    <w:t>地表水</w:t>
                  </w:r>
                </w:p>
              </w:tc>
              <w:tc>
                <w:tcPr>
                  <w:tcW w:w="2432" w:type="pct"/>
                  <w:vAlign w:val="center"/>
                </w:tcPr>
                <w:p>
                  <w:pPr>
                    <w:pStyle w:val="56"/>
                    <w:rPr>
                      <w:rFonts w:hint="default" w:ascii="Times New Roman" w:hAnsi="Times New Roman" w:cs="Times New Roman" w:eastAsiaTheme="minorEastAsia"/>
                    </w:rPr>
                  </w:pPr>
                  <w:r>
                    <w:rPr>
                      <w:rFonts w:hint="default" w:ascii="Times New Roman" w:hAnsi="Times New Roman" w:cs="Times New Roman" w:eastAsiaTheme="minorEastAsia"/>
                    </w:rPr>
                    <w:t>新增工业废水直排建设项目（槽罐车外送污水处理厂的除外）；新增废水直排的污水集中处理厂</w:t>
                  </w:r>
                </w:p>
              </w:tc>
              <w:tc>
                <w:tcPr>
                  <w:tcW w:w="1628" w:type="pct"/>
                  <w:vAlign w:val="center"/>
                </w:tcPr>
                <w:p>
                  <w:pPr>
                    <w:pStyle w:val="56"/>
                    <w:rPr>
                      <w:rFonts w:hint="default" w:ascii="Times New Roman" w:hAnsi="Times New Roman" w:cs="Times New Roman" w:eastAsiaTheme="minorEastAsia"/>
                    </w:rPr>
                  </w:pPr>
                  <w:r>
                    <w:rPr>
                      <w:rFonts w:hint="default" w:ascii="Times New Roman" w:hAnsi="Times New Roman" w:cs="Times New Roman"/>
                      <w:b/>
                      <w:kern w:val="0"/>
                      <w:szCs w:val="21"/>
                    </w:rPr>
                    <w:t>本项目为城镇污水集中处理厂，尾水最终排入州河，因此，需设地表水专项评价。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pStyle w:val="56"/>
                    <w:rPr>
                      <w:rFonts w:hint="default" w:ascii="Times New Roman" w:hAnsi="Times New Roman" w:cs="Times New Roman" w:eastAsiaTheme="minorEastAsia"/>
                    </w:rPr>
                  </w:pPr>
                  <w:r>
                    <w:rPr>
                      <w:rFonts w:hint="default" w:ascii="Times New Roman" w:hAnsi="Times New Roman" w:cs="Times New Roman" w:eastAsiaTheme="minorEastAsia"/>
                    </w:rPr>
                    <w:t>环境风险</w:t>
                  </w:r>
                </w:p>
              </w:tc>
              <w:tc>
                <w:tcPr>
                  <w:tcW w:w="2432" w:type="pct"/>
                  <w:vAlign w:val="center"/>
                </w:tcPr>
                <w:p>
                  <w:pPr>
                    <w:pStyle w:val="56"/>
                    <w:rPr>
                      <w:rFonts w:hint="default" w:ascii="Times New Roman" w:hAnsi="Times New Roman" w:cs="Times New Roman" w:eastAsiaTheme="minorEastAsia"/>
                    </w:rPr>
                  </w:pPr>
                  <w:r>
                    <w:rPr>
                      <w:rFonts w:hint="default" w:ascii="Times New Roman" w:hAnsi="Times New Roman" w:cs="Times New Roman" w:eastAsiaTheme="minorEastAsia"/>
                    </w:rPr>
                    <w:t>有毒有害和易燃易爆危险物质存储量超过临界量</w:t>
                  </w:r>
                  <w:r>
                    <w:rPr>
                      <w:rFonts w:hint="default" w:ascii="Times New Roman" w:hAnsi="Times New Roman" w:cs="Times New Roman" w:eastAsiaTheme="minorEastAsia"/>
                      <w:vertAlign w:val="superscript"/>
                    </w:rPr>
                    <w:t>3</w:t>
                  </w:r>
                  <w:r>
                    <w:rPr>
                      <w:rFonts w:hint="default" w:ascii="Times New Roman" w:hAnsi="Times New Roman" w:cs="Times New Roman" w:eastAsiaTheme="minorEastAsia"/>
                    </w:rPr>
                    <w:t>的建设项目</w:t>
                  </w:r>
                </w:p>
              </w:tc>
              <w:tc>
                <w:tcPr>
                  <w:tcW w:w="2279" w:type="dxa"/>
                  <w:vAlign w:val="center"/>
                </w:tcPr>
                <w:p>
                  <w:pPr>
                    <w:spacing w:line="276" w:lineRule="auto"/>
                    <w:jc w:val="center"/>
                    <w:rPr>
                      <w:rFonts w:hint="default" w:ascii="Times New Roman" w:hAnsi="Times New Roman" w:cs="Times New Roman"/>
                      <w:sz w:val="21"/>
                      <w:szCs w:val="21"/>
                    </w:rPr>
                  </w:pPr>
                  <w:r>
                    <w:rPr>
                      <w:rFonts w:hint="default" w:ascii="Times New Roman" w:hAnsi="Times New Roman" w:cs="Times New Roman"/>
                      <w:sz w:val="21"/>
                      <w:szCs w:val="21"/>
                    </w:rPr>
                    <w:t>本项目危险物质的储存量低于临界量，因此，不设置环境风险专项评价。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pStyle w:val="56"/>
                    <w:rPr>
                      <w:rFonts w:hint="default" w:ascii="Times New Roman" w:hAnsi="Times New Roman" w:cs="Times New Roman" w:eastAsiaTheme="minorEastAsia"/>
                    </w:rPr>
                  </w:pPr>
                  <w:r>
                    <w:rPr>
                      <w:rFonts w:hint="default" w:ascii="Times New Roman" w:hAnsi="Times New Roman" w:cs="Times New Roman" w:eastAsiaTheme="minorEastAsia"/>
                    </w:rPr>
                    <w:t>生态</w:t>
                  </w:r>
                </w:p>
              </w:tc>
              <w:tc>
                <w:tcPr>
                  <w:tcW w:w="2432" w:type="pct"/>
                  <w:vAlign w:val="center"/>
                </w:tcPr>
                <w:p>
                  <w:pPr>
                    <w:pStyle w:val="56"/>
                    <w:rPr>
                      <w:rFonts w:hint="default" w:ascii="Times New Roman" w:hAnsi="Times New Roman" w:cs="Times New Roman" w:eastAsiaTheme="minorEastAsia"/>
                    </w:rPr>
                  </w:pPr>
                  <w:r>
                    <w:rPr>
                      <w:rFonts w:hint="default" w:ascii="Times New Roman" w:hAnsi="Times New Roman" w:cs="Times New Roman" w:eastAsiaTheme="minorEastAsia"/>
                    </w:rPr>
                    <w:t>取水口下游 500 米范围内有重要水生生物的自然产卵场、索饵场、越冬场和洄游通道的新增河道取水的污染类建设项目</w:t>
                  </w:r>
                </w:p>
              </w:tc>
              <w:tc>
                <w:tcPr>
                  <w:tcW w:w="2279" w:type="dxa"/>
                  <w:vAlign w:val="center"/>
                </w:tcPr>
                <w:p>
                  <w:pPr>
                    <w:spacing w:line="276" w:lineRule="auto"/>
                    <w:jc w:val="center"/>
                    <w:rPr>
                      <w:rFonts w:hint="default" w:ascii="Times New Roman" w:hAnsi="Times New Roman" w:cs="Times New Roman"/>
                      <w:sz w:val="21"/>
                      <w:szCs w:val="21"/>
                    </w:rPr>
                  </w:pPr>
                  <w:r>
                    <w:rPr>
                      <w:rFonts w:hint="default" w:ascii="Times New Roman" w:hAnsi="Times New Roman" w:cs="Times New Roman"/>
                      <w:sz w:val="21"/>
                      <w:szCs w:val="21"/>
                    </w:rPr>
                    <w:t>本项目用水由城镇给水管网供应，不涉及取水，因此，不设置生态专项评价。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pct"/>
                  <w:vAlign w:val="center"/>
                </w:tcPr>
                <w:p>
                  <w:pPr>
                    <w:pStyle w:val="56"/>
                    <w:rPr>
                      <w:rFonts w:hint="default" w:ascii="Times New Roman" w:hAnsi="Times New Roman" w:cs="Times New Roman" w:eastAsiaTheme="minorEastAsia"/>
                    </w:rPr>
                  </w:pPr>
                  <w:r>
                    <w:rPr>
                      <w:rFonts w:hint="default" w:ascii="Times New Roman" w:hAnsi="Times New Roman" w:cs="Times New Roman" w:eastAsiaTheme="minorEastAsia"/>
                    </w:rPr>
                    <w:t>海洋</w:t>
                  </w:r>
                </w:p>
              </w:tc>
              <w:tc>
                <w:tcPr>
                  <w:tcW w:w="2432" w:type="pct"/>
                  <w:vAlign w:val="center"/>
                </w:tcPr>
                <w:p>
                  <w:pPr>
                    <w:pStyle w:val="56"/>
                    <w:rPr>
                      <w:rFonts w:hint="default" w:ascii="Times New Roman" w:hAnsi="Times New Roman" w:cs="Times New Roman" w:eastAsiaTheme="minorEastAsia"/>
                    </w:rPr>
                  </w:pPr>
                  <w:r>
                    <w:rPr>
                      <w:rFonts w:hint="default" w:ascii="Times New Roman" w:hAnsi="Times New Roman" w:cs="Times New Roman" w:eastAsiaTheme="minorEastAsia"/>
                    </w:rPr>
                    <w:t>直接向海排放污染物的海洋工程建设项目</w:t>
                  </w:r>
                </w:p>
              </w:tc>
              <w:tc>
                <w:tcPr>
                  <w:tcW w:w="2279" w:type="dxa"/>
                  <w:vAlign w:val="center"/>
                </w:tcPr>
                <w:p>
                  <w:pPr>
                    <w:spacing w:line="276" w:lineRule="auto"/>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本项目不涉及，因此，不设置海洋专项评价。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vAlign w:val="center"/>
                </w:tcPr>
                <w:p>
                  <w:pPr>
                    <w:widowControl w:val="0"/>
                    <w:spacing w:line="276"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pPr>
              <w:widowControl/>
              <w:ind w:firstLine="480" w:firstLineChars="200"/>
              <w:jc w:val="both"/>
              <w:rPr>
                <w:rFonts w:hint="default" w:ascii="Times New Roman" w:hAnsi="Times New Roman" w:cs="Times New Roman"/>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val="0"/>
              <w:adjustRightInd w:val="0"/>
              <w:snapToGrid w:val="0"/>
              <w:spacing w:line="240" w:lineRule="auto"/>
              <w:jc w:val="center"/>
              <w:rPr>
                <w:rFonts w:hint="default" w:ascii="Times New Roman" w:hAnsi="Times New Roman" w:cs="Times New Roman"/>
                <w:b/>
                <w:bCs/>
                <w:kern w:val="0"/>
                <w:szCs w:val="20"/>
              </w:rPr>
            </w:pPr>
            <w:r>
              <w:rPr>
                <w:rFonts w:hint="default" w:ascii="Times New Roman" w:hAnsi="Times New Roman" w:cs="Times New Roman"/>
                <w:b/>
                <w:bCs/>
                <w:kern w:val="0"/>
                <w:szCs w:val="21"/>
              </w:rPr>
              <w:t>规划情况</w:t>
            </w:r>
          </w:p>
        </w:tc>
        <w:tc>
          <w:tcPr>
            <w:tcW w:w="7364" w:type="dxa"/>
            <w:gridSpan w:val="3"/>
            <w:vAlign w:val="center"/>
          </w:tcPr>
          <w:p>
            <w:pPr>
              <w:widowControl/>
              <w:jc w:val="left"/>
              <w:rPr>
                <w:rFonts w:hint="default" w:ascii="Times New Roman" w:hAnsi="Times New Roman" w:cs="Times New Roman"/>
                <w:kern w:val="0"/>
                <w:szCs w:val="20"/>
              </w:rPr>
            </w:pPr>
            <w:r>
              <w:rPr>
                <w:rFonts w:hint="default" w:ascii="Times New Roman" w:hAnsi="Times New Roman" w:cs="Times New Roman"/>
                <w:kern w:val="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1696" w:type="dxa"/>
            <w:vAlign w:val="center"/>
          </w:tcPr>
          <w:p>
            <w:pPr>
              <w:widowControl w:val="0"/>
              <w:adjustRightInd w:val="0"/>
              <w:snapToGrid w:val="0"/>
              <w:spacing w:line="240" w:lineRule="auto"/>
              <w:jc w:val="center"/>
              <w:rPr>
                <w:rFonts w:hint="default" w:ascii="Times New Roman" w:hAnsi="Times New Roman" w:cs="Times New Roman"/>
                <w:b/>
                <w:bCs/>
                <w:kern w:val="0"/>
                <w:szCs w:val="20"/>
              </w:rPr>
            </w:pPr>
            <w:r>
              <w:rPr>
                <w:rFonts w:hint="default" w:ascii="Times New Roman" w:hAnsi="Times New Roman" w:cs="Times New Roman"/>
                <w:b/>
                <w:bCs/>
                <w:kern w:val="0"/>
                <w:szCs w:val="21"/>
              </w:rPr>
              <w:t>规划环境影响评价情况</w:t>
            </w:r>
          </w:p>
        </w:tc>
        <w:tc>
          <w:tcPr>
            <w:tcW w:w="7364" w:type="dxa"/>
            <w:gridSpan w:val="3"/>
            <w:vAlign w:val="center"/>
          </w:tcPr>
          <w:p>
            <w:pPr>
              <w:widowControl/>
              <w:jc w:val="left"/>
              <w:rPr>
                <w:rFonts w:hint="default" w:ascii="Times New Roman" w:hAnsi="Times New Roman" w:cs="Times New Roman"/>
                <w:kern w:val="0"/>
                <w:szCs w:val="20"/>
              </w:rPr>
            </w:pPr>
            <w:r>
              <w:rPr>
                <w:rFonts w:hint="default" w:ascii="Times New Roman" w:hAnsi="Times New Roman" w:cs="Times New Roman"/>
                <w:kern w:val="0"/>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val="0"/>
              <w:adjustRightInd w:val="0"/>
              <w:snapToGrid w:val="0"/>
              <w:spacing w:line="240" w:lineRule="auto"/>
              <w:jc w:val="center"/>
              <w:rPr>
                <w:rFonts w:hint="default" w:ascii="Times New Roman" w:hAnsi="Times New Roman" w:cs="Times New Roman"/>
                <w:b/>
                <w:bCs/>
                <w:kern w:val="0"/>
                <w:szCs w:val="20"/>
              </w:rPr>
            </w:pPr>
            <w:r>
              <w:rPr>
                <w:rFonts w:hint="default" w:ascii="Times New Roman" w:hAnsi="Times New Roman" w:cs="Times New Roman"/>
                <w:b/>
                <w:bCs/>
                <w:kern w:val="0"/>
                <w:szCs w:val="21"/>
              </w:rPr>
              <w:t>规划及规划环境影响评价符合性分析</w:t>
            </w:r>
          </w:p>
        </w:tc>
        <w:tc>
          <w:tcPr>
            <w:tcW w:w="7364" w:type="dxa"/>
            <w:gridSpan w:val="3"/>
            <w:vAlign w:val="center"/>
          </w:tcPr>
          <w:p>
            <w:pPr>
              <w:widowControl w:val="0"/>
              <w:autoSpaceDE w:val="0"/>
              <w:autoSpaceDN w:val="0"/>
              <w:adjustRightInd w:val="0"/>
              <w:snapToGrid w:val="0"/>
              <w:jc w:val="left"/>
              <w:rPr>
                <w:rFonts w:hint="default" w:ascii="Times New Roman" w:hAnsi="Times New Roman" w:eastAsia="宋体" w:cs="Times New Roman"/>
              </w:rPr>
            </w:pPr>
            <w:r>
              <w:rPr>
                <w:rFonts w:hint="default" w:ascii="Times New Roman" w:hAnsi="Times New Roman" w:eastAsia="宋体" w:cs="Times New Roma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val="0"/>
              <w:adjustRightInd w:val="0"/>
              <w:snapToGrid w:val="0"/>
              <w:spacing w:line="24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其他符合性分析</w:t>
            </w:r>
          </w:p>
        </w:tc>
        <w:tc>
          <w:tcPr>
            <w:tcW w:w="7364" w:type="dxa"/>
            <w:gridSpan w:val="3"/>
            <w:vAlign w:val="center"/>
          </w:tcPr>
          <w:p>
            <w:pPr>
              <w:widowControl w:val="0"/>
              <w:jc w:val="both"/>
              <w:rPr>
                <w:rFonts w:hint="default" w:ascii="Times New Roman" w:hAnsi="Times New Roman" w:cs="Times New Roman"/>
                <w:b/>
                <w:bCs/>
              </w:rPr>
            </w:pPr>
            <w:r>
              <w:rPr>
                <w:rFonts w:hint="default" w:ascii="Times New Roman" w:hAnsi="Times New Roman" w:cs="Times New Roman"/>
                <w:b/>
                <w:bCs/>
                <w:kern w:val="0"/>
                <w:szCs w:val="20"/>
              </w:rPr>
              <w:t>1.1</w:t>
            </w:r>
            <w:r>
              <w:rPr>
                <w:rFonts w:hint="default" w:ascii="Times New Roman" w:hAnsi="Times New Roman" w:cs="Times New Roman"/>
                <w:b/>
                <w:bCs/>
              </w:rPr>
              <w:t>与《宣汉县明月新城控制性详细规划》符合性分析</w:t>
            </w:r>
          </w:p>
          <w:p>
            <w:pPr>
              <w:pStyle w:val="16"/>
              <w:spacing w:before="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根据《宣汉县明月新城控制性详细规划》，在宣汉县建设“印象州河畔、城市会客厅”，打造山环水绕、山水相映的生态滨江城——明月新城，推动县城达到“双30”规模。并在明月新城东南侧规划一座污水处理厂。</w:t>
            </w:r>
          </w:p>
          <w:p>
            <w:pPr>
              <w:pStyle w:val="16"/>
              <w:spacing w:before="0" w:line="360" w:lineRule="auto"/>
              <w:ind w:firstLine="480" w:firstLineChars="200"/>
              <w:rPr>
                <w:rFonts w:hint="default" w:ascii="Times New Roman" w:hAnsi="Times New Roman" w:cs="Times New Roman" w:eastAsiaTheme="minorEastAsia"/>
                <w:sz w:val="24"/>
              </w:rPr>
            </w:pPr>
            <w:r>
              <w:rPr>
                <w:rFonts w:hint="default" w:ascii="Times New Roman" w:hAnsi="Times New Roman" w:cs="Times New Roman" w:eastAsiaTheme="minorEastAsia"/>
                <w:sz w:val="24"/>
              </w:rPr>
              <w:t>根据设计方案，本项目实际建设规模为日处理规模1.0万m</w:t>
            </w:r>
            <w:r>
              <w:rPr>
                <w:rFonts w:hint="default" w:ascii="Times New Roman" w:hAnsi="Times New Roman" w:cs="Times New Roman" w:eastAsiaTheme="minorEastAsia"/>
                <w:sz w:val="24"/>
                <w:vertAlign w:val="superscript"/>
              </w:rPr>
              <w:t>3</w:t>
            </w:r>
            <w:r>
              <w:rPr>
                <w:rFonts w:hint="default" w:ascii="Times New Roman" w:hAnsi="Times New Roman" w:cs="Times New Roman" w:eastAsiaTheme="minorEastAsia"/>
                <w:sz w:val="24"/>
              </w:rPr>
              <w:t>/d，所在位置、用地面积等与宣汉县明月新城控制性详细规划一致（详见《宣汉县明月新城控制性详细规划污水工程规划图》（附图6））。</w:t>
            </w:r>
          </w:p>
          <w:p>
            <w:pPr>
              <w:widowControl w:val="0"/>
              <w:ind w:firstLine="480" w:firstLineChars="200"/>
              <w:jc w:val="both"/>
              <w:rPr>
                <w:rFonts w:hint="default" w:ascii="Times New Roman" w:hAnsi="Times New Roman" w:cs="Times New Roman"/>
              </w:rPr>
            </w:pPr>
            <w:r>
              <w:rPr>
                <w:rFonts w:hint="default" w:ascii="Times New Roman" w:hAnsi="Times New Roman" w:cs="Times New Roman"/>
              </w:rPr>
              <w:t>因此，本项目符合《宣汉县明月新城控制性详细规划》相关要求。</w:t>
            </w:r>
          </w:p>
          <w:p>
            <w:pPr>
              <w:widowControl w:val="0"/>
              <w:jc w:val="both"/>
              <w:rPr>
                <w:rFonts w:hint="default" w:ascii="Times New Roman" w:hAnsi="Times New Roman" w:cs="Times New Roman"/>
                <w:b/>
                <w:bCs/>
                <w:kern w:val="0"/>
              </w:rPr>
            </w:pPr>
            <w:r>
              <w:rPr>
                <w:rFonts w:hint="default" w:ascii="Times New Roman" w:hAnsi="Times New Roman" w:cs="Times New Roman"/>
                <w:b/>
                <w:bCs/>
                <w:kern w:val="0"/>
              </w:rPr>
              <w:t>1.2产业政策符合性分析</w:t>
            </w:r>
          </w:p>
          <w:p>
            <w:pPr>
              <w:widowControl w:val="0"/>
              <w:adjustRightInd w:val="0"/>
              <w:snapToGrid w:val="0"/>
              <w:ind w:firstLine="480" w:firstLineChars="200"/>
              <w:jc w:val="both"/>
              <w:rPr>
                <w:rFonts w:hint="default" w:ascii="Times New Roman" w:hAnsi="Times New Roman" w:cs="Times New Roman"/>
                <w:lang w:bidi="en-US"/>
              </w:rPr>
            </w:pPr>
            <w:r>
              <w:rPr>
                <w:rFonts w:hint="default" w:ascii="Times New Roman" w:hAnsi="Times New Roman" w:cs="Times New Roman"/>
                <w:bCs/>
                <w:kern w:val="0"/>
                <w:szCs w:val="20"/>
              </w:rPr>
              <w:t>根据《国民经济行业分类》（GB/T4754-2017），本项目属于“电力、热力、燃气及水生产和供应业”中的</w:t>
            </w:r>
            <w:r>
              <w:rPr>
                <w:rFonts w:hint="default" w:ascii="Times New Roman" w:hAnsi="Times New Roman" w:cs="Times New Roman"/>
              </w:rPr>
              <w:t>D4620 污水处理及其再生利用</w:t>
            </w:r>
            <w:r>
              <w:rPr>
                <w:rFonts w:hint="default" w:ascii="Times New Roman" w:hAnsi="Times New Roman" w:cs="Times New Roman"/>
                <w:bCs/>
                <w:kern w:val="0"/>
                <w:szCs w:val="20"/>
              </w:rPr>
              <w:t>。根据国家发展和改革委员会令第29号《产业结构调整指导目录（2019年本）》，</w:t>
            </w:r>
            <w:r>
              <w:rPr>
                <w:rFonts w:hint="default" w:ascii="Times New Roman" w:hAnsi="Times New Roman" w:cs="Times New Roman"/>
                <w:lang w:bidi="en-US"/>
              </w:rPr>
              <w:t>本项目属于第一类 鼓励类中四十三、环境保护与资源节约综合利用15、“三废”综合利用及治理技术、装备和工程。</w:t>
            </w:r>
          </w:p>
          <w:p>
            <w:pPr>
              <w:widowControl w:val="0"/>
              <w:autoSpaceDE w:val="0"/>
              <w:autoSpaceDN w:val="0"/>
              <w:adjustRightInd w:val="0"/>
              <w:snapToGrid w:val="0"/>
              <w:ind w:firstLine="480" w:firstLineChars="200"/>
              <w:jc w:val="both"/>
              <w:rPr>
                <w:rFonts w:hint="default" w:ascii="Times New Roman" w:hAnsi="Times New Roman" w:cs="Times New Roman"/>
                <w:lang w:bidi="en-US"/>
              </w:rPr>
            </w:pPr>
            <w:r>
              <w:rPr>
                <w:rFonts w:hint="default" w:ascii="Times New Roman" w:hAnsi="Times New Roman" w:cs="Times New Roman"/>
                <w:kern w:val="0"/>
              </w:rPr>
              <w:t>本项目于2022年2月5日取得了</w:t>
            </w:r>
            <w:r>
              <w:rPr>
                <w:rFonts w:hint="default" w:ascii="Times New Roman" w:hAnsi="Times New Roman" w:cs="Times New Roman"/>
                <w:lang w:bidi="en-US"/>
              </w:rPr>
              <w:t>宣汉县发展和改革局出具的《关于宣汉县城（明月坝）污水处理厂建设项目》可行性研究报告的批复（宣发改审【2022】17号）。</w:t>
            </w:r>
          </w:p>
          <w:p>
            <w:pPr>
              <w:widowControl w:val="0"/>
              <w:autoSpaceDE w:val="0"/>
              <w:autoSpaceDN w:val="0"/>
              <w:adjustRightInd w:val="0"/>
              <w:snapToGrid w:val="0"/>
              <w:ind w:firstLine="480" w:firstLineChars="200"/>
              <w:jc w:val="both"/>
              <w:rPr>
                <w:rFonts w:hint="default" w:ascii="Times New Roman" w:hAnsi="Times New Roman" w:cs="Times New Roman"/>
                <w:lang w:bidi="en-US"/>
              </w:rPr>
            </w:pPr>
            <w:r>
              <w:rPr>
                <w:rFonts w:hint="default" w:ascii="Times New Roman" w:hAnsi="Times New Roman" w:cs="Times New Roman"/>
                <w:lang w:bidi="en-US"/>
              </w:rPr>
              <w:t>综上，本项目建设符合国家现行产业政策。</w:t>
            </w:r>
          </w:p>
          <w:p>
            <w:pPr>
              <w:widowControl w:val="0"/>
              <w:jc w:val="both"/>
              <w:rPr>
                <w:rFonts w:hint="default" w:ascii="Times New Roman" w:hAnsi="Times New Roman" w:cs="Times New Roman"/>
                <w:b/>
                <w:bCs/>
                <w:kern w:val="0"/>
              </w:rPr>
            </w:pPr>
            <w:r>
              <w:rPr>
                <w:rFonts w:hint="default" w:ascii="Times New Roman" w:hAnsi="Times New Roman" w:cs="Times New Roman"/>
                <w:b/>
                <w:bCs/>
                <w:kern w:val="0"/>
              </w:rPr>
              <w:t>1.3用地符合性分析</w:t>
            </w:r>
          </w:p>
          <w:p>
            <w:pPr>
              <w:pStyle w:val="187"/>
              <w:widowControl w:val="0"/>
              <w:spacing w:line="350" w:lineRule="auto"/>
              <w:ind w:firstLine="480"/>
              <w:jc w:val="both"/>
              <w:rPr>
                <w:rFonts w:hint="default" w:ascii="Times New Roman" w:hAnsi="Times New Roman" w:cs="Times New Roman"/>
              </w:rPr>
            </w:pPr>
            <w:r>
              <w:rPr>
                <w:rFonts w:hint="default" w:ascii="Times New Roman" w:hAnsi="Times New Roman" w:cs="Times New Roman"/>
              </w:rPr>
              <w:t>2022年1月10日，宣汉县自然资源局出具了《建设项目用地预审与选址意见书》（用字第511722-2022-00004号）（详见附件5），明确本项目用地面积为10000m</w:t>
            </w:r>
            <w:r>
              <w:rPr>
                <w:rFonts w:hint="default" w:ascii="Times New Roman" w:hAnsi="Times New Roman" w:cs="Times New Roman"/>
                <w:vertAlign w:val="superscript"/>
              </w:rPr>
              <w:t>2</w:t>
            </w:r>
            <w:r>
              <w:rPr>
                <w:rFonts w:hint="default" w:ascii="Times New Roman" w:hAnsi="Times New Roman" w:cs="Times New Roman"/>
              </w:rPr>
              <w:t>。根据《宣汉县明月新城控制性详细规划县城规划—土地利用规划图》，本项目用地性质为公用设施用地。</w:t>
            </w:r>
          </w:p>
          <w:p>
            <w:pPr>
              <w:pStyle w:val="187"/>
              <w:widowControl w:val="0"/>
              <w:spacing w:line="350" w:lineRule="auto"/>
              <w:ind w:firstLine="480"/>
              <w:jc w:val="both"/>
              <w:rPr>
                <w:rFonts w:hint="default" w:ascii="Times New Roman" w:hAnsi="Times New Roman" w:cs="Times New Roman"/>
              </w:rPr>
            </w:pPr>
            <w:r>
              <w:rPr>
                <w:rFonts w:hint="default" w:ascii="Times New Roman" w:hAnsi="Times New Roman" w:cs="Times New Roman"/>
              </w:rPr>
              <w:t>综上，本项目用地符合宣汉县用地规划。</w:t>
            </w:r>
          </w:p>
          <w:p>
            <w:pPr>
              <w:pStyle w:val="187"/>
              <w:widowControl w:val="0"/>
              <w:spacing w:line="350" w:lineRule="auto"/>
              <w:ind w:firstLine="0" w:firstLineChars="0"/>
              <w:jc w:val="both"/>
              <w:rPr>
                <w:rFonts w:hint="default" w:ascii="Times New Roman" w:hAnsi="Times New Roman" w:cs="Times New Roman"/>
              </w:rPr>
            </w:pPr>
            <w:r>
              <w:rPr>
                <w:rFonts w:hint="default" w:ascii="Times New Roman" w:hAnsi="Times New Roman" w:cs="Times New Roman"/>
                <w:b/>
                <w:bCs/>
                <w:kern w:val="0"/>
                <w:szCs w:val="20"/>
              </w:rPr>
              <w:t>1.4项目</w:t>
            </w:r>
            <w:r>
              <w:rPr>
                <w:rFonts w:hint="default" w:ascii="Times New Roman" w:hAnsi="Times New Roman" w:cs="Times New Roman"/>
                <w:b/>
                <w:bCs/>
                <w:kern w:val="0"/>
              </w:rPr>
              <w:t>与饮用水源地保护区分析</w:t>
            </w:r>
          </w:p>
          <w:p>
            <w:pPr>
              <w:pStyle w:val="187"/>
              <w:widowControl w:val="0"/>
              <w:spacing w:line="350" w:lineRule="auto"/>
              <w:ind w:firstLine="480"/>
              <w:jc w:val="both"/>
              <w:rPr>
                <w:rFonts w:hint="default" w:ascii="Times New Roman" w:hAnsi="Times New Roman" w:cs="Times New Roman"/>
              </w:rPr>
            </w:pPr>
            <w:r>
              <w:rPr>
                <w:rFonts w:hint="default" w:ascii="Times New Roman" w:hAnsi="Times New Roman" w:cs="Times New Roman"/>
              </w:rPr>
              <w:t>宣汉县现有1个县级集中式饮用水水源地，即后河徐家坡水源地，其保护区划定方案于2018年9月获省政府批复。后河徐家坡水源地取水口位于后河，设计日供水量3万吨，实际日供水量2.9万吨，实际服务人口16万人。后河徐家坡水源地是宣汉县城居民饮水的主要水源。</w:t>
            </w:r>
          </w:p>
          <w:p>
            <w:pPr>
              <w:pStyle w:val="187"/>
              <w:widowControl w:val="0"/>
              <w:spacing w:line="350" w:lineRule="auto"/>
              <w:ind w:firstLine="480"/>
              <w:jc w:val="both"/>
              <w:rPr>
                <w:rFonts w:hint="default" w:ascii="Times New Roman" w:hAnsi="Times New Roman" w:cs="Times New Roman"/>
              </w:rPr>
            </w:pPr>
            <w:r>
              <w:rPr>
                <w:rFonts w:hint="default" w:ascii="Times New Roman" w:hAnsi="Times New Roman" w:cs="Times New Roman"/>
              </w:rPr>
              <w:t>宣汉县县城后河徐家坡集中式饮用水水源地取水口位于江口水电站水库库区内，距江口电站坝址 7000m。江口水电站水库属挡水坝式山丘水库，总库容2.77亿m</w:t>
            </w:r>
            <w:r>
              <w:rPr>
                <w:rFonts w:hint="default" w:ascii="Times New Roman" w:hAnsi="Times New Roman" w:cs="Times New Roman"/>
                <w:vertAlign w:val="superscript"/>
              </w:rPr>
              <w:t>3</w:t>
            </w:r>
            <w:r>
              <w:rPr>
                <w:rFonts w:hint="default" w:ascii="Times New Roman" w:hAnsi="Times New Roman" w:cs="Times New Roman"/>
              </w:rPr>
              <w:t>，兴利库容1.48亿m</w:t>
            </w:r>
            <w:r>
              <w:rPr>
                <w:rFonts w:hint="default" w:ascii="Times New Roman" w:hAnsi="Times New Roman" w:cs="Times New Roman"/>
                <w:vertAlign w:val="superscript"/>
              </w:rPr>
              <w:t>3</w:t>
            </w:r>
            <w:r>
              <w:rPr>
                <w:rFonts w:hint="default" w:ascii="Times New Roman" w:hAnsi="Times New Roman" w:cs="Times New Roman"/>
              </w:rPr>
              <w:t>，坝址多年平均径流量 52.9亿m</w:t>
            </w:r>
            <w:r>
              <w:rPr>
                <w:rFonts w:hint="default" w:ascii="Times New Roman" w:hAnsi="Times New Roman" w:cs="Times New Roman"/>
                <w:vertAlign w:val="superscript"/>
              </w:rPr>
              <w:t>3</w:t>
            </w:r>
            <w:r>
              <w:rPr>
                <w:rFonts w:hint="default" w:ascii="Times New Roman" w:hAnsi="Times New Roman" w:cs="Times New Roman"/>
              </w:rPr>
              <w:t>，正常蓄水位水面面积 18.4 km</w:t>
            </w:r>
            <w:r>
              <w:rPr>
                <w:rFonts w:hint="default" w:ascii="Times New Roman" w:hAnsi="Times New Roman" w:cs="Times New Roman"/>
                <w:vertAlign w:val="superscript"/>
              </w:rPr>
              <w:t>2</w:t>
            </w:r>
            <w:r>
              <w:rPr>
                <w:rFonts w:hint="default" w:ascii="Times New Roman" w:hAnsi="Times New Roman" w:cs="Times New Roman"/>
              </w:rPr>
              <w:t>，其中前河回水段长约25km，至宣汉县黄石乡；后河汇水段长约30km，至普光镇后河与中河汇合处。考虑到徐家坡水源地在江口水电站水库（库区）内取水，即江口水电站水库库区为宣汉县县城供水。江口水电站水库坝址多年平均径流量为1449.3万m</w:t>
            </w:r>
            <w:r>
              <w:rPr>
                <w:rFonts w:hint="default" w:ascii="Times New Roman" w:hAnsi="Times New Roman" w:cs="Times New Roman"/>
                <w:vertAlign w:val="superscript"/>
              </w:rPr>
              <w:t>3</w:t>
            </w:r>
            <w:r>
              <w:rPr>
                <w:rFonts w:hint="default" w:ascii="Times New Roman" w:hAnsi="Times New Roman" w:cs="Times New Roman"/>
              </w:rPr>
              <w:t>/d，按照后河徐家坡水库水源地设计供水量3万m</w:t>
            </w:r>
            <w:r>
              <w:rPr>
                <w:rFonts w:hint="default" w:ascii="Times New Roman" w:hAnsi="Times New Roman" w:cs="Times New Roman"/>
                <w:vertAlign w:val="superscript"/>
              </w:rPr>
              <w:t>3</w:t>
            </w:r>
            <w:r>
              <w:rPr>
                <w:rFonts w:hint="default" w:ascii="Times New Roman" w:hAnsi="Times New Roman" w:cs="Times New Roman"/>
              </w:rPr>
              <w:t>/d 计算，库区水资源量利用率仅2.07%，能够满足宣汉县县城供水需求。因此，后河徐家坡集中式饮用水水源取水量保证率为100%。</w:t>
            </w:r>
          </w:p>
          <w:p>
            <w:pPr>
              <w:pStyle w:val="169"/>
              <w:numPr>
                <w:ilvl w:val="0"/>
                <w:numId w:val="3"/>
              </w:numPr>
              <w:spacing w:before="0" w:after="0" w:line="360" w:lineRule="auto"/>
              <w:ind w:left="0" w:firstLine="0"/>
              <w:jc w:val="center"/>
              <w:rPr>
                <w:rFonts w:hint="default" w:ascii="Times New Roman" w:hAnsi="Times New Roman" w:eastAsia="黑体" w:cs="Times New Roman"/>
                <w:szCs w:val="24"/>
              </w:rPr>
            </w:pPr>
            <w:r>
              <w:rPr>
                <w:rFonts w:hint="default" w:ascii="Times New Roman" w:hAnsi="Times New Roman" w:eastAsia="黑体" w:cs="Times New Roman"/>
                <w:szCs w:val="24"/>
              </w:rPr>
              <w:t>宣汉县后河徐家坡集中式饮用水水源地及其保护区范围</w:t>
            </w:r>
          </w:p>
          <w:tbl>
            <w:tblPr>
              <w:tblStyle w:val="44"/>
              <w:tblW w:w="70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135"/>
              <w:gridCol w:w="5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04" w:hRule="atLeast"/>
              </w:trPr>
              <w:tc>
                <w:tcPr>
                  <w:tcW w:w="807" w:type="pct"/>
                  <w:shd w:val="clear" w:color="auto" w:fill="auto"/>
                  <w:vAlign w:val="center"/>
                </w:tcPr>
                <w:p>
                  <w:pPr>
                    <w:adjustRightInd w:val="0"/>
                    <w:snapToGrid w:val="0"/>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水源地名称</w:t>
                  </w:r>
                </w:p>
              </w:tc>
              <w:tc>
                <w:tcPr>
                  <w:tcW w:w="4193" w:type="pct"/>
                  <w:shd w:val="clear" w:color="auto" w:fill="auto"/>
                  <w:vAlign w:val="center"/>
                </w:tcPr>
                <w:p>
                  <w:pPr>
                    <w:adjustRightInd w:val="0"/>
                    <w:snapToGrid w:val="0"/>
                    <w:spacing w:line="360" w:lineRule="exact"/>
                    <w:rPr>
                      <w:rFonts w:hint="default" w:ascii="Times New Roman" w:hAnsi="Times New Roman" w:cs="Times New Roman"/>
                      <w:b/>
                      <w:bCs/>
                      <w:sz w:val="21"/>
                      <w:szCs w:val="21"/>
                    </w:rPr>
                  </w:pPr>
                  <w:r>
                    <w:rPr>
                      <w:rFonts w:hint="default" w:ascii="Times New Roman" w:hAnsi="Times New Roman" w:cs="Times New Roman"/>
                      <w:b/>
                      <w:bCs/>
                      <w:sz w:val="21"/>
                      <w:szCs w:val="21"/>
                    </w:rPr>
                    <w:t>后河徐家坡水源地---达市府【2018】31号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04" w:hRule="atLeast"/>
              </w:trPr>
              <w:tc>
                <w:tcPr>
                  <w:tcW w:w="807" w:type="pct"/>
                  <w:shd w:val="clear" w:color="auto" w:fill="auto"/>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取水口信息</w:t>
                  </w:r>
                </w:p>
              </w:tc>
              <w:tc>
                <w:tcPr>
                  <w:tcW w:w="4193" w:type="pct"/>
                  <w:shd w:val="clear" w:color="auto" w:fill="auto"/>
                  <w:vAlign w:val="center"/>
                </w:tcPr>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宣汉县东乡镇后河右岸徐家坡</w:t>
                  </w:r>
                </w:p>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（31°22′36.22″N，107°43′35.67″E）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04" w:hRule="atLeast"/>
              </w:trPr>
              <w:tc>
                <w:tcPr>
                  <w:tcW w:w="807" w:type="pct"/>
                  <w:shd w:val="clear" w:color="auto" w:fill="auto"/>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一级保护区</w:t>
                  </w:r>
                </w:p>
              </w:tc>
              <w:tc>
                <w:tcPr>
                  <w:tcW w:w="4193" w:type="pct"/>
                  <w:shd w:val="clear" w:color="auto" w:fill="auto"/>
                  <w:vAlign w:val="center"/>
                </w:tcPr>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航道除外，取水口下游500米处至取水口上游1000米，多年平均水位对应的高程线下的水域范围。正常水位线以上一级保护区水域边界右岸纵深200米，左岸纵深至宣清路临河侧防撞墙的陆域范围。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04" w:hRule="atLeast"/>
              </w:trPr>
              <w:tc>
                <w:tcPr>
                  <w:tcW w:w="807" w:type="pct"/>
                  <w:shd w:val="clear" w:color="auto" w:fill="auto"/>
                  <w:vAlign w:val="center"/>
                </w:tcPr>
                <w:p>
                  <w:pPr>
                    <w:adjustRightInd w:val="0"/>
                    <w:snapToGri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二级保护区</w:t>
                  </w:r>
                </w:p>
              </w:tc>
              <w:tc>
                <w:tcPr>
                  <w:tcW w:w="4193" w:type="pct"/>
                  <w:shd w:val="clear" w:color="auto" w:fill="auto"/>
                  <w:vAlign w:val="center"/>
                </w:tcPr>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航道除外，取水口下游800米的梨湾溪入后河口下游侧至取水口上游3000米，多年平均水位对应的高程线下的水域范围。一、二级保护区水域边界沿两岸纵深至第一重山脊线的除一级保护区外的陆域范围。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404" w:hRule="atLeast"/>
              </w:trPr>
              <w:tc>
                <w:tcPr>
                  <w:tcW w:w="807" w:type="pct"/>
                  <w:shd w:val="clear" w:color="auto" w:fill="auto"/>
                  <w:vAlign w:val="center"/>
                </w:tcPr>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准保护区</w:t>
                  </w:r>
                </w:p>
              </w:tc>
              <w:tc>
                <w:tcPr>
                  <w:tcW w:w="4193" w:type="pct"/>
                  <w:shd w:val="clear" w:color="auto" w:fill="auto"/>
                  <w:vAlign w:val="center"/>
                </w:tcPr>
                <w:p>
                  <w:pPr>
                    <w:adjustRightInd w:val="0"/>
                    <w:snapToGrid w:val="0"/>
                    <w:spacing w:line="360" w:lineRule="exact"/>
                    <w:rPr>
                      <w:rFonts w:hint="default" w:ascii="Times New Roman" w:hAnsi="Times New Roman" w:cs="Times New Roman"/>
                      <w:sz w:val="21"/>
                      <w:szCs w:val="21"/>
                    </w:rPr>
                  </w:pPr>
                  <w:r>
                    <w:rPr>
                      <w:rFonts w:hint="default" w:ascii="Times New Roman" w:hAnsi="Times New Roman" w:cs="Times New Roman"/>
                      <w:sz w:val="21"/>
                      <w:szCs w:val="21"/>
                    </w:rPr>
                    <w:t>后河二级保护区上边界上溯2000米，多年平均水位对应的高程线下的水域范围，以及梨湾溪集水范围内的全部水域范围。准保护区水域边界沿两岸纵深至流域分水岭的陆域，以及梨湾溪集水范围内的全部陆域范围。</w:t>
                  </w:r>
                </w:p>
              </w:tc>
            </w:tr>
          </w:tbl>
          <w:p>
            <w:pPr>
              <w:widowControl w:val="0"/>
              <w:ind w:firstLine="480" w:firstLineChars="200"/>
              <w:jc w:val="both"/>
              <w:rPr>
                <w:rFonts w:hint="default" w:ascii="Times New Roman" w:hAnsi="Times New Roman" w:eastAsia="黑体" w:cs="Times New Roman"/>
                <w:kern w:val="0"/>
              </w:rPr>
            </w:pPr>
            <w:r>
              <w:rPr>
                <w:rFonts w:hint="default" w:ascii="Times New Roman" w:hAnsi="Times New Roman" w:eastAsia="黑体" w:cs="Times New Roman"/>
                <w:shd w:val="clear" w:color="auto" w:fill="FFFFFF"/>
              </w:rPr>
              <w:t>根据调查，达州市县级集中式饮用水源保护地—宣汉县徐家坡水源地</w:t>
            </w:r>
            <w:r>
              <w:rPr>
                <w:rFonts w:hint="default" w:ascii="Times New Roman" w:hAnsi="Times New Roman" w:eastAsia="黑体" w:cs="Times New Roman"/>
                <w:kern w:val="0"/>
              </w:rPr>
              <w:t>取水口位于本项目上游，</w:t>
            </w:r>
            <w:r>
              <w:rPr>
                <w:rFonts w:hint="default" w:ascii="Times New Roman" w:hAnsi="Times New Roman" w:eastAsia="黑体" w:cs="Times New Roman"/>
                <w:b/>
                <w:bCs/>
                <w:kern w:val="0"/>
              </w:rPr>
              <w:t>污水处理厂</w:t>
            </w:r>
            <w:r>
              <w:rPr>
                <w:rFonts w:hint="default" w:ascii="Times New Roman" w:hAnsi="Times New Roman" w:eastAsia="黑体" w:cs="Times New Roman"/>
                <w:kern w:val="0"/>
              </w:rPr>
              <w:t>与该集中式饮用水水源地取水口最近的直线距离约1.9km；</w:t>
            </w:r>
            <w:r>
              <w:rPr>
                <w:rFonts w:hint="default" w:ascii="Times New Roman" w:hAnsi="Times New Roman" w:eastAsia="黑体" w:cs="Times New Roman"/>
                <w:b/>
                <w:bCs/>
                <w:kern w:val="0"/>
              </w:rPr>
              <w:t>入河排污口</w:t>
            </w:r>
            <w:r>
              <w:rPr>
                <w:rFonts w:hint="default" w:ascii="Times New Roman" w:hAnsi="Times New Roman" w:eastAsia="黑体" w:cs="Times New Roman"/>
                <w:kern w:val="0"/>
              </w:rPr>
              <w:t>与该集中式饮用水水源地取水口最近的直线距离约2.5km；</w:t>
            </w:r>
            <w:r>
              <w:rPr>
                <w:rFonts w:hint="default" w:ascii="Times New Roman" w:hAnsi="Times New Roman" w:eastAsia="黑体" w:cs="Times New Roman"/>
                <w:b/>
                <w:bCs/>
                <w:kern w:val="0"/>
              </w:rPr>
              <w:t>污水处理厂</w:t>
            </w:r>
            <w:r>
              <w:rPr>
                <w:rFonts w:hint="default" w:ascii="Times New Roman" w:hAnsi="Times New Roman" w:eastAsia="黑体" w:cs="Times New Roman"/>
                <w:kern w:val="0"/>
              </w:rPr>
              <w:t>距饮用水源二级保护区陆域约0.77km；</w:t>
            </w:r>
            <w:r>
              <w:rPr>
                <w:rFonts w:hint="default" w:ascii="Times New Roman" w:hAnsi="Times New Roman" w:eastAsia="黑体" w:cs="Times New Roman"/>
                <w:b/>
                <w:bCs/>
                <w:kern w:val="0"/>
              </w:rPr>
              <w:t>入河排污口</w:t>
            </w:r>
            <w:r>
              <w:rPr>
                <w:rFonts w:hint="default" w:ascii="Times New Roman" w:hAnsi="Times New Roman" w:eastAsia="黑体" w:cs="Times New Roman"/>
                <w:kern w:val="0"/>
              </w:rPr>
              <w:t>距饮用水源二级保护区陆域约1.8km（见附图3）。</w:t>
            </w:r>
          </w:p>
          <w:p>
            <w:pPr>
              <w:widowControl w:val="0"/>
              <w:ind w:firstLine="480" w:firstLineChars="200"/>
              <w:jc w:val="both"/>
              <w:rPr>
                <w:rFonts w:hint="default" w:ascii="Times New Roman" w:hAnsi="Times New Roman" w:eastAsia="黑体" w:cs="Times New Roman"/>
                <w:kern w:val="0"/>
              </w:rPr>
            </w:pPr>
            <w:r>
              <w:rPr>
                <w:rFonts w:hint="default" w:ascii="Times New Roman" w:hAnsi="Times New Roman" w:eastAsia="黑体" w:cs="Times New Roman"/>
                <w:kern w:val="0"/>
              </w:rPr>
              <w:t>因此，本项目不在</w:t>
            </w:r>
            <w:r>
              <w:rPr>
                <w:rFonts w:hint="default" w:ascii="Times New Roman" w:hAnsi="Times New Roman" w:eastAsia="黑体" w:cs="Times New Roman"/>
                <w:shd w:val="clear" w:color="auto" w:fill="FFFFFF"/>
              </w:rPr>
              <w:t>达州市县级集中式饮用水源保护地—宣汉县徐家坡水源地</w:t>
            </w:r>
            <w:r>
              <w:rPr>
                <w:rFonts w:hint="default" w:ascii="Times New Roman" w:hAnsi="Times New Roman" w:eastAsia="黑体" w:cs="Times New Roman"/>
                <w:kern w:val="0"/>
              </w:rPr>
              <w:t>保护区范围内。除此之外，本项目配套的污水收集管网、尾水输送管网均不穿越饮用水源保护地。</w:t>
            </w:r>
          </w:p>
          <w:p>
            <w:pPr>
              <w:pStyle w:val="187"/>
              <w:widowControl w:val="0"/>
              <w:ind w:firstLine="0" w:firstLineChars="0"/>
              <w:jc w:val="both"/>
              <w:rPr>
                <w:rFonts w:hint="default" w:ascii="Times New Roman" w:hAnsi="Times New Roman" w:cs="Times New Roman"/>
                <w:b/>
              </w:rPr>
            </w:pPr>
            <w:r>
              <w:rPr>
                <w:rFonts w:hint="default" w:ascii="Times New Roman" w:hAnsi="Times New Roman" w:cs="Times New Roman"/>
                <w:b/>
              </w:rPr>
              <w:t>1.5项目与后河特有鱼类资源保护区位置关系</w:t>
            </w:r>
          </w:p>
          <w:p>
            <w:pPr>
              <w:pStyle w:val="53"/>
              <w:ind w:firstLine="480"/>
              <w:rPr>
                <w:rFonts w:hint="default" w:ascii="Times New Roman" w:hAnsi="Times New Roman" w:cs="Times New Roman"/>
                <w:szCs w:val="24"/>
              </w:rPr>
            </w:pPr>
            <w:r>
              <w:rPr>
                <w:rFonts w:hint="default" w:ascii="Times New Roman" w:hAnsi="Times New Roman" w:cs="Times New Roman"/>
                <w:szCs w:val="24"/>
              </w:rPr>
              <w:t>中国的水产种质资源保护区是指为保护和合理利用水产种质资源及其生存环境，在保护对象的产卵场、索饵场、越冬场、洄游通道等主要生长繁育区域依法划出一定面积的水域滩涂和必要的土地，予以特殊保护和管理的区域。水产种质资源保护区分为国家级和省级，其中国家级水产种质资源保护区是指在国内国际有重大影响，具有重要经济价值、遗传育种价值或特殊生态保护和科研价值，保护对象为重要的、洄游性的共用水产种质资源或保护对象分布区域跨省（自治区、直辖市）际行政区划或海域管辖权限的，经农业部批准并公布的水产 种质资源保护区。</w:t>
            </w:r>
          </w:p>
          <w:p>
            <w:pPr>
              <w:pStyle w:val="53"/>
              <w:ind w:firstLine="480"/>
              <w:rPr>
                <w:rFonts w:hint="default" w:ascii="Times New Roman" w:hAnsi="Times New Roman" w:cs="Times New Roman"/>
                <w:szCs w:val="24"/>
              </w:rPr>
            </w:pPr>
            <w:r>
              <w:rPr>
                <w:rFonts w:hint="default" w:ascii="Times New Roman" w:hAnsi="Times New Roman" w:cs="Times New Roman"/>
                <w:szCs w:val="24"/>
              </w:rPr>
              <w:t>根据资料显示，后河特有鱼类国家级水产种质资源保护区于2010年11月25日由农业部以第1491号公告批准建立。保护区总面积840公顷，其中核心区面积320公顷，实验区面积520公顷。保护区特别保护期为全年。</w:t>
            </w:r>
          </w:p>
          <w:p>
            <w:pPr>
              <w:pStyle w:val="53"/>
              <w:ind w:firstLine="480"/>
              <w:rPr>
                <w:rFonts w:hint="default" w:ascii="Times New Roman" w:hAnsi="Times New Roman" w:cs="Times New Roman"/>
                <w:szCs w:val="24"/>
              </w:rPr>
            </w:pPr>
            <w:r>
              <w:rPr>
                <w:rFonts w:hint="default" w:ascii="Times New Roman" w:hAnsi="Times New Roman" w:cs="Times New Roman"/>
                <w:szCs w:val="24"/>
              </w:rPr>
              <w:t>保护区位于四川省宣汉县境内，属渠江水系的后河，范围在东经107°42′56″—107°46′58″，北纬 31°31′59″—31°39′16″之间。保护区是自上游至下游依次经由毛坝大水荡村高落关（107°46′54″E，3 1°39′6″N）、毛坝大水荡村灯笼扁（107°46′58″E，31°39′16″N）、毛坝老街溪口（107°44′25″E，31°36′36″N）、毛坝弹子村小胡岸（107°44′9″E，31°34′51″N）、胡家镇跳河村陈家嘴（107°42′56″E，31°35′5″N）、胡家镇堰沟村黄家湾（107°54′34″E，31°32′2″N）、普光镇巴人村樊家湾（107°43′19″E，31°34′53″N）、普光镇铜坎村铜坎洞（107°44′40″E，31°31′59″N）、普光镇巴人村鸭嘴（107°45′33″E，31°31′56″N）九个拐点的后河组成，流经毛坝镇、胡家镇、普光镇，全长56公里。其中核心区为毛坝镇大水荡（107°45′52″E，31°38′30″N）至胡家镇跳河（107°45′43″E，31°34′29″N）的河段，长 25km。实验区分为2段，第一河段从毛坝大水荡村灯笼扁（107°46′58″E，31°39′16″ N）至毛坝镇大水荡（107°45′52″E，31°38′30″N），长 7km；第二河段 从胡家镇跳河 （107°45′43″E，31°34′29″N）至普光镇巴人村鸭嘴（107°45′33″E， 31°31′56″N），长24km。主要保护对象为岩原鲤、南方大口鲶、黄颡鱼、华鲮、中华鳖、中华倒刺鲃，其它保护对象包括鳜鱼、中华裂腹 鱼、重口裂腹鱼、大鳍鱯、白缘央、黑尾央等。后河特有鱼类资源保护区仅在后河水域、滩涂、河道。</w:t>
            </w:r>
          </w:p>
          <w:p>
            <w:pPr>
              <w:pStyle w:val="53"/>
              <w:ind w:firstLine="482"/>
              <w:rPr>
                <w:rFonts w:hint="default" w:ascii="Times New Roman" w:hAnsi="Times New Roman" w:eastAsia="黑体" w:cs="Times New Roman"/>
                <w:b/>
                <w:bCs/>
                <w:szCs w:val="24"/>
              </w:rPr>
            </w:pPr>
            <w:r>
              <w:rPr>
                <w:rFonts w:hint="default" w:ascii="Times New Roman" w:hAnsi="Times New Roman" w:eastAsia="黑体" w:cs="Times New Roman"/>
                <w:b/>
                <w:bCs/>
                <w:szCs w:val="24"/>
              </w:rPr>
              <w:t>本项目位于宣汉县</w:t>
            </w:r>
            <w:r>
              <w:rPr>
                <w:rFonts w:hint="default" w:ascii="Times New Roman" w:hAnsi="Times New Roman" w:eastAsia="黑体" w:cs="Times New Roman"/>
                <w:b/>
                <w:bCs/>
              </w:rPr>
              <w:t>明月新城蒲江街道内</w:t>
            </w:r>
            <w:r>
              <w:rPr>
                <w:rFonts w:hint="default" w:ascii="Times New Roman" w:hAnsi="Times New Roman" w:eastAsia="黑体" w:cs="Times New Roman"/>
                <w:b/>
                <w:bCs/>
                <w:szCs w:val="24"/>
              </w:rPr>
              <w:t>，项目距离后河特有鱼类资源实验区河道保护区终点约29km，不在保护区范围内。本项目的实施不会对后河特有鱼类资源保护区产生影响。</w:t>
            </w:r>
          </w:p>
          <w:p>
            <w:pPr>
              <w:pStyle w:val="187"/>
              <w:widowControl w:val="0"/>
              <w:spacing w:line="350" w:lineRule="auto"/>
              <w:ind w:firstLine="0" w:firstLineChars="0"/>
              <w:jc w:val="both"/>
              <w:rPr>
                <w:rFonts w:hint="default" w:ascii="Times New Roman" w:hAnsi="Times New Roman" w:cs="Times New Roman"/>
              </w:rPr>
            </w:pPr>
            <w:r>
              <w:rPr>
                <w:rFonts w:hint="default" w:ascii="Times New Roman" w:hAnsi="Times New Roman" w:cs="Times New Roman"/>
                <w:b/>
                <w:bCs/>
                <w:kern w:val="0"/>
                <w:szCs w:val="20"/>
              </w:rPr>
              <w:t>1.6</w:t>
            </w:r>
            <w:r>
              <w:rPr>
                <w:rFonts w:hint="default" w:ascii="Times New Roman" w:hAnsi="Times New Roman" w:cs="Times New Roman"/>
                <w:b/>
                <w:bCs/>
                <w:kern w:val="0"/>
              </w:rPr>
              <w:t>选址合理性及外环境相容性分析</w:t>
            </w:r>
          </w:p>
          <w:p>
            <w:pPr>
              <w:widowControl w:val="0"/>
              <w:ind w:firstLine="482" w:firstLineChars="200"/>
              <w:jc w:val="left"/>
              <w:rPr>
                <w:rFonts w:hint="default" w:ascii="Times New Roman" w:hAnsi="Times New Roman" w:eastAsia="宋体" w:cs="Times New Roman"/>
                <w:b/>
                <w:bCs/>
                <w:kern w:val="0"/>
              </w:rPr>
            </w:pPr>
            <w:r>
              <w:rPr>
                <w:rFonts w:hint="default" w:ascii="Times New Roman" w:hAnsi="Times New Roman" w:cs="Times New Roman"/>
                <w:b/>
                <w:bCs/>
                <w:kern w:val="0"/>
              </w:rPr>
              <w:t>（1）外环境关系</w:t>
            </w:r>
          </w:p>
          <w:p>
            <w:pPr>
              <w:widowControl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本项目位于</w:t>
            </w:r>
            <w:r>
              <w:rPr>
                <w:rFonts w:hint="default" w:ascii="Times New Roman" w:hAnsi="Times New Roman" w:cs="Times New Roman"/>
              </w:rPr>
              <w:t>宣汉县城蒲江街道明月社区</w:t>
            </w:r>
            <w:r>
              <w:rPr>
                <w:rFonts w:hint="default" w:ascii="Times New Roman" w:hAnsi="Times New Roman" w:cs="Times New Roman"/>
                <w:kern w:val="0"/>
              </w:rPr>
              <w:t>，项目所在位置现状为未开发建设的农村环境，周围主要为自然山体、河流以及分布少量零散住户。项目具体的外环境如下：</w:t>
            </w:r>
          </w:p>
          <w:p>
            <w:pPr>
              <w:widowControl w:val="0"/>
              <w:autoSpaceDE w:val="0"/>
              <w:autoSpaceDN w:val="0"/>
              <w:adjustRightInd w:val="0"/>
              <w:ind w:firstLine="482" w:firstLineChars="200"/>
              <w:jc w:val="both"/>
              <w:rPr>
                <w:rFonts w:hint="default" w:ascii="Times New Roman" w:hAnsi="Times New Roman" w:cs="Times New Roman"/>
                <w:b/>
              </w:rPr>
            </w:pPr>
            <w:r>
              <w:rPr>
                <w:rFonts w:hint="default" w:ascii="Times New Roman" w:hAnsi="Times New Roman" w:cs="Times New Roman"/>
                <w:b/>
              </w:rPr>
              <w:t>1）污水处理厂外环境</w:t>
            </w:r>
          </w:p>
          <w:p>
            <w:pPr>
              <w:widowControl w:val="0"/>
              <w:autoSpaceDE w:val="0"/>
              <w:autoSpaceDN w:val="0"/>
              <w:adjustRightInd w:val="0"/>
              <w:ind w:firstLine="480" w:firstLineChars="200"/>
              <w:jc w:val="both"/>
              <w:rPr>
                <w:rFonts w:hint="default" w:ascii="Times New Roman" w:hAnsi="Times New Roman" w:cs="Times New Roman"/>
              </w:rPr>
            </w:pPr>
            <w:r>
              <w:rPr>
                <w:rFonts w:hint="default" w:ascii="Times New Roman" w:hAnsi="Times New Roman" w:cs="Times New Roman"/>
                <w:bCs/>
              </w:rPr>
              <w:t>项目</w:t>
            </w:r>
            <w:r>
              <w:rPr>
                <w:rFonts w:hint="default" w:ascii="Times New Roman" w:hAnsi="Times New Roman" w:cs="Times New Roman"/>
                <w:b/>
                <w:bCs/>
              </w:rPr>
              <w:t>东南面</w:t>
            </w:r>
            <w:r>
              <w:rPr>
                <w:rFonts w:hint="default" w:ascii="Times New Roman" w:hAnsi="Times New Roman" w:cs="Times New Roman"/>
              </w:rPr>
              <w:t>紧邻自然山体，约200m为宣汉县多宝寺（未列为文物保护单位），最近距离约430m分布少量零散住户，约570m为前河；</w:t>
            </w:r>
          </w:p>
          <w:p>
            <w:pPr>
              <w:widowControl w:val="0"/>
              <w:autoSpaceDE w:val="0"/>
              <w:autoSpaceDN w:val="0"/>
              <w:adjustRightInd w:val="0"/>
              <w:ind w:firstLine="480" w:firstLineChars="200"/>
              <w:jc w:val="both"/>
              <w:rPr>
                <w:rFonts w:hint="default" w:ascii="Times New Roman" w:hAnsi="Times New Roman" w:cs="Times New Roman"/>
              </w:rPr>
            </w:pPr>
            <w:r>
              <w:rPr>
                <w:rFonts w:hint="default" w:ascii="Times New Roman" w:hAnsi="Times New Roman" w:cs="Times New Roman"/>
                <w:bCs/>
              </w:rPr>
              <w:t>项目</w:t>
            </w:r>
            <w:r>
              <w:rPr>
                <w:rFonts w:hint="default" w:ascii="Times New Roman" w:hAnsi="Times New Roman" w:cs="Times New Roman"/>
                <w:b/>
                <w:bCs/>
              </w:rPr>
              <w:t>东北面</w:t>
            </w:r>
            <w:r>
              <w:rPr>
                <w:rFonts w:hint="default" w:ascii="Times New Roman" w:hAnsi="Times New Roman" w:cs="Times New Roman"/>
              </w:rPr>
              <w:t>紧邻自然山体，最近距离约270m分布少量东乡街道零散住户；</w:t>
            </w:r>
          </w:p>
          <w:p>
            <w:pPr>
              <w:widowControl w:val="0"/>
              <w:autoSpaceDE w:val="0"/>
              <w:autoSpaceDN w:val="0"/>
              <w:adjustRightInd w:val="0"/>
              <w:ind w:firstLine="480" w:firstLineChars="200"/>
              <w:jc w:val="both"/>
              <w:rPr>
                <w:rFonts w:hint="default" w:ascii="Times New Roman" w:hAnsi="Times New Roman" w:cs="Times New Roman"/>
              </w:rPr>
            </w:pPr>
            <w:r>
              <w:rPr>
                <w:rFonts w:hint="default" w:ascii="Times New Roman" w:hAnsi="Times New Roman" w:cs="Times New Roman"/>
                <w:bCs/>
              </w:rPr>
              <w:t>项目</w:t>
            </w:r>
            <w:r>
              <w:rPr>
                <w:rFonts w:hint="default" w:ascii="Times New Roman" w:hAnsi="Times New Roman" w:cs="Times New Roman"/>
                <w:b/>
                <w:bCs/>
              </w:rPr>
              <w:t>西北面</w:t>
            </w:r>
            <w:r>
              <w:rPr>
                <w:rFonts w:hint="default" w:ascii="Times New Roman" w:hAnsi="Times New Roman" w:cs="Times New Roman"/>
              </w:rPr>
              <w:t>紧邻自然山体，最近距离约240m分布少量零散住户；</w:t>
            </w:r>
          </w:p>
          <w:p>
            <w:pPr>
              <w:widowControl w:val="0"/>
              <w:autoSpaceDE w:val="0"/>
              <w:autoSpaceDN w:val="0"/>
              <w:adjustRightInd w:val="0"/>
              <w:ind w:firstLine="480" w:firstLineChars="200"/>
              <w:jc w:val="both"/>
              <w:rPr>
                <w:rFonts w:hint="default" w:ascii="Times New Roman" w:hAnsi="Times New Roman" w:cs="Times New Roman"/>
              </w:rPr>
            </w:pPr>
            <w:r>
              <w:rPr>
                <w:rFonts w:hint="default" w:ascii="Times New Roman" w:hAnsi="Times New Roman" w:cs="Times New Roman"/>
                <w:bCs/>
              </w:rPr>
              <w:t>项目</w:t>
            </w:r>
            <w:r>
              <w:rPr>
                <w:rFonts w:hint="default" w:ascii="Times New Roman" w:hAnsi="Times New Roman" w:cs="Times New Roman"/>
                <w:b/>
                <w:bCs/>
              </w:rPr>
              <w:t>西南面</w:t>
            </w:r>
            <w:r>
              <w:rPr>
                <w:rFonts w:hint="default" w:ascii="Times New Roman" w:hAnsi="Times New Roman" w:cs="Times New Roman"/>
              </w:rPr>
              <w:t>紧邻后河，河流西南面为宣汉县现有城区；</w:t>
            </w:r>
          </w:p>
          <w:p>
            <w:pPr>
              <w:widowControl w:val="0"/>
              <w:autoSpaceDE w:val="0"/>
              <w:autoSpaceDN w:val="0"/>
              <w:adjustRightInd w:val="0"/>
              <w:ind w:firstLine="482" w:firstLineChars="200"/>
              <w:jc w:val="both"/>
              <w:rPr>
                <w:rFonts w:hint="default" w:ascii="Times New Roman" w:hAnsi="Times New Roman" w:cs="Times New Roman"/>
                <w:b/>
              </w:rPr>
            </w:pPr>
            <w:r>
              <w:rPr>
                <w:rFonts w:hint="default" w:ascii="Times New Roman" w:hAnsi="Times New Roman" w:cs="Times New Roman"/>
                <w:b/>
              </w:rPr>
              <w:t>2）污水收集管道外环境</w:t>
            </w:r>
          </w:p>
          <w:p>
            <w:pPr>
              <w:widowControl w:val="0"/>
              <w:ind w:firstLine="480" w:firstLineChars="200"/>
              <w:jc w:val="both"/>
              <w:rPr>
                <w:rFonts w:hint="default" w:ascii="Times New Roman" w:hAnsi="Times New Roman" w:cs="Times New Roman"/>
              </w:rPr>
            </w:pPr>
            <w:r>
              <w:rPr>
                <w:rFonts w:hint="default" w:ascii="Times New Roman" w:hAnsi="Times New Roman" w:cs="Times New Roman"/>
              </w:rPr>
              <w:t>根据设计可知，本项目将配套建设污水收集点至污水处理厂的截污管网，总长度约为1.7km。规划的明月新城的污水支管及接户由另一工程实施，本项目不涉及污水支管及接户管建设。</w:t>
            </w:r>
          </w:p>
          <w:p>
            <w:pPr>
              <w:widowControl w:val="0"/>
              <w:ind w:firstLine="480" w:firstLineChars="200"/>
              <w:jc w:val="both"/>
              <w:rPr>
                <w:rFonts w:hint="default" w:ascii="Times New Roman" w:hAnsi="Times New Roman" w:cs="Times New Roman"/>
              </w:rPr>
            </w:pPr>
            <w:r>
              <w:rPr>
                <w:rFonts w:hint="default" w:ascii="Times New Roman" w:hAnsi="Times New Roman" w:cs="Times New Roman"/>
              </w:rPr>
              <w:t>污水管网起于上游污水收集主管（管内底标高332.279），由西向东至污水处理厂敷设，DN1200架空施工，共1段，长度为298m；DN1200地埋施工，共3段，长约291m；DN1200顶管施工，共3段，长约1121m。</w:t>
            </w:r>
          </w:p>
          <w:p>
            <w:pPr>
              <w:widowControl w:val="0"/>
              <w:ind w:firstLine="480" w:firstLineChars="200"/>
              <w:jc w:val="both"/>
              <w:rPr>
                <w:rFonts w:hint="default" w:ascii="Times New Roman" w:hAnsi="Times New Roman" w:cs="Times New Roman"/>
              </w:rPr>
            </w:pPr>
            <w:r>
              <w:rPr>
                <w:rFonts w:hint="default" w:ascii="Times New Roman" w:hAnsi="Times New Roman" w:cs="Times New Roman"/>
              </w:rPr>
              <w:t>目前，明月新城处于规划建设阶段，周边的现有居民散户均在本项目建设之前进行拆迁，因此，本项目污水收集管道周围无环境敏感点。拆迁后的污水管道外环境主要为污水收集管道北侧为规划拆迁后的明月新城用地，南侧为后河。</w:t>
            </w:r>
          </w:p>
          <w:p>
            <w:pPr>
              <w:widowControl w:val="0"/>
              <w:ind w:firstLine="482" w:firstLineChars="200"/>
              <w:jc w:val="left"/>
              <w:rPr>
                <w:rFonts w:hint="default" w:ascii="Times New Roman" w:hAnsi="Times New Roman" w:eastAsia="宋体" w:cs="Times New Roman"/>
                <w:b/>
              </w:rPr>
            </w:pPr>
            <w:r>
              <w:rPr>
                <w:rFonts w:hint="default" w:ascii="Times New Roman" w:hAnsi="Times New Roman" w:cs="Times New Roman"/>
                <w:b/>
              </w:rPr>
              <w:t>（2）环境相容性分析</w:t>
            </w:r>
          </w:p>
          <w:p>
            <w:pPr>
              <w:widowControl w:val="0"/>
              <w:ind w:firstLine="480" w:firstLineChars="200"/>
              <w:jc w:val="both"/>
              <w:rPr>
                <w:rFonts w:hint="default" w:ascii="Times New Roman" w:hAnsi="Times New Roman" w:cs="Times New Roman"/>
                <w:b/>
                <w:bCs/>
                <w:kern w:val="0"/>
              </w:rPr>
            </w:pPr>
            <w:r>
              <w:rPr>
                <w:rFonts w:hint="default" w:ascii="Times New Roman" w:hAnsi="Times New Roman" w:cs="Times New Roman"/>
                <w:kern w:val="0"/>
              </w:rPr>
              <w:t>根据了解，后河特有鱼类资源实验区河道位于本项目上游，项目距离后河特有鱼类资源实验区河道保护区终点约29km，</w:t>
            </w:r>
            <w:r>
              <w:rPr>
                <w:rFonts w:hint="default" w:ascii="Times New Roman" w:hAnsi="Times New Roman" w:cs="Times New Roman"/>
                <w:b/>
                <w:bCs/>
                <w:kern w:val="0"/>
              </w:rPr>
              <w:t>因此，本项目不在其保护区范围内。</w:t>
            </w:r>
          </w:p>
          <w:p>
            <w:pPr>
              <w:widowControl w:val="0"/>
              <w:ind w:firstLine="480" w:firstLineChars="200"/>
              <w:jc w:val="both"/>
              <w:rPr>
                <w:rFonts w:hint="default" w:ascii="Times New Roman" w:hAnsi="Times New Roman" w:cs="Times New Roman"/>
                <w:b/>
                <w:bCs/>
                <w:kern w:val="0"/>
              </w:rPr>
            </w:pPr>
            <w:r>
              <w:rPr>
                <w:rFonts w:hint="default" w:ascii="Times New Roman" w:hAnsi="Times New Roman" w:eastAsia="黑体" w:cs="Times New Roman"/>
                <w:shd w:val="clear" w:color="auto" w:fill="FFFFFF"/>
              </w:rPr>
              <w:t>达州市县级集中式饮用水源保护地—宣汉县徐家坡水源地</w:t>
            </w:r>
            <w:r>
              <w:rPr>
                <w:rFonts w:hint="default" w:ascii="Times New Roman" w:hAnsi="Times New Roman" w:eastAsia="黑体" w:cs="Times New Roman"/>
                <w:kern w:val="0"/>
              </w:rPr>
              <w:t>取水口位于本项目上游，</w:t>
            </w:r>
            <w:r>
              <w:rPr>
                <w:rFonts w:hint="default" w:ascii="Times New Roman" w:hAnsi="Times New Roman" w:eastAsia="黑体" w:cs="Times New Roman"/>
                <w:b/>
                <w:bCs/>
                <w:kern w:val="0"/>
              </w:rPr>
              <w:t>污水处理厂</w:t>
            </w:r>
            <w:r>
              <w:rPr>
                <w:rFonts w:hint="default" w:ascii="Times New Roman" w:hAnsi="Times New Roman" w:eastAsia="黑体" w:cs="Times New Roman"/>
                <w:kern w:val="0"/>
              </w:rPr>
              <w:t>与该集中式饮用水水源地取水口最近的直线距离约1.9km；</w:t>
            </w:r>
            <w:r>
              <w:rPr>
                <w:rFonts w:hint="default" w:ascii="Times New Roman" w:hAnsi="Times New Roman" w:eastAsia="黑体" w:cs="Times New Roman"/>
                <w:b/>
                <w:bCs/>
                <w:kern w:val="0"/>
              </w:rPr>
              <w:t>入河排污口</w:t>
            </w:r>
            <w:r>
              <w:rPr>
                <w:rFonts w:hint="default" w:ascii="Times New Roman" w:hAnsi="Times New Roman" w:eastAsia="黑体" w:cs="Times New Roman"/>
                <w:kern w:val="0"/>
              </w:rPr>
              <w:t>与该集中式饮用水水源地取水口最近的直线距离约2.5km；</w:t>
            </w:r>
            <w:r>
              <w:rPr>
                <w:rFonts w:hint="default" w:ascii="Times New Roman" w:hAnsi="Times New Roman" w:eastAsia="黑体" w:cs="Times New Roman"/>
                <w:b/>
                <w:bCs/>
                <w:kern w:val="0"/>
              </w:rPr>
              <w:t>污水处理厂</w:t>
            </w:r>
            <w:r>
              <w:rPr>
                <w:rFonts w:hint="default" w:ascii="Times New Roman" w:hAnsi="Times New Roman" w:eastAsia="黑体" w:cs="Times New Roman"/>
                <w:kern w:val="0"/>
              </w:rPr>
              <w:t>距饮用水源二级保护区陆域约0.77km；</w:t>
            </w:r>
            <w:r>
              <w:rPr>
                <w:rFonts w:hint="default" w:ascii="Times New Roman" w:hAnsi="Times New Roman" w:eastAsia="黑体" w:cs="Times New Roman"/>
                <w:b/>
                <w:bCs/>
                <w:kern w:val="0"/>
              </w:rPr>
              <w:t>入河排污口</w:t>
            </w:r>
            <w:r>
              <w:rPr>
                <w:rFonts w:hint="default" w:ascii="Times New Roman" w:hAnsi="Times New Roman" w:eastAsia="黑体" w:cs="Times New Roman"/>
                <w:kern w:val="0"/>
              </w:rPr>
              <w:t>距饮用水源二级保护区陆域约1.8km。</w:t>
            </w:r>
            <w:r>
              <w:rPr>
                <w:rFonts w:hint="default" w:ascii="Times New Roman" w:hAnsi="Times New Roman" w:cs="Times New Roman"/>
                <w:b/>
                <w:bCs/>
                <w:kern w:val="0"/>
              </w:rPr>
              <w:t>因此，本项目不在</w:t>
            </w:r>
            <w:r>
              <w:rPr>
                <w:rFonts w:hint="default" w:ascii="Times New Roman" w:hAnsi="Times New Roman" w:cs="Times New Roman"/>
                <w:b/>
                <w:bCs/>
                <w:shd w:val="clear" w:color="auto" w:fill="FFFFFF"/>
              </w:rPr>
              <w:t>宣汉县省控集中式</w:t>
            </w:r>
            <w:r>
              <w:rPr>
                <w:rFonts w:hint="default" w:ascii="Times New Roman" w:hAnsi="Times New Roman" w:cs="Times New Roman"/>
                <w:b/>
                <w:bCs/>
                <w:kern w:val="0"/>
              </w:rPr>
              <w:t>饮用水源保护区（徐家坡）范围内。</w:t>
            </w:r>
          </w:p>
          <w:p>
            <w:pPr>
              <w:widowControl w:val="0"/>
              <w:ind w:firstLine="482" w:firstLineChars="200"/>
              <w:jc w:val="both"/>
              <w:rPr>
                <w:rFonts w:hint="default" w:ascii="Times New Roman" w:hAnsi="Times New Roman" w:cs="Times New Roman"/>
                <w:b/>
                <w:bCs/>
              </w:rPr>
            </w:pPr>
            <w:r>
              <w:rPr>
                <w:rFonts w:hint="default" w:ascii="Times New Roman" w:hAnsi="Times New Roman" w:cs="Times New Roman"/>
                <w:b/>
                <w:bCs/>
              </w:rPr>
              <w:t>根据地表水专项预测，</w:t>
            </w:r>
            <w:r>
              <w:rPr>
                <w:rFonts w:hint="default" w:ascii="Times New Roman" w:hAnsi="Times New Roman" w:cs="Times New Roman"/>
              </w:rPr>
              <w:t>污水处理设施入河排污口正常排放情况下，在预测范围内（9.45km），污染带水质各指标满足地表水Ⅲ类水质标准，不会大范围影响到排污口上、下游水功能区。</w:t>
            </w:r>
          </w:p>
          <w:p>
            <w:pPr>
              <w:widowControl w:val="0"/>
              <w:ind w:firstLine="482" w:firstLineChars="200"/>
              <w:jc w:val="both"/>
              <w:rPr>
                <w:rFonts w:hint="default" w:ascii="Times New Roman" w:hAnsi="Times New Roman" w:cs="Times New Roman"/>
                <w:b/>
                <w:bCs/>
                <w:kern w:val="0"/>
              </w:rPr>
            </w:pPr>
            <w:r>
              <w:rPr>
                <w:rFonts w:hint="default" w:ascii="Times New Roman" w:hAnsi="Times New Roman" w:cs="Times New Roman"/>
                <w:b/>
                <w:bCs/>
                <w:kern w:val="0"/>
              </w:rPr>
              <w:t>除此之外，项目所在地受纳水体州河排口下游10km无集中式饮用水源取水口以及饮用水水源保护区。</w:t>
            </w:r>
          </w:p>
          <w:p>
            <w:pPr>
              <w:widowControl w:val="0"/>
              <w:ind w:firstLine="482" w:firstLineChars="200"/>
              <w:jc w:val="both"/>
              <w:rPr>
                <w:rFonts w:hint="default" w:ascii="Times New Roman" w:hAnsi="Times New Roman" w:cs="Times New Roman"/>
                <w:b/>
                <w:bCs/>
              </w:rPr>
            </w:pPr>
            <w:r>
              <w:rPr>
                <w:rFonts w:hint="default" w:ascii="Times New Roman" w:hAnsi="Times New Roman" w:cs="Times New Roman"/>
                <w:b/>
                <w:bCs/>
              </w:rPr>
              <w:t>项目所在地常年主导风向为东北风，</w:t>
            </w:r>
            <w:r>
              <w:rPr>
                <w:rFonts w:hint="default" w:ascii="Times New Roman" w:hAnsi="Times New Roman" w:cs="Times New Roman"/>
                <w:b/>
                <w:bCs/>
                <w:kern w:val="0"/>
              </w:rPr>
              <w:t>拟建污水处理厂不在明月新城规划的居民集中区常年主导风向的上风向</w:t>
            </w:r>
            <w:r>
              <w:rPr>
                <w:rFonts w:hint="default" w:ascii="Times New Roman" w:hAnsi="Times New Roman" w:cs="Times New Roman"/>
                <w:b/>
                <w:bCs/>
              </w:rPr>
              <w:t>，本工程不涉及工程拆迁和环保拆迁，项目对明月新城大气环境的影响较为有限。本项目以恶臭产臭单元包括预处理区、生化区、污泥区边界各划设 50m 卫生防护距离范围内，无居民点、医院、学校等敏感建筑，不涉及拆迁。</w:t>
            </w:r>
          </w:p>
          <w:p>
            <w:pPr>
              <w:widowControl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根据上述外环境关系可知，项目评价范围内无自然保护区、风景名胜区、居住区、文化遗产保护区、世界文化自然遗产和森林公园、地质公园、湿地公园等保护地，项目周边500m范围内环境保护目标为当地零散住户等。</w:t>
            </w:r>
          </w:p>
          <w:p>
            <w:pPr>
              <w:widowControl w:val="0"/>
              <w:ind w:firstLine="480" w:firstLineChars="200"/>
              <w:jc w:val="both"/>
              <w:rPr>
                <w:rFonts w:hint="default" w:ascii="Times New Roman" w:hAnsi="Times New Roman" w:cs="Times New Roman"/>
              </w:rPr>
            </w:pPr>
            <w:r>
              <w:rPr>
                <w:rFonts w:hint="default" w:ascii="Times New Roman" w:hAnsi="Times New Roman" w:cs="Times New Roman"/>
              </w:rPr>
              <w:t>项目管道走向均沿规划线路进行铺设，不设置泵站，均不涉及拆迁工程，管道沿线不涉及自然保护区、风景名胜区、文物保护单位、基本农田等需要特殊保护的单位。</w:t>
            </w:r>
          </w:p>
          <w:p>
            <w:pPr>
              <w:widowControl w:val="0"/>
              <w:ind w:firstLine="480" w:firstLineChars="200"/>
              <w:jc w:val="both"/>
              <w:rPr>
                <w:rFonts w:hint="default" w:ascii="Times New Roman" w:hAnsi="Times New Roman" w:cs="Times New Roman"/>
              </w:rPr>
            </w:pPr>
            <w:r>
              <w:rPr>
                <w:rFonts w:hint="default" w:ascii="Times New Roman" w:hAnsi="Times New Roman" w:cs="Times New Roman"/>
                <w:kern w:val="0"/>
              </w:rPr>
              <w:t>本项目运营期产生的污染物主要为废气、噪声、废水和固废。在落实本评价提出的各污染物治理措施后，项目实施不会改变区域环境功能，不会对所在区域环境质量产生明显不利影响。</w:t>
            </w:r>
            <w:r>
              <w:rPr>
                <w:rFonts w:hint="default" w:ascii="Times New Roman" w:hAnsi="Times New Roman" w:cs="Times New Roman"/>
              </w:rPr>
              <w:t>同时，项目周边外环境对项目无明显环境制约因素且项目所在地交通方便，故本项目的建设与外环境相容。</w:t>
            </w:r>
          </w:p>
          <w:p>
            <w:pPr>
              <w:widowControl w:val="0"/>
              <w:adjustRightInd w:val="0"/>
              <w:snapToGrid w:val="0"/>
              <w:jc w:val="both"/>
              <w:rPr>
                <w:rFonts w:hint="default" w:ascii="Times New Roman" w:hAnsi="Times New Roman" w:cs="Times New Roman"/>
                <w:b/>
                <w:bCs/>
                <w:kern w:val="0"/>
              </w:rPr>
            </w:pPr>
            <w:r>
              <w:rPr>
                <w:rFonts w:hint="default" w:ascii="Times New Roman" w:hAnsi="Times New Roman" w:cs="Times New Roman"/>
                <w:b/>
                <w:bCs/>
                <w:kern w:val="0"/>
                <w:szCs w:val="20"/>
              </w:rPr>
              <w:t>1.7</w:t>
            </w:r>
            <w:r>
              <w:rPr>
                <w:rFonts w:hint="default" w:ascii="Times New Roman" w:hAnsi="Times New Roman" w:cs="Times New Roman"/>
                <w:b/>
                <w:bCs/>
                <w:kern w:val="0"/>
              </w:rPr>
              <w:t>与现有污染防治政策的符合性分析</w:t>
            </w:r>
          </w:p>
          <w:p>
            <w:pPr>
              <w:widowControl w:val="0"/>
              <w:autoSpaceDE w:val="0"/>
              <w:autoSpaceDN w:val="0"/>
              <w:adjustRightInd w:val="0"/>
              <w:snapToGrid w:val="0"/>
              <w:ind w:firstLine="482" w:firstLineChars="200"/>
              <w:jc w:val="both"/>
              <w:rPr>
                <w:rFonts w:hint="default" w:ascii="Times New Roman" w:hAnsi="Times New Roman" w:cs="Times New Roman"/>
                <w:b/>
                <w:bCs/>
                <w:kern w:val="0"/>
              </w:rPr>
            </w:pPr>
            <w:r>
              <w:rPr>
                <w:rFonts w:hint="default" w:ascii="Times New Roman" w:hAnsi="Times New Roman" w:cs="Times New Roman"/>
                <w:b/>
                <w:bCs/>
                <w:kern w:val="0"/>
              </w:rPr>
              <w:t>（1）与大气污染防治相关法规、规范符合性</w:t>
            </w:r>
          </w:p>
          <w:p>
            <w:pPr>
              <w:widowControl w:val="0"/>
              <w:autoSpaceDE w:val="0"/>
              <w:autoSpaceDN w:val="0"/>
              <w:adjustRightInd w:val="0"/>
              <w:snapToGrid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本项目与大气污染防治相关法规、规范符合性分析见下表。</w:t>
            </w:r>
          </w:p>
          <w:p>
            <w:pPr>
              <w:pStyle w:val="169"/>
              <w:numPr>
                <w:ilvl w:val="0"/>
                <w:numId w:val="3"/>
              </w:numPr>
              <w:spacing w:line="276" w:lineRule="auto"/>
              <w:jc w:val="left"/>
              <w:rPr>
                <w:rFonts w:hint="default" w:ascii="Times New Roman" w:hAnsi="Times New Roman" w:eastAsia="黑体" w:cs="Times New Roman"/>
                <w:szCs w:val="24"/>
              </w:rPr>
            </w:pPr>
            <w:r>
              <w:rPr>
                <w:rFonts w:hint="default" w:ascii="Times New Roman" w:hAnsi="Times New Roman" w:eastAsia="黑体" w:cs="Times New Roman"/>
                <w:szCs w:val="24"/>
              </w:rPr>
              <w:t>项目与大气污染防治相关法规、规范符合性分析</w:t>
            </w:r>
          </w:p>
          <w:tbl>
            <w:tblPr>
              <w:tblStyle w:val="44"/>
              <w:tblW w:w="7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3060"/>
              <w:gridCol w:w="2657"/>
              <w:gridCol w:w="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90" w:type="pct"/>
                  <w:vAlign w:val="center"/>
                </w:tcPr>
                <w:p>
                  <w:pPr>
                    <w:pStyle w:val="189"/>
                    <w:adjustRightInd w:val="0"/>
                    <w:snapToGrid w:val="0"/>
                    <w:rPr>
                      <w:rFonts w:hint="default" w:ascii="Times New Roman" w:hAnsi="Times New Roman" w:eastAsia="Helv" w:cs="Times New Roman"/>
                      <w:b/>
                      <w:bCs/>
                      <w:szCs w:val="21"/>
                    </w:rPr>
                  </w:pPr>
                  <w:r>
                    <w:rPr>
                      <w:rFonts w:hint="default" w:ascii="Times New Roman" w:hAnsi="Times New Roman" w:cs="Times New Roman"/>
                      <w:b/>
                      <w:bCs/>
                      <w:szCs w:val="21"/>
                    </w:rPr>
                    <w:t>文件</w:t>
                  </w:r>
                </w:p>
              </w:tc>
              <w:tc>
                <w:tcPr>
                  <w:tcW w:w="2110" w:type="pct"/>
                  <w:vAlign w:val="center"/>
                </w:tcPr>
                <w:p>
                  <w:pPr>
                    <w:pStyle w:val="189"/>
                    <w:adjustRightInd w:val="0"/>
                    <w:snapToGrid w:val="0"/>
                    <w:rPr>
                      <w:rFonts w:hint="default" w:ascii="Times New Roman" w:hAnsi="Times New Roman" w:eastAsia="Helv" w:cs="Times New Roman"/>
                      <w:b/>
                      <w:bCs/>
                      <w:szCs w:val="21"/>
                    </w:rPr>
                  </w:pPr>
                  <w:r>
                    <w:rPr>
                      <w:rFonts w:hint="default" w:ascii="Times New Roman" w:hAnsi="Times New Roman" w:cs="Times New Roman"/>
                      <w:b/>
                      <w:bCs/>
                      <w:szCs w:val="21"/>
                    </w:rPr>
                    <w:t>相关要求</w:t>
                  </w:r>
                </w:p>
              </w:tc>
              <w:tc>
                <w:tcPr>
                  <w:tcW w:w="1832" w:type="pct"/>
                  <w:vAlign w:val="center"/>
                </w:tcPr>
                <w:p>
                  <w:pPr>
                    <w:pStyle w:val="189"/>
                    <w:adjustRightInd w:val="0"/>
                    <w:snapToGrid w:val="0"/>
                    <w:rPr>
                      <w:rFonts w:hint="default" w:ascii="Times New Roman" w:hAnsi="Times New Roman" w:eastAsia="Helv" w:cs="Times New Roman"/>
                      <w:b/>
                      <w:bCs/>
                      <w:szCs w:val="21"/>
                    </w:rPr>
                  </w:pPr>
                  <w:r>
                    <w:rPr>
                      <w:rFonts w:hint="default" w:ascii="Times New Roman" w:hAnsi="Times New Roman" w:cs="Times New Roman"/>
                      <w:b/>
                      <w:bCs/>
                      <w:szCs w:val="21"/>
                    </w:rPr>
                    <w:t>本项目情况</w:t>
                  </w:r>
                </w:p>
              </w:tc>
              <w:tc>
                <w:tcPr>
                  <w:tcW w:w="568" w:type="pct"/>
                  <w:vAlign w:val="center"/>
                </w:tcPr>
                <w:p>
                  <w:pPr>
                    <w:pStyle w:val="189"/>
                    <w:adjustRightInd w:val="0"/>
                    <w:snapToGrid w:val="0"/>
                    <w:rPr>
                      <w:rFonts w:hint="default" w:ascii="Times New Roman" w:hAnsi="Times New Roman" w:eastAsia="Helv" w:cs="Times New Roman"/>
                      <w:b/>
                      <w:bCs/>
                      <w:szCs w:val="21"/>
                    </w:rPr>
                  </w:pPr>
                  <w:r>
                    <w:rPr>
                      <w:rFonts w:hint="default" w:ascii="Times New Roman" w:hAnsi="Times New Roman" w:cs="Times New Roman"/>
                      <w:b/>
                      <w:bCs/>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Merge w:val="restart"/>
                  <w:vAlign w:val="center"/>
                </w:tcPr>
                <w:p>
                  <w:pPr>
                    <w:pStyle w:val="108"/>
                    <w:adjustRightInd w:val="0"/>
                    <w:snapToGrid w:val="0"/>
                    <w:spacing w:line="240" w:lineRule="auto"/>
                    <w:rPr>
                      <w:rFonts w:hint="default" w:ascii="Times New Roman" w:hAnsi="Times New Roman" w:cs="Times New Roman"/>
                      <w:b w:val="0"/>
                      <w:bCs w:val="0"/>
                      <w:szCs w:val="21"/>
                    </w:rPr>
                  </w:pPr>
                  <w:r>
                    <w:rPr>
                      <w:rFonts w:hint="default" w:ascii="Times New Roman" w:hAnsi="Times New Roman" w:cs="Times New Roman"/>
                      <w:b w:val="0"/>
                      <w:bCs w:val="0"/>
                      <w:szCs w:val="21"/>
                    </w:rPr>
                    <w:t>《中华人民共和国大气污染防治法》</w:t>
                  </w:r>
                </w:p>
              </w:tc>
              <w:tc>
                <w:tcPr>
                  <w:tcW w:w="2110" w:type="pct"/>
                  <w:vAlign w:val="center"/>
                </w:tcPr>
                <w:p>
                  <w:pPr>
                    <w:pStyle w:val="108"/>
                    <w:adjustRightInd w:val="0"/>
                    <w:snapToGrid w:val="0"/>
                    <w:spacing w:line="240" w:lineRule="auto"/>
                    <w:rPr>
                      <w:rFonts w:hint="default" w:ascii="Times New Roman" w:hAnsi="Times New Roman" w:cs="Times New Roman"/>
                      <w:b w:val="0"/>
                      <w:bCs w:val="0"/>
                      <w:szCs w:val="21"/>
                    </w:rPr>
                  </w:pPr>
                  <w:r>
                    <w:rPr>
                      <w:rFonts w:hint="default" w:ascii="Times New Roman" w:hAnsi="Times New Roman" w:cs="Times New Roman"/>
                      <w:b w:val="0"/>
                      <w:bCs w:val="0"/>
                      <w:szCs w:val="21"/>
                    </w:rPr>
                    <w:t>第六十九条 建设单位应当将防治扬尘污染的费用列入工程造价，并在施工承包合同中明确施工单位扬尘污染防治责任。施工单位应当制定具体的施工扬尘污染防治实施方案。</w:t>
                  </w:r>
                </w:p>
              </w:tc>
              <w:tc>
                <w:tcPr>
                  <w:tcW w:w="1832" w:type="pct"/>
                  <w:vMerge w:val="restart"/>
                  <w:vAlign w:val="center"/>
                </w:tcPr>
                <w:p>
                  <w:pPr>
                    <w:pStyle w:val="108"/>
                    <w:adjustRightInd w:val="0"/>
                    <w:snapToGrid w:val="0"/>
                    <w:spacing w:line="240" w:lineRule="auto"/>
                    <w:ind w:firstLine="420" w:firstLineChars="200"/>
                    <w:jc w:val="left"/>
                    <w:rPr>
                      <w:rFonts w:hint="default" w:ascii="Times New Roman" w:hAnsi="Times New Roman" w:cs="Times New Roman"/>
                      <w:b w:val="0"/>
                      <w:bCs w:val="0"/>
                      <w:szCs w:val="21"/>
                    </w:rPr>
                  </w:pPr>
                  <w:r>
                    <w:rPr>
                      <w:rFonts w:hint="default" w:ascii="Times New Roman" w:hAnsi="Times New Roman" w:cs="Times New Roman"/>
                      <w:b w:val="0"/>
                      <w:bCs w:val="0"/>
                      <w:szCs w:val="21"/>
                    </w:rPr>
                    <w:t>建设单位将防治扬尘污染的费用列入工程造价，并在施工承包合同中明确施工单位扬尘污染防治责任。施工单位制定具体的施工扬尘污染防治实施方案。</w:t>
                  </w:r>
                </w:p>
                <w:p>
                  <w:pPr>
                    <w:pStyle w:val="108"/>
                    <w:adjustRightInd w:val="0"/>
                    <w:snapToGrid w:val="0"/>
                    <w:spacing w:line="240" w:lineRule="auto"/>
                    <w:ind w:firstLine="420" w:firstLineChars="200"/>
                    <w:jc w:val="left"/>
                    <w:rPr>
                      <w:rFonts w:hint="default" w:ascii="Times New Roman" w:hAnsi="Times New Roman" w:cs="Times New Roman"/>
                      <w:b w:val="0"/>
                      <w:bCs w:val="0"/>
                      <w:szCs w:val="21"/>
                    </w:rPr>
                  </w:pPr>
                  <w:r>
                    <w:rPr>
                      <w:rFonts w:hint="default" w:ascii="Times New Roman" w:hAnsi="Times New Roman" w:cs="Times New Roman"/>
                      <w:b w:val="0"/>
                      <w:bCs w:val="0"/>
                      <w:szCs w:val="21"/>
                    </w:rPr>
                    <w:t>施工单位应当在施工工地设置硬质围挡，对地面及车辆进行有效降尘。土石方及时清运，暂存的采用防尘遮盖。</w:t>
                  </w:r>
                </w:p>
              </w:tc>
              <w:tc>
                <w:tcPr>
                  <w:tcW w:w="568" w:type="pct"/>
                  <w:vMerge w:val="restart"/>
                  <w:vAlign w:val="center"/>
                </w:tcPr>
                <w:p>
                  <w:pPr>
                    <w:pStyle w:val="108"/>
                    <w:adjustRightInd w:val="0"/>
                    <w:snapToGrid w:val="0"/>
                    <w:spacing w:line="240" w:lineRule="auto"/>
                    <w:rPr>
                      <w:rFonts w:hint="default" w:ascii="Times New Roman" w:hAnsi="Times New Roman" w:cs="Times New Roman"/>
                      <w:b w:val="0"/>
                      <w:bCs w:val="0"/>
                      <w:szCs w:val="21"/>
                    </w:rPr>
                  </w:pPr>
                  <w:r>
                    <w:rPr>
                      <w:rFonts w:hint="default" w:ascii="Times New Roman" w:hAnsi="Times New Roman" w:cs="Times New Roman"/>
                      <w:b w:val="0"/>
                      <w:bCs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Merge w:val="continue"/>
                  <w:vAlign w:val="center"/>
                </w:tcPr>
                <w:p>
                  <w:pPr>
                    <w:pStyle w:val="108"/>
                    <w:adjustRightInd w:val="0"/>
                    <w:snapToGrid w:val="0"/>
                    <w:spacing w:line="240" w:lineRule="auto"/>
                    <w:rPr>
                      <w:rFonts w:hint="default" w:ascii="Times New Roman" w:hAnsi="Times New Roman" w:cs="Times New Roman"/>
                      <w:b w:val="0"/>
                      <w:bCs w:val="0"/>
                      <w:szCs w:val="21"/>
                    </w:rPr>
                  </w:pPr>
                </w:p>
              </w:tc>
              <w:tc>
                <w:tcPr>
                  <w:tcW w:w="2110" w:type="pct"/>
                  <w:vAlign w:val="center"/>
                </w:tcPr>
                <w:p>
                  <w:pPr>
                    <w:pStyle w:val="108"/>
                    <w:adjustRightInd w:val="0"/>
                    <w:snapToGrid w:val="0"/>
                    <w:spacing w:line="240" w:lineRule="auto"/>
                    <w:jc w:val="left"/>
                    <w:rPr>
                      <w:rFonts w:hint="default" w:ascii="Times New Roman" w:hAnsi="Times New Roman" w:cs="Times New Roman"/>
                      <w:b w:val="0"/>
                      <w:bCs w:val="0"/>
                      <w:szCs w:val="21"/>
                    </w:rPr>
                  </w:pPr>
                  <w:r>
                    <w:rPr>
                      <w:rFonts w:hint="default" w:ascii="Times New Roman" w:hAnsi="Times New Roman" w:cs="Times New Roman"/>
                      <w:b w:val="0"/>
                      <w:bCs w:val="0"/>
                      <w:szCs w:val="21"/>
                    </w:rPr>
                    <w:t>从事房屋建筑、市政基础设施建设、河道整治以及建筑物拆除等施工单位，应当向负责监督管理扬尘污染防治的主管部门备案。</w:t>
                  </w:r>
                </w:p>
              </w:tc>
              <w:tc>
                <w:tcPr>
                  <w:tcW w:w="1832" w:type="pct"/>
                  <w:vMerge w:val="continue"/>
                  <w:vAlign w:val="center"/>
                </w:tcPr>
                <w:p>
                  <w:pPr>
                    <w:pStyle w:val="108"/>
                    <w:adjustRightInd w:val="0"/>
                    <w:snapToGrid w:val="0"/>
                    <w:spacing w:line="240" w:lineRule="auto"/>
                    <w:ind w:firstLine="420"/>
                    <w:jc w:val="left"/>
                    <w:rPr>
                      <w:rFonts w:hint="default" w:ascii="Times New Roman" w:hAnsi="Times New Roman" w:cs="Times New Roman"/>
                      <w:b w:val="0"/>
                      <w:bCs w:val="0"/>
                    </w:rPr>
                  </w:pPr>
                </w:p>
              </w:tc>
              <w:tc>
                <w:tcPr>
                  <w:tcW w:w="568" w:type="pct"/>
                  <w:vMerge w:val="continue"/>
                  <w:vAlign w:val="center"/>
                </w:tcPr>
                <w:p>
                  <w:pPr>
                    <w:pStyle w:val="108"/>
                    <w:adjustRightInd w:val="0"/>
                    <w:snapToGrid w:val="0"/>
                    <w:spacing w:line="240" w:lineRule="auto"/>
                    <w:ind w:firstLine="420"/>
                    <w:rPr>
                      <w:rFonts w:hint="default" w:ascii="Times New Roman" w:hAnsi="Times New Roman"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Merge w:val="continue"/>
                  <w:vAlign w:val="center"/>
                </w:tcPr>
                <w:p>
                  <w:pPr>
                    <w:pStyle w:val="108"/>
                    <w:adjustRightInd w:val="0"/>
                    <w:snapToGrid w:val="0"/>
                    <w:spacing w:line="240" w:lineRule="auto"/>
                    <w:rPr>
                      <w:rFonts w:hint="default" w:ascii="Times New Roman" w:hAnsi="Times New Roman" w:cs="Times New Roman"/>
                      <w:b w:val="0"/>
                      <w:bCs w:val="0"/>
                      <w:szCs w:val="21"/>
                    </w:rPr>
                  </w:pPr>
                </w:p>
              </w:tc>
              <w:tc>
                <w:tcPr>
                  <w:tcW w:w="2110" w:type="pct"/>
                  <w:vAlign w:val="center"/>
                </w:tcPr>
                <w:p>
                  <w:pPr>
                    <w:pStyle w:val="108"/>
                    <w:adjustRightInd w:val="0"/>
                    <w:snapToGrid w:val="0"/>
                    <w:spacing w:line="240" w:lineRule="auto"/>
                    <w:jc w:val="left"/>
                    <w:rPr>
                      <w:rFonts w:hint="default" w:ascii="Times New Roman" w:hAnsi="Times New Roman" w:cs="Times New Roman"/>
                      <w:b w:val="0"/>
                      <w:bCs w:val="0"/>
                      <w:szCs w:val="21"/>
                    </w:rPr>
                  </w:pPr>
                  <w:r>
                    <w:rPr>
                      <w:rFonts w:hint="default" w:ascii="Times New Roman" w:hAnsi="Times New Roman" w:cs="Times New Roman"/>
                      <w:b w:val="0"/>
                      <w:bCs w:val="0"/>
                      <w:szCs w:val="21"/>
                    </w:rPr>
                    <w:t>施工单位应当在施工工地设置硬质围挡，并采取覆盖、分段作业、择时施工、洒水抑尘、冲洗地面和车辆等有效防尘降尘措施。建筑土方、工程渣土、建筑垃圾应当及时清运；在场地内堆存的，应当采用密闭式防尘网遮盖。工程渣土、建筑垃圾应当进行资源化处理。</w:t>
                  </w:r>
                </w:p>
              </w:tc>
              <w:tc>
                <w:tcPr>
                  <w:tcW w:w="1832" w:type="pct"/>
                  <w:vMerge w:val="continue"/>
                  <w:vAlign w:val="center"/>
                </w:tcPr>
                <w:p>
                  <w:pPr>
                    <w:pStyle w:val="108"/>
                    <w:adjustRightInd w:val="0"/>
                    <w:snapToGrid w:val="0"/>
                    <w:spacing w:line="240" w:lineRule="auto"/>
                    <w:ind w:firstLine="420"/>
                    <w:jc w:val="left"/>
                    <w:rPr>
                      <w:rFonts w:hint="default" w:ascii="Times New Roman" w:hAnsi="Times New Roman" w:cs="Times New Roman"/>
                      <w:b w:val="0"/>
                      <w:bCs w:val="0"/>
                    </w:rPr>
                  </w:pPr>
                </w:p>
              </w:tc>
              <w:tc>
                <w:tcPr>
                  <w:tcW w:w="568" w:type="pct"/>
                  <w:vMerge w:val="continue"/>
                  <w:vAlign w:val="center"/>
                </w:tcPr>
                <w:p>
                  <w:pPr>
                    <w:pStyle w:val="108"/>
                    <w:adjustRightInd w:val="0"/>
                    <w:snapToGrid w:val="0"/>
                    <w:spacing w:line="240" w:lineRule="auto"/>
                    <w:ind w:firstLine="420"/>
                    <w:rPr>
                      <w:rFonts w:hint="default" w:ascii="Times New Roman" w:hAnsi="Times New Roman"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Merge w:val="continue"/>
                  <w:vAlign w:val="center"/>
                </w:tcPr>
                <w:p>
                  <w:pPr>
                    <w:pStyle w:val="108"/>
                    <w:adjustRightInd w:val="0"/>
                    <w:snapToGrid w:val="0"/>
                    <w:spacing w:line="240" w:lineRule="auto"/>
                    <w:rPr>
                      <w:rFonts w:hint="default" w:ascii="Times New Roman" w:hAnsi="Times New Roman" w:cs="Times New Roman"/>
                      <w:b w:val="0"/>
                      <w:bCs w:val="0"/>
                      <w:szCs w:val="21"/>
                    </w:rPr>
                  </w:pPr>
                </w:p>
              </w:tc>
              <w:tc>
                <w:tcPr>
                  <w:tcW w:w="2110" w:type="pct"/>
                  <w:vAlign w:val="center"/>
                </w:tcPr>
                <w:p>
                  <w:pPr>
                    <w:pStyle w:val="108"/>
                    <w:adjustRightInd w:val="0"/>
                    <w:snapToGrid w:val="0"/>
                    <w:spacing w:line="240" w:lineRule="auto"/>
                    <w:jc w:val="left"/>
                    <w:rPr>
                      <w:rFonts w:hint="default" w:ascii="Times New Roman" w:hAnsi="Times New Roman" w:cs="Times New Roman"/>
                      <w:b w:val="0"/>
                      <w:bCs w:val="0"/>
                      <w:szCs w:val="21"/>
                    </w:rPr>
                  </w:pPr>
                  <w:r>
                    <w:rPr>
                      <w:rFonts w:hint="default" w:ascii="Times New Roman" w:hAnsi="Times New Roman" w:cs="Times New Roman"/>
                      <w:b w:val="0"/>
                      <w:bCs w:val="0"/>
                      <w:szCs w:val="21"/>
                    </w:rPr>
                    <w:t>施工单位应当在施工工地公示扬尘污染防治措施、负责人、扬尘监督管理主管部门等信息。</w:t>
                  </w:r>
                </w:p>
              </w:tc>
              <w:tc>
                <w:tcPr>
                  <w:tcW w:w="1832" w:type="pct"/>
                  <w:vMerge w:val="continue"/>
                  <w:vAlign w:val="center"/>
                </w:tcPr>
                <w:p>
                  <w:pPr>
                    <w:pStyle w:val="108"/>
                    <w:adjustRightInd w:val="0"/>
                    <w:snapToGrid w:val="0"/>
                    <w:spacing w:line="240" w:lineRule="auto"/>
                    <w:ind w:firstLine="420"/>
                    <w:jc w:val="left"/>
                    <w:rPr>
                      <w:rFonts w:hint="default" w:ascii="Times New Roman" w:hAnsi="Times New Roman" w:cs="Times New Roman"/>
                      <w:b w:val="0"/>
                      <w:bCs w:val="0"/>
                    </w:rPr>
                  </w:pPr>
                </w:p>
              </w:tc>
              <w:tc>
                <w:tcPr>
                  <w:tcW w:w="568" w:type="pct"/>
                  <w:vMerge w:val="continue"/>
                  <w:vAlign w:val="center"/>
                </w:tcPr>
                <w:p>
                  <w:pPr>
                    <w:pStyle w:val="108"/>
                    <w:adjustRightInd w:val="0"/>
                    <w:snapToGrid w:val="0"/>
                    <w:spacing w:line="240" w:lineRule="auto"/>
                    <w:ind w:firstLine="420"/>
                    <w:rPr>
                      <w:rFonts w:hint="default" w:ascii="Times New Roman" w:hAnsi="Times New Roman"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Merge w:val="continue"/>
                  <w:vAlign w:val="center"/>
                </w:tcPr>
                <w:p>
                  <w:pPr>
                    <w:pStyle w:val="108"/>
                    <w:adjustRightInd w:val="0"/>
                    <w:snapToGrid w:val="0"/>
                    <w:spacing w:line="240" w:lineRule="auto"/>
                    <w:rPr>
                      <w:rFonts w:hint="default" w:ascii="Times New Roman" w:hAnsi="Times New Roman" w:cs="Times New Roman"/>
                      <w:b w:val="0"/>
                      <w:bCs w:val="0"/>
                      <w:szCs w:val="21"/>
                    </w:rPr>
                  </w:pPr>
                </w:p>
              </w:tc>
              <w:tc>
                <w:tcPr>
                  <w:tcW w:w="2110" w:type="pct"/>
                  <w:vAlign w:val="center"/>
                </w:tcPr>
                <w:p>
                  <w:pPr>
                    <w:pStyle w:val="108"/>
                    <w:adjustRightInd w:val="0"/>
                    <w:snapToGrid w:val="0"/>
                    <w:spacing w:line="240" w:lineRule="auto"/>
                    <w:jc w:val="left"/>
                    <w:rPr>
                      <w:rFonts w:hint="default" w:ascii="Times New Roman" w:hAnsi="Times New Roman" w:cs="Times New Roman"/>
                      <w:b w:val="0"/>
                      <w:bCs w:val="0"/>
                      <w:szCs w:val="21"/>
                    </w:rPr>
                  </w:pPr>
                  <w:r>
                    <w:rPr>
                      <w:rFonts w:hint="default" w:ascii="Times New Roman" w:hAnsi="Times New Roman" w:cs="Times New Roman"/>
                      <w:b w:val="0"/>
                      <w:bCs w:val="0"/>
                      <w:szCs w:val="21"/>
                    </w:rPr>
                    <w:t>暂时不能开工的建设用地，建设单位应当对裸露地面进行覆盖；超过三个月的，应当进行绿化、铺装或者遮盖。</w:t>
                  </w:r>
                </w:p>
              </w:tc>
              <w:tc>
                <w:tcPr>
                  <w:tcW w:w="1832" w:type="pct"/>
                  <w:vMerge w:val="continue"/>
                  <w:vAlign w:val="center"/>
                </w:tcPr>
                <w:p>
                  <w:pPr>
                    <w:pStyle w:val="108"/>
                    <w:adjustRightInd w:val="0"/>
                    <w:snapToGrid w:val="0"/>
                    <w:spacing w:line="240" w:lineRule="auto"/>
                    <w:ind w:firstLine="420"/>
                    <w:jc w:val="left"/>
                    <w:rPr>
                      <w:rFonts w:hint="default" w:ascii="Times New Roman" w:hAnsi="Times New Roman" w:cs="Times New Roman"/>
                      <w:b w:val="0"/>
                      <w:bCs w:val="0"/>
                    </w:rPr>
                  </w:pPr>
                </w:p>
              </w:tc>
              <w:tc>
                <w:tcPr>
                  <w:tcW w:w="568" w:type="pct"/>
                  <w:vMerge w:val="continue"/>
                  <w:vAlign w:val="center"/>
                </w:tcPr>
                <w:p>
                  <w:pPr>
                    <w:pStyle w:val="108"/>
                    <w:adjustRightInd w:val="0"/>
                    <w:snapToGrid w:val="0"/>
                    <w:spacing w:line="240" w:lineRule="auto"/>
                    <w:ind w:firstLine="420"/>
                    <w:rPr>
                      <w:rFonts w:hint="default" w:ascii="Times New Roman" w:hAnsi="Times New Roman"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Merge w:val="continue"/>
                  <w:vAlign w:val="center"/>
                </w:tcPr>
                <w:p>
                  <w:pPr>
                    <w:pStyle w:val="108"/>
                    <w:adjustRightInd w:val="0"/>
                    <w:snapToGrid w:val="0"/>
                    <w:spacing w:line="240" w:lineRule="auto"/>
                    <w:rPr>
                      <w:rFonts w:hint="default" w:ascii="Times New Roman" w:hAnsi="Times New Roman" w:cs="Times New Roman"/>
                      <w:b w:val="0"/>
                      <w:bCs w:val="0"/>
                      <w:szCs w:val="21"/>
                    </w:rPr>
                  </w:pPr>
                </w:p>
              </w:tc>
              <w:tc>
                <w:tcPr>
                  <w:tcW w:w="2110" w:type="pct"/>
                  <w:vAlign w:val="center"/>
                </w:tcPr>
                <w:p>
                  <w:pPr>
                    <w:pStyle w:val="108"/>
                    <w:adjustRightInd w:val="0"/>
                    <w:snapToGrid w:val="0"/>
                    <w:spacing w:line="240" w:lineRule="auto"/>
                    <w:jc w:val="left"/>
                    <w:rPr>
                      <w:rFonts w:hint="default" w:ascii="Times New Roman" w:hAnsi="Times New Roman" w:cs="Times New Roman"/>
                      <w:b w:val="0"/>
                      <w:bCs w:val="0"/>
                      <w:szCs w:val="21"/>
                    </w:rPr>
                  </w:pPr>
                  <w:r>
                    <w:rPr>
                      <w:rFonts w:hint="default" w:ascii="Times New Roman" w:hAnsi="Times New Roman" w:cs="Times New Roman"/>
                      <w:b w:val="0"/>
                      <w:bCs w:val="0"/>
                      <w:szCs w:val="21"/>
                    </w:rPr>
                    <w:t>第七十条 运输煤炭、垃圾、渣土、砂石、土方、灰浆等散装、流体物料的车辆应当采取密闭或者其他措施防止物料遗撒造成扬尘污染，并按照规定路线行驶。</w:t>
                  </w:r>
                </w:p>
              </w:tc>
              <w:tc>
                <w:tcPr>
                  <w:tcW w:w="1832" w:type="pct"/>
                  <w:vMerge w:val="restart"/>
                  <w:vAlign w:val="center"/>
                </w:tcPr>
                <w:p>
                  <w:pPr>
                    <w:pStyle w:val="108"/>
                    <w:adjustRightInd w:val="0"/>
                    <w:snapToGrid w:val="0"/>
                    <w:spacing w:line="240" w:lineRule="auto"/>
                    <w:ind w:firstLine="420" w:firstLineChars="200"/>
                    <w:jc w:val="left"/>
                    <w:rPr>
                      <w:rFonts w:hint="default" w:ascii="Times New Roman" w:hAnsi="Times New Roman" w:cs="Times New Roman"/>
                      <w:b w:val="0"/>
                      <w:bCs w:val="0"/>
                    </w:rPr>
                  </w:pPr>
                  <w:r>
                    <w:rPr>
                      <w:rFonts w:hint="default" w:ascii="Times New Roman" w:hAnsi="Times New Roman" w:cs="Times New Roman"/>
                      <w:b w:val="0"/>
                      <w:bCs w:val="0"/>
                    </w:rPr>
                    <w:t>运输渣土、砂石车辆采用密闭或防遗撒措施。装卸物料采用喷淋方式降尘。</w:t>
                  </w:r>
                </w:p>
              </w:tc>
              <w:tc>
                <w:tcPr>
                  <w:tcW w:w="568" w:type="pct"/>
                  <w:vMerge w:val="restart"/>
                  <w:vAlign w:val="center"/>
                </w:tcPr>
                <w:p>
                  <w:pPr>
                    <w:pStyle w:val="108"/>
                    <w:adjustRightInd w:val="0"/>
                    <w:snapToGrid w:val="0"/>
                    <w:spacing w:line="240" w:lineRule="auto"/>
                    <w:rPr>
                      <w:rFonts w:hint="default" w:ascii="Times New Roman" w:hAnsi="Times New Roman" w:cs="Times New Roman"/>
                      <w:b w:val="0"/>
                      <w:bCs w:val="0"/>
                    </w:rPr>
                  </w:pPr>
                  <w:r>
                    <w:rPr>
                      <w:rFonts w:hint="default" w:ascii="Times New Roman" w:hAnsi="Times New Roman" w:cs="Times New Roman"/>
                      <w:b w:val="0"/>
                      <w:bCs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Merge w:val="continue"/>
                  <w:vAlign w:val="center"/>
                </w:tcPr>
                <w:p>
                  <w:pPr>
                    <w:pStyle w:val="108"/>
                    <w:adjustRightInd w:val="0"/>
                    <w:snapToGrid w:val="0"/>
                    <w:spacing w:line="240" w:lineRule="auto"/>
                    <w:rPr>
                      <w:rFonts w:hint="default" w:ascii="Times New Roman" w:hAnsi="Times New Roman" w:cs="Times New Roman"/>
                      <w:b w:val="0"/>
                      <w:bCs w:val="0"/>
                      <w:szCs w:val="21"/>
                    </w:rPr>
                  </w:pPr>
                </w:p>
              </w:tc>
              <w:tc>
                <w:tcPr>
                  <w:tcW w:w="2110" w:type="pct"/>
                  <w:vAlign w:val="center"/>
                </w:tcPr>
                <w:p>
                  <w:pPr>
                    <w:pStyle w:val="108"/>
                    <w:adjustRightInd w:val="0"/>
                    <w:snapToGrid w:val="0"/>
                    <w:spacing w:line="240" w:lineRule="auto"/>
                    <w:jc w:val="left"/>
                    <w:rPr>
                      <w:rFonts w:hint="default" w:ascii="Times New Roman" w:hAnsi="Times New Roman" w:cs="Times New Roman"/>
                      <w:b w:val="0"/>
                      <w:bCs w:val="0"/>
                      <w:szCs w:val="21"/>
                    </w:rPr>
                  </w:pPr>
                  <w:r>
                    <w:rPr>
                      <w:rFonts w:hint="default" w:ascii="Times New Roman" w:hAnsi="Times New Roman" w:cs="Times New Roman"/>
                      <w:b w:val="0"/>
                      <w:bCs w:val="0"/>
                      <w:szCs w:val="21"/>
                    </w:rPr>
                    <w:t>装卸物料应当采取密闭或者喷淋等方式防治扬尘污染。</w:t>
                  </w:r>
                </w:p>
              </w:tc>
              <w:tc>
                <w:tcPr>
                  <w:tcW w:w="1832" w:type="pct"/>
                  <w:vMerge w:val="continue"/>
                  <w:vAlign w:val="center"/>
                </w:tcPr>
                <w:p>
                  <w:pPr>
                    <w:pStyle w:val="108"/>
                    <w:adjustRightInd w:val="0"/>
                    <w:snapToGrid w:val="0"/>
                    <w:spacing w:line="240" w:lineRule="auto"/>
                    <w:ind w:firstLine="420" w:firstLineChars="200"/>
                    <w:jc w:val="left"/>
                    <w:rPr>
                      <w:rFonts w:hint="default" w:ascii="Times New Roman" w:hAnsi="Times New Roman" w:cs="Times New Roman"/>
                      <w:b w:val="0"/>
                      <w:bCs w:val="0"/>
                    </w:rPr>
                  </w:pPr>
                </w:p>
              </w:tc>
              <w:tc>
                <w:tcPr>
                  <w:tcW w:w="568" w:type="pct"/>
                  <w:vMerge w:val="continue"/>
                  <w:vAlign w:val="center"/>
                </w:tcPr>
                <w:p>
                  <w:pPr>
                    <w:pStyle w:val="108"/>
                    <w:adjustRightInd w:val="0"/>
                    <w:snapToGrid w:val="0"/>
                    <w:spacing w:line="240" w:lineRule="auto"/>
                    <w:rPr>
                      <w:rFonts w:hint="default" w:ascii="Times New Roman" w:hAnsi="Times New Roman" w:cs="Times New Roman"/>
                      <w:b w:val="0"/>
                      <w:b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Merge w:val="continue"/>
                  <w:vAlign w:val="center"/>
                </w:tcPr>
                <w:p>
                  <w:pPr>
                    <w:pStyle w:val="108"/>
                    <w:adjustRightInd w:val="0"/>
                    <w:snapToGrid w:val="0"/>
                    <w:spacing w:line="240" w:lineRule="auto"/>
                    <w:rPr>
                      <w:rFonts w:hint="default" w:ascii="Times New Roman" w:hAnsi="Times New Roman" w:cs="Times New Roman"/>
                      <w:b w:val="0"/>
                      <w:bCs w:val="0"/>
                      <w:szCs w:val="21"/>
                    </w:rPr>
                  </w:pPr>
                </w:p>
              </w:tc>
              <w:tc>
                <w:tcPr>
                  <w:tcW w:w="2110" w:type="pct"/>
                  <w:vAlign w:val="center"/>
                </w:tcPr>
                <w:p>
                  <w:pPr>
                    <w:pStyle w:val="108"/>
                    <w:adjustRightInd w:val="0"/>
                    <w:snapToGrid w:val="0"/>
                    <w:spacing w:line="240" w:lineRule="auto"/>
                    <w:jc w:val="left"/>
                    <w:rPr>
                      <w:rFonts w:hint="default" w:ascii="Times New Roman" w:hAnsi="Times New Roman" w:cs="Times New Roman"/>
                      <w:b w:val="0"/>
                      <w:bCs w:val="0"/>
                      <w:szCs w:val="21"/>
                    </w:rPr>
                  </w:pPr>
                  <w:r>
                    <w:rPr>
                      <w:rFonts w:hint="default" w:ascii="Times New Roman" w:hAnsi="Times New Roman" w:cs="Times New Roman"/>
                      <w:b w:val="0"/>
                      <w:bCs w:val="0"/>
                      <w:szCs w:val="21"/>
                    </w:rPr>
                    <w:t>第八十条企业事业单位和其他生产经营者在生产经营活动中产生恶臭气体的，应当科学选址，设置合理的防护距离，并安装净化装置或者采取其他措施，防止排放恶臭气体。</w:t>
                  </w:r>
                </w:p>
              </w:tc>
              <w:tc>
                <w:tcPr>
                  <w:tcW w:w="1832" w:type="pct"/>
                  <w:vAlign w:val="center"/>
                </w:tcPr>
                <w:p>
                  <w:pPr>
                    <w:pStyle w:val="108"/>
                    <w:adjustRightInd w:val="0"/>
                    <w:snapToGrid w:val="0"/>
                    <w:spacing w:line="240" w:lineRule="auto"/>
                    <w:ind w:firstLine="420" w:firstLineChars="200"/>
                    <w:jc w:val="left"/>
                    <w:rPr>
                      <w:rFonts w:hint="default" w:ascii="Times New Roman" w:hAnsi="Times New Roman" w:cs="Times New Roman"/>
                      <w:b w:val="0"/>
                      <w:bCs w:val="0"/>
                    </w:rPr>
                  </w:pPr>
                  <w:r>
                    <w:rPr>
                      <w:rFonts w:hint="default" w:ascii="Times New Roman" w:hAnsi="Times New Roman" w:cs="Times New Roman"/>
                      <w:b w:val="0"/>
                      <w:bCs w:val="0"/>
                    </w:rPr>
                    <w:t>产臭单元顶部加盖或密闭。产生的废气采取“密闭加罩+负压集气收集+生物滤池”处理后经15m高排气筒有组织排放。</w:t>
                  </w:r>
                </w:p>
              </w:tc>
              <w:tc>
                <w:tcPr>
                  <w:tcW w:w="568" w:type="pct"/>
                  <w:vAlign w:val="center"/>
                </w:tcPr>
                <w:p>
                  <w:pPr>
                    <w:pStyle w:val="108"/>
                    <w:adjustRightInd w:val="0"/>
                    <w:snapToGrid w:val="0"/>
                    <w:spacing w:line="240" w:lineRule="auto"/>
                    <w:rPr>
                      <w:rFonts w:hint="default" w:ascii="Times New Roman" w:hAnsi="Times New Roman" w:cs="Times New Roman"/>
                      <w:b w:val="0"/>
                      <w:bCs w:val="0"/>
                    </w:rPr>
                  </w:pPr>
                  <w:r>
                    <w:rPr>
                      <w:rFonts w:hint="default" w:ascii="Times New Roman" w:hAnsi="Times New Roman" w:cs="Times New Roman"/>
                      <w:b w:val="0"/>
                      <w:bCs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Align w:val="center"/>
                </w:tcPr>
                <w:p>
                  <w:pPr>
                    <w:pStyle w:val="108"/>
                    <w:adjustRightInd w:val="0"/>
                    <w:snapToGrid w:val="0"/>
                    <w:spacing w:line="240" w:lineRule="auto"/>
                    <w:rPr>
                      <w:rFonts w:hint="default" w:ascii="Times New Roman" w:hAnsi="Times New Roman" w:cs="Times New Roman"/>
                      <w:b w:val="0"/>
                      <w:bCs w:val="0"/>
                      <w:szCs w:val="21"/>
                    </w:rPr>
                  </w:pPr>
                  <w:r>
                    <w:rPr>
                      <w:rFonts w:hint="default" w:ascii="Times New Roman" w:hAnsi="Times New Roman" w:cs="Times New Roman"/>
                      <w:b w:val="0"/>
                      <w:bCs w:val="0"/>
                      <w:szCs w:val="21"/>
                    </w:rPr>
                    <w:t>《大气污染防治行动计划》</w:t>
                  </w:r>
                </w:p>
              </w:tc>
              <w:tc>
                <w:tcPr>
                  <w:tcW w:w="2110" w:type="pct"/>
                  <w:vAlign w:val="center"/>
                </w:tcPr>
                <w:p>
                  <w:pPr>
                    <w:pStyle w:val="108"/>
                    <w:adjustRightInd w:val="0"/>
                    <w:snapToGrid w:val="0"/>
                    <w:spacing w:line="240" w:lineRule="auto"/>
                    <w:jc w:val="left"/>
                    <w:rPr>
                      <w:rFonts w:hint="default" w:ascii="Times New Roman" w:hAnsi="Times New Roman" w:cs="Times New Roman"/>
                      <w:b w:val="0"/>
                      <w:bCs w:val="0"/>
                      <w:szCs w:val="21"/>
                    </w:rPr>
                  </w:pPr>
                  <w:r>
                    <w:rPr>
                      <w:rFonts w:hint="default" w:ascii="Times New Roman" w:hAnsi="Times New Roman" w:cs="Times New Roman"/>
                      <w:b w:val="0"/>
                      <w:bCs w:val="0"/>
                      <w:szCs w:val="21"/>
                    </w:rPr>
                    <w:t>（二）深化面源污染治理。综合整治城市扬尘。加强施工扬尘监管，积极推进绿色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推进城市及周边绿化和防风防沙林建设，扩大城市建成区绿地规模。</w:t>
                  </w:r>
                </w:p>
              </w:tc>
              <w:tc>
                <w:tcPr>
                  <w:tcW w:w="1832" w:type="pct"/>
                  <w:vAlign w:val="center"/>
                </w:tcPr>
                <w:p>
                  <w:pPr>
                    <w:pStyle w:val="108"/>
                    <w:adjustRightInd w:val="0"/>
                    <w:snapToGrid w:val="0"/>
                    <w:spacing w:line="240" w:lineRule="auto"/>
                    <w:ind w:firstLine="420" w:firstLineChars="200"/>
                    <w:jc w:val="left"/>
                    <w:rPr>
                      <w:rFonts w:hint="default" w:ascii="Times New Roman" w:hAnsi="Times New Roman" w:cs="Times New Roman"/>
                      <w:b w:val="0"/>
                      <w:bCs w:val="0"/>
                    </w:rPr>
                  </w:pPr>
                  <w:r>
                    <w:rPr>
                      <w:rFonts w:hint="default" w:ascii="Times New Roman" w:hAnsi="Times New Roman" w:cs="Times New Roman"/>
                      <w:b w:val="0"/>
                      <w:bCs w:val="0"/>
                    </w:rPr>
                    <w:t>建设工程施工现场全封闭设置围挡墙，施工道路进行地面硬化。渣土运输车采取密闭措施。</w:t>
                  </w:r>
                </w:p>
              </w:tc>
              <w:tc>
                <w:tcPr>
                  <w:tcW w:w="568" w:type="pct"/>
                  <w:vAlign w:val="center"/>
                </w:tcPr>
                <w:p>
                  <w:pPr>
                    <w:pStyle w:val="108"/>
                    <w:adjustRightInd w:val="0"/>
                    <w:snapToGrid w:val="0"/>
                    <w:spacing w:line="240" w:lineRule="auto"/>
                    <w:rPr>
                      <w:rFonts w:hint="default" w:ascii="Times New Roman" w:hAnsi="Times New Roman" w:cs="Times New Roman"/>
                      <w:b w:val="0"/>
                      <w:bCs w:val="0"/>
                    </w:rPr>
                  </w:pPr>
                  <w:r>
                    <w:rPr>
                      <w:rFonts w:hint="default" w:ascii="Times New Roman" w:hAnsi="Times New Roman" w:cs="Times New Roman"/>
                      <w:b w:val="0"/>
                      <w:bCs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Merge w:val="restart"/>
                  <w:vAlign w:val="center"/>
                </w:tcPr>
                <w:p>
                  <w:pPr>
                    <w:pStyle w:val="108"/>
                    <w:adjustRightInd w:val="0"/>
                    <w:snapToGrid w:val="0"/>
                    <w:spacing w:line="240" w:lineRule="auto"/>
                    <w:rPr>
                      <w:rFonts w:hint="default" w:ascii="Times New Roman" w:hAnsi="Times New Roman" w:cs="Times New Roman"/>
                      <w:b w:val="0"/>
                      <w:bCs w:val="0"/>
                      <w:szCs w:val="21"/>
                    </w:rPr>
                  </w:pPr>
                  <w:r>
                    <w:rPr>
                      <w:rFonts w:hint="default" w:ascii="Times New Roman" w:hAnsi="Times New Roman" w:cs="Times New Roman"/>
                      <w:b w:val="0"/>
                      <w:bCs w:val="0"/>
                      <w:szCs w:val="21"/>
                    </w:rPr>
                    <w:t>四川省《中华人民共和国大气污染防治法》实施办法</w:t>
                  </w:r>
                </w:p>
              </w:tc>
              <w:tc>
                <w:tcPr>
                  <w:tcW w:w="2110" w:type="pct"/>
                  <w:vAlign w:val="center"/>
                </w:tcPr>
                <w:p>
                  <w:pPr>
                    <w:pStyle w:val="108"/>
                    <w:adjustRightInd w:val="0"/>
                    <w:snapToGrid w:val="0"/>
                    <w:spacing w:line="240" w:lineRule="auto"/>
                    <w:jc w:val="both"/>
                    <w:rPr>
                      <w:rFonts w:hint="default" w:ascii="Times New Roman" w:hAnsi="Times New Roman" w:cs="Times New Roman"/>
                      <w:b w:val="0"/>
                      <w:bCs w:val="0"/>
                      <w:szCs w:val="21"/>
                    </w:rPr>
                  </w:pPr>
                  <w:r>
                    <w:rPr>
                      <w:rFonts w:hint="default" w:ascii="Times New Roman" w:hAnsi="Times New Roman" w:cs="Times New Roman"/>
                      <w:b w:val="0"/>
                      <w:bCs w:val="0"/>
                      <w:szCs w:val="21"/>
                    </w:rPr>
                    <w:t>第五十四条建设单位应当将施工扬尘污染防治费用列入工程造价，在施工承包合同中明确施工单位控制扬尘污染的责任。</w:t>
                  </w:r>
                </w:p>
                <w:p>
                  <w:pPr>
                    <w:pStyle w:val="108"/>
                    <w:adjustRightInd w:val="0"/>
                    <w:snapToGrid w:val="0"/>
                    <w:spacing w:line="240" w:lineRule="auto"/>
                    <w:jc w:val="both"/>
                    <w:rPr>
                      <w:rFonts w:hint="default" w:ascii="Times New Roman" w:hAnsi="Times New Roman" w:cs="Times New Roman"/>
                      <w:b w:val="0"/>
                      <w:bCs w:val="0"/>
                      <w:szCs w:val="21"/>
                    </w:rPr>
                  </w:pPr>
                  <w:r>
                    <w:rPr>
                      <w:rFonts w:hint="default" w:ascii="Times New Roman" w:hAnsi="Times New Roman" w:cs="Times New Roman"/>
                      <w:b w:val="0"/>
                      <w:bCs w:val="0"/>
                      <w:szCs w:val="21"/>
                    </w:rPr>
                    <w:t>工程监理单位应当将扬尘污染防治纳入工程监理细则，对发现的扬尘污染行为，应当要求施工单位立即改正；对不立即整改的，及时报告有关主管部门。</w:t>
                  </w:r>
                </w:p>
              </w:tc>
              <w:tc>
                <w:tcPr>
                  <w:tcW w:w="1832" w:type="pct"/>
                  <w:vMerge w:val="restart"/>
                  <w:vAlign w:val="center"/>
                </w:tcPr>
                <w:p>
                  <w:pPr>
                    <w:pStyle w:val="108"/>
                    <w:adjustRightInd w:val="0"/>
                    <w:snapToGrid w:val="0"/>
                    <w:spacing w:line="240" w:lineRule="auto"/>
                    <w:ind w:firstLine="420" w:firstLineChars="200"/>
                    <w:jc w:val="left"/>
                    <w:rPr>
                      <w:rFonts w:hint="default" w:ascii="Times New Roman" w:hAnsi="Times New Roman" w:cs="Times New Roman"/>
                      <w:b w:val="0"/>
                      <w:bCs w:val="0"/>
                    </w:rPr>
                  </w:pPr>
                  <w:r>
                    <w:rPr>
                      <w:rFonts w:hint="default" w:ascii="Times New Roman" w:hAnsi="Times New Roman" w:cs="Times New Roman"/>
                      <w:b w:val="0"/>
                      <w:bCs w:val="0"/>
                    </w:rPr>
                    <w:t>建设单位将防治扬尘污染的费用列入工程造价，并在施工承包合同中明确施工单位扬尘污染防治责任。施工单位制定具体的施工扬尘污染防治实施方案。</w:t>
                  </w:r>
                </w:p>
                <w:p>
                  <w:pPr>
                    <w:pStyle w:val="108"/>
                    <w:adjustRightInd w:val="0"/>
                    <w:snapToGrid w:val="0"/>
                    <w:spacing w:line="240" w:lineRule="auto"/>
                    <w:ind w:firstLine="420" w:firstLineChars="200"/>
                    <w:jc w:val="left"/>
                    <w:rPr>
                      <w:rFonts w:hint="default" w:ascii="Times New Roman" w:hAnsi="Times New Roman" w:cs="Times New Roman"/>
                      <w:b w:val="0"/>
                      <w:bCs w:val="0"/>
                    </w:rPr>
                  </w:pPr>
                  <w:r>
                    <w:rPr>
                      <w:rFonts w:hint="default" w:ascii="Times New Roman" w:hAnsi="Times New Roman" w:cs="Times New Roman"/>
                      <w:b w:val="0"/>
                      <w:bCs w:val="0"/>
                    </w:rPr>
                    <w:t>施工单位应当在施工工地设置硬质围挡，对地面及车辆进行有效降尘。土石方及时清运，暂存的采用防尘遮盖。</w:t>
                  </w:r>
                </w:p>
              </w:tc>
              <w:tc>
                <w:tcPr>
                  <w:tcW w:w="568" w:type="pct"/>
                  <w:vMerge w:val="restart"/>
                  <w:vAlign w:val="center"/>
                </w:tcPr>
                <w:p>
                  <w:pPr>
                    <w:pStyle w:val="108"/>
                    <w:adjustRightInd w:val="0"/>
                    <w:snapToGrid w:val="0"/>
                    <w:spacing w:line="240" w:lineRule="auto"/>
                    <w:rPr>
                      <w:rFonts w:hint="default" w:ascii="Times New Roman" w:hAnsi="Times New Roman" w:cs="Times New Roman"/>
                      <w:b w:val="0"/>
                      <w:bCs w:val="0"/>
                    </w:rPr>
                  </w:pPr>
                  <w:r>
                    <w:rPr>
                      <w:rFonts w:hint="default" w:ascii="Times New Roman" w:hAnsi="Times New Roman" w:cs="Times New Roman"/>
                      <w:b w:val="0"/>
                      <w:bCs w:val="0"/>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 w:type="pct"/>
                  <w:vMerge w:val="continue"/>
                  <w:vAlign w:val="center"/>
                </w:tcPr>
                <w:p>
                  <w:pPr>
                    <w:pStyle w:val="108"/>
                    <w:adjustRightInd w:val="0"/>
                    <w:snapToGrid w:val="0"/>
                    <w:spacing w:line="240" w:lineRule="auto"/>
                    <w:rPr>
                      <w:rFonts w:hint="default" w:ascii="Times New Roman" w:hAnsi="Times New Roman" w:cs="Times New Roman"/>
                      <w:b w:val="0"/>
                      <w:bCs w:val="0"/>
                      <w:szCs w:val="21"/>
                    </w:rPr>
                  </w:pPr>
                </w:p>
              </w:tc>
              <w:tc>
                <w:tcPr>
                  <w:tcW w:w="2110" w:type="pct"/>
                  <w:vAlign w:val="center"/>
                </w:tcPr>
                <w:p>
                  <w:pPr>
                    <w:pStyle w:val="108"/>
                    <w:adjustRightInd w:val="0"/>
                    <w:snapToGrid w:val="0"/>
                    <w:spacing w:line="240" w:lineRule="auto"/>
                    <w:jc w:val="both"/>
                    <w:rPr>
                      <w:rFonts w:hint="default" w:ascii="Times New Roman" w:hAnsi="Times New Roman" w:cs="Times New Roman"/>
                      <w:b w:val="0"/>
                      <w:bCs w:val="0"/>
                      <w:szCs w:val="21"/>
                    </w:rPr>
                  </w:pPr>
                  <w:r>
                    <w:rPr>
                      <w:rFonts w:hint="default" w:ascii="Times New Roman" w:hAnsi="Times New Roman" w:cs="Times New Roman"/>
                      <w:b w:val="0"/>
                      <w:bCs w:val="0"/>
                      <w:szCs w:val="21"/>
                    </w:rPr>
                    <w:t>第五十五条施工工地应当遵守下列规定：</w:t>
                  </w:r>
                </w:p>
                <w:p>
                  <w:pPr>
                    <w:pStyle w:val="108"/>
                    <w:adjustRightInd w:val="0"/>
                    <w:snapToGrid w:val="0"/>
                    <w:spacing w:line="240" w:lineRule="auto"/>
                    <w:jc w:val="both"/>
                    <w:rPr>
                      <w:rFonts w:hint="default" w:ascii="Times New Roman" w:hAnsi="Times New Roman" w:cs="Times New Roman"/>
                      <w:b w:val="0"/>
                      <w:bCs w:val="0"/>
                      <w:szCs w:val="21"/>
                    </w:rPr>
                  </w:pPr>
                  <w:r>
                    <w:rPr>
                      <w:rFonts w:hint="default" w:ascii="Times New Roman" w:hAnsi="Times New Roman" w:cs="Times New Roman"/>
                      <w:b w:val="0"/>
                      <w:bCs w:val="0"/>
                      <w:szCs w:val="21"/>
                    </w:rPr>
                    <w:t>（一）在施工现场出入口公示施工负责人、扬尘污染控制措施、主管部门以及举报电话等信息，接受社会监督；</w:t>
                  </w:r>
                </w:p>
                <w:p>
                  <w:pPr>
                    <w:pStyle w:val="108"/>
                    <w:adjustRightInd w:val="0"/>
                    <w:snapToGrid w:val="0"/>
                    <w:spacing w:line="240" w:lineRule="auto"/>
                    <w:jc w:val="both"/>
                    <w:rPr>
                      <w:rFonts w:hint="default" w:ascii="Times New Roman" w:hAnsi="Times New Roman" w:cs="Times New Roman"/>
                      <w:b w:val="0"/>
                      <w:bCs w:val="0"/>
                      <w:szCs w:val="21"/>
                    </w:rPr>
                  </w:pPr>
                  <w:r>
                    <w:rPr>
                      <w:rFonts w:hint="default" w:ascii="Times New Roman" w:hAnsi="Times New Roman" w:cs="Times New Roman"/>
                      <w:b w:val="0"/>
                      <w:bCs w:val="0"/>
                      <w:szCs w:val="21"/>
                    </w:rPr>
                    <w:t>（二）施工工地设置围墙或者硬质密闭围挡，并对围挡进行维护；</w:t>
                  </w:r>
                </w:p>
                <w:p>
                  <w:pPr>
                    <w:pStyle w:val="108"/>
                    <w:adjustRightInd w:val="0"/>
                    <w:snapToGrid w:val="0"/>
                    <w:spacing w:line="240" w:lineRule="auto"/>
                    <w:jc w:val="both"/>
                    <w:rPr>
                      <w:rFonts w:hint="default" w:ascii="Times New Roman" w:hAnsi="Times New Roman" w:cs="Times New Roman"/>
                      <w:b w:val="0"/>
                      <w:bCs w:val="0"/>
                      <w:szCs w:val="21"/>
                    </w:rPr>
                  </w:pPr>
                  <w:r>
                    <w:rPr>
                      <w:rFonts w:hint="default" w:ascii="Times New Roman" w:hAnsi="Times New Roman" w:cs="Times New Roman"/>
                      <w:b w:val="0"/>
                      <w:bCs w:val="0"/>
                      <w:szCs w:val="21"/>
                    </w:rPr>
                    <w:t>（三）对施工现场进出口通道、场内道路，以及材料存放区、加工区等场所地坪硬化，对其他场地进行覆盖或者临时绿化，对土方集中堆放并按照规范覆盖或者固化；</w:t>
                  </w:r>
                </w:p>
                <w:p>
                  <w:pPr>
                    <w:pStyle w:val="108"/>
                    <w:adjustRightInd w:val="0"/>
                    <w:snapToGrid w:val="0"/>
                    <w:spacing w:line="240" w:lineRule="auto"/>
                    <w:jc w:val="both"/>
                    <w:rPr>
                      <w:rFonts w:hint="default" w:ascii="Times New Roman" w:hAnsi="Times New Roman" w:cs="Times New Roman"/>
                      <w:b w:val="0"/>
                      <w:bCs w:val="0"/>
                      <w:szCs w:val="21"/>
                    </w:rPr>
                  </w:pPr>
                  <w:r>
                    <w:rPr>
                      <w:rFonts w:hint="default" w:ascii="Times New Roman" w:hAnsi="Times New Roman" w:cs="Times New Roman"/>
                      <w:b w:val="0"/>
                      <w:bCs w:val="0"/>
                      <w:szCs w:val="21"/>
                    </w:rPr>
                    <w:t>（四）施工现场出入口应当设置车辆冲洗设施，施工及运输车辆经除泥、冲洗后方能驶出工地，不得带泥上路；</w:t>
                  </w:r>
                </w:p>
                <w:p>
                  <w:pPr>
                    <w:pStyle w:val="108"/>
                    <w:adjustRightInd w:val="0"/>
                    <w:snapToGrid w:val="0"/>
                    <w:spacing w:line="240" w:lineRule="auto"/>
                    <w:jc w:val="both"/>
                    <w:rPr>
                      <w:rFonts w:hint="default" w:ascii="Times New Roman" w:hAnsi="Times New Roman" w:cs="Times New Roman"/>
                      <w:b w:val="0"/>
                      <w:bCs w:val="0"/>
                      <w:szCs w:val="21"/>
                    </w:rPr>
                  </w:pPr>
                  <w:r>
                    <w:rPr>
                      <w:rFonts w:hint="default" w:ascii="Times New Roman" w:hAnsi="Times New Roman" w:cs="Times New Roman"/>
                      <w:b w:val="0"/>
                      <w:bCs w:val="0"/>
                      <w:szCs w:val="21"/>
                    </w:rPr>
                    <w:t>（五）露天堆放的河沙、石粉、水泥、灰浆等易产生扬尘的物料以及不能及时清运的建筑垃圾，应当设置不低于堆放高度的密闭围栏，并对堆放物品予以覆盖；</w:t>
                  </w:r>
                </w:p>
                <w:p>
                  <w:pPr>
                    <w:pStyle w:val="108"/>
                    <w:adjustRightInd w:val="0"/>
                    <w:snapToGrid w:val="0"/>
                    <w:spacing w:line="240" w:lineRule="auto"/>
                    <w:jc w:val="both"/>
                    <w:rPr>
                      <w:rFonts w:hint="default" w:ascii="Times New Roman" w:hAnsi="Times New Roman" w:cs="Times New Roman"/>
                      <w:b w:val="0"/>
                      <w:bCs w:val="0"/>
                      <w:szCs w:val="21"/>
                    </w:rPr>
                  </w:pPr>
                  <w:r>
                    <w:rPr>
                      <w:rFonts w:hint="default" w:ascii="Times New Roman" w:hAnsi="Times New Roman" w:cs="Times New Roman"/>
                      <w:b w:val="0"/>
                      <w:bCs w:val="0"/>
                      <w:szCs w:val="21"/>
                    </w:rPr>
                    <w:t>（六）土方施工、主体施工、装饰装修、总坪施工及爆破、拆除、切割作业时，应当使用洒水或者喷淋等降尘措施。</w:t>
                  </w:r>
                </w:p>
              </w:tc>
              <w:tc>
                <w:tcPr>
                  <w:tcW w:w="1832" w:type="pct"/>
                  <w:vMerge w:val="continue"/>
                  <w:vAlign w:val="center"/>
                </w:tcPr>
                <w:p>
                  <w:pPr>
                    <w:pStyle w:val="108"/>
                    <w:adjustRightInd w:val="0"/>
                    <w:snapToGrid w:val="0"/>
                    <w:spacing w:line="240" w:lineRule="auto"/>
                    <w:ind w:firstLine="420"/>
                    <w:jc w:val="left"/>
                    <w:rPr>
                      <w:rFonts w:hint="default" w:ascii="Times New Roman" w:hAnsi="Times New Roman" w:cs="Times New Roman"/>
                      <w:b w:val="0"/>
                      <w:bCs w:val="0"/>
                    </w:rPr>
                  </w:pPr>
                </w:p>
              </w:tc>
              <w:tc>
                <w:tcPr>
                  <w:tcW w:w="568" w:type="pct"/>
                  <w:vMerge w:val="continue"/>
                  <w:vAlign w:val="center"/>
                </w:tcPr>
                <w:p>
                  <w:pPr>
                    <w:pStyle w:val="108"/>
                    <w:adjustRightInd w:val="0"/>
                    <w:snapToGrid w:val="0"/>
                    <w:spacing w:line="240" w:lineRule="auto"/>
                    <w:ind w:firstLine="420"/>
                    <w:rPr>
                      <w:rFonts w:hint="default" w:ascii="Times New Roman" w:hAnsi="Times New Roman" w:cs="Times New Roman"/>
                      <w:b w:val="0"/>
                      <w:bCs w:val="0"/>
                    </w:rPr>
                  </w:pPr>
                </w:p>
              </w:tc>
            </w:tr>
          </w:tbl>
          <w:p>
            <w:pPr>
              <w:widowControl w:val="0"/>
              <w:autoSpaceDE w:val="0"/>
              <w:autoSpaceDN w:val="0"/>
              <w:adjustRightInd w:val="0"/>
              <w:snapToGrid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由上表可知，本项目建设符合《中华人民共和国大气污染防治法》、《大气污染防治行动计划》、四川省《中华人民共和国大气污染防治法》实施办法。</w:t>
            </w:r>
          </w:p>
          <w:p>
            <w:pPr>
              <w:widowControl w:val="0"/>
              <w:autoSpaceDE w:val="0"/>
              <w:autoSpaceDN w:val="0"/>
              <w:adjustRightInd w:val="0"/>
              <w:snapToGrid w:val="0"/>
              <w:ind w:firstLine="482" w:firstLineChars="200"/>
              <w:jc w:val="both"/>
              <w:rPr>
                <w:rFonts w:hint="default" w:ascii="Times New Roman" w:hAnsi="Times New Roman" w:cs="Times New Roman"/>
                <w:b/>
                <w:bCs/>
                <w:kern w:val="0"/>
              </w:rPr>
            </w:pPr>
            <w:r>
              <w:rPr>
                <w:rFonts w:hint="default" w:ascii="Times New Roman" w:hAnsi="Times New Roman" w:cs="Times New Roman"/>
                <w:b/>
                <w:bCs/>
                <w:kern w:val="0"/>
              </w:rPr>
              <w:t>（2）与水污染防治的法规、规范文件符合性分析</w:t>
            </w:r>
          </w:p>
          <w:p>
            <w:pPr>
              <w:widowControl w:val="0"/>
              <w:autoSpaceDE w:val="0"/>
              <w:autoSpaceDN w:val="0"/>
              <w:adjustRightInd w:val="0"/>
              <w:snapToGrid w:val="0"/>
              <w:ind w:firstLine="482" w:firstLineChars="200"/>
              <w:jc w:val="both"/>
              <w:rPr>
                <w:rFonts w:hint="default" w:ascii="Times New Roman" w:hAnsi="Times New Roman" w:cs="Times New Roman"/>
                <w:b/>
                <w:bCs/>
                <w:kern w:val="0"/>
              </w:rPr>
            </w:pPr>
            <w:r>
              <w:rPr>
                <w:rFonts w:hint="default" w:ascii="Times New Roman" w:hAnsi="Times New Roman" w:cs="Times New Roman"/>
                <w:b/>
                <w:bCs/>
                <w:kern w:val="0"/>
              </w:rPr>
              <w:t>①本项目与《中华人民共和国水污染防治法》符合性分析见下表：</w:t>
            </w:r>
          </w:p>
          <w:p>
            <w:pPr>
              <w:pStyle w:val="169"/>
              <w:numPr>
                <w:ilvl w:val="0"/>
                <w:numId w:val="3"/>
              </w:numPr>
              <w:spacing w:line="276" w:lineRule="auto"/>
              <w:jc w:val="center"/>
              <w:rPr>
                <w:rFonts w:hint="default" w:ascii="Times New Roman" w:hAnsi="Times New Roman" w:eastAsia="黑体" w:cs="Times New Roman"/>
                <w:szCs w:val="24"/>
              </w:rPr>
            </w:pPr>
            <w:r>
              <w:rPr>
                <w:rFonts w:hint="default" w:ascii="Times New Roman" w:hAnsi="Times New Roman" w:eastAsia="黑体" w:cs="Times New Roman"/>
                <w:szCs w:val="24"/>
              </w:rPr>
              <w:t>本项目与《中华人民共和国水污染防治法》符合性分析</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2760"/>
              <w:gridCol w:w="2378"/>
              <w:gridCol w:w="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764" w:type="pct"/>
                  <w:vAlign w:val="center"/>
                </w:tcPr>
                <w:p>
                  <w:pPr>
                    <w:pStyle w:val="189"/>
                    <w:adjustRightInd w:val="0"/>
                    <w:snapToGrid w:val="0"/>
                    <w:spacing w:line="300" w:lineRule="exact"/>
                    <w:rPr>
                      <w:rFonts w:hint="default" w:ascii="Times New Roman" w:hAnsi="Times New Roman" w:cs="Times New Roman"/>
                      <w:b/>
                      <w:bCs/>
                    </w:rPr>
                  </w:pPr>
                  <w:r>
                    <w:rPr>
                      <w:rFonts w:hint="default" w:ascii="Times New Roman" w:hAnsi="Times New Roman" w:cs="Times New Roman"/>
                      <w:b/>
                      <w:bCs/>
                    </w:rPr>
                    <w:t>法律</w:t>
                  </w:r>
                </w:p>
              </w:tc>
              <w:tc>
                <w:tcPr>
                  <w:tcW w:w="1933" w:type="pct"/>
                  <w:vAlign w:val="center"/>
                </w:tcPr>
                <w:p>
                  <w:pPr>
                    <w:pStyle w:val="189"/>
                    <w:adjustRightInd w:val="0"/>
                    <w:snapToGrid w:val="0"/>
                    <w:spacing w:line="300" w:lineRule="exact"/>
                    <w:rPr>
                      <w:rFonts w:hint="default" w:ascii="Times New Roman" w:hAnsi="Times New Roman" w:cs="Times New Roman"/>
                      <w:b/>
                      <w:bCs/>
                    </w:rPr>
                  </w:pPr>
                  <w:r>
                    <w:rPr>
                      <w:rFonts w:hint="default" w:ascii="Times New Roman" w:hAnsi="Times New Roman" w:cs="Times New Roman"/>
                      <w:b/>
                      <w:bCs/>
                    </w:rPr>
                    <w:t>相关要求</w:t>
                  </w:r>
                </w:p>
              </w:tc>
              <w:tc>
                <w:tcPr>
                  <w:tcW w:w="1666" w:type="pct"/>
                  <w:vAlign w:val="center"/>
                </w:tcPr>
                <w:p>
                  <w:pPr>
                    <w:pStyle w:val="189"/>
                    <w:adjustRightInd w:val="0"/>
                    <w:snapToGrid w:val="0"/>
                    <w:spacing w:line="300" w:lineRule="exact"/>
                    <w:rPr>
                      <w:rFonts w:hint="default" w:ascii="Times New Roman" w:hAnsi="Times New Roman" w:cs="Times New Roman"/>
                      <w:b/>
                      <w:bCs/>
                    </w:rPr>
                  </w:pPr>
                  <w:r>
                    <w:rPr>
                      <w:rFonts w:hint="default" w:ascii="Times New Roman" w:hAnsi="Times New Roman" w:cs="Times New Roman"/>
                      <w:b/>
                      <w:bCs/>
                    </w:rPr>
                    <w:t>本项目情况</w:t>
                  </w:r>
                </w:p>
              </w:tc>
              <w:tc>
                <w:tcPr>
                  <w:tcW w:w="637" w:type="pct"/>
                  <w:vAlign w:val="center"/>
                </w:tcPr>
                <w:p>
                  <w:pPr>
                    <w:pStyle w:val="189"/>
                    <w:adjustRightInd w:val="0"/>
                    <w:snapToGrid w:val="0"/>
                    <w:spacing w:line="300" w:lineRule="exact"/>
                    <w:rPr>
                      <w:rFonts w:hint="default" w:ascii="Times New Roman" w:hAnsi="Times New Roman" w:cs="Times New Roman"/>
                      <w:b/>
                      <w:bCs/>
                    </w:rPr>
                  </w:pPr>
                  <w:r>
                    <w:rPr>
                      <w:rFonts w:hint="default" w:ascii="Times New Roman" w:hAnsi="Times New Roman" w:cs="Times New Roman"/>
                      <w:b/>
                      <w:bC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64" w:type="pct"/>
                  <w:vAlign w:val="center"/>
                </w:tcPr>
                <w:p>
                  <w:pPr>
                    <w:pStyle w:val="108"/>
                    <w:adjustRightInd w:val="0"/>
                    <w:snapToGrid w:val="0"/>
                    <w:spacing w:line="300" w:lineRule="exact"/>
                    <w:rPr>
                      <w:rFonts w:hint="default" w:ascii="Times New Roman" w:hAnsi="Times New Roman" w:cs="Times New Roman"/>
                      <w:b w:val="0"/>
                      <w:bCs w:val="0"/>
                    </w:rPr>
                  </w:pPr>
                  <w:r>
                    <w:rPr>
                      <w:rFonts w:hint="default" w:ascii="Times New Roman" w:hAnsi="Times New Roman" w:cs="Times New Roman"/>
                      <w:b w:val="0"/>
                      <w:bCs w:val="0"/>
                    </w:rPr>
                    <w:t>《中华人民共和国水污染防治法》（2018年1月1日实施）</w:t>
                  </w:r>
                </w:p>
              </w:tc>
              <w:tc>
                <w:tcPr>
                  <w:tcW w:w="1933" w:type="pct"/>
                  <w:vAlign w:val="center"/>
                </w:tcPr>
                <w:p>
                  <w:pPr>
                    <w:pStyle w:val="108"/>
                    <w:adjustRightInd w:val="0"/>
                    <w:snapToGrid w:val="0"/>
                    <w:spacing w:line="300" w:lineRule="exact"/>
                    <w:jc w:val="left"/>
                    <w:rPr>
                      <w:rFonts w:hint="default" w:ascii="Times New Roman" w:hAnsi="Times New Roman" w:cs="Times New Roman"/>
                      <w:b w:val="0"/>
                      <w:bCs w:val="0"/>
                    </w:rPr>
                  </w:pPr>
                  <w:r>
                    <w:rPr>
                      <w:rFonts w:hint="default" w:ascii="Times New Roman" w:hAnsi="Times New Roman" w:cs="Times New Roman"/>
                      <w:b w:val="0"/>
                      <w:bCs w:val="0"/>
                    </w:rPr>
                    <w:t>县级以上地方人民政府应当通过财政预算和其他渠道筹集资金，统筹安排建设城镇污水集中处理设施及配套管网，提高本行政区域城镇污水的收集率和处理率。</w:t>
                  </w:r>
                </w:p>
                <w:p>
                  <w:pPr>
                    <w:pStyle w:val="108"/>
                    <w:adjustRightInd w:val="0"/>
                    <w:snapToGrid w:val="0"/>
                    <w:spacing w:line="300" w:lineRule="exact"/>
                    <w:jc w:val="left"/>
                    <w:rPr>
                      <w:rFonts w:hint="default" w:ascii="Times New Roman" w:hAnsi="Times New Roman" w:cs="Times New Roman"/>
                      <w:b w:val="0"/>
                      <w:bCs w:val="0"/>
                    </w:rPr>
                  </w:pPr>
                  <w:r>
                    <w:rPr>
                      <w:rFonts w:hint="default" w:ascii="Times New Roman" w:hAnsi="Times New Roman" w:cs="Times New Roman"/>
                      <w:b w:val="0"/>
                      <w:bCs w:val="0"/>
                    </w:rPr>
                    <w:t>根据城乡规划和水污染防治规划，组织编制全国城镇污水处理设施建设规划。县级以上地方人民政府组织建设、经济综合宏观调控、环境保护、水行政等部门编制本行政区域的城镇污水处理设施建设规划。县级以上地方人民政府建设主管部门应当按照城镇污水处理设施建设规划，组织建设城镇污水集中处理设施及配套管网，并加强对城镇污水集中处理设施运营的监督管理。</w:t>
                  </w:r>
                </w:p>
              </w:tc>
              <w:tc>
                <w:tcPr>
                  <w:tcW w:w="1666" w:type="pct"/>
                  <w:vAlign w:val="center"/>
                </w:tcPr>
                <w:p>
                  <w:pPr>
                    <w:pStyle w:val="108"/>
                    <w:adjustRightInd w:val="0"/>
                    <w:snapToGrid w:val="0"/>
                    <w:spacing w:line="300" w:lineRule="exact"/>
                    <w:ind w:firstLine="420" w:firstLineChars="200"/>
                    <w:rPr>
                      <w:rFonts w:hint="default" w:ascii="Times New Roman" w:hAnsi="Times New Roman" w:cs="Times New Roman"/>
                      <w:b w:val="0"/>
                      <w:bCs w:val="0"/>
                    </w:rPr>
                  </w:pPr>
                  <w:r>
                    <w:rPr>
                      <w:rFonts w:hint="default" w:ascii="Times New Roman" w:hAnsi="Times New Roman" w:cs="Times New Roman"/>
                      <w:b w:val="0"/>
                      <w:bCs w:val="0"/>
                    </w:rPr>
                    <w:t>本项目处理对象为宣汉县明月新城的生活污水，项目建设有利于提高宣汉县明月新城区域污水的收集和处理效率。</w:t>
                  </w:r>
                </w:p>
              </w:tc>
              <w:tc>
                <w:tcPr>
                  <w:tcW w:w="637" w:type="pct"/>
                  <w:vAlign w:val="center"/>
                </w:tcPr>
                <w:p>
                  <w:pPr>
                    <w:pStyle w:val="108"/>
                    <w:adjustRightInd w:val="0"/>
                    <w:snapToGrid w:val="0"/>
                    <w:spacing w:line="300" w:lineRule="exact"/>
                    <w:rPr>
                      <w:rFonts w:hint="default" w:ascii="Times New Roman" w:hAnsi="Times New Roman" w:cs="Times New Roman"/>
                      <w:b w:val="0"/>
                      <w:bCs w:val="0"/>
                    </w:rPr>
                  </w:pPr>
                  <w:r>
                    <w:rPr>
                      <w:rFonts w:hint="default" w:ascii="Times New Roman" w:hAnsi="Times New Roman" w:cs="Times New Roman"/>
                      <w:b w:val="0"/>
                      <w:bCs w:val="0"/>
                    </w:rPr>
                    <w:t>符合</w:t>
                  </w:r>
                </w:p>
              </w:tc>
            </w:tr>
          </w:tbl>
          <w:p>
            <w:pPr>
              <w:pStyle w:val="187"/>
              <w:widowControl w:val="0"/>
              <w:ind w:firstLine="482"/>
              <w:jc w:val="both"/>
              <w:rPr>
                <w:rFonts w:hint="default" w:ascii="Times New Roman" w:hAnsi="Times New Roman" w:eastAsia="黑体" w:cs="Times New Roman"/>
                <w:iCs/>
              </w:rPr>
            </w:pPr>
            <w:r>
              <w:rPr>
                <w:rFonts w:hint="default" w:ascii="Times New Roman" w:hAnsi="Times New Roman" w:eastAsia="黑体" w:cs="Times New Roman"/>
                <w:b/>
                <w:bCs/>
                <w:iCs/>
              </w:rPr>
              <w:t>符合性分析：</w:t>
            </w:r>
            <w:r>
              <w:rPr>
                <w:rFonts w:hint="default" w:ascii="Times New Roman" w:hAnsi="Times New Roman" w:eastAsia="黑体" w:cs="Times New Roman"/>
                <w:iCs/>
              </w:rPr>
              <w:t>本项目接纳的污水为城镇生活污水，经过本项目处理后，出水主要水质指标执行《城镇污水处理厂污染物排放标准》（GB18918-2002）中一级 A 标准。因此，本项目符合《中华人民共和国水污染防治法》（2018年1月1日实施）的相关要求。</w:t>
            </w:r>
          </w:p>
          <w:p>
            <w:pPr>
              <w:widowControl w:val="0"/>
              <w:autoSpaceDE w:val="0"/>
              <w:autoSpaceDN w:val="0"/>
              <w:adjustRightInd w:val="0"/>
              <w:snapToGrid w:val="0"/>
              <w:ind w:firstLine="482" w:firstLineChars="200"/>
              <w:jc w:val="both"/>
              <w:rPr>
                <w:rFonts w:hint="default" w:ascii="Times New Roman" w:hAnsi="Times New Roman" w:cs="Times New Roman"/>
                <w:b/>
                <w:bCs/>
                <w:kern w:val="0"/>
              </w:rPr>
            </w:pPr>
            <w:r>
              <w:rPr>
                <w:rFonts w:hint="default" w:ascii="Times New Roman" w:hAnsi="Times New Roman" w:cs="Times New Roman"/>
                <w:b/>
                <w:bCs/>
                <w:kern w:val="0"/>
              </w:rPr>
              <w:t>②与《关于进一步规范城镇（园区）污水处理环境管理的通知》（环水体【2020】71号）符合性分析</w:t>
            </w:r>
          </w:p>
          <w:p>
            <w:pPr>
              <w:pStyle w:val="187"/>
              <w:widowControl w:val="0"/>
              <w:ind w:firstLine="480"/>
              <w:jc w:val="both"/>
              <w:rPr>
                <w:rFonts w:hint="default" w:ascii="Times New Roman" w:hAnsi="Times New Roman" w:cs="Times New Roman"/>
              </w:rPr>
            </w:pPr>
            <w:r>
              <w:rPr>
                <w:rFonts w:hint="default" w:ascii="Times New Roman" w:hAnsi="Times New Roman" w:cs="Times New Roman"/>
              </w:rPr>
              <w:t>运营单位应当对污水集中处理设施的出水水质负责，不得排放不达标污水。一是在承接污水处理项目前，应当充分调查服务范围内的污水来源、水质水量、排放特征等情况，合理确定设计水质和处理工艺等，明确处理工艺适用范围，对不能承接的工业污水类型要在合同中载明。……三是加强污水处理设施运营维护，开展进出水水质水量等监测，定期向社会公开运营维护及污染物排放等信息，并向生态环境部门及相关主管部门报送污水处理水质和水量、主要污染物削减量等信息。四是合理设置与抗风险能力相匹配的事故调蓄设施和环境应急措施，发现进水异常，可能导致污水处理系统受损和出水超标时，立即启动应急预案，开展污染物溯源，留存水样和泥样、保存监测记录和现场视频等证据，并第一时间向生态环境部门及相关主管部门报告。</w:t>
            </w:r>
          </w:p>
          <w:p>
            <w:pPr>
              <w:pStyle w:val="187"/>
              <w:widowControl w:val="0"/>
              <w:ind w:firstLine="482"/>
              <w:jc w:val="both"/>
              <w:rPr>
                <w:rFonts w:hint="default" w:ascii="Times New Roman" w:hAnsi="Times New Roman" w:eastAsia="黑体" w:cs="Times New Roman"/>
              </w:rPr>
            </w:pPr>
            <w:r>
              <w:rPr>
                <w:rFonts w:hint="default" w:ascii="Times New Roman" w:hAnsi="Times New Roman" w:eastAsia="黑体" w:cs="Times New Roman"/>
                <w:b/>
                <w:bCs/>
              </w:rPr>
              <w:t>符合性分析：</w:t>
            </w:r>
            <w:r>
              <w:rPr>
                <w:rFonts w:hint="default" w:ascii="Times New Roman" w:hAnsi="Times New Roman" w:eastAsia="黑体" w:cs="Times New Roman"/>
              </w:rPr>
              <w:t>本项目处理对象为城镇生活污水，在污水进出口分别设置1套流量、pH、COD、氨氮、TP、TN在线监测系统，对项目进出水水质、水量进行实时监测。因此，项目建设与环水体【2020】71号相符。</w:t>
            </w:r>
          </w:p>
          <w:p>
            <w:pPr>
              <w:widowControl w:val="0"/>
              <w:autoSpaceDE w:val="0"/>
              <w:autoSpaceDN w:val="0"/>
              <w:adjustRightInd w:val="0"/>
              <w:snapToGrid w:val="0"/>
              <w:ind w:firstLine="482" w:firstLineChars="200"/>
              <w:jc w:val="both"/>
              <w:rPr>
                <w:rFonts w:hint="default" w:ascii="Times New Roman" w:hAnsi="Times New Roman" w:cs="Times New Roman"/>
                <w:b/>
                <w:bCs/>
                <w:kern w:val="0"/>
              </w:rPr>
            </w:pPr>
            <w:r>
              <w:rPr>
                <w:rFonts w:hint="default" w:ascii="Times New Roman" w:hAnsi="Times New Roman" w:cs="Times New Roman"/>
                <w:b/>
                <w:bCs/>
                <w:kern w:val="0"/>
              </w:rPr>
              <w:t>③与《四川省人民政府关于印发水污染防治行动计划四川省工作方案的通知》（川府发【2015】59号）符合性分析</w:t>
            </w:r>
          </w:p>
          <w:p>
            <w:pPr>
              <w:pStyle w:val="187"/>
              <w:widowControl w:val="0"/>
              <w:ind w:firstLine="480"/>
              <w:jc w:val="both"/>
              <w:rPr>
                <w:rFonts w:hint="default" w:ascii="Times New Roman" w:hAnsi="Times New Roman" w:cs="Times New Roman"/>
              </w:rPr>
            </w:pPr>
            <w:r>
              <w:rPr>
                <w:rFonts w:hint="default" w:ascii="Times New Roman" w:hAnsi="Times New Roman" w:cs="Times New Roman"/>
              </w:rPr>
              <w:t>川府发【2015】59号文件提出：到2030年，金沙江、嘉陵江、长江干流（四川段）、岷江、沱江五大重点流域水质优良比例总体保持在85%以上；岷江、沱江、嘉陵江干流及其一级支流全面消除劣Ⅴ类水体；城市建成区黑臭水体总体得到消除……。</w:t>
            </w:r>
          </w:p>
          <w:p>
            <w:pPr>
              <w:pStyle w:val="187"/>
              <w:widowControl w:val="0"/>
              <w:ind w:firstLine="480"/>
              <w:jc w:val="both"/>
              <w:rPr>
                <w:rFonts w:hint="default" w:ascii="Times New Roman" w:hAnsi="Times New Roman" w:cs="Times New Roman"/>
                <w:szCs w:val="24"/>
              </w:rPr>
            </w:pPr>
            <w:r>
              <w:rPr>
                <w:rFonts w:hint="default" w:ascii="Times New Roman" w:hAnsi="Times New Roman" w:cs="Times New Roman"/>
                <w:szCs w:val="24"/>
              </w:rPr>
              <w:t>“一、全面控制污染物排放</w:t>
            </w:r>
          </w:p>
          <w:p>
            <w:pPr>
              <w:pStyle w:val="187"/>
              <w:widowControl w:val="0"/>
              <w:ind w:firstLine="480"/>
              <w:jc w:val="both"/>
              <w:rPr>
                <w:rFonts w:hint="default" w:ascii="Times New Roman" w:hAnsi="Times New Roman" w:cs="Times New Roman"/>
                <w:szCs w:val="24"/>
              </w:rPr>
            </w:pPr>
            <w:r>
              <w:rPr>
                <w:rFonts w:hint="default" w:ascii="Times New Roman" w:hAnsi="Times New Roman" w:cs="Times New Roman"/>
                <w:szCs w:val="24"/>
              </w:rPr>
              <w:t>（二）加强城镇生活污水污染治理</w:t>
            </w:r>
          </w:p>
          <w:p>
            <w:pPr>
              <w:pStyle w:val="187"/>
              <w:widowControl w:val="0"/>
              <w:ind w:firstLine="480"/>
              <w:jc w:val="both"/>
              <w:rPr>
                <w:rFonts w:hint="default" w:ascii="Times New Roman" w:hAnsi="Times New Roman" w:cs="Times New Roman"/>
                <w:szCs w:val="24"/>
              </w:rPr>
            </w:pPr>
            <w:r>
              <w:rPr>
                <w:rFonts w:hint="default" w:ascii="Times New Roman" w:hAnsi="Times New Roman" w:cs="Times New Roman"/>
                <w:szCs w:val="24"/>
              </w:rPr>
              <w:t>4.加快城镇污水处理设施建设与改造……城镇新区建设均实施雨污分流，成都、自贡、德阳等市要积极推进初期雨水收集、处理和资源化利用”。</w:t>
            </w:r>
          </w:p>
          <w:p>
            <w:pPr>
              <w:pStyle w:val="187"/>
              <w:widowControl w:val="0"/>
              <w:ind w:firstLine="482"/>
              <w:jc w:val="both"/>
              <w:rPr>
                <w:rStyle w:val="52"/>
                <w:rFonts w:hint="default" w:ascii="Times New Roman" w:hAnsi="Times New Roman" w:eastAsia="黑体" w:cs="Times New Roman"/>
                <w:szCs w:val="24"/>
              </w:rPr>
            </w:pPr>
            <w:r>
              <w:rPr>
                <w:rFonts w:hint="default" w:ascii="Times New Roman" w:hAnsi="Times New Roman" w:eastAsia="黑体" w:cs="Times New Roman"/>
                <w:b/>
                <w:bCs/>
                <w:szCs w:val="24"/>
              </w:rPr>
              <w:t>符合性分析：</w:t>
            </w:r>
            <w:r>
              <w:rPr>
                <w:rFonts w:hint="default" w:ascii="Times New Roman" w:hAnsi="Times New Roman" w:eastAsia="黑体" w:cs="Times New Roman"/>
                <w:szCs w:val="24"/>
              </w:rPr>
              <w:t>本项目的建设大大加强了区域生活污水的处理效率，服务范围内明月新城的生活污水经处理达标后排入州河，项目建设对州河水环境质量的改善具有重要意义</w:t>
            </w:r>
            <w:r>
              <w:rPr>
                <w:rStyle w:val="52"/>
                <w:rFonts w:hint="default" w:ascii="Times New Roman" w:hAnsi="Times New Roman" w:eastAsia="黑体" w:cs="Times New Roman"/>
                <w:szCs w:val="24"/>
              </w:rPr>
              <w:t>。</w:t>
            </w:r>
          </w:p>
          <w:p>
            <w:pPr>
              <w:widowControl w:val="0"/>
              <w:autoSpaceDE w:val="0"/>
              <w:autoSpaceDN w:val="0"/>
              <w:adjustRightInd w:val="0"/>
              <w:snapToGrid w:val="0"/>
              <w:ind w:firstLine="482" w:firstLineChars="200"/>
              <w:jc w:val="both"/>
              <w:rPr>
                <w:rFonts w:hint="default" w:ascii="Times New Roman" w:hAnsi="Times New Roman" w:cs="Times New Roman"/>
                <w:b/>
                <w:bCs/>
                <w:kern w:val="0"/>
              </w:rPr>
            </w:pPr>
            <w:r>
              <w:rPr>
                <w:rFonts w:hint="default" w:ascii="Times New Roman" w:hAnsi="Times New Roman" w:cs="Times New Roman"/>
                <w:b/>
                <w:bCs/>
                <w:kern w:val="0"/>
              </w:rPr>
              <w:t>（3）与土壤污染防治相关法规、规范符合性</w:t>
            </w:r>
          </w:p>
          <w:p>
            <w:pPr>
              <w:widowControl w:val="0"/>
              <w:autoSpaceDE w:val="0"/>
              <w:autoSpaceDN w:val="0"/>
              <w:adjustRightInd w:val="0"/>
              <w:snapToGrid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根据《土壤污染防治行动计划》（国发【2016】31号）：“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p>
            <w:pPr>
              <w:widowControl w:val="0"/>
              <w:autoSpaceDE w:val="0"/>
              <w:autoSpaceDN w:val="0"/>
              <w:adjustRightInd w:val="0"/>
              <w:snapToGrid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……加强污染源监管，做好土壤污染预防工作…加强工业废物处理处置…严禁将城镇生活垃圾、污泥、工业废物直接用作肥料…鼓励将处理达标后的污泥用于园林绿化……</w:t>
            </w:r>
          </w:p>
          <w:p>
            <w:pPr>
              <w:widowControl w:val="0"/>
              <w:autoSpaceDE w:val="0"/>
              <w:autoSpaceDN w:val="0"/>
              <w:adjustRightInd w:val="0"/>
              <w:snapToGrid w:val="0"/>
              <w:ind w:firstLine="482" w:firstLineChars="200"/>
              <w:jc w:val="both"/>
              <w:rPr>
                <w:rFonts w:hint="default" w:ascii="Times New Roman" w:hAnsi="Times New Roman" w:eastAsia="黑体" w:cs="Times New Roman"/>
                <w:iCs/>
                <w:kern w:val="0"/>
              </w:rPr>
            </w:pPr>
            <w:r>
              <w:rPr>
                <w:rFonts w:hint="default" w:ascii="Times New Roman" w:hAnsi="Times New Roman" w:eastAsia="黑体" w:cs="Times New Roman"/>
                <w:b/>
                <w:iCs/>
                <w:kern w:val="0"/>
              </w:rPr>
              <w:t>符合性分析：</w:t>
            </w:r>
            <w:r>
              <w:rPr>
                <w:rFonts w:hint="default" w:ascii="Times New Roman" w:hAnsi="Times New Roman" w:eastAsia="黑体" w:cs="Times New Roman"/>
                <w:iCs/>
                <w:kern w:val="0"/>
              </w:rPr>
              <w:t>本项目拟采取分区防渗措施，防止污染土壤，在严格落实“三同时”制度的前提下，项目建设与《土壤污染防治行动计划》要求相符。</w:t>
            </w:r>
          </w:p>
          <w:p>
            <w:pPr>
              <w:widowControl w:val="0"/>
              <w:autoSpaceDE w:val="0"/>
              <w:autoSpaceDN w:val="0"/>
              <w:adjustRightInd w:val="0"/>
              <w:snapToGrid w:val="0"/>
              <w:ind w:firstLine="482" w:firstLineChars="200"/>
              <w:jc w:val="both"/>
              <w:rPr>
                <w:rFonts w:hint="default" w:ascii="Times New Roman" w:hAnsi="Times New Roman" w:cs="Times New Roman"/>
                <w:b/>
                <w:bCs/>
                <w:kern w:val="0"/>
              </w:rPr>
            </w:pPr>
            <w:r>
              <w:rPr>
                <w:rFonts w:hint="default" w:ascii="Times New Roman" w:hAnsi="Times New Roman" w:cs="Times New Roman"/>
                <w:b/>
                <w:bCs/>
                <w:kern w:val="0"/>
              </w:rPr>
              <w:t>（4）与《中华人民共和国长江保护法》、《四川省长江经济带发展负面清单实施细则（试行）》符合性</w:t>
            </w:r>
          </w:p>
          <w:p>
            <w:pPr>
              <w:widowControl w:val="0"/>
              <w:autoSpaceDE w:val="0"/>
              <w:autoSpaceDN w:val="0"/>
              <w:adjustRightInd w:val="0"/>
              <w:snapToGrid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本项目与</w:t>
            </w:r>
            <w:r>
              <w:rPr>
                <w:rFonts w:hint="default" w:ascii="Times New Roman" w:hAnsi="Times New Roman" w:cs="Times New Roman"/>
                <w:bCs/>
                <w:kern w:val="0"/>
              </w:rPr>
              <w:t>《中华人民共和国长江保护法》、</w:t>
            </w:r>
            <w:r>
              <w:rPr>
                <w:rFonts w:hint="default" w:ascii="Times New Roman" w:hAnsi="Times New Roman" w:cs="Times New Roman"/>
                <w:kern w:val="0"/>
              </w:rPr>
              <w:t>《四川省长江经济带发展负面清单实施细则（试行）》（川长江办【2019】8号）符合性分析见下表。</w:t>
            </w:r>
          </w:p>
          <w:p>
            <w:pPr>
              <w:pStyle w:val="169"/>
              <w:numPr>
                <w:ilvl w:val="0"/>
                <w:numId w:val="3"/>
              </w:numPr>
              <w:spacing w:line="276" w:lineRule="auto"/>
              <w:jc w:val="center"/>
              <w:rPr>
                <w:rFonts w:hint="default" w:ascii="Times New Roman" w:hAnsi="Times New Roman" w:eastAsia="黑体" w:cs="Times New Roman"/>
                <w:szCs w:val="24"/>
              </w:rPr>
            </w:pPr>
            <w:r>
              <w:rPr>
                <w:rFonts w:hint="default" w:ascii="Times New Roman" w:hAnsi="Times New Roman" w:eastAsia="黑体" w:cs="Times New Roman"/>
                <w:szCs w:val="24"/>
              </w:rPr>
              <w:t>项目与《中华人民共和国长江保护法》、《四川省长江经济带发展负面清单实施细则（试行）》符合性分析</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3493"/>
              <w:gridCol w:w="1733"/>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Align w:val="center"/>
                </w:tcPr>
                <w:p>
                  <w:pPr>
                    <w:adjustRightInd w:val="0"/>
                    <w:snapToGrid w:val="0"/>
                    <w:spacing w:line="30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法规、规范</w:t>
                  </w:r>
                </w:p>
              </w:tc>
              <w:tc>
                <w:tcPr>
                  <w:tcW w:w="2447" w:type="pct"/>
                  <w:vAlign w:val="center"/>
                </w:tcPr>
                <w:p>
                  <w:pPr>
                    <w:adjustRightInd w:val="0"/>
                    <w:snapToGrid w:val="0"/>
                    <w:spacing w:line="30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相关要求</w:t>
                  </w:r>
                </w:p>
              </w:tc>
              <w:tc>
                <w:tcPr>
                  <w:tcW w:w="1214" w:type="pct"/>
                  <w:vAlign w:val="center"/>
                </w:tcPr>
                <w:p>
                  <w:pPr>
                    <w:adjustRightInd w:val="0"/>
                    <w:snapToGrid w:val="0"/>
                    <w:spacing w:line="30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本项目情况</w:t>
                  </w:r>
                </w:p>
              </w:tc>
              <w:tc>
                <w:tcPr>
                  <w:tcW w:w="586" w:type="pct"/>
                  <w:vAlign w:val="center"/>
                </w:tcPr>
                <w:p>
                  <w:pPr>
                    <w:adjustRightInd w:val="0"/>
                    <w:snapToGrid w:val="0"/>
                    <w:spacing w:line="30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53" w:type="pct"/>
                  <w:vMerge w:val="restart"/>
                  <w:vAlign w:val="center"/>
                </w:tcPr>
                <w:p>
                  <w:pPr>
                    <w:adjustRightInd w:val="0"/>
                    <w:snapToGrid w:val="0"/>
                    <w:spacing w:line="300" w:lineRule="exact"/>
                    <w:jc w:val="center"/>
                    <w:rPr>
                      <w:rFonts w:hint="default" w:ascii="Times New Roman" w:hAnsi="Times New Roman" w:cs="Times New Roman"/>
                      <w:sz w:val="21"/>
                      <w:szCs w:val="21"/>
                    </w:rPr>
                  </w:pPr>
                  <w:r>
                    <w:rPr>
                      <w:rFonts w:hint="default" w:ascii="Times New Roman" w:hAnsi="Times New Roman" w:cs="Times New Roman"/>
                      <w:bCs/>
                      <w:sz w:val="21"/>
                      <w:szCs w:val="21"/>
                    </w:rPr>
                    <w:t>《中华人民共和国长江保护法》</w:t>
                  </w:r>
                </w:p>
              </w:tc>
              <w:tc>
                <w:tcPr>
                  <w:tcW w:w="2447" w:type="pct"/>
                  <w:vAlign w:val="center"/>
                </w:tcPr>
                <w:p>
                  <w:pPr>
                    <w:adjustRightInd w:val="0"/>
                    <w:snapToGrid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禁止在长江干支流岸线一公里范围内新建、扩建化工园区和化工项目。</w:t>
                  </w:r>
                </w:p>
              </w:tc>
              <w:tc>
                <w:tcPr>
                  <w:tcW w:w="1214" w:type="pct"/>
                  <w:vAlign w:val="center"/>
                </w:tcPr>
                <w:p>
                  <w:pPr>
                    <w:adjustRightInd w:val="0"/>
                    <w:snapToGrid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本项目不属于上述企业。</w:t>
                  </w:r>
                </w:p>
              </w:tc>
              <w:tc>
                <w:tcPr>
                  <w:tcW w:w="586" w:type="pct"/>
                  <w:vMerge w:val="restart"/>
                  <w:vAlign w:val="center"/>
                </w:tcPr>
                <w:p>
                  <w:pPr>
                    <w:adjustRightInd w:val="0"/>
                    <w:snapToGrid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753" w:type="pct"/>
                  <w:vMerge w:val="continue"/>
                  <w:vAlign w:val="center"/>
                </w:tcPr>
                <w:p>
                  <w:pPr>
                    <w:adjustRightInd w:val="0"/>
                    <w:snapToGrid w:val="0"/>
                    <w:spacing w:line="300" w:lineRule="exact"/>
                    <w:jc w:val="center"/>
                    <w:rPr>
                      <w:rFonts w:hint="default" w:ascii="Times New Roman" w:hAnsi="Times New Roman" w:cs="Times New Roman"/>
                      <w:bCs/>
                      <w:sz w:val="21"/>
                      <w:szCs w:val="21"/>
                    </w:rPr>
                  </w:pPr>
                </w:p>
              </w:tc>
              <w:tc>
                <w:tcPr>
                  <w:tcW w:w="2447" w:type="pct"/>
                  <w:vAlign w:val="center"/>
                </w:tcPr>
                <w:p>
                  <w:pPr>
                    <w:adjustRightInd w:val="0"/>
                    <w:snapToGrid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禁止在长江干流岸线三公里范围内和重要支流岸线一公里范围内新建、改建、扩建尾矿库；但是以提升安全、生态环境保护水平为目的的改建除外。</w:t>
                  </w:r>
                </w:p>
              </w:tc>
              <w:tc>
                <w:tcPr>
                  <w:tcW w:w="1214" w:type="pct"/>
                  <w:vAlign w:val="center"/>
                </w:tcPr>
                <w:p>
                  <w:pPr>
                    <w:adjustRightInd w:val="0"/>
                    <w:snapToGrid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本项目不属于上述企业。</w:t>
                  </w:r>
                </w:p>
              </w:tc>
              <w:tc>
                <w:tcPr>
                  <w:tcW w:w="586" w:type="pct"/>
                  <w:vMerge w:val="continue"/>
                  <w:vAlign w:val="center"/>
                </w:tcPr>
                <w:p>
                  <w:pPr>
                    <w:adjustRightInd w:val="0"/>
                    <w:snapToGrid w:val="0"/>
                    <w:spacing w:line="300" w:lineRule="exact"/>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trPr>
              <w:tc>
                <w:tcPr>
                  <w:tcW w:w="753" w:type="pct"/>
                  <w:vMerge w:val="continue"/>
                  <w:vAlign w:val="center"/>
                </w:tcPr>
                <w:p>
                  <w:pPr>
                    <w:adjustRightInd w:val="0"/>
                    <w:snapToGrid w:val="0"/>
                    <w:spacing w:line="300" w:lineRule="exact"/>
                    <w:jc w:val="center"/>
                    <w:rPr>
                      <w:rFonts w:hint="default" w:ascii="Times New Roman" w:hAnsi="Times New Roman" w:cs="Times New Roman"/>
                      <w:bCs/>
                      <w:sz w:val="21"/>
                      <w:szCs w:val="21"/>
                    </w:rPr>
                  </w:pPr>
                </w:p>
              </w:tc>
              <w:tc>
                <w:tcPr>
                  <w:tcW w:w="2447" w:type="pct"/>
                  <w:vAlign w:val="center"/>
                </w:tcPr>
                <w:p>
                  <w:pPr>
                    <w:adjustRightInd w:val="0"/>
                    <w:snapToGrid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磷矿开采加工、磷肥和含磷农药制造等企业，应当按照</w:t>
                  </w:r>
                  <w:r>
                    <w:rPr>
                      <w:rFonts w:hint="default" w:ascii="Times New Roman" w:hAnsi="Times New Roman" w:cs="Times New Roman"/>
                    </w:rPr>
                    <w:fldChar w:fldCharType="begin"/>
                  </w:r>
                  <w:r>
                    <w:rPr>
                      <w:rFonts w:hint="default" w:ascii="Times New Roman" w:hAnsi="Times New Roman" w:cs="Times New Roman"/>
                    </w:rPr>
                    <w:instrText xml:space="preserve">HYPERLINK "https://baike.sogou.com/lemma/ShowInnerLink.htm?lemmaId=63308620&amp;ss_c=ssc.citiao.link" \t "_blank"</w:instrText>
                  </w:r>
                  <w:r>
                    <w:rPr>
                      <w:rFonts w:hint="default" w:ascii="Times New Roman" w:hAnsi="Times New Roman" w:cs="Times New Roman"/>
                    </w:rPr>
                    <w:fldChar w:fldCharType="separate"/>
                  </w:r>
                  <w:r>
                    <w:rPr>
                      <w:rStyle w:val="51"/>
                      <w:rFonts w:hint="default" w:ascii="Times New Roman" w:hAnsi="Times New Roman" w:cs="Times New Roman"/>
                      <w:color w:val="auto"/>
                      <w:sz w:val="21"/>
                      <w:szCs w:val="21"/>
                    </w:rPr>
                    <w:t>排污许可</w:t>
                  </w:r>
                  <w:r>
                    <w:rPr>
                      <w:rStyle w:val="51"/>
                      <w:rFonts w:hint="default" w:ascii="Times New Roman" w:hAnsi="Times New Roman" w:cs="Times New Roman"/>
                      <w:color w:val="auto"/>
                      <w:sz w:val="21"/>
                      <w:szCs w:val="21"/>
                    </w:rPr>
                    <w:fldChar w:fldCharType="end"/>
                  </w:r>
                  <w:r>
                    <w:rPr>
                      <w:rFonts w:hint="default" w:ascii="Times New Roman" w:hAnsi="Times New Roman" w:cs="Times New Roman"/>
                      <w:sz w:val="21"/>
                      <w:szCs w:val="21"/>
                    </w:rPr>
                    <w:t>要求，采取有效措施控制总磷排放浓度和排放总量；对排污口和周边环境进行总磷监测，依法公开监测信息。</w:t>
                  </w:r>
                </w:p>
              </w:tc>
              <w:tc>
                <w:tcPr>
                  <w:tcW w:w="1214" w:type="pct"/>
                  <w:vAlign w:val="center"/>
                </w:tcPr>
                <w:p>
                  <w:pPr>
                    <w:adjustRightInd w:val="0"/>
                    <w:snapToGrid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本项目不属于上述企业。</w:t>
                  </w:r>
                </w:p>
              </w:tc>
              <w:tc>
                <w:tcPr>
                  <w:tcW w:w="586" w:type="pct"/>
                  <w:vMerge w:val="continue"/>
                  <w:vAlign w:val="center"/>
                </w:tcPr>
                <w:p>
                  <w:pPr>
                    <w:adjustRightInd w:val="0"/>
                    <w:snapToGrid w:val="0"/>
                    <w:spacing w:line="300" w:lineRule="exact"/>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753" w:type="pct"/>
                  <w:vMerge w:val="continue"/>
                  <w:vAlign w:val="center"/>
                </w:tcPr>
                <w:p>
                  <w:pPr>
                    <w:adjustRightInd w:val="0"/>
                    <w:snapToGrid w:val="0"/>
                    <w:spacing w:line="300" w:lineRule="exact"/>
                    <w:jc w:val="center"/>
                    <w:rPr>
                      <w:rFonts w:hint="default" w:ascii="Times New Roman" w:hAnsi="Times New Roman" w:cs="Times New Roman"/>
                      <w:sz w:val="21"/>
                      <w:szCs w:val="21"/>
                    </w:rPr>
                  </w:pPr>
                </w:p>
              </w:tc>
              <w:tc>
                <w:tcPr>
                  <w:tcW w:w="2447" w:type="pct"/>
                  <w:vAlign w:val="center"/>
                </w:tcPr>
                <w:p>
                  <w:pPr>
                    <w:adjustRightInd w:val="0"/>
                    <w:snapToGrid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禁止在长江流域河湖管理范围内倾倒、填埋、堆放、弃置、处理固体废物。</w:t>
                  </w:r>
                </w:p>
              </w:tc>
              <w:tc>
                <w:tcPr>
                  <w:tcW w:w="1214" w:type="pct"/>
                  <w:vAlign w:val="center"/>
                </w:tcPr>
                <w:p>
                  <w:pPr>
                    <w:adjustRightInd w:val="0"/>
                    <w:snapToGrid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本项目不涉及随意倾倒、填埋、堆放、弃置、处理固体废物。</w:t>
                  </w:r>
                </w:p>
              </w:tc>
              <w:tc>
                <w:tcPr>
                  <w:tcW w:w="586" w:type="pct"/>
                  <w:vMerge w:val="continue"/>
                  <w:vAlign w:val="center"/>
                </w:tcPr>
                <w:p>
                  <w:pPr>
                    <w:adjustRightInd w:val="0"/>
                    <w:snapToGrid w:val="0"/>
                    <w:spacing w:line="300" w:lineRule="exact"/>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Merge w:val="restart"/>
                  <w:vAlign w:val="center"/>
                </w:tcPr>
                <w:p>
                  <w:pPr>
                    <w:adjustRightInd w:val="0"/>
                    <w:snapToGrid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《四川省长江经济带发展负面清单实施细则（试行）》（川长江办【2019】8号）</w:t>
                  </w:r>
                </w:p>
              </w:tc>
              <w:tc>
                <w:tcPr>
                  <w:tcW w:w="2447" w:type="pct"/>
                  <w:vAlign w:val="center"/>
                </w:tcPr>
                <w:p>
                  <w:pPr>
                    <w:adjustRightInd w:val="0"/>
                    <w:snapToGrid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禁止在长江干流和主要支流（包括：岷江干流、沱江干流、赤水河干流、嘉陵江干流、雅砻江干流）1公里〔指 长江干支流岸线边界（即水利部门河道管理范围边界）向陆域纵 深1公里〕范围内新建、扩建化工园区和化工项目。</w:t>
                  </w:r>
                </w:p>
              </w:tc>
              <w:tc>
                <w:tcPr>
                  <w:tcW w:w="1214" w:type="pct"/>
                  <w:vAlign w:val="center"/>
                </w:tcPr>
                <w:p>
                  <w:pPr>
                    <w:adjustRightInd w:val="0"/>
                    <w:snapToGrid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本项目不属于化工园区和化工项目。</w:t>
                  </w:r>
                </w:p>
              </w:tc>
              <w:tc>
                <w:tcPr>
                  <w:tcW w:w="586" w:type="pct"/>
                  <w:vMerge w:val="continue"/>
                  <w:vAlign w:val="center"/>
                </w:tcPr>
                <w:p>
                  <w:pPr>
                    <w:adjustRightInd w:val="0"/>
                    <w:snapToGrid w:val="0"/>
                    <w:spacing w:line="300" w:lineRule="exact"/>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Merge w:val="continue"/>
                  <w:vAlign w:val="center"/>
                </w:tcPr>
                <w:p>
                  <w:pPr>
                    <w:adjustRightInd w:val="0"/>
                    <w:snapToGrid w:val="0"/>
                    <w:spacing w:line="300" w:lineRule="exact"/>
                    <w:jc w:val="center"/>
                    <w:rPr>
                      <w:rFonts w:hint="default" w:ascii="Times New Roman" w:hAnsi="Times New Roman" w:cs="Times New Roman"/>
                      <w:sz w:val="21"/>
                      <w:szCs w:val="21"/>
                    </w:rPr>
                  </w:pPr>
                </w:p>
              </w:tc>
              <w:tc>
                <w:tcPr>
                  <w:tcW w:w="2447" w:type="pct"/>
                  <w:vAlign w:val="center"/>
                </w:tcPr>
                <w:p>
                  <w:pPr>
                    <w:adjustRightInd w:val="0"/>
                    <w:snapToGrid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禁止在合规园区外新建、扩建钢铁、石化、化工、焦化、建材、有色等高污染项目。合规园区指列入《中国开发区审核公告目录（2018年版）》或是由省级人民政府批准设立的园区。高污染项目应严格按照《环境保护综合名录（2017年版）》“高污染”产品名录执行。</w:t>
                  </w:r>
                </w:p>
              </w:tc>
              <w:tc>
                <w:tcPr>
                  <w:tcW w:w="1214" w:type="pct"/>
                  <w:vAlign w:val="center"/>
                </w:tcPr>
                <w:p>
                  <w:pPr>
                    <w:adjustRightInd w:val="0"/>
                    <w:snapToGrid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本项目不属于上述企业。</w:t>
                  </w:r>
                </w:p>
              </w:tc>
              <w:tc>
                <w:tcPr>
                  <w:tcW w:w="586" w:type="pct"/>
                  <w:vMerge w:val="continue"/>
                  <w:vAlign w:val="center"/>
                </w:tcPr>
                <w:p>
                  <w:pPr>
                    <w:adjustRightInd w:val="0"/>
                    <w:snapToGrid w:val="0"/>
                    <w:spacing w:line="300" w:lineRule="exact"/>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Merge w:val="continue"/>
                  <w:vAlign w:val="center"/>
                </w:tcPr>
                <w:p>
                  <w:pPr>
                    <w:adjustRightInd w:val="0"/>
                    <w:snapToGrid w:val="0"/>
                    <w:spacing w:line="300" w:lineRule="exact"/>
                    <w:jc w:val="center"/>
                    <w:rPr>
                      <w:rFonts w:hint="default" w:ascii="Times New Roman" w:hAnsi="Times New Roman" w:cs="Times New Roman"/>
                      <w:sz w:val="21"/>
                      <w:szCs w:val="21"/>
                    </w:rPr>
                  </w:pPr>
                </w:p>
              </w:tc>
              <w:tc>
                <w:tcPr>
                  <w:tcW w:w="2447" w:type="pct"/>
                  <w:vAlign w:val="center"/>
                </w:tcPr>
                <w:p>
                  <w:pPr>
                    <w:adjustRightInd w:val="0"/>
                    <w:snapToGrid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214" w:type="pct"/>
                  <w:vAlign w:val="center"/>
                </w:tcPr>
                <w:p>
                  <w:pPr>
                    <w:adjustRightInd w:val="0"/>
                    <w:snapToGrid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本项目不属于落后产能项目，且为《产业结构调整指导目录》中鼓励类项目。</w:t>
                  </w:r>
                </w:p>
              </w:tc>
              <w:tc>
                <w:tcPr>
                  <w:tcW w:w="586" w:type="pct"/>
                  <w:vMerge w:val="continue"/>
                  <w:vAlign w:val="center"/>
                </w:tcPr>
                <w:p>
                  <w:pPr>
                    <w:adjustRightInd w:val="0"/>
                    <w:snapToGrid w:val="0"/>
                    <w:spacing w:line="300" w:lineRule="exact"/>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3" w:type="pct"/>
                  <w:vMerge w:val="continue"/>
                  <w:vAlign w:val="center"/>
                </w:tcPr>
                <w:p>
                  <w:pPr>
                    <w:adjustRightInd w:val="0"/>
                    <w:snapToGrid w:val="0"/>
                    <w:spacing w:line="300" w:lineRule="exact"/>
                    <w:jc w:val="center"/>
                    <w:rPr>
                      <w:rFonts w:hint="default" w:ascii="Times New Roman" w:hAnsi="Times New Roman" w:cs="Times New Roman"/>
                      <w:sz w:val="21"/>
                      <w:szCs w:val="21"/>
                    </w:rPr>
                  </w:pPr>
                </w:p>
              </w:tc>
              <w:tc>
                <w:tcPr>
                  <w:tcW w:w="2447" w:type="pct"/>
                  <w:vAlign w:val="center"/>
                </w:tcPr>
                <w:p>
                  <w:pPr>
                    <w:adjustRightInd w:val="0"/>
                    <w:snapToGrid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禁止新建、扩建不符合国家产能置换要求的严重过剩产能行业的项目。对于不符合国家产能置换要求的严重过剩产能行业，不得以其他任何名义、任何方式备案新增产能项目。</w:t>
                  </w:r>
                </w:p>
              </w:tc>
              <w:tc>
                <w:tcPr>
                  <w:tcW w:w="1214" w:type="pct"/>
                  <w:vAlign w:val="center"/>
                </w:tcPr>
                <w:p>
                  <w:pPr>
                    <w:adjustRightInd w:val="0"/>
                    <w:snapToGrid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不属于上述企业。</w:t>
                  </w:r>
                </w:p>
              </w:tc>
              <w:tc>
                <w:tcPr>
                  <w:tcW w:w="586" w:type="pct"/>
                  <w:vMerge w:val="continue"/>
                  <w:vAlign w:val="center"/>
                </w:tcPr>
                <w:p>
                  <w:pPr>
                    <w:adjustRightInd w:val="0"/>
                    <w:snapToGrid w:val="0"/>
                    <w:spacing w:line="300" w:lineRule="exact"/>
                    <w:jc w:val="center"/>
                    <w:rPr>
                      <w:rFonts w:hint="default" w:ascii="Times New Roman" w:hAnsi="Times New Roman" w:cs="Times New Roman"/>
                      <w:sz w:val="21"/>
                      <w:szCs w:val="21"/>
                    </w:rPr>
                  </w:pPr>
                </w:p>
              </w:tc>
            </w:tr>
          </w:tbl>
          <w:p>
            <w:pPr>
              <w:widowControl w:val="0"/>
              <w:autoSpaceDE w:val="0"/>
              <w:autoSpaceDN w:val="0"/>
              <w:adjustRightInd w:val="0"/>
              <w:snapToGrid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由上表可知，本项目符合</w:t>
            </w:r>
            <w:r>
              <w:rPr>
                <w:rFonts w:hint="default" w:ascii="Times New Roman" w:hAnsi="Times New Roman" w:cs="Times New Roman"/>
                <w:bCs/>
                <w:kern w:val="0"/>
              </w:rPr>
              <w:t>《中华人民共和国长江保护法》、</w:t>
            </w:r>
            <w:r>
              <w:rPr>
                <w:rFonts w:hint="default" w:ascii="Times New Roman" w:hAnsi="Times New Roman" w:cs="Times New Roman"/>
                <w:kern w:val="0"/>
              </w:rPr>
              <w:t>《四川省长江经济带发展负面清单实施细则（试行）》（川长江办【2019】8号）的相关要求。</w:t>
            </w:r>
          </w:p>
          <w:p>
            <w:pPr>
              <w:widowControl/>
              <w:jc w:val="left"/>
              <w:rPr>
                <w:rFonts w:hint="default" w:ascii="Times New Roman" w:hAnsi="Times New Roman" w:cs="Times New Roman"/>
                <w:b/>
                <w:kern w:val="0"/>
                <w:szCs w:val="20"/>
              </w:rPr>
            </w:pPr>
            <w:r>
              <w:rPr>
                <w:rFonts w:hint="default" w:ascii="Times New Roman" w:hAnsi="Times New Roman" w:cs="Times New Roman"/>
                <w:b/>
                <w:kern w:val="0"/>
                <w:szCs w:val="20"/>
              </w:rPr>
              <w:t>1.8“三线一单”符合性分析</w:t>
            </w:r>
          </w:p>
          <w:p>
            <w:pPr>
              <w:widowControl w:val="0"/>
              <w:autoSpaceDE w:val="0"/>
              <w:autoSpaceDN w:val="0"/>
              <w:adjustRightInd w:val="0"/>
              <w:snapToGrid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根据《四川省人民政府关于落实生态保护红线、环境质量底线、资源利用上线制定生态环境准入清单实施生态环境分区管控的通知》（川府发〔2020〕9号）关于“生态环境分区管控及其要求”的规定，将全省行政区域从生态环境保护角度划分为优先保护区、重点管控和一般管控三类环境管控单元。生态保护红线、环境质量底线、资源利用上线、生态环境准入清单，简称“三线一单”。</w:t>
            </w:r>
          </w:p>
          <w:p>
            <w:pPr>
              <w:widowControl w:val="0"/>
              <w:autoSpaceDE w:val="0"/>
              <w:autoSpaceDN w:val="0"/>
              <w:adjustRightInd w:val="0"/>
              <w:snapToGrid w:val="0"/>
              <w:ind w:firstLine="480" w:firstLineChars="200"/>
              <w:jc w:val="both"/>
              <w:rPr>
                <w:rFonts w:hint="default" w:ascii="Times New Roman" w:hAnsi="Times New Roman" w:eastAsia="宋体" w:cs="Times New Roman"/>
              </w:rPr>
            </w:pPr>
            <w:r>
              <w:rPr>
                <w:rFonts w:hint="default" w:ascii="Times New Roman" w:hAnsi="Times New Roman" w:eastAsia="黑体" w:cs="Times New Roman"/>
              </w:rPr>
              <w:t>（1）与《关于落实生态保护红线、环境质量底线、资源利用上线制定生态环境准人清单实施生态环境分区管控的通知》（达市府发〔2021〕17号）符合性分析</w:t>
            </w:r>
          </w:p>
          <w:p>
            <w:pPr>
              <w:pStyle w:val="53"/>
              <w:ind w:firstLine="480"/>
              <w:rPr>
                <w:rFonts w:hint="default" w:ascii="Times New Roman" w:hAnsi="Times New Roman" w:cs="Times New Roman"/>
                <w:shd w:val="clear" w:color="auto" w:fill="FFFFFF"/>
              </w:rPr>
            </w:pPr>
            <w:r>
              <w:rPr>
                <w:rFonts w:hint="default" w:ascii="Times New Roman" w:hAnsi="Times New Roman" w:cs="Times New Roman"/>
                <w:shd w:val="clear" w:color="auto" w:fill="FFFFFF"/>
              </w:rPr>
              <w:t>根据达州市人民政府发布的《关于落实生态保护红线、环境质量底线、资源利用上线制定生态环境准人清单实施生态环境分区管控的通知》（达市府发〔2021〕17号），为深入贯彻习近平生态文明思想，全面落实党中央、国务院和省委、省政府关于全面加强生态环境保护深入打好污染防治攻坚战的重大决策部署，推动全市生态环境质量持续改善和经济社会高质量发展，根据《四川省人民政府关于落实生态保护红线、环境质量底线、资源利用上线制定生态环境准入清单实施生态环境分区管控的通知》（川府发〔2020〕9号）精神，现就落实生态保护红线、环境质量底线、资源利用上线，制定生态环境准入清单。达州市及宣汉县管控要求如下：</w:t>
            </w:r>
          </w:p>
          <w:p>
            <w:pPr>
              <w:pStyle w:val="169"/>
              <w:numPr>
                <w:ilvl w:val="0"/>
                <w:numId w:val="3"/>
              </w:numPr>
              <w:spacing w:line="276" w:lineRule="auto"/>
              <w:jc w:val="center"/>
              <w:rPr>
                <w:rFonts w:hint="default" w:ascii="Times New Roman" w:hAnsi="Times New Roman" w:eastAsia="黑体" w:cs="Times New Roman"/>
                <w:szCs w:val="24"/>
              </w:rPr>
            </w:pPr>
            <w:r>
              <w:rPr>
                <w:rFonts w:hint="default" w:ascii="Times New Roman" w:hAnsi="Times New Roman" w:eastAsia="黑体" w:cs="Times New Roman"/>
                <w:szCs w:val="24"/>
              </w:rPr>
              <w:t>达州市及宣汉县总体管控要求</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694"/>
              <w:gridCol w:w="2409"/>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b/>
                      <w:bCs/>
                      <w:sz w:val="21"/>
                      <w:szCs w:val="21"/>
                    </w:rPr>
                    <w:t>市域</w:t>
                  </w:r>
                </w:p>
              </w:tc>
              <w:tc>
                <w:tcPr>
                  <w:tcW w:w="2694"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b/>
                      <w:bCs/>
                      <w:sz w:val="21"/>
                      <w:szCs w:val="21"/>
                    </w:rPr>
                    <w:t>环境管控单元分类</w:t>
                  </w:r>
                </w:p>
              </w:tc>
              <w:tc>
                <w:tcPr>
                  <w:tcW w:w="2409"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b/>
                      <w:bCs/>
                      <w:sz w:val="21"/>
                      <w:szCs w:val="21"/>
                    </w:rPr>
                    <w:t>本项目</w:t>
                  </w:r>
                </w:p>
              </w:tc>
              <w:tc>
                <w:tcPr>
                  <w:tcW w:w="1020"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b/>
                      <w:bCs/>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Merge w:val="restart"/>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达州市</w:t>
                  </w:r>
                </w:p>
              </w:tc>
              <w:tc>
                <w:tcPr>
                  <w:tcW w:w="2694"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1、钢铁行业严格执行资源环境绩效水平要求；</w:t>
                  </w:r>
                </w:p>
              </w:tc>
              <w:tc>
                <w:tcPr>
                  <w:tcW w:w="2409"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1、本项目不属于钢铁行业；</w:t>
                  </w:r>
                </w:p>
              </w:tc>
              <w:tc>
                <w:tcPr>
                  <w:tcW w:w="1020"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Merge w:val="continue"/>
                  <w:vAlign w:val="center"/>
                </w:tcPr>
                <w:p>
                  <w:pPr>
                    <w:pStyle w:val="18"/>
                    <w:widowControl w:val="0"/>
                    <w:spacing w:line="300" w:lineRule="exact"/>
                    <w:jc w:val="center"/>
                    <w:rPr>
                      <w:rFonts w:hint="default" w:ascii="Times New Roman" w:hAnsi="Times New Roman" w:cs="Times New Roman"/>
                      <w:sz w:val="21"/>
                      <w:szCs w:val="21"/>
                    </w:rPr>
                  </w:pPr>
                </w:p>
              </w:tc>
              <w:tc>
                <w:tcPr>
                  <w:tcW w:w="2694"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2、达钢等高污染企业限期退城入园；</w:t>
                  </w:r>
                </w:p>
              </w:tc>
              <w:tc>
                <w:tcPr>
                  <w:tcW w:w="2409"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2、本项目不属于高污染企业；</w:t>
                  </w:r>
                </w:p>
              </w:tc>
              <w:tc>
                <w:tcPr>
                  <w:tcW w:w="1020"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Merge w:val="continue"/>
                  <w:vAlign w:val="center"/>
                </w:tcPr>
                <w:p>
                  <w:pPr>
                    <w:pStyle w:val="18"/>
                    <w:widowControl w:val="0"/>
                    <w:spacing w:line="300" w:lineRule="exact"/>
                    <w:jc w:val="center"/>
                    <w:rPr>
                      <w:rFonts w:hint="default" w:ascii="Times New Roman" w:hAnsi="Times New Roman" w:cs="Times New Roman"/>
                      <w:sz w:val="21"/>
                      <w:szCs w:val="21"/>
                    </w:rPr>
                  </w:pPr>
                </w:p>
              </w:tc>
              <w:tc>
                <w:tcPr>
                  <w:tcW w:w="2694"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3、普光气田开发污染防治和环境管理等方面要达国内先进水平；</w:t>
                  </w:r>
                </w:p>
              </w:tc>
              <w:tc>
                <w:tcPr>
                  <w:tcW w:w="2409"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3、本项目不属于普光气田开发项目；</w:t>
                  </w:r>
                </w:p>
              </w:tc>
              <w:tc>
                <w:tcPr>
                  <w:tcW w:w="1020"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Merge w:val="continue"/>
                  <w:vAlign w:val="center"/>
                </w:tcPr>
                <w:p>
                  <w:pPr>
                    <w:pStyle w:val="18"/>
                    <w:widowControl w:val="0"/>
                    <w:spacing w:line="300" w:lineRule="exact"/>
                    <w:jc w:val="center"/>
                    <w:rPr>
                      <w:rFonts w:hint="default" w:ascii="Times New Roman" w:hAnsi="Times New Roman" w:cs="Times New Roman"/>
                      <w:sz w:val="21"/>
                      <w:szCs w:val="21"/>
                    </w:rPr>
                  </w:pPr>
                </w:p>
              </w:tc>
              <w:tc>
                <w:tcPr>
                  <w:tcW w:w="2694"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4、引进项目应符合园区规划环评和区域产业准入清单要求；</w:t>
                  </w:r>
                </w:p>
              </w:tc>
              <w:tc>
                <w:tcPr>
                  <w:tcW w:w="2409"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4、本项目为污水处理工程，符合宣汉县明月新城控制性详细规划县城规划要求。</w:t>
                  </w:r>
                </w:p>
              </w:tc>
              <w:tc>
                <w:tcPr>
                  <w:tcW w:w="1020"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Merge w:val="continue"/>
                  <w:vAlign w:val="center"/>
                </w:tcPr>
                <w:p>
                  <w:pPr>
                    <w:pStyle w:val="18"/>
                    <w:widowControl w:val="0"/>
                    <w:spacing w:line="300" w:lineRule="exact"/>
                    <w:jc w:val="center"/>
                    <w:rPr>
                      <w:rFonts w:hint="default" w:ascii="Times New Roman" w:hAnsi="Times New Roman" w:cs="Times New Roman"/>
                      <w:sz w:val="21"/>
                      <w:szCs w:val="21"/>
                    </w:rPr>
                  </w:pPr>
                </w:p>
              </w:tc>
              <w:tc>
                <w:tcPr>
                  <w:tcW w:w="2694"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5、长江干支流岸线1km范围内，不得新建、扩建化工园区和化工项目；</w:t>
                  </w:r>
                </w:p>
              </w:tc>
              <w:tc>
                <w:tcPr>
                  <w:tcW w:w="2409"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5、本项目选择距长江干支流岸线1km范围以外，且不属于化工项目；</w:t>
                  </w:r>
                </w:p>
              </w:tc>
              <w:tc>
                <w:tcPr>
                  <w:tcW w:w="1020"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015" w:type="dxa"/>
                  <w:vMerge w:val="continue"/>
                  <w:vAlign w:val="center"/>
                </w:tcPr>
                <w:p>
                  <w:pPr>
                    <w:pStyle w:val="18"/>
                    <w:widowControl w:val="0"/>
                    <w:spacing w:line="300" w:lineRule="exact"/>
                    <w:jc w:val="center"/>
                    <w:rPr>
                      <w:rFonts w:hint="default" w:ascii="Times New Roman" w:hAnsi="Times New Roman" w:cs="Times New Roman"/>
                      <w:sz w:val="21"/>
                      <w:szCs w:val="21"/>
                    </w:rPr>
                  </w:pPr>
                </w:p>
              </w:tc>
              <w:tc>
                <w:tcPr>
                  <w:tcW w:w="2694"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6、严控产业转移环境准入；</w:t>
                  </w:r>
                </w:p>
              </w:tc>
              <w:tc>
                <w:tcPr>
                  <w:tcW w:w="2409"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6、本项目为污水处理工程，不涉及环境准入；</w:t>
                  </w:r>
                </w:p>
              </w:tc>
              <w:tc>
                <w:tcPr>
                  <w:tcW w:w="1020"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Merge w:val="continue"/>
                  <w:vAlign w:val="center"/>
                </w:tcPr>
                <w:p>
                  <w:pPr>
                    <w:pStyle w:val="18"/>
                    <w:widowControl w:val="0"/>
                    <w:spacing w:line="300" w:lineRule="exact"/>
                    <w:jc w:val="center"/>
                    <w:rPr>
                      <w:rFonts w:hint="default" w:ascii="Times New Roman" w:hAnsi="Times New Roman" w:cs="Times New Roman"/>
                      <w:sz w:val="21"/>
                      <w:szCs w:val="21"/>
                    </w:rPr>
                  </w:pPr>
                </w:p>
              </w:tc>
              <w:tc>
                <w:tcPr>
                  <w:tcW w:w="2694"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7、造纸等产业污染治理和环境管理应达到国内先进水平。优化制浆造纸产业布局，提升行业清洁生产水平，推动制浆造纸工业向节能、环保、绿色方向发展；</w:t>
                  </w:r>
                </w:p>
              </w:tc>
              <w:tc>
                <w:tcPr>
                  <w:tcW w:w="2409"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7、本项目不属于造纸产业。</w:t>
                  </w:r>
                </w:p>
              </w:tc>
              <w:tc>
                <w:tcPr>
                  <w:tcW w:w="1020"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Merge w:val="restart"/>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宣汉县</w:t>
                  </w:r>
                </w:p>
              </w:tc>
              <w:tc>
                <w:tcPr>
                  <w:tcW w:w="2694"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1、加强小流域水环境保护，推动农村环保基础设施建设，全面推进农村环境综合整治、生活污水处理项目。大力开展沿河畜禽养殖污染整治，大力推广生态种植，减少农药化肥使用量；</w:t>
                  </w:r>
                </w:p>
              </w:tc>
              <w:tc>
                <w:tcPr>
                  <w:tcW w:w="2409"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1、本项目为污水处理工程，为配套宣汉县明月新城，收集周边生活污水。</w:t>
                  </w:r>
                </w:p>
              </w:tc>
              <w:tc>
                <w:tcPr>
                  <w:tcW w:w="1020"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Merge w:val="continue"/>
                  <w:vAlign w:val="center"/>
                </w:tcPr>
                <w:p>
                  <w:pPr>
                    <w:pStyle w:val="18"/>
                    <w:widowControl w:val="0"/>
                    <w:spacing w:line="300" w:lineRule="exact"/>
                    <w:rPr>
                      <w:rFonts w:hint="default" w:ascii="Times New Roman" w:hAnsi="Times New Roman" w:cs="Times New Roman"/>
                      <w:sz w:val="21"/>
                      <w:szCs w:val="21"/>
                    </w:rPr>
                  </w:pPr>
                </w:p>
              </w:tc>
              <w:tc>
                <w:tcPr>
                  <w:tcW w:w="2694"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2、打好升级版污染防治攻坚战。持续优化调整产业布局，以PM</w:t>
                  </w:r>
                  <w:r>
                    <w:rPr>
                      <w:rFonts w:hint="default" w:ascii="Times New Roman" w:hAnsi="Times New Roman" w:cs="Times New Roman"/>
                      <w:sz w:val="21"/>
                      <w:szCs w:val="21"/>
                      <w:vertAlign w:val="subscript"/>
                    </w:rPr>
                    <w:t>2.5</w:t>
                  </w:r>
                  <w:r>
                    <w:rPr>
                      <w:rFonts w:hint="default" w:ascii="Times New Roman" w:hAnsi="Times New Roman" w:cs="Times New Roman"/>
                      <w:sz w:val="21"/>
                      <w:szCs w:val="21"/>
                    </w:rPr>
                    <w:t>和臭氧污染协同控制为重点，全面开展VOCs治理，实施移动源整治，持续推进空气质量精细化管理；</w:t>
                  </w:r>
                </w:p>
              </w:tc>
              <w:tc>
                <w:tcPr>
                  <w:tcW w:w="2409"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2、本项目不涉及VOCs污染物排放；</w:t>
                  </w:r>
                </w:p>
              </w:tc>
              <w:tc>
                <w:tcPr>
                  <w:tcW w:w="1020"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 w:type="dxa"/>
                  <w:vMerge w:val="continue"/>
                  <w:vAlign w:val="center"/>
                </w:tcPr>
                <w:p>
                  <w:pPr>
                    <w:pStyle w:val="18"/>
                    <w:widowControl w:val="0"/>
                    <w:spacing w:line="300" w:lineRule="exact"/>
                    <w:rPr>
                      <w:rFonts w:hint="default" w:ascii="Times New Roman" w:hAnsi="Times New Roman" w:cs="Times New Roman"/>
                      <w:sz w:val="21"/>
                      <w:szCs w:val="21"/>
                    </w:rPr>
                  </w:pPr>
                </w:p>
              </w:tc>
              <w:tc>
                <w:tcPr>
                  <w:tcW w:w="2694"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3、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2409" w:type="dxa"/>
                  <w:vAlign w:val="center"/>
                </w:tcPr>
                <w:p>
                  <w:pPr>
                    <w:pStyle w:val="18"/>
                    <w:widowControl w:val="0"/>
                    <w:spacing w:line="300" w:lineRule="exact"/>
                    <w:rPr>
                      <w:rFonts w:hint="default" w:ascii="Times New Roman" w:hAnsi="Times New Roman" w:cs="Times New Roman"/>
                      <w:sz w:val="21"/>
                      <w:szCs w:val="21"/>
                    </w:rPr>
                  </w:pPr>
                  <w:r>
                    <w:rPr>
                      <w:rFonts w:hint="default" w:ascii="Times New Roman" w:hAnsi="Times New Roman" w:cs="Times New Roman"/>
                      <w:sz w:val="21"/>
                      <w:szCs w:val="21"/>
                    </w:rPr>
                    <w:t>3、本项目不属于天然气化工、硫化工、锂钾综合开发、冶金建材、新材料等产业。</w:t>
                  </w:r>
                </w:p>
              </w:tc>
              <w:tc>
                <w:tcPr>
                  <w:tcW w:w="1020" w:type="dxa"/>
                  <w:vAlign w:val="center"/>
                </w:tcPr>
                <w:p>
                  <w:pPr>
                    <w:pStyle w:val="18"/>
                    <w:widowControl w:val="0"/>
                    <w:spacing w:line="300" w:lineRule="exact"/>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bl>
          <w:p>
            <w:pPr>
              <w:widowControl w:val="0"/>
              <w:autoSpaceDE w:val="0"/>
              <w:autoSpaceDN w:val="0"/>
              <w:adjustRightInd w:val="0"/>
              <w:snapToGrid w:val="0"/>
              <w:ind w:firstLine="480" w:firstLineChars="200"/>
              <w:jc w:val="both"/>
              <w:rPr>
                <w:rFonts w:hint="default" w:ascii="Times New Roman" w:hAnsi="Times New Roman" w:eastAsia="黑体" w:cs="Times New Roman"/>
              </w:rPr>
            </w:pPr>
            <w:r>
              <w:rPr>
                <w:rFonts w:hint="default" w:ascii="Times New Roman" w:hAnsi="Times New Roman" w:eastAsia="黑体" w:cs="Times New Roman"/>
              </w:rPr>
              <w:t>（2）与《项目环评“三线一单”符合性分析技术要求（试行）》符合性分析</w:t>
            </w:r>
          </w:p>
          <w:p>
            <w:pPr>
              <w:widowControl w:val="0"/>
              <w:ind w:firstLine="480" w:firstLineChars="200"/>
              <w:jc w:val="both"/>
              <w:rPr>
                <w:rFonts w:hint="default" w:ascii="Times New Roman" w:hAnsi="Times New Roman" w:cs="Times New Roman"/>
              </w:rPr>
            </w:pPr>
            <w:r>
              <w:rPr>
                <w:rFonts w:hint="default" w:ascii="Times New Roman" w:hAnsi="Times New Roman" w:cs="Times New Roman"/>
              </w:rPr>
              <w:t>根据四川省生态环境厅办公室发布的《产业园区规划环评“三线一单”符合性分析技术要点(试行)》和《项目环评“三线一单”符合性分析技术要点(试行)》的通知（川环办函【2021】469号）可知，若建设项目位于产业园区外，需进行空间符合性分析以及管控要求符合性分析。</w:t>
            </w:r>
          </w:p>
          <w:p>
            <w:pPr>
              <w:widowControl w:val="0"/>
              <w:ind w:firstLine="480" w:firstLineChars="200"/>
              <w:jc w:val="both"/>
              <w:rPr>
                <w:rFonts w:hint="default" w:ascii="Times New Roman" w:hAnsi="Times New Roman" w:cs="Times New Roman"/>
              </w:rPr>
            </w:pPr>
            <w:r>
              <w:rPr>
                <w:rFonts w:hint="default" w:ascii="Times New Roman" w:hAnsi="Times New Roman" w:cs="Times New Roman"/>
              </w:rPr>
              <w:t>本项目属于</w:t>
            </w:r>
            <w:r>
              <w:rPr>
                <w:rFonts w:hint="default" w:ascii="Times New Roman" w:hAnsi="Times New Roman" w:cs="Times New Roman"/>
                <w:bCs/>
              </w:rPr>
              <w:t>污水处理及其再生利用</w:t>
            </w:r>
            <w:r>
              <w:rPr>
                <w:rFonts w:hint="default" w:ascii="Times New Roman" w:hAnsi="Times New Roman" w:cs="Times New Roman"/>
              </w:rPr>
              <w:t>项目，位于产业园区之外，为此，需要进行空间符合性分析以及管控要求符合性分析。</w:t>
            </w:r>
          </w:p>
          <w:p>
            <w:pPr>
              <w:pStyle w:val="183"/>
              <w:widowControl w:val="0"/>
              <w:ind w:firstLine="480" w:firstLineChars="200"/>
              <w:rPr>
                <w:rFonts w:hint="default" w:ascii="Times New Roman" w:hAnsi="Times New Roman" w:cs="Times New Roman"/>
              </w:rPr>
            </w:pPr>
            <w:r>
              <w:rPr>
                <w:rFonts w:hint="default" w:ascii="Times New Roman" w:hAnsi="Times New Roman" w:cs="Times New Roman"/>
              </w:rPr>
              <w:t>通过四川省政务服务网“三线一单”数据分析系统、“三线一单”冲突分析系统进行比对分析，以及查阅达州市生态环境局的《长江经济带战略环境评价四川省达州市“三线一单”生态环境分区管控优化完善研究报告》，本项目该项目涉及到环境管控单元</w:t>
            </w:r>
            <w:r>
              <w:rPr>
                <w:rFonts w:hint="default" w:ascii="Times New Roman" w:hAnsi="Times New Roman" w:eastAsia="仿宋_GB2312" w:cs="Times New Roman"/>
              </w:rPr>
              <w:t>3</w:t>
            </w:r>
            <w:r>
              <w:rPr>
                <w:rFonts w:hint="default" w:ascii="Times New Roman" w:hAnsi="Times New Roman" w:cs="Times New Roman"/>
              </w:rPr>
              <w:t>个，涉及到管控单元见下图及下表。</w:t>
            </w:r>
          </w:p>
          <w:p>
            <w:pPr>
              <w:pStyle w:val="169"/>
              <w:numPr>
                <w:ilvl w:val="0"/>
                <w:numId w:val="3"/>
              </w:numPr>
              <w:spacing w:line="276" w:lineRule="auto"/>
              <w:jc w:val="center"/>
              <w:rPr>
                <w:rFonts w:hint="default" w:ascii="Times New Roman" w:hAnsi="Times New Roman" w:eastAsia="黑体" w:cs="Times New Roman"/>
                <w:szCs w:val="24"/>
              </w:rPr>
            </w:pPr>
            <w:r>
              <w:rPr>
                <w:rFonts w:hint="default" w:ascii="Times New Roman" w:hAnsi="Times New Roman" w:eastAsia="黑体" w:cs="Times New Roman"/>
                <w:szCs w:val="24"/>
              </w:rPr>
              <w:t>项目涉及环境管控单元</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1302"/>
              <w:gridCol w:w="955"/>
              <w:gridCol w:w="795"/>
              <w:gridCol w:w="1151"/>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120" w:type="pct"/>
                  <w:vAlign w:val="center"/>
                </w:tcPr>
                <w:p>
                  <w:pPr>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环境管控单元编码</w:t>
                  </w:r>
                </w:p>
              </w:tc>
              <w:tc>
                <w:tcPr>
                  <w:tcW w:w="912" w:type="pct"/>
                  <w:vAlign w:val="center"/>
                </w:tcPr>
                <w:p>
                  <w:pPr>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环境管控单元名称</w:t>
                  </w:r>
                </w:p>
              </w:tc>
              <w:tc>
                <w:tcPr>
                  <w:tcW w:w="669" w:type="pct"/>
                  <w:vAlign w:val="center"/>
                </w:tcPr>
                <w:p>
                  <w:pPr>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所属市（州）</w:t>
                  </w:r>
                </w:p>
              </w:tc>
              <w:tc>
                <w:tcPr>
                  <w:tcW w:w="557" w:type="pct"/>
                  <w:vAlign w:val="center"/>
                </w:tcPr>
                <w:p>
                  <w:pPr>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所属区县</w:t>
                  </w:r>
                </w:p>
              </w:tc>
              <w:tc>
                <w:tcPr>
                  <w:tcW w:w="806" w:type="pct"/>
                  <w:vAlign w:val="center"/>
                </w:tcPr>
                <w:p>
                  <w:pPr>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准入清单类型</w:t>
                  </w:r>
                </w:p>
              </w:tc>
              <w:tc>
                <w:tcPr>
                  <w:tcW w:w="936" w:type="pct"/>
                  <w:vAlign w:val="center"/>
                </w:tcPr>
                <w:p>
                  <w:pPr>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120"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ZH51172230001</w:t>
                  </w:r>
                </w:p>
              </w:tc>
              <w:tc>
                <w:tcPr>
                  <w:tcW w:w="912"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宣汉县一般管控单元</w:t>
                  </w:r>
                </w:p>
              </w:tc>
              <w:tc>
                <w:tcPr>
                  <w:tcW w:w="669"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达州市</w:t>
                  </w:r>
                </w:p>
              </w:tc>
              <w:tc>
                <w:tcPr>
                  <w:tcW w:w="557"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宣汉县</w:t>
                  </w:r>
                </w:p>
              </w:tc>
              <w:tc>
                <w:tcPr>
                  <w:tcW w:w="806"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环境管控单元</w:t>
                  </w:r>
                </w:p>
              </w:tc>
              <w:tc>
                <w:tcPr>
                  <w:tcW w:w="936"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环境综合管控单元一般管控单元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120"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YS5117223210001</w:t>
                  </w:r>
                </w:p>
              </w:tc>
              <w:tc>
                <w:tcPr>
                  <w:tcW w:w="912"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州河宣汉县张鼓坪控制单元</w:t>
                  </w:r>
                </w:p>
              </w:tc>
              <w:tc>
                <w:tcPr>
                  <w:tcW w:w="669"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达州市</w:t>
                  </w:r>
                </w:p>
              </w:tc>
              <w:tc>
                <w:tcPr>
                  <w:tcW w:w="557"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宣汉县</w:t>
                  </w:r>
                </w:p>
              </w:tc>
              <w:tc>
                <w:tcPr>
                  <w:tcW w:w="806"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水环境管控分区</w:t>
                  </w:r>
                </w:p>
              </w:tc>
              <w:tc>
                <w:tcPr>
                  <w:tcW w:w="936"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120"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YS5117222320006</w:t>
                  </w:r>
                </w:p>
              </w:tc>
              <w:tc>
                <w:tcPr>
                  <w:tcW w:w="912"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宣汉县大气环境布局敏感重点管控区</w:t>
                  </w:r>
                </w:p>
              </w:tc>
              <w:tc>
                <w:tcPr>
                  <w:tcW w:w="669"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达州市</w:t>
                  </w:r>
                </w:p>
              </w:tc>
              <w:tc>
                <w:tcPr>
                  <w:tcW w:w="557"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宣汉县</w:t>
                  </w:r>
                </w:p>
              </w:tc>
              <w:tc>
                <w:tcPr>
                  <w:tcW w:w="806"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大气环境管控分区</w:t>
                  </w:r>
                </w:p>
              </w:tc>
              <w:tc>
                <w:tcPr>
                  <w:tcW w:w="936" w:type="pct"/>
                  <w:vAlign w:val="center"/>
                </w:tcPr>
                <w:p>
                  <w:pPr>
                    <w:pStyle w:val="128"/>
                    <w:widowControl/>
                    <w:spacing w:line="240" w:lineRule="auto"/>
                    <w:ind w:firstLine="0" w:firstLineChars="0"/>
                    <w:jc w:val="center"/>
                    <w:rPr>
                      <w:rFonts w:hint="default" w:ascii="Times New Roman" w:hAnsi="Times New Roman" w:eastAsia="宋体" w:cs="Times New Roman"/>
                      <w:sz w:val="21"/>
                    </w:rPr>
                  </w:pPr>
                  <w:r>
                    <w:rPr>
                      <w:rFonts w:hint="default" w:ascii="Times New Roman" w:hAnsi="Times New Roman" w:eastAsia="宋体" w:cs="Times New Roman"/>
                      <w:sz w:val="21"/>
                    </w:rPr>
                    <w:t>大气环境布局敏感重点管控区</w:t>
                  </w:r>
                </w:p>
              </w:tc>
            </w:tr>
          </w:tbl>
          <w:p>
            <w:pPr>
              <w:pStyle w:val="18"/>
              <w:widowControl w:val="0"/>
              <w:jc w:val="center"/>
              <w:rPr>
                <w:rFonts w:hint="default" w:ascii="Times New Roman" w:hAnsi="Times New Roman" w:cs="Times New Roman"/>
              </w:rPr>
            </w:pPr>
            <w:r>
              <w:rPr>
                <w:rFonts w:hint="default" w:ascii="Times New Roman" w:hAnsi="Times New Roman" w:cs="Times New Roman"/>
              </w:rPr>
              <w:drawing>
                <wp:inline distT="0" distB="0" distL="0" distR="0">
                  <wp:extent cx="4421505" cy="31813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34634" cy="3190371"/>
                          </a:xfrm>
                          <a:prstGeom prst="rect">
                            <a:avLst/>
                          </a:prstGeom>
                          <a:noFill/>
                          <a:ln>
                            <a:noFill/>
                          </a:ln>
                        </pic:spPr>
                      </pic:pic>
                    </a:graphicData>
                  </a:graphic>
                </wp:inline>
              </w:drawing>
            </w:r>
          </w:p>
          <w:p>
            <w:pPr>
              <w:pStyle w:val="169"/>
              <w:spacing w:line="276" w:lineRule="auto"/>
              <w:jc w:val="center"/>
              <w:rPr>
                <w:rFonts w:hint="default" w:ascii="Times New Roman" w:hAnsi="Times New Roman" w:eastAsia="黑体" w:cs="Times New Roman"/>
                <w:szCs w:val="24"/>
              </w:rPr>
            </w:pPr>
            <w:r>
              <w:rPr>
                <w:rFonts w:hint="default" w:ascii="Times New Roman" w:hAnsi="Times New Roman" w:eastAsia="黑体" w:cs="Times New Roman"/>
                <w:szCs w:val="24"/>
              </w:rPr>
              <w:t>图1-1  项目三线一单查询结果截图</w:t>
            </w:r>
          </w:p>
          <w:p>
            <w:pPr>
              <w:widowControl/>
              <w:ind w:firstLine="480" w:firstLineChars="200"/>
              <w:jc w:val="both"/>
              <w:rPr>
                <w:rFonts w:hint="default" w:ascii="Times New Roman" w:hAnsi="Times New Roman" w:cs="Times New Roman"/>
              </w:rPr>
            </w:pPr>
            <w:r>
              <w:rPr>
                <w:rFonts w:hint="default" w:ascii="Times New Roman" w:hAnsi="Times New Roman" w:cs="Times New Roman"/>
              </w:rPr>
              <w:t>项目位于达州市宣汉县环境综合管控单元一般管控单元（管控单元名称：宣汉县一般管控单元，管控单元编号：ZH51172230001）项目与管控单元相对位置如下图所示：（图中▼表示项目位置）</w:t>
            </w:r>
          </w:p>
          <w:p>
            <w:pPr>
              <w:widowControl/>
              <w:ind w:firstLine="480" w:firstLineChars="200"/>
              <w:jc w:val="both"/>
              <w:rPr>
                <w:rFonts w:hint="default" w:ascii="Times New Roman" w:hAnsi="Times New Roman" w:cs="Times New Roman"/>
              </w:rPr>
            </w:pPr>
          </w:p>
          <w:p>
            <w:pPr>
              <w:widowControl/>
              <w:ind w:firstLine="480" w:firstLineChars="200"/>
              <w:jc w:val="both"/>
              <w:rPr>
                <w:rFonts w:hint="default" w:ascii="Times New Roman" w:hAnsi="Times New Roman" w:cs="Times New Roman"/>
              </w:rPr>
            </w:pPr>
          </w:p>
          <w:p>
            <w:pPr>
              <w:widowControl w:val="0"/>
              <w:jc w:val="left"/>
              <w:rPr>
                <w:rFonts w:hint="default" w:ascii="Times New Roman" w:hAnsi="Times New Roman" w:eastAsia="黑体" w:cs="Times New Roman"/>
                <w:b/>
                <w:bCs/>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677545</wp:posOffset>
                      </wp:positionH>
                      <wp:positionV relativeFrom="paragraph">
                        <wp:posOffset>809625</wp:posOffset>
                      </wp:positionV>
                      <wp:extent cx="914400" cy="408305"/>
                      <wp:effectExtent l="6350" t="6350" r="69850" b="537845"/>
                      <wp:wrapNone/>
                      <wp:docPr id="2" name="AutoShape 9"/>
                      <wp:cNvGraphicFramePr/>
                      <a:graphic xmlns:a="http://schemas.openxmlformats.org/drawingml/2006/main">
                        <a:graphicData uri="http://schemas.microsoft.com/office/word/2010/wordprocessingShape">
                          <wps:wsp>
                            <wps:cNvSpPr>
                              <a:spLocks noChangeArrowheads="1"/>
                            </wps:cNvSpPr>
                            <wps:spPr bwMode="auto">
                              <a:xfrm>
                                <a:off x="0" y="0"/>
                                <a:ext cx="914400" cy="408305"/>
                              </a:xfrm>
                              <a:prstGeom prst="wedgeRoundRectCallout">
                                <a:avLst>
                                  <a:gd name="adj1" fmla="val 53727"/>
                                  <a:gd name="adj2" fmla="val 171048"/>
                                  <a:gd name="adj3" fmla="val 16667"/>
                                </a:avLst>
                              </a:prstGeom>
                              <a:solidFill>
                                <a:srgbClr val="FFFFFF"/>
                              </a:solidFill>
                              <a:ln w="12700">
                                <a:solidFill>
                                  <a:srgbClr val="FF0000"/>
                                </a:solidFill>
                                <a:miter lim="800000"/>
                              </a:ln>
                              <a:effectLst/>
                            </wps:spPr>
                            <wps:txbx>
                              <w:txbxContent>
                                <w:p>
                                  <w:pPr>
                                    <w:jc w:val="center"/>
                                    <w:rPr>
                                      <w:color w:val="FF0000"/>
                                    </w:rPr>
                                  </w:pPr>
                                  <w:r>
                                    <w:rPr>
                                      <w:rFonts w:hint="eastAsia"/>
                                      <w:color w:val="FF0000"/>
                                    </w:rPr>
                                    <w:t>本项目</w:t>
                                  </w:r>
                                </w:p>
                              </w:txbxContent>
                            </wps:txbx>
                            <wps:bodyPr rot="0" vert="horz" wrap="square" lIns="91440" tIns="45720" rIns="91440" bIns="45720" anchor="t" anchorCtr="0" upright="1">
                              <a:noAutofit/>
                            </wps:bodyPr>
                          </wps:wsp>
                        </a:graphicData>
                      </a:graphic>
                    </wp:anchor>
                  </w:drawing>
                </mc:Choice>
                <mc:Fallback>
                  <w:pict>
                    <v:shape id="AutoShape 9" o:spid="_x0000_s1026" o:spt="62" type="#_x0000_t62" style="position:absolute;left:0pt;margin-left:53.35pt;margin-top:63.75pt;height:32.15pt;width:72pt;z-index:251660288;mso-width-relative:page;mso-height-relative:page;" fillcolor="#FFFFFF" filled="t" stroked="t" coordsize="21600,21600" o:gfxdata="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du6Q8dYAAAALAQAADwAAAAAAAAABACAAAAAiAAAAZHJzL2Rvd25yZXYueG1sUEsBAhQA&#10;FAAAAAgAh07iQM3jXEJmAgAAEgUAAA4AAAAAAAAAAQAgAAAAJQEAAGRycy9lMm9Eb2MueG1sUEsF&#10;BgAAAAAGAAYAWQEAAP0FAAAAAA==&#10;" adj="22405,47746,14400">
                      <v:fill on="t" focussize="0,0"/>
                      <v:stroke weight="1pt" color="#FF0000" miterlimit="8" joinstyle="miter"/>
                      <v:imagedata o:title=""/>
                      <o:lock v:ext="edit" aspectratio="f"/>
                      <v:textbox>
                        <w:txbxContent>
                          <w:p>
                            <w:pPr>
                              <w:jc w:val="center"/>
                              <w:rPr>
                                <w:color w:val="FF0000"/>
                              </w:rPr>
                            </w:pPr>
                            <w:r>
                              <w:rPr>
                                <w:rFonts w:hint="eastAsia"/>
                                <w:color w:val="FF0000"/>
                              </w:rPr>
                              <w:t>本项目</w:t>
                            </w:r>
                          </w:p>
                        </w:txbxContent>
                      </v:textbox>
                    </v:shape>
                  </w:pict>
                </mc:Fallback>
              </mc:AlternateContent>
            </w:r>
            <w:r>
              <w:rPr>
                <w:rFonts w:hint="default" w:ascii="Times New Roman" w:hAnsi="Times New Roman" w:cs="Times New Roman"/>
                <w:sz w:val="28"/>
                <w:szCs w:val="28"/>
              </w:rPr>
              <w:drawing>
                <wp:inline distT="0" distB="0" distL="0" distR="0">
                  <wp:extent cx="4444365" cy="26689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44365" cy="2668905"/>
                          </a:xfrm>
                          <a:prstGeom prst="rect">
                            <a:avLst/>
                          </a:prstGeom>
                          <a:noFill/>
                          <a:ln>
                            <a:noFill/>
                          </a:ln>
                        </pic:spPr>
                      </pic:pic>
                    </a:graphicData>
                  </a:graphic>
                </wp:inline>
              </w:drawing>
            </w:r>
          </w:p>
          <w:p>
            <w:pPr>
              <w:pStyle w:val="169"/>
              <w:spacing w:line="276" w:lineRule="auto"/>
              <w:jc w:val="center"/>
              <w:rPr>
                <w:rFonts w:hint="default" w:ascii="Times New Roman" w:hAnsi="Times New Roman" w:eastAsia="黑体" w:cs="Times New Roman"/>
                <w:szCs w:val="24"/>
              </w:rPr>
            </w:pPr>
            <w:r>
              <w:rPr>
                <w:rFonts w:hint="default" w:ascii="Times New Roman" w:hAnsi="Times New Roman" w:eastAsia="黑体" w:cs="Times New Roman"/>
                <w:szCs w:val="24"/>
              </w:rPr>
              <w:t>图1-2  项目与管控单元相对位置关系图</w:t>
            </w: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p>
            <w:pPr>
              <w:widowControl w:val="0"/>
              <w:jc w:val="both"/>
              <w:rPr>
                <w:rFonts w:hint="default" w:ascii="Times New Roman" w:hAnsi="Times New Roman" w:cs="Times New Roman"/>
                <w:szCs w:val="20"/>
              </w:rPr>
            </w:pPr>
          </w:p>
        </w:tc>
      </w:tr>
    </w:tbl>
    <w:p>
      <w:pPr>
        <w:rPr>
          <w:rFonts w:asciiTheme="majorHAnsi" w:hAnsiTheme="majorHAnsi"/>
        </w:rPr>
        <w:sectPr>
          <w:footerReference r:id="rId6" w:type="default"/>
          <w:pgSz w:w="11906" w:h="16838"/>
          <w:pgMar w:top="1701" w:right="1531" w:bottom="1701" w:left="1531" w:header="851" w:footer="992" w:gutter="0"/>
          <w:pgBorders>
            <w:top w:val="none" w:sz="0" w:space="0"/>
            <w:left w:val="none" w:sz="0" w:space="0"/>
            <w:bottom w:val="none" w:sz="0" w:space="0"/>
            <w:right w:val="none" w:sz="0" w:space="0"/>
          </w:pgBorders>
          <w:pgNumType w:start="1"/>
          <w:cols w:space="425" w:num="1"/>
          <w:docGrid w:type="lines" w:linePitch="326" w:charSpace="0"/>
        </w:sect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1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 w:type="dxa"/>
          </w:tcPr>
          <w:p>
            <w:pPr>
              <w:pStyle w:val="16"/>
            </w:pPr>
          </w:p>
        </w:tc>
        <w:tc>
          <w:tcPr>
            <w:tcW w:w="13000" w:type="dxa"/>
          </w:tcPr>
          <w:p>
            <w:pPr>
              <w:pStyle w:val="169"/>
              <w:numPr>
                <w:ilvl w:val="0"/>
                <w:numId w:val="3"/>
              </w:numPr>
              <w:spacing w:line="276" w:lineRule="auto"/>
              <w:jc w:val="center"/>
              <w:rPr>
                <w:rFonts w:ascii="黑体" w:hAnsi="黑体" w:eastAsia="黑体"/>
                <w:szCs w:val="24"/>
              </w:rPr>
            </w:pPr>
            <w:r>
              <w:rPr>
                <w:rFonts w:ascii="黑体" w:hAnsi="黑体" w:eastAsia="黑体"/>
                <w:szCs w:val="24"/>
              </w:rPr>
              <w:t>本项目与“三线一单”相关要求的符合性分析</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2"/>
              <w:gridCol w:w="761"/>
              <w:gridCol w:w="651"/>
              <w:gridCol w:w="1154"/>
              <w:gridCol w:w="5373"/>
              <w:gridCol w:w="2163"/>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blHeader/>
              </w:trPr>
              <w:tc>
                <w:tcPr>
                  <w:tcW w:w="3084" w:type="dxa"/>
                  <w:gridSpan w:val="3"/>
                  <w:vAlign w:val="center"/>
                </w:tcPr>
                <w:p>
                  <w:pPr>
                    <w:widowControl w:val="0"/>
                    <w:spacing w:line="360" w:lineRule="exact"/>
                    <w:jc w:val="center"/>
                    <w:rPr>
                      <w:b/>
                      <w:bCs/>
                      <w:szCs w:val="21"/>
                    </w:rPr>
                  </w:pPr>
                  <w:r>
                    <w:rPr>
                      <w:rFonts w:hint="eastAsia"/>
                      <w:b/>
                      <w:bCs/>
                      <w:sz w:val="21"/>
                      <w:szCs w:val="21"/>
                    </w:rPr>
                    <w:t>类别</w:t>
                  </w:r>
                </w:p>
              </w:tc>
              <w:tc>
                <w:tcPr>
                  <w:tcW w:w="6527" w:type="dxa"/>
                  <w:gridSpan w:val="2"/>
                  <w:vAlign w:val="center"/>
                </w:tcPr>
                <w:p>
                  <w:pPr>
                    <w:widowControl w:val="0"/>
                    <w:spacing w:line="360" w:lineRule="exact"/>
                    <w:jc w:val="center"/>
                    <w:rPr>
                      <w:b/>
                      <w:bCs/>
                      <w:szCs w:val="21"/>
                    </w:rPr>
                  </w:pPr>
                  <w:r>
                    <w:rPr>
                      <w:rFonts w:hint="eastAsia"/>
                      <w:b/>
                      <w:bCs/>
                      <w:sz w:val="21"/>
                      <w:szCs w:val="21"/>
                    </w:rPr>
                    <w:t>“三线一单”的具体要求_对应管控要求</w:t>
                  </w:r>
                </w:p>
              </w:tc>
              <w:tc>
                <w:tcPr>
                  <w:tcW w:w="2163" w:type="dxa"/>
                  <w:vAlign w:val="center"/>
                </w:tcPr>
                <w:p>
                  <w:pPr>
                    <w:widowControl w:val="0"/>
                    <w:spacing w:line="360" w:lineRule="exact"/>
                    <w:jc w:val="center"/>
                    <w:rPr>
                      <w:b/>
                      <w:bCs/>
                      <w:szCs w:val="21"/>
                    </w:rPr>
                  </w:pPr>
                  <w:r>
                    <w:rPr>
                      <w:rFonts w:hint="eastAsia"/>
                      <w:b/>
                      <w:bCs/>
                      <w:sz w:val="21"/>
                      <w:szCs w:val="21"/>
                    </w:rPr>
                    <w:t>项目对应情况介绍</w:t>
                  </w:r>
                </w:p>
              </w:tc>
              <w:tc>
                <w:tcPr>
                  <w:tcW w:w="1000" w:type="dxa"/>
                  <w:vAlign w:val="center"/>
                </w:tcPr>
                <w:p>
                  <w:pPr>
                    <w:widowControl w:val="0"/>
                    <w:spacing w:line="360" w:lineRule="exact"/>
                    <w:jc w:val="center"/>
                    <w:rPr>
                      <w:b/>
                      <w:bCs/>
                      <w:szCs w:val="21"/>
                    </w:rPr>
                  </w:pPr>
                  <w:r>
                    <w:rPr>
                      <w:rFonts w:hint="eastAsia"/>
                      <w:b/>
                      <w:bCs/>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restart"/>
                  <w:vAlign w:val="center"/>
                </w:tcPr>
                <w:p>
                  <w:pPr>
                    <w:widowControl w:val="0"/>
                    <w:spacing w:line="360" w:lineRule="exact"/>
                    <w:jc w:val="center"/>
                    <w:rPr>
                      <w:rFonts w:eastAsia="宋体" w:cstheme="minorHAnsi"/>
                      <w:sz w:val="21"/>
                    </w:rPr>
                  </w:pPr>
                  <w:r>
                    <w:rPr>
                      <w:rFonts w:eastAsia="宋体" w:cstheme="minorHAnsi"/>
                      <w:sz w:val="21"/>
                    </w:rPr>
                    <w:t>环境综合管控单元一般管控单元</w:t>
                  </w:r>
                  <w:r>
                    <w:rPr>
                      <w:rFonts w:hint="eastAsia" w:eastAsia="宋体" w:cstheme="minorHAnsi"/>
                      <w:sz w:val="21"/>
                    </w:rPr>
                    <w:t>、</w:t>
                  </w:r>
                  <w:r>
                    <w:rPr>
                      <w:rFonts w:ascii="Times New Roman" w:hAnsi="Times New Roman" w:cs="Times New Roman"/>
                      <w:sz w:val="21"/>
                      <w:szCs w:val="21"/>
                    </w:rPr>
                    <w:t>ZH51172230001</w:t>
                  </w:r>
                </w:p>
                <w:p>
                  <w:pPr>
                    <w:widowControl w:val="0"/>
                    <w:spacing w:line="360" w:lineRule="exact"/>
                    <w:jc w:val="center"/>
                    <w:rPr>
                      <w:sz w:val="21"/>
                      <w:szCs w:val="21"/>
                    </w:rPr>
                  </w:pPr>
                  <w:r>
                    <w:rPr>
                      <w:rFonts w:ascii="Times New Roman" w:hAnsi="Times New Roman" w:cs="Times New Roman"/>
                      <w:sz w:val="21"/>
                      <w:szCs w:val="21"/>
                    </w:rPr>
                    <w:t>宣汉县一般管控单元</w:t>
                  </w:r>
                </w:p>
              </w:tc>
              <w:tc>
                <w:tcPr>
                  <w:tcW w:w="761" w:type="dxa"/>
                  <w:vMerge w:val="restart"/>
                  <w:vAlign w:val="center"/>
                </w:tcPr>
                <w:p>
                  <w:pPr>
                    <w:widowControl w:val="0"/>
                    <w:spacing w:line="360" w:lineRule="exact"/>
                    <w:jc w:val="center"/>
                    <w:rPr>
                      <w:szCs w:val="21"/>
                    </w:rPr>
                  </w:pPr>
                  <w:r>
                    <w:rPr>
                      <w:rFonts w:hint="eastAsia"/>
                      <w:sz w:val="21"/>
                      <w:szCs w:val="21"/>
                    </w:rPr>
                    <w:t>普适性清单管控要求</w:t>
                  </w:r>
                </w:p>
              </w:tc>
              <w:tc>
                <w:tcPr>
                  <w:tcW w:w="651" w:type="dxa"/>
                  <w:vMerge w:val="restart"/>
                  <w:vAlign w:val="center"/>
                </w:tcPr>
                <w:p>
                  <w:pPr>
                    <w:widowControl w:val="0"/>
                    <w:spacing w:line="360" w:lineRule="exact"/>
                    <w:jc w:val="center"/>
                    <w:rPr>
                      <w:szCs w:val="21"/>
                    </w:rPr>
                  </w:pPr>
                  <w:r>
                    <w:rPr>
                      <w:sz w:val="21"/>
                      <w:szCs w:val="21"/>
                    </w:rPr>
                    <w:t>空间布局约束</w:t>
                  </w:r>
                </w:p>
              </w:tc>
              <w:tc>
                <w:tcPr>
                  <w:tcW w:w="1154" w:type="dxa"/>
                  <w:vAlign w:val="center"/>
                </w:tcPr>
                <w:p>
                  <w:pPr>
                    <w:widowControl w:val="0"/>
                    <w:spacing w:line="360" w:lineRule="exact"/>
                    <w:jc w:val="center"/>
                    <w:rPr>
                      <w:szCs w:val="21"/>
                    </w:rPr>
                  </w:pPr>
                  <w:r>
                    <w:rPr>
                      <w:rFonts w:hint="eastAsia"/>
                      <w:sz w:val="21"/>
                      <w:szCs w:val="21"/>
                    </w:rPr>
                    <w:t>禁止开发建设活动的要求</w:t>
                  </w:r>
                </w:p>
              </w:tc>
              <w:tc>
                <w:tcPr>
                  <w:tcW w:w="5373" w:type="dxa"/>
                  <w:vAlign w:val="center"/>
                </w:tcPr>
                <w:p>
                  <w:pPr>
                    <w:pStyle w:val="129"/>
                    <w:spacing w:line="360" w:lineRule="exact"/>
                    <w:ind w:firstLine="0" w:firstLineChars="0"/>
                    <w:rPr>
                      <w:rFonts w:eastAsiaTheme="minorEastAsia"/>
                      <w:kern w:val="0"/>
                      <w:sz w:val="21"/>
                    </w:rPr>
                  </w:pPr>
                  <w:r>
                    <w:rPr>
                      <w:rFonts w:eastAsiaTheme="minorEastAsia"/>
                      <w:kern w:val="0"/>
                      <w:sz w:val="21"/>
                    </w:rPr>
                    <w:t>-禁止在长江干支流1公里范围内新建、扩建化工园区和化工项目。</w:t>
                  </w:r>
                </w:p>
                <w:p>
                  <w:pPr>
                    <w:pStyle w:val="129"/>
                    <w:spacing w:line="360" w:lineRule="exact"/>
                    <w:ind w:firstLine="0" w:firstLineChars="0"/>
                    <w:rPr>
                      <w:rFonts w:eastAsiaTheme="minorEastAsia"/>
                      <w:kern w:val="0"/>
                      <w:sz w:val="21"/>
                    </w:rPr>
                  </w:pPr>
                  <w:r>
                    <w:rPr>
                      <w:rFonts w:eastAsiaTheme="minorEastAsia"/>
                      <w:kern w:val="0"/>
                      <w:sz w:val="21"/>
                    </w:rPr>
                    <w:t>-禁止在法律法规规定的禁采区内新建矿山；禁止土法采、选、冶严重污染环境的矿产资源。</w:t>
                  </w:r>
                </w:p>
                <w:p>
                  <w:pPr>
                    <w:pStyle w:val="129"/>
                    <w:spacing w:line="360" w:lineRule="exact"/>
                    <w:ind w:firstLine="0" w:firstLineChars="0"/>
                    <w:rPr>
                      <w:rFonts w:eastAsiaTheme="minorEastAsia"/>
                      <w:kern w:val="0"/>
                      <w:sz w:val="21"/>
                    </w:rPr>
                  </w:pPr>
                  <w:r>
                    <w:rPr>
                      <w:rFonts w:eastAsiaTheme="minorEastAsia"/>
                      <w:kern w:val="0"/>
                      <w:sz w:val="21"/>
                    </w:rPr>
                    <w:t>-涉及永久基本农田的区域，除法律规定的重点建设项目选址确实无法避让外，其他任何建设不得占用。</w:t>
                  </w:r>
                </w:p>
                <w:p>
                  <w:pPr>
                    <w:pStyle w:val="129"/>
                    <w:spacing w:line="360" w:lineRule="exact"/>
                    <w:ind w:firstLine="0" w:firstLineChars="0"/>
                    <w:rPr>
                      <w:rFonts w:eastAsiaTheme="minorEastAsia"/>
                      <w:kern w:val="0"/>
                      <w:sz w:val="21"/>
                    </w:rPr>
                  </w:pPr>
                  <w:r>
                    <w:rPr>
                      <w:rFonts w:eastAsiaTheme="minorEastAsia"/>
                      <w:kern w:val="0"/>
                      <w:sz w:val="21"/>
                    </w:rPr>
                    <w:t>-禁止在长江流域河湖管理范围内倾倒、填埋、堆放、弃置、处理固体废物。</w:t>
                  </w:r>
                </w:p>
              </w:tc>
              <w:tc>
                <w:tcPr>
                  <w:tcW w:w="2163" w:type="dxa"/>
                  <w:vAlign w:val="center"/>
                </w:tcPr>
                <w:p>
                  <w:pPr>
                    <w:pStyle w:val="129"/>
                    <w:spacing w:line="360" w:lineRule="exact"/>
                    <w:ind w:firstLine="0" w:firstLineChars="0"/>
                    <w:rPr>
                      <w:rFonts w:eastAsiaTheme="minorEastAsia"/>
                      <w:kern w:val="0"/>
                      <w:sz w:val="21"/>
                    </w:rPr>
                  </w:pPr>
                  <w:r>
                    <w:rPr>
                      <w:rFonts w:hint="eastAsia"/>
                      <w:sz w:val="21"/>
                    </w:rPr>
                    <w:t>本</w:t>
                  </w:r>
                  <w:r>
                    <w:rPr>
                      <w:rFonts w:eastAsiaTheme="minorEastAsia"/>
                      <w:kern w:val="0"/>
                      <w:sz w:val="21"/>
                    </w:rPr>
                    <w:t>项目为</w:t>
                  </w:r>
                  <w:r>
                    <w:rPr>
                      <w:rFonts w:hint="eastAsia" w:eastAsiaTheme="minorEastAsia"/>
                      <w:kern w:val="0"/>
                      <w:sz w:val="21"/>
                    </w:rPr>
                    <w:t>污水处理建设工程</w:t>
                  </w:r>
                  <w:r>
                    <w:rPr>
                      <w:rFonts w:eastAsiaTheme="minorEastAsia"/>
                      <w:kern w:val="0"/>
                      <w:sz w:val="21"/>
                    </w:rPr>
                    <w:t>，不属于化工项目、</w:t>
                  </w:r>
                  <w:r>
                    <w:rPr>
                      <w:rFonts w:hint="eastAsia" w:eastAsiaTheme="minorEastAsia"/>
                      <w:kern w:val="0"/>
                      <w:sz w:val="21"/>
                    </w:rPr>
                    <w:t>矿产开发</w:t>
                  </w:r>
                  <w:r>
                    <w:rPr>
                      <w:rFonts w:eastAsiaTheme="minorEastAsia"/>
                      <w:kern w:val="0"/>
                      <w:sz w:val="21"/>
                    </w:rPr>
                    <w:t>项目</w:t>
                  </w:r>
                  <w:r>
                    <w:rPr>
                      <w:rFonts w:hint="eastAsia" w:eastAsiaTheme="minorEastAsia"/>
                      <w:kern w:val="0"/>
                      <w:sz w:val="21"/>
                    </w:rPr>
                    <w:t>；</w:t>
                  </w:r>
                </w:p>
                <w:p>
                  <w:pPr>
                    <w:pStyle w:val="129"/>
                    <w:spacing w:line="360" w:lineRule="exact"/>
                    <w:ind w:firstLine="0" w:firstLineChars="0"/>
                    <w:rPr>
                      <w:rFonts w:eastAsiaTheme="minorEastAsia"/>
                      <w:kern w:val="0"/>
                      <w:sz w:val="21"/>
                    </w:rPr>
                  </w:pPr>
                  <w:r>
                    <w:rPr>
                      <w:rFonts w:hint="eastAsia" w:eastAsiaTheme="minorEastAsia"/>
                      <w:kern w:val="0"/>
                      <w:sz w:val="21"/>
                    </w:rPr>
                    <w:t>本项目不占用基本农田，用地性质为公用设施用地，符合宣汉县用地规划；</w:t>
                  </w:r>
                </w:p>
                <w:p>
                  <w:pPr>
                    <w:pStyle w:val="129"/>
                    <w:spacing w:line="360" w:lineRule="exact"/>
                    <w:ind w:firstLine="0" w:firstLineChars="0"/>
                    <w:rPr>
                      <w:kern w:val="0"/>
                      <w:sz w:val="21"/>
                    </w:rPr>
                  </w:pPr>
                  <w:r>
                    <w:rPr>
                      <w:rFonts w:hint="eastAsia" w:eastAsiaTheme="minorEastAsia"/>
                      <w:kern w:val="0"/>
                      <w:sz w:val="21"/>
                    </w:rPr>
                    <w:t>本项目</w:t>
                  </w:r>
                  <w:r>
                    <w:rPr>
                      <w:rFonts w:eastAsiaTheme="minorEastAsia"/>
                      <w:kern w:val="0"/>
                      <w:sz w:val="21"/>
                    </w:rPr>
                    <w:t>固体废弃物均合理处置。</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center"/>
                    <w:rPr>
                      <w:szCs w:val="21"/>
                    </w:rPr>
                  </w:pPr>
                  <w:r>
                    <w:rPr>
                      <w:rFonts w:hint="eastAsia"/>
                      <w:sz w:val="21"/>
                      <w:szCs w:val="21"/>
                    </w:rPr>
                    <w:t>限制开发建设活动的要求</w:t>
                  </w:r>
                </w:p>
              </w:tc>
              <w:tc>
                <w:tcPr>
                  <w:tcW w:w="5373" w:type="dxa"/>
                  <w:vAlign w:val="center"/>
                </w:tcPr>
                <w:p>
                  <w:pPr>
                    <w:pStyle w:val="129"/>
                    <w:spacing w:line="360" w:lineRule="exact"/>
                    <w:ind w:firstLine="0" w:firstLineChars="0"/>
                    <w:rPr>
                      <w:rFonts w:eastAsiaTheme="minorEastAsia"/>
                      <w:kern w:val="0"/>
                      <w:sz w:val="21"/>
                    </w:rPr>
                  </w:pPr>
                  <w:r>
                    <w:rPr>
                      <w:rFonts w:eastAsiaTheme="minorEastAsia"/>
                      <w:kern w:val="0"/>
                      <w:sz w:val="21"/>
                    </w:rPr>
                    <w:t>-按照相关要求严控水泥新增产能。</w:t>
                  </w:r>
                </w:p>
                <w:p>
                  <w:pPr>
                    <w:pStyle w:val="129"/>
                    <w:spacing w:line="360" w:lineRule="exact"/>
                    <w:ind w:firstLine="0" w:firstLineChars="0"/>
                    <w:rPr>
                      <w:rFonts w:eastAsiaTheme="minorEastAsia"/>
                      <w:kern w:val="0"/>
                      <w:sz w:val="21"/>
                    </w:rPr>
                  </w:pPr>
                  <w:r>
                    <w:rPr>
                      <w:rFonts w:eastAsiaTheme="minorEastAsia"/>
                      <w:kern w:val="0"/>
                      <w:sz w:val="21"/>
                    </w:rPr>
                    <w:t>涉及法定保护地，严格按照国家及地方法律法规、管理办法等相关要求进行控制。配套旅游、基础设施等建设项目，在符合规划和相关保护要求的前提下，应实施生态避让、减缓影响及生态恢复措施。</w:t>
                  </w:r>
                </w:p>
                <w:p>
                  <w:pPr>
                    <w:pStyle w:val="129"/>
                    <w:spacing w:line="360" w:lineRule="exact"/>
                    <w:ind w:firstLine="0" w:firstLineChars="0"/>
                    <w:rPr>
                      <w:rFonts w:eastAsiaTheme="minorEastAsia"/>
                      <w:kern w:val="0"/>
                      <w:sz w:val="21"/>
                    </w:rPr>
                  </w:pPr>
                  <w:r>
                    <w:rPr>
                      <w:rFonts w:eastAsiaTheme="minorEastAsia"/>
                      <w:kern w:val="0"/>
                      <w:sz w:val="21"/>
                    </w:rPr>
                    <w:t>按照相关要求严控水泥新增产能。</w:t>
                  </w:r>
                </w:p>
                <w:p>
                  <w:pPr>
                    <w:pStyle w:val="129"/>
                    <w:spacing w:line="360" w:lineRule="exact"/>
                    <w:ind w:firstLine="0" w:firstLineChars="0"/>
                    <w:rPr>
                      <w:rFonts w:eastAsiaTheme="minorEastAsia"/>
                      <w:kern w:val="0"/>
                      <w:sz w:val="21"/>
                    </w:rPr>
                  </w:pPr>
                  <w:r>
                    <w:rPr>
                      <w:rFonts w:eastAsiaTheme="minorEastAsia"/>
                      <w:kern w:val="0"/>
                      <w:sz w:val="21"/>
                    </w:rPr>
                    <w:t>禁止在长江干流岸线三公里范围内和重要支流岸线一公里范围内新建、改建、扩建尾矿库；但是以提升安全、生态环境保护水平为目的的改建除外。</w:t>
                  </w:r>
                </w:p>
              </w:tc>
              <w:tc>
                <w:tcPr>
                  <w:tcW w:w="2163" w:type="dxa"/>
                  <w:vAlign w:val="center"/>
                </w:tcPr>
                <w:p>
                  <w:pPr>
                    <w:pStyle w:val="129"/>
                    <w:spacing w:line="360" w:lineRule="exact"/>
                    <w:ind w:firstLine="0" w:firstLineChars="0"/>
                    <w:rPr>
                      <w:kern w:val="0"/>
                      <w:sz w:val="21"/>
                    </w:rPr>
                  </w:pPr>
                  <w:r>
                    <w:rPr>
                      <w:rFonts w:hint="eastAsia"/>
                      <w:sz w:val="21"/>
                    </w:rPr>
                    <w:t>本</w:t>
                  </w:r>
                  <w:r>
                    <w:rPr>
                      <w:rFonts w:eastAsiaTheme="minorEastAsia"/>
                      <w:kern w:val="0"/>
                      <w:sz w:val="21"/>
                    </w:rPr>
                    <w:t>项目为</w:t>
                  </w:r>
                  <w:r>
                    <w:rPr>
                      <w:rFonts w:hint="eastAsia" w:eastAsiaTheme="minorEastAsia"/>
                      <w:kern w:val="0"/>
                      <w:sz w:val="21"/>
                    </w:rPr>
                    <w:t>污水处理建设工程</w:t>
                  </w:r>
                  <w:r>
                    <w:rPr>
                      <w:rFonts w:eastAsiaTheme="minorEastAsia"/>
                      <w:kern w:val="0"/>
                      <w:sz w:val="21"/>
                    </w:rPr>
                    <w:t>，不属于</w:t>
                  </w:r>
                  <w:r>
                    <w:rPr>
                      <w:rFonts w:hint="eastAsia" w:eastAsiaTheme="minorEastAsia"/>
                      <w:kern w:val="0"/>
                      <w:sz w:val="21"/>
                    </w:rPr>
                    <w:t>尾库矿</w:t>
                  </w:r>
                  <w:r>
                    <w:rPr>
                      <w:rFonts w:eastAsiaTheme="minorEastAsia"/>
                      <w:kern w:val="0"/>
                      <w:sz w:val="21"/>
                    </w:rPr>
                    <w:t>项目</w:t>
                  </w:r>
                  <w:r>
                    <w:rPr>
                      <w:rFonts w:hint="eastAsia" w:eastAsiaTheme="minorEastAsia"/>
                      <w:kern w:val="0"/>
                      <w:sz w:val="21"/>
                    </w:rPr>
                    <w:t>、水泥项目；</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both"/>
                    <w:rPr>
                      <w:szCs w:val="21"/>
                    </w:rPr>
                  </w:pPr>
                  <w:r>
                    <w:rPr>
                      <w:rFonts w:hint="eastAsia"/>
                      <w:sz w:val="21"/>
                      <w:szCs w:val="21"/>
                    </w:rPr>
                    <w:t>不符合空间布局要求活动的退出要求</w:t>
                  </w:r>
                </w:p>
              </w:tc>
              <w:tc>
                <w:tcPr>
                  <w:tcW w:w="5373" w:type="dxa"/>
                  <w:vAlign w:val="center"/>
                </w:tcPr>
                <w:p>
                  <w:pPr>
                    <w:pStyle w:val="129"/>
                    <w:spacing w:line="360" w:lineRule="exact"/>
                    <w:ind w:firstLine="0" w:firstLineChars="0"/>
                    <w:rPr>
                      <w:rFonts w:eastAsiaTheme="minorEastAsia"/>
                      <w:kern w:val="0"/>
                      <w:sz w:val="21"/>
                    </w:rPr>
                  </w:pPr>
                  <w:r>
                    <w:rPr>
                      <w:rFonts w:eastAsiaTheme="minorEastAsia"/>
                      <w:kern w:val="0"/>
                      <w:sz w:val="21"/>
                    </w:rPr>
                    <w:t>针对现有水泥企业，强化污染治理和污染物减排，依法依规整治或搬迁。</w:t>
                  </w:r>
                </w:p>
                <w:p>
                  <w:pPr>
                    <w:pStyle w:val="129"/>
                    <w:spacing w:line="360" w:lineRule="exact"/>
                    <w:ind w:firstLine="0" w:firstLineChars="0"/>
                    <w:rPr>
                      <w:rFonts w:eastAsiaTheme="minorEastAsia"/>
                      <w:kern w:val="0"/>
                      <w:sz w:val="21"/>
                    </w:rPr>
                  </w:pPr>
                  <w:r>
                    <w:rPr>
                      <w:rFonts w:eastAsiaTheme="minorEastAsia"/>
                      <w:kern w:val="0"/>
                      <w:sz w:val="21"/>
                    </w:rPr>
                    <w:t>全面取缔禁养区内规模化畜禽养殖场。</w:t>
                  </w:r>
                </w:p>
                <w:p>
                  <w:pPr>
                    <w:pStyle w:val="129"/>
                    <w:spacing w:line="360" w:lineRule="exact"/>
                    <w:ind w:firstLine="0" w:firstLineChars="0"/>
                    <w:rPr>
                      <w:rFonts w:eastAsiaTheme="minorEastAsia"/>
                      <w:kern w:val="0"/>
                      <w:sz w:val="21"/>
                    </w:rPr>
                  </w:pPr>
                  <w:r>
                    <w:rPr>
                      <w:rFonts w:eastAsiaTheme="minorEastAsia"/>
                      <w:kern w:val="0"/>
                      <w:sz w:val="21"/>
                    </w:rPr>
                    <w:t>2025年基本完成全域内“散乱污”企业整治工作。</w:t>
                  </w:r>
                </w:p>
                <w:p>
                  <w:pPr>
                    <w:pStyle w:val="129"/>
                    <w:spacing w:line="360" w:lineRule="exact"/>
                    <w:ind w:firstLine="0" w:firstLineChars="0"/>
                    <w:rPr>
                      <w:rFonts w:eastAsiaTheme="minorEastAsia"/>
                      <w:kern w:val="0"/>
                      <w:sz w:val="21"/>
                    </w:rPr>
                  </w:pPr>
                  <w:r>
                    <w:rPr>
                      <w:rFonts w:eastAsiaTheme="minorEastAsia"/>
                      <w:kern w:val="0"/>
                      <w:sz w:val="21"/>
                    </w:rPr>
                    <w:t>在全市范围深入开展集中整治“散乱污”工业企业，对不符合产业政策和规划布局的，一律责令停产、限期搬迁或关停；</w:t>
                  </w:r>
                </w:p>
              </w:tc>
              <w:tc>
                <w:tcPr>
                  <w:tcW w:w="2163" w:type="dxa"/>
                  <w:vAlign w:val="center"/>
                </w:tcPr>
                <w:p>
                  <w:pPr>
                    <w:widowControl w:val="0"/>
                    <w:spacing w:line="360" w:lineRule="exact"/>
                    <w:jc w:val="center"/>
                    <w:rPr>
                      <w:rFonts w:ascii="Times New Roman" w:hAnsi="Times New Roman" w:cs="Times New Roman"/>
                      <w:kern w:val="0"/>
                      <w:sz w:val="21"/>
                      <w:szCs w:val="21"/>
                    </w:rPr>
                  </w:pPr>
                  <w:r>
                    <w:rPr>
                      <w:rFonts w:hint="eastAsia"/>
                      <w:sz w:val="21"/>
                      <w:szCs w:val="21"/>
                    </w:rPr>
                    <w:t>本</w:t>
                  </w:r>
                  <w:r>
                    <w:rPr>
                      <w:rFonts w:ascii="Times New Roman" w:hAnsi="Times New Roman" w:cs="Times New Roman"/>
                      <w:kern w:val="0"/>
                      <w:sz w:val="21"/>
                      <w:szCs w:val="21"/>
                    </w:rPr>
                    <w:t>项目为</w:t>
                  </w:r>
                  <w:r>
                    <w:rPr>
                      <w:rFonts w:hint="eastAsia" w:ascii="Times New Roman" w:hAnsi="Times New Roman" w:cs="Times New Roman"/>
                      <w:kern w:val="0"/>
                      <w:sz w:val="21"/>
                      <w:szCs w:val="21"/>
                    </w:rPr>
                    <w:t>污水处理建设工程</w:t>
                  </w:r>
                  <w:r>
                    <w:rPr>
                      <w:rFonts w:ascii="Times New Roman" w:hAnsi="Times New Roman" w:cs="Times New Roman"/>
                      <w:kern w:val="0"/>
                      <w:sz w:val="21"/>
                      <w:szCs w:val="21"/>
                    </w:rPr>
                    <w:t>，不属于</w:t>
                  </w:r>
                  <w:r>
                    <w:rPr>
                      <w:rFonts w:hint="eastAsia" w:ascii="Times New Roman" w:hAnsi="Times New Roman" w:cs="Times New Roman"/>
                      <w:kern w:val="0"/>
                      <w:sz w:val="21"/>
                      <w:szCs w:val="21"/>
                    </w:rPr>
                    <w:t>水泥项目、养殖场以及</w:t>
                  </w:r>
                  <w:r>
                    <w:rPr>
                      <w:kern w:val="0"/>
                      <w:sz w:val="21"/>
                    </w:rPr>
                    <w:t>“散乱污”</w:t>
                  </w:r>
                  <w:r>
                    <w:rPr>
                      <w:rFonts w:hint="eastAsia"/>
                      <w:kern w:val="0"/>
                      <w:sz w:val="21"/>
                    </w:rPr>
                    <w:t>的</w:t>
                  </w:r>
                  <w:r>
                    <w:rPr>
                      <w:kern w:val="0"/>
                      <w:sz w:val="21"/>
                    </w:rPr>
                    <w:t>工业企业</w:t>
                  </w:r>
                  <w:r>
                    <w:rPr>
                      <w:rFonts w:hint="eastAsia"/>
                      <w:kern w:val="0"/>
                      <w:sz w:val="21"/>
                    </w:rPr>
                    <w:t>；</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restart"/>
                  <w:vAlign w:val="center"/>
                </w:tcPr>
                <w:p>
                  <w:pPr>
                    <w:widowControl w:val="0"/>
                    <w:spacing w:line="360" w:lineRule="exact"/>
                    <w:jc w:val="center"/>
                    <w:rPr>
                      <w:szCs w:val="21"/>
                    </w:rPr>
                  </w:pPr>
                  <w:r>
                    <w:rPr>
                      <w:sz w:val="21"/>
                      <w:szCs w:val="21"/>
                    </w:rPr>
                    <w:t>污染物排放管控</w:t>
                  </w:r>
                </w:p>
              </w:tc>
              <w:tc>
                <w:tcPr>
                  <w:tcW w:w="1154" w:type="dxa"/>
                  <w:vAlign w:val="center"/>
                </w:tcPr>
                <w:p>
                  <w:pPr>
                    <w:widowControl w:val="0"/>
                    <w:spacing w:line="360" w:lineRule="exact"/>
                    <w:jc w:val="both"/>
                    <w:rPr>
                      <w:szCs w:val="21"/>
                    </w:rPr>
                  </w:pPr>
                  <w:r>
                    <w:rPr>
                      <w:rFonts w:hint="eastAsia"/>
                      <w:sz w:val="21"/>
                      <w:szCs w:val="21"/>
                    </w:rPr>
                    <w:t>允许排放量要求</w:t>
                  </w:r>
                </w:p>
              </w:tc>
              <w:tc>
                <w:tcPr>
                  <w:tcW w:w="5373" w:type="dxa"/>
                  <w:vAlign w:val="center"/>
                </w:tcPr>
                <w:p>
                  <w:pPr>
                    <w:pStyle w:val="129"/>
                    <w:spacing w:line="360" w:lineRule="exact"/>
                    <w:ind w:firstLine="0" w:firstLineChars="0"/>
                    <w:rPr>
                      <w:rFonts w:eastAsiaTheme="minorEastAsia"/>
                      <w:kern w:val="0"/>
                      <w:sz w:val="21"/>
                    </w:rPr>
                  </w:pPr>
                  <w:r>
                    <w:rPr>
                      <w:rFonts w:eastAsiaTheme="minorEastAsia"/>
                      <w:kern w:val="0"/>
                      <w:sz w:val="21"/>
                    </w:rPr>
                    <w:t>暂无</w:t>
                  </w:r>
                </w:p>
              </w:tc>
              <w:tc>
                <w:tcPr>
                  <w:tcW w:w="2163" w:type="dxa"/>
                  <w:vAlign w:val="center"/>
                </w:tcPr>
                <w:p>
                  <w:pPr>
                    <w:widowControl w:val="0"/>
                    <w:spacing w:line="360" w:lineRule="exact"/>
                    <w:jc w:val="center"/>
                    <w:rPr>
                      <w:szCs w:val="21"/>
                    </w:rPr>
                  </w:pPr>
                  <w:r>
                    <w:rPr>
                      <w:rFonts w:hint="eastAsia"/>
                      <w:szCs w:val="21"/>
                    </w:rPr>
                    <w:t>/</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center"/>
                    <w:rPr>
                      <w:szCs w:val="21"/>
                    </w:rPr>
                  </w:pPr>
                  <w:r>
                    <w:rPr>
                      <w:rFonts w:hint="eastAsia"/>
                      <w:sz w:val="21"/>
                      <w:szCs w:val="21"/>
                    </w:rPr>
                    <w:t>现有源提标升级改造</w:t>
                  </w:r>
                </w:p>
              </w:tc>
              <w:tc>
                <w:tcPr>
                  <w:tcW w:w="5373" w:type="dxa"/>
                  <w:vAlign w:val="center"/>
                </w:tcPr>
                <w:p>
                  <w:pPr>
                    <w:pStyle w:val="129"/>
                    <w:spacing w:line="360" w:lineRule="exact"/>
                    <w:ind w:firstLine="0" w:firstLineChars="0"/>
                    <w:rPr>
                      <w:rFonts w:eastAsiaTheme="minorEastAsia"/>
                      <w:kern w:val="0"/>
                      <w:sz w:val="21"/>
                    </w:rPr>
                  </w:pPr>
                  <w:r>
                    <w:rPr>
                      <w:rFonts w:eastAsiaTheme="minorEastAsia"/>
                      <w:kern w:val="0"/>
                      <w:sz w:val="21"/>
                    </w:rPr>
                    <w:t>加快现有乡镇污水处理设施升级改造，按要求达《城镇污水处理厂污染物排放标准》一级A标后排放。</w:t>
                  </w:r>
                </w:p>
                <w:p>
                  <w:pPr>
                    <w:pStyle w:val="129"/>
                    <w:spacing w:line="360" w:lineRule="exact"/>
                    <w:ind w:firstLine="0" w:firstLineChars="0"/>
                    <w:rPr>
                      <w:rFonts w:eastAsiaTheme="minorEastAsia"/>
                      <w:kern w:val="0"/>
                      <w:sz w:val="21"/>
                    </w:rPr>
                  </w:pPr>
                  <w:r>
                    <w:rPr>
                      <w:rFonts w:eastAsiaTheme="minorEastAsia"/>
                      <w:kern w:val="0"/>
                      <w:sz w:val="21"/>
                    </w:rPr>
                    <w:t>在矿产资源开发活动集中区域，废水执行重金属污染物排放特别限值。</w:t>
                  </w:r>
                </w:p>
                <w:p>
                  <w:pPr>
                    <w:pStyle w:val="129"/>
                    <w:spacing w:line="360" w:lineRule="exact"/>
                    <w:ind w:firstLine="0" w:firstLineChars="0"/>
                    <w:rPr>
                      <w:rFonts w:eastAsiaTheme="minorEastAsia"/>
                      <w:kern w:val="0"/>
                      <w:sz w:val="21"/>
                    </w:rPr>
                  </w:pPr>
                  <w:r>
                    <w:rPr>
                      <w:rFonts w:eastAsiaTheme="minorEastAsia"/>
                      <w:kern w:val="0"/>
                      <w:sz w:val="21"/>
                    </w:rPr>
                    <w:t>火电、水泥等行业按相关要求推进大气污染物超低排放和深度治理。</w:t>
                  </w:r>
                </w:p>
                <w:p>
                  <w:pPr>
                    <w:pStyle w:val="129"/>
                    <w:spacing w:line="360" w:lineRule="exact"/>
                    <w:ind w:firstLine="0" w:firstLineChars="0"/>
                    <w:rPr>
                      <w:rFonts w:eastAsiaTheme="minorEastAsia"/>
                      <w:kern w:val="0"/>
                      <w:sz w:val="21"/>
                    </w:rPr>
                  </w:pPr>
                  <w:r>
                    <w:rPr>
                      <w:rFonts w:eastAsiaTheme="minorEastAsia"/>
                      <w:kern w:val="0"/>
                      <w:sz w:val="21"/>
                    </w:rPr>
                    <w:t>砖瓦行业实施脱硫、除尘升级改造，污染物排放达到《砖瓦工业大气污染物排放标准》相关要求。</w:t>
                  </w:r>
                </w:p>
              </w:tc>
              <w:tc>
                <w:tcPr>
                  <w:tcW w:w="2163" w:type="dxa"/>
                  <w:vAlign w:val="center"/>
                </w:tcPr>
                <w:p>
                  <w:pPr>
                    <w:widowControl w:val="0"/>
                    <w:spacing w:line="360" w:lineRule="exact"/>
                    <w:jc w:val="both"/>
                    <w:rPr>
                      <w:szCs w:val="21"/>
                    </w:rPr>
                  </w:pPr>
                  <w:r>
                    <w:rPr>
                      <w:rFonts w:hint="eastAsia"/>
                      <w:sz w:val="21"/>
                      <w:szCs w:val="21"/>
                    </w:rPr>
                    <w:t>本项目为污水处理工程，待建设完成后，出水要求达《城镇污水处理厂污染物排放标准》一级A标。</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center"/>
                    <w:rPr>
                      <w:szCs w:val="21"/>
                    </w:rPr>
                  </w:pPr>
                  <w:r>
                    <w:rPr>
                      <w:rFonts w:hint="eastAsia"/>
                      <w:sz w:val="21"/>
                      <w:szCs w:val="21"/>
                    </w:rPr>
                    <w:t>新增源等量或倍量替代</w:t>
                  </w:r>
                </w:p>
              </w:tc>
              <w:tc>
                <w:tcPr>
                  <w:tcW w:w="5373" w:type="dxa"/>
                  <w:vAlign w:val="center"/>
                </w:tcPr>
                <w:p>
                  <w:pPr>
                    <w:pStyle w:val="129"/>
                    <w:spacing w:line="360" w:lineRule="exact"/>
                    <w:ind w:firstLine="0" w:firstLineChars="0"/>
                    <w:rPr>
                      <w:rFonts w:eastAsiaTheme="minorEastAsia"/>
                      <w:kern w:val="0"/>
                      <w:sz w:val="21"/>
                    </w:rPr>
                  </w:pPr>
                  <w:r>
                    <w:rPr>
                      <w:rFonts w:eastAsiaTheme="minorEastAsia"/>
                      <w:kern w:val="0"/>
                      <w:sz w:val="21"/>
                    </w:rPr>
                    <w:t>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tc>
              <w:tc>
                <w:tcPr>
                  <w:tcW w:w="2163" w:type="dxa"/>
                  <w:vAlign w:val="center"/>
                </w:tcPr>
                <w:p>
                  <w:pPr>
                    <w:widowControl w:val="0"/>
                    <w:spacing w:line="360" w:lineRule="exact"/>
                    <w:jc w:val="both"/>
                    <w:rPr>
                      <w:szCs w:val="21"/>
                    </w:rPr>
                  </w:pPr>
                  <w:r>
                    <w:rPr>
                      <w:rFonts w:hint="eastAsia"/>
                      <w:sz w:val="21"/>
                      <w:szCs w:val="21"/>
                    </w:rPr>
                    <w:t>本项目所在区域为地表水环境、空气环境质量达标区域；</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center"/>
                    <w:rPr>
                      <w:szCs w:val="21"/>
                    </w:rPr>
                  </w:pPr>
                  <w:r>
                    <w:rPr>
                      <w:rFonts w:hint="eastAsia"/>
                      <w:sz w:val="21"/>
                      <w:szCs w:val="21"/>
                    </w:rPr>
                    <w:t>污染物排放绩效水平准入要求</w:t>
                  </w:r>
                </w:p>
              </w:tc>
              <w:tc>
                <w:tcPr>
                  <w:tcW w:w="5373" w:type="dxa"/>
                  <w:vAlign w:val="center"/>
                </w:tcPr>
                <w:p>
                  <w:pPr>
                    <w:pStyle w:val="129"/>
                    <w:spacing w:line="360" w:lineRule="exact"/>
                    <w:ind w:firstLine="0" w:firstLineChars="0"/>
                    <w:rPr>
                      <w:rFonts w:eastAsiaTheme="minorEastAsia"/>
                      <w:kern w:val="0"/>
                      <w:sz w:val="21"/>
                    </w:rPr>
                  </w:pPr>
                  <w:r>
                    <w:rPr>
                      <w:rFonts w:eastAsiaTheme="minorEastAsia"/>
                      <w:kern w:val="0"/>
                      <w:sz w:val="21"/>
                    </w:rPr>
                    <w:t>屠宰项目必须配套污水处理设施或进入城市污水管网。</w:t>
                  </w:r>
                </w:p>
                <w:p>
                  <w:pPr>
                    <w:pStyle w:val="129"/>
                    <w:spacing w:line="360" w:lineRule="exact"/>
                    <w:ind w:firstLine="0" w:firstLineChars="0"/>
                    <w:rPr>
                      <w:rFonts w:eastAsiaTheme="minorEastAsia"/>
                      <w:kern w:val="0"/>
                      <w:sz w:val="21"/>
                    </w:rPr>
                  </w:pPr>
                  <w:r>
                    <w:rPr>
                      <w:rFonts w:eastAsiaTheme="minorEastAsia"/>
                      <w:kern w:val="0"/>
                      <w:sz w:val="21"/>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129"/>
                    <w:spacing w:line="360" w:lineRule="exact"/>
                    <w:ind w:firstLine="0" w:firstLineChars="0"/>
                    <w:rPr>
                      <w:rFonts w:eastAsiaTheme="minorEastAsia"/>
                      <w:kern w:val="0"/>
                      <w:sz w:val="21"/>
                    </w:rPr>
                  </w:pPr>
                  <w:r>
                    <w:rPr>
                      <w:rFonts w:eastAsiaTheme="minorEastAsia"/>
                      <w:kern w:val="0"/>
                      <w:sz w:val="21"/>
                    </w:rPr>
                    <w:t>-到2023年底，力争全市生活垃圾焚烧处理能力占比达60%以上，各县（市）生活垃圾无害化处理率保持95%以上，乡镇及行政村生活垃圾收转运处置体系基本实现全覆盖。</w:t>
                  </w:r>
                </w:p>
                <w:p>
                  <w:pPr>
                    <w:pStyle w:val="129"/>
                    <w:spacing w:line="360" w:lineRule="exact"/>
                    <w:ind w:firstLine="0" w:firstLineChars="0"/>
                    <w:rPr>
                      <w:rFonts w:eastAsiaTheme="minorEastAsia"/>
                      <w:kern w:val="0"/>
                      <w:sz w:val="21"/>
                    </w:rPr>
                  </w:pPr>
                  <w:r>
                    <w:rPr>
                      <w:rFonts w:eastAsiaTheme="minorEastAsia"/>
                      <w:kern w:val="0"/>
                      <w:sz w:val="21"/>
                    </w:rPr>
                    <w:t>-到2025年，农药包装废弃物回收率达80%；粮油绿色高质高效示范区、茶叶主产区和现代农业园区农药包装废弃物回收率100%。</w:t>
                  </w:r>
                </w:p>
                <w:p>
                  <w:pPr>
                    <w:pStyle w:val="129"/>
                    <w:spacing w:line="360" w:lineRule="exact"/>
                    <w:ind w:firstLine="0" w:firstLineChars="0"/>
                    <w:rPr>
                      <w:rFonts w:eastAsiaTheme="minorEastAsia"/>
                      <w:kern w:val="0"/>
                      <w:sz w:val="21"/>
                    </w:rPr>
                  </w:pPr>
                  <w:r>
                    <w:rPr>
                      <w:rFonts w:eastAsiaTheme="minorEastAsia"/>
                      <w:kern w:val="0"/>
                      <w:sz w:val="21"/>
                    </w:rPr>
                    <w:t>-到2025年，全国主要农作物化肥、农药利用率达43%，测土配方施肥技术推广覆盖率保持在90%以上，控制农村面源污染，采取灌排分离等措施控制农田氮磷流失。</w:t>
                  </w:r>
                </w:p>
                <w:p>
                  <w:pPr>
                    <w:pStyle w:val="129"/>
                    <w:spacing w:line="360" w:lineRule="exact"/>
                    <w:ind w:firstLine="0" w:firstLineChars="0"/>
                    <w:rPr>
                      <w:rFonts w:eastAsiaTheme="minorEastAsia"/>
                      <w:kern w:val="0"/>
                      <w:sz w:val="21"/>
                    </w:rPr>
                  </w:pPr>
                  <w:r>
                    <w:rPr>
                      <w:rFonts w:eastAsiaTheme="minorEastAsia"/>
                      <w:kern w:val="0"/>
                      <w:sz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widowControl w:val="0"/>
                    <w:spacing w:line="360" w:lineRule="exact"/>
                    <w:jc w:val="both"/>
                    <w:rPr>
                      <w:szCs w:val="21"/>
                    </w:rPr>
                  </w:pPr>
                  <w:r>
                    <w:rPr>
                      <w:kern w:val="0"/>
                      <w:sz w:val="21"/>
                    </w:rPr>
                    <w:t>-到2025年，废旧农膜回收利用率达到85%以上。</w:t>
                  </w:r>
                </w:p>
              </w:tc>
              <w:tc>
                <w:tcPr>
                  <w:tcW w:w="2163" w:type="dxa"/>
                  <w:vAlign w:val="center"/>
                </w:tcPr>
                <w:p>
                  <w:pPr>
                    <w:widowControl w:val="0"/>
                    <w:spacing w:line="360" w:lineRule="exact"/>
                    <w:jc w:val="both"/>
                    <w:rPr>
                      <w:sz w:val="21"/>
                      <w:szCs w:val="21"/>
                    </w:rPr>
                  </w:pPr>
                  <w:r>
                    <w:rPr>
                      <w:rFonts w:hint="eastAsia"/>
                      <w:sz w:val="21"/>
                      <w:szCs w:val="21"/>
                    </w:rPr>
                    <w:t>本项目为污水处理工程，符合污染物排放绩效水平准入要求；施工过程中，要求施工单位</w:t>
                  </w:r>
                  <w:r>
                    <w:rPr>
                      <w:kern w:val="0"/>
                      <w:sz w:val="21"/>
                    </w:rPr>
                    <w:t>严格落实“六必须、六不准”管控要求</w:t>
                  </w:r>
                  <w:r>
                    <w:rPr>
                      <w:rFonts w:hint="eastAsia"/>
                      <w:kern w:val="0"/>
                      <w:sz w:val="21"/>
                    </w:rPr>
                    <w:t>；</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restart"/>
                  <w:vAlign w:val="center"/>
                </w:tcPr>
                <w:p>
                  <w:pPr>
                    <w:widowControl w:val="0"/>
                    <w:spacing w:line="360" w:lineRule="exact"/>
                    <w:jc w:val="center"/>
                    <w:rPr>
                      <w:szCs w:val="21"/>
                    </w:rPr>
                  </w:pPr>
                  <w:r>
                    <w:rPr>
                      <w:sz w:val="21"/>
                      <w:szCs w:val="21"/>
                    </w:rPr>
                    <w:t>环境风险防控</w:t>
                  </w:r>
                </w:p>
              </w:tc>
              <w:tc>
                <w:tcPr>
                  <w:tcW w:w="1154" w:type="dxa"/>
                  <w:vAlign w:val="center"/>
                </w:tcPr>
                <w:p>
                  <w:pPr>
                    <w:widowControl w:val="0"/>
                    <w:spacing w:line="360" w:lineRule="exact"/>
                    <w:jc w:val="both"/>
                    <w:rPr>
                      <w:szCs w:val="21"/>
                    </w:rPr>
                  </w:pPr>
                  <w:r>
                    <w:rPr>
                      <w:rFonts w:hint="eastAsia"/>
                      <w:sz w:val="21"/>
                      <w:szCs w:val="21"/>
                    </w:rPr>
                    <w:t>联防联控要求</w:t>
                  </w:r>
                </w:p>
              </w:tc>
              <w:tc>
                <w:tcPr>
                  <w:tcW w:w="5373" w:type="dxa"/>
                  <w:vAlign w:val="center"/>
                </w:tcPr>
                <w:p>
                  <w:pPr>
                    <w:pStyle w:val="129"/>
                    <w:spacing w:line="360" w:lineRule="exact"/>
                    <w:ind w:firstLine="0" w:firstLineChars="0"/>
                  </w:pPr>
                  <w:r>
                    <w:rPr>
                      <w:rFonts w:eastAsiaTheme="minorEastAsia"/>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r>
                    <w:rPr>
                      <w:rFonts w:hint="eastAsia"/>
                      <w:sz w:val="21"/>
                    </w:rPr>
                    <w:t>。</w:t>
                  </w:r>
                </w:p>
              </w:tc>
              <w:tc>
                <w:tcPr>
                  <w:tcW w:w="2163" w:type="dxa"/>
                  <w:vAlign w:val="center"/>
                </w:tcPr>
                <w:p>
                  <w:pPr>
                    <w:widowControl w:val="0"/>
                    <w:spacing w:line="360" w:lineRule="exact"/>
                    <w:jc w:val="both"/>
                    <w:rPr>
                      <w:szCs w:val="21"/>
                    </w:rPr>
                  </w:pPr>
                  <w:r>
                    <w:rPr>
                      <w:rFonts w:hint="eastAsia"/>
                      <w:sz w:val="21"/>
                      <w:szCs w:val="21"/>
                    </w:rPr>
                    <w:t>本项目不涉及；</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center"/>
                    <w:rPr>
                      <w:szCs w:val="21"/>
                    </w:rPr>
                  </w:pPr>
                  <w:r>
                    <w:rPr>
                      <w:rFonts w:hint="eastAsia"/>
                      <w:sz w:val="21"/>
                      <w:szCs w:val="21"/>
                    </w:rPr>
                    <w:t>企业环境风险防控要求</w:t>
                  </w:r>
                </w:p>
              </w:tc>
              <w:tc>
                <w:tcPr>
                  <w:tcW w:w="5373" w:type="dxa"/>
                  <w:vAlign w:val="center"/>
                </w:tcPr>
                <w:p>
                  <w:pPr>
                    <w:pStyle w:val="129"/>
                    <w:spacing w:line="360" w:lineRule="exact"/>
                    <w:ind w:firstLine="0" w:firstLineChars="0"/>
                    <w:rPr>
                      <w:rFonts w:eastAsiaTheme="minorEastAsia"/>
                      <w:kern w:val="0"/>
                      <w:sz w:val="21"/>
                    </w:rPr>
                  </w:pPr>
                  <w:r>
                    <w:rPr>
                      <w:rFonts w:eastAsiaTheme="minorEastAsia"/>
                      <w:kern w:val="0"/>
                      <w:sz w:val="21"/>
                    </w:rPr>
                    <w:t>工业企业退出用地，须经评估、修复满足相应用地功能后，方可改变用途。</w:t>
                  </w:r>
                </w:p>
                <w:p>
                  <w:pPr>
                    <w:pStyle w:val="129"/>
                    <w:spacing w:line="360" w:lineRule="exact"/>
                    <w:ind w:firstLine="0" w:firstLineChars="0"/>
                    <w:rPr>
                      <w:rFonts w:eastAsiaTheme="minorEastAsia"/>
                      <w:kern w:val="0"/>
                      <w:sz w:val="21"/>
                    </w:rPr>
                  </w:pPr>
                  <w:r>
                    <w:rPr>
                      <w:rFonts w:eastAsiaTheme="minorEastAsia"/>
                      <w:kern w:val="0"/>
                      <w:sz w:val="21"/>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w:t>
                  </w:r>
                </w:p>
              </w:tc>
              <w:tc>
                <w:tcPr>
                  <w:tcW w:w="2163" w:type="dxa"/>
                  <w:vAlign w:val="center"/>
                </w:tcPr>
                <w:p>
                  <w:pPr>
                    <w:pStyle w:val="129"/>
                    <w:spacing w:line="360" w:lineRule="exact"/>
                    <w:ind w:firstLine="0" w:firstLineChars="0"/>
                    <w:rPr>
                      <w:kern w:val="0"/>
                      <w:sz w:val="21"/>
                    </w:rPr>
                  </w:pPr>
                  <w:r>
                    <w:rPr>
                      <w:rFonts w:hint="eastAsia" w:eastAsiaTheme="minorEastAsia"/>
                      <w:kern w:val="0"/>
                      <w:sz w:val="21"/>
                    </w:rPr>
                    <w:t>本项目不占用基本农田，用地性质为公用设施用地，符合宣汉县用地规划；</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center"/>
                    <w:rPr>
                      <w:szCs w:val="21"/>
                    </w:rPr>
                  </w:pPr>
                  <w:r>
                    <w:rPr>
                      <w:rFonts w:hint="eastAsia"/>
                      <w:sz w:val="21"/>
                      <w:szCs w:val="21"/>
                    </w:rPr>
                    <w:t>用地环境风险防控要求</w:t>
                  </w:r>
                </w:p>
              </w:tc>
              <w:tc>
                <w:tcPr>
                  <w:tcW w:w="5373" w:type="dxa"/>
                  <w:vAlign w:val="center"/>
                </w:tcPr>
                <w:p>
                  <w:pPr>
                    <w:pStyle w:val="129"/>
                    <w:spacing w:line="360" w:lineRule="exact"/>
                    <w:ind w:firstLine="0" w:firstLineChars="0"/>
                    <w:rPr>
                      <w:rFonts w:eastAsiaTheme="minorEastAsia"/>
                      <w:kern w:val="0"/>
                      <w:sz w:val="21"/>
                    </w:rPr>
                  </w:pPr>
                  <w:r>
                    <w:rPr>
                      <w:rFonts w:eastAsiaTheme="minorEastAsia"/>
                      <w:kern w:val="0"/>
                      <w:sz w:val="21"/>
                    </w:rPr>
                    <w:t>严禁将城镇生活垃圾、污泥、工业废物直接用作肥料，禁止处理不达标的污泥进入耕地；禁止在农用地排放、倾倒、使用污泥、清淤底泥、尾矿（渣）等可能对土壤造成污染的固体废物。</w:t>
                  </w:r>
                </w:p>
                <w:p>
                  <w:pPr>
                    <w:pStyle w:val="129"/>
                    <w:spacing w:line="360" w:lineRule="exact"/>
                    <w:ind w:firstLine="0" w:firstLineChars="0"/>
                    <w:rPr>
                      <w:rFonts w:eastAsiaTheme="minorEastAsia"/>
                      <w:kern w:val="0"/>
                      <w:sz w:val="21"/>
                    </w:rPr>
                  </w:pPr>
                  <w:r>
                    <w:rPr>
                      <w:rFonts w:eastAsiaTheme="minorEastAsia"/>
                      <w:kern w:val="0"/>
                      <w:sz w:val="21"/>
                    </w:rPr>
                    <w:t>定期对单元内尾矿库进行风险巡查，建立监测系统和环境风险应急预案；完善各尾矿库渗滤液收集、处理、回用系统，杜绝事故排放；尾矿库闭矿后因地制宜进行植被恢复和综合利用。</w:t>
                  </w:r>
                </w:p>
                <w:p>
                  <w:pPr>
                    <w:pStyle w:val="129"/>
                    <w:spacing w:line="360" w:lineRule="exact"/>
                    <w:ind w:firstLine="0" w:firstLineChars="0"/>
                    <w:rPr>
                      <w:rFonts w:eastAsiaTheme="minorEastAsia"/>
                      <w:kern w:val="0"/>
                      <w:sz w:val="21"/>
                    </w:rPr>
                  </w:pPr>
                  <w:r>
                    <w:rPr>
                      <w:rFonts w:eastAsiaTheme="minorEastAsia"/>
                      <w:kern w:val="0"/>
                      <w:sz w:val="21"/>
                    </w:rPr>
                    <w:t>规范排土场、渣场等整治。禁止处理不达标的污泥进入耕地。</w:t>
                  </w:r>
                </w:p>
                <w:p>
                  <w:pPr>
                    <w:pStyle w:val="129"/>
                    <w:spacing w:line="360" w:lineRule="exact"/>
                    <w:ind w:firstLine="0" w:firstLineChars="0"/>
                    <w:rPr>
                      <w:rFonts w:eastAsiaTheme="minorEastAsia"/>
                      <w:kern w:val="0"/>
                      <w:sz w:val="21"/>
                    </w:rPr>
                  </w:pPr>
                  <w:r>
                    <w:rPr>
                      <w:rFonts w:eastAsiaTheme="minorEastAsia"/>
                      <w:kern w:val="0"/>
                      <w:sz w:val="21"/>
                    </w:rPr>
                    <w:t>严格控制林地、草地、园地的农药使用量，禁止使用高毒、高残留农药。</w:t>
                  </w:r>
                </w:p>
                <w:p>
                  <w:pPr>
                    <w:pStyle w:val="129"/>
                    <w:spacing w:line="360" w:lineRule="exact"/>
                    <w:ind w:firstLine="0" w:firstLineChars="0"/>
                    <w:rPr>
                      <w:rFonts w:eastAsiaTheme="minorEastAsia"/>
                      <w:kern w:val="0"/>
                      <w:sz w:val="21"/>
                    </w:rPr>
                  </w:pPr>
                  <w:r>
                    <w:rPr>
                      <w:rFonts w:eastAsiaTheme="minorEastAsia"/>
                      <w:kern w:val="0"/>
                      <w:sz w:val="21"/>
                    </w:rPr>
                    <w:t>到2030年，全市受污染耕地安全利用率达到95%以上，污染地块安全利用率达到95%以上。</w:t>
                  </w:r>
                </w:p>
              </w:tc>
              <w:tc>
                <w:tcPr>
                  <w:tcW w:w="2163" w:type="dxa"/>
                  <w:vAlign w:val="center"/>
                </w:tcPr>
                <w:p>
                  <w:pPr>
                    <w:widowControl w:val="0"/>
                    <w:spacing w:line="360" w:lineRule="exact"/>
                    <w:jc w:val="both"/>
                    <w:rPr>
                      <w:szCs w:val="21"/>
                    </w:rPr>
                  </w:pPr>
                  <w:r>
                    <w:rPr>
                      <w:rFonts w:hint="eastAsia"/>
                      <w:sz w:val="21"/>
                      <w:szCs w:val="21"/>
                    </w:rPr>
                    <w:t>本项目产生的污泥交由有资质的单位处理，去向明确，处置合理，不得对土壤造成污染不涉及；</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restart"/>
                  <w:vAlign w:val="center"/>
                </w:tcPr>
                <w:p>
                  <w:pPr>
                    <w:widowControl w:val="0"/>
                    <w:spacing w:line="360" w:lineRule="exact"/>
                    <w:jc w:val="center"/>
                    <w:rPr>
                      <w:szCs w:val="21"/>
                    </w:rPr>
                  </w:pPr>
                  <w:r>
                    <w:rPr>
                      <w:rFonts w:hint="eastAsia"/>
                      <w:sz w:val="21"/>
                      <w:szCs w:val="21"/>
                    </w:rPr>
                    <w:t>资源开发利用要求</w:t>
                  </w:r>
                </w:p>
              </w:tc>
              <w:tc>
                <w:tcPr>
                  <w:tcW w:w="1154" w:type="dxa"/>
                  <w:vAlign w:val="center"/>
                </w:tcPr>
                <w:p>
                  <w:pPr>
                    <w:widowControl w:val="0"/>
                    <w:spacing w:line="360" w:lineRule="exact"/>
                    <w:jc w:val="center"/>
                    <w:rPr>
                      <w:szCs w:val="21"/>
                    </w:rPr>
                  </w:pPr>
                  <w:r>
                    <w:rPr>
                      <w:rFonts w:hint="eastAsia"/>
                      <w:sz w:val="21"/>
                      <w:szCs w:val="21"/>
                    </w:rPr>
                    <w:t>水资源利用总量要求</w:t>
                  </w:r>
                </w:p>
              </w:tc>
              <w:tc>
                <w:tcPr>
                  <w:tcW w:w="5373" w:type="dxa"/>
                  <w:vAlign w:val="center"/>
                </w:tcPr>
                <w:p>
                  <w:pPr>
                    <w:pStyle w:val="129"/>
                    <w:spacing w:line="360" w:lineRule="exact"/>
                    <w:ind w:firstLine="0" w:firstLineChars="0"/>
                    <w:rPr>
                      <w:rFonts w:eastAsiaTheme="minorEastAsia"/>
                      <w:kern w:val="0"/>
                      <w:sz w:val="21"/>
                    </w:rPr>
                  </w:pPr>
                  <w:r>
                    <w:rPr>
                      <w:rFonts w:eastAsiaTheme="minorEastAsia"/>
                      <w:kern w:val="0"/>
                      <w:sz w:val="21"/>
                    </w:rPr>
                    <w:t>到2025年，农田灌溉水有效利用系数达到0.57以上。</w:t>
                  </w:r>
                </w:p>
              </w:tc>
              <w:tc>
                <w:tcPr>
                  <w:tcW w:w="2163" w:type="dxa"/>
                  <w:vAlign w:val="center"/>
                </w:tcPr>
                <w:p>
                  <w:pPr>
                    <w:widowControl w:val="0"/>
                    <w:spacing w:line="360" w:lineRule="exact"/>
                    <w:jc w:val="both"/>
                    <w:rPr>
                      <w:szCs w:val="21"/>
                    </w:rPr>
                  </w:pPr>
                  <w:r>
                    <w:rPr>
                      <w:rFonts w:hint="eastAsia"/>
                      <w:sz w:val="21"/>
                      <w:szCs w:val="21"/>
                    </w:rPr>
                    <w:t>本项目不涉及；</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both"/>
                    <w:rPr>
                      <w:szCs w:val="21"/>
                    </w:rPr>
                  </w:pPr>
                  <w:r>
                    <w:rPr>
                      <w:rFonts w:hint="eastAsia" w:ascii="Times New Roman" w:hAnsi="Times New Roman" w:eastAsia="宋体" w:cs="黑体"/>
                      <w:sz w:val="21"/>
                      <w:szCs w:val="21"/>
                    </w:rPr>
                    <w:t>地下水开采要求</w:t>
                  </w:r>
                </w:p>
              </w:tc>
              <w:tc>
                <w:tcPr>
                  <w:tcW w:w="5373" w:type="dxa"/>
                  <w:vAlign w:val="center"/>
                </w:tcPr>
                <w:p>
                  <w:pPr>
                    <w:widowControl w:val="0"/>
                    <w:spacing w:line="360" w:lineRule="exact"/>
                    <w:jc w:val="both"/>
                    <w:rPr>
                      <w:szCs w:val="21"/>
                    </w:rPr>
                  </w:pPr>
                  <w:r>
                    <w:rPr>
                      <w:rFonts w:hint="eastAsia" w:ascii="Times New Roman" w:hAnsi="Times New Roman" w:eastAsia="宋体" w:cs="黑体"/>
                      <w:sz w:val="21"/>
                      <w:szCs w:val="21"/>
                    </w:rPr>
                    <w:t>以省市下发指标为准</w:t>
                  </w:r>
                  <w:r>
                    <w:rPr>
                      <w:rFonts w:hint="eastAsia" w:cs="黑体"/>
                      <w:sz w:val="21"/>
                      <w:szCs w:val="21"/>
                    </w:rPr>
                    <w:t>。</w:t>
                  </w:r>
                </w:p>
                <w:p>
                  <w:pPr>
                    <w:widowControl w:val="0"/>
                    <w:spacing w:line="360" w:lineRule="exact"/>
                    <w:jc w:val="both"/>
                    <w:rPr>
                      <w:szCs w:val="21"/>
                    </w:rPr>
                  </w:pPr>
                  <w:r>
                    <w:rPr>
                      <w:rFonts w:hint="eastAsia" w:ascii="Times New Roman" w:hAnsi="Times New Roman" w:eastAsia="宋体" w:cs="黑体"/>
                      <w:sz w:val="21"/>
                      <w:szCs w:val="21"/>
                    </w:rPr>
                    <w:t>能源利用总量及效率要求</w:t>
                  </w:r>
                </w:p>
              </w:tc>
              <w:tc>
                <w:tcPr>
                  <w:tcW w:w="2163" w:type="dxa"/>
                  <w:vAlign w:val="center"/>
                </w:tcPr>
                <w:p>
                  <w:pPr>
                    <w:widowControl w:val="0"/>
                    <w:spacing w:line="360" w:lineRule="exact"/>
                    <w:jc w:val="both"/>
                    <w:rPr>
                      <w:szCs w:val="21"/>
                    </w:rPr>
                  </w:pPr>
                  <w:r>
                    <w:rPr>
                      <w:rFonts w:hint="eastAsia"/>
                      <w:sz w:val="21"/>
                      <w:szCs w:val="21"/>
                    </w:rPr>
                    <w:t>本项目不涉及；</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center"/>
                    <w:rPr>
                      <w:szCs w:val="21"/>
                    </w:rPr>
                  </w:pPr>
                  <w:r>
                    <w:rPr>
                      <w:rFonts w:hint="eastAsia"/>
                      <w:sz w:val="21"/>
                      <w:szCs w:val="21"/>
                    </w:rPr>
                    <w:t>能源利用效率要求</w:t>
                  </w:r>
                </w:p>
              </w:tc>
              <w:tc>
                <w:tcPr>
                  <w:tcW w:w="5373" w:type="dxa"/>
                  <w:vAlign w:val="center"/>
                </w:tcPr>
                <w:p>
                  <w:pPr>
                    <w:pStyle w:val="129"/>
                    <w:spacing w:line="360" w:lineRule="exact"/>
                    <w:ind w:firstLine="0" w:firstLineChars="0"/>
                    <w:rPr>
                      <w:rFonts w:eastAsiaTheme="minorEastAsia"/>
                      <w:kern w:val="0"/>
                      <w:sz w:val="21"/>
                    </w:rPr>
                  </w:pPr>
                  <w:r>
                    <w:rPr>
                      <w:rFonts w:eastAsiaTheme="minorEastAsia"/>
                      <w:kern w:val="0"/>
                      <w:sz w:val="21"/>
                    </w:rPr>
                    <w:t>推进清洁能源的推广使用，全面推进散煤清洁化整治；禁止新建每小时10蒸吨以下的燃煤锅炉及其他燃煤设施。禁止焚烧秸秆和垃圾，到2025年底，秸秆综合利用率达到86%以上。</w:t>
                  </w:r>
                </w:p>
              </w:tc>
              <w:tc>
                <w:tcPr>
                  <w:tcW w:w="2163" w:type="dxa"/>
                  <w:vAlign w:val="center"/>
                </w:tcPr>
                <w:p>
                  <w:pPr>
                    <w:widowControl w:val="0"/>
                    <w:spacing w:line="360" w:lineRule="exact"/>
                    <w:jc w:val="both"/>
                    <w:rPr>
                      <w:szCs w:val="21"/>
                    </w:rPr>
                  </w:pPr>
                  <w:r>
                    <w:rPr>
                      <w:rFonts w:hint="eastAsia"/>
                      <w:sz w:val="21"/>
                      <w:szCs w:val="21"/>
                    </w:rPr>
                    <w:t>本项目不涉及锅炉；</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both"/>
                    <w:rPr>
                      <w:szCs w:val="21"/>
                    </w:rPr>
                  </w:pPr>
                  <w:r>
                    <w:rPr>
                      <w:rFonts w:hint="eastAsia"/>
                      <w:sz w:val="21"/>
                      <w:szCs w:val="21"/>
                    </w:rPr>
                    <w:t>禁燃区要求</w:t>
                  </w:r>
                </w:p>
              </w:tc>
              <w:tc>
                <w:tcPr>
                  <w:tcW w:w="5373" w:type="dxa"/>
                  <w:vAlign w:val="center"/>
                </w:tcPr>
                <w:p>
                  <w:pPr>
                    <w:pStyle w:val="129"/>
                    <w:snapToGrid w:val="0"/>
                    <w:spacing w:line="360" w:lineRule="exact"/>
                    <w:ind w:firstLine="0" w:firstLineChars="0"/>
                    <w:jc w:val="left"/>
                    <w:rPr>
                      <w:rFonts w:eastAsiaTheme="minorEastAsia"/>
                      <w:kern w:val="0"/>
                      <w:sz w:val="21"/>
                    </w:rPr>
                  </w:pPr>
                  <w:r>
                    <w:rPr>
                      <w:rFonts w:hint="eastAsia" w:eastAsiaTheme="minorEastAsia"/>
                      <w:kern w:val="0"/>
                      <w:sz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129"/>
                    <w:snapToGrid w:val="0"/>
                    <w:spacing w:line="360" w:lineRule="exact"/>
                    <w:ind w:firstLine="0" w:firstLineChars="0"/>
                    <w:jc w:val="left"/>
                    <w:rPr>
                      <w:rFonts w:eastAsiaTheme="minorEastAsia"/>
                      <w:kern w:val="0"/>
                      <w:sz w:val="21"/>
                    </w:rPr>
                  </w:pPr>
                  <w:r>
                    <w:rPr>
                      <w:rFonts w:hint="eastAsia" w:eastAsiaTheme="minorEastAsia"/>
                      <w:kern w:val="0"/>
                      <w:sz w:val="21"/>
                    </w:rPr>
                    <w:t>-禁燃区内禁止销售、燃用高污染燃料；禁止新建、改建、扩建燃用高污染燃料的设施和设备。</w:t>
                  </w:r>
                </w:p>
                <w:p>
                  <w:pPr>
                    <w:pStyle w:val="129"/>
                    <w:snapToGrid w:val="0"/>
                    <w:spacing w:line="360" w:lineRule="exact"/>
                    <w:ind w:firstLine="0" w:firstLineChars="0"/>
                    <w:jc w:val="left"/>
                    <w:rPr>
                      <w:rFonts w:eastAsiaTheme="minorEastAsia"/>
                      <w:kern w:val="0"/>
                      <w:sz w:val="21"/>
                    </w:rPr>
                  </w:pPr>
                  <w:r>
                    <w:rPr>
                      <w:rFonts w:hint="eastAsia" w:eastAsiaTheme="minorEastAsia"/>
                      <w:kern w:val="0"/>
                      <w:sz w:val="21"/>
                    </w:rPr>
                    <w:t>-禁燃区内已建成的高污染燃料燃用设施由辖区人民政府制定限期改造计划，改用天然气、页岩气、液化石油气、电或其他清洁能源。</w:t>
                  </w:r>
                </w:p>
                <w:p>
                  <w:pPr>
                    <w:pStyle w:val="129"/>
                    <w:snapToGrid w:val="0"/>
                    <w:spacing w:line="360" w:lineRule="exact"/>
                    <w:ind w:firstLine="0" w:firstLineChars="0"/>
                    <w:jc w:val="left"/>
                    <w:rPr>
                      <w:rFonts w:eastAsiaTheme="minorEastAsia"/>
                      <w:kern w:val="0"/>
                      <w:sz w:val="21"/>
                    </w:rPr>
                  </w:pPr>
                  <w:r>
                    <w:rPr>
                      <w:rFonts w:hint="eastAsia" w:eastAsiaTheme="minorEastAsia"/>
                      <w:kern w:val="0"/>
                      <w:sz w:val="21"/>
                    </w:rPr>
                    <w:t>其他资源利用效率要求</w:t>
                  </w:r>
                </w:p>
                <w:p>
                  <w:pPr>
                    <w:pStyle w:val="129"/>
                    <w:snapToGrid w:val="0"/>
                    <w:spacing w:line="360" w:lineRule="exact"/>
                    <w:ind w:firstLine="0" w:firstLineChars="0"/>
                    <w:jc w:val="left"/>
                    <w:rPr>
                      <w:rFonts w:eastAsiaTheme="minorEastAsia"/>
                      <w:kern w:val="0"/>
                      <w:sz w:val="21"/>
                    </w:rPr>
                  </w:pPr>
                  <w:r>
                    <w:rPr>
                      <w:rFonts w:hint="eastAsia" w:eastAsiaTheme="minorEastAsia"/>
                      <w:kern w:val="0"/>
                      <w:sz w:val="21"/>
                    </w:rPr>
                    <w:t>暂无</w:t>
                  </w:r>
                </w:p>
              </w:tc>
              <w:tc>
                <w:tcPr>
                  <w:tcW w:w="2163" w:type="dxa"/>
                  <w:vAlign w:val="center"/>
                </w:tcPr>
                <w:p>
                  <w:pPr>
                    <w:widowControl w:val="0"/>
                    <w:spacing w:line="360" w:lineRule="exact"/>
                    <w:jc w:val="both"/>
                    <w:rPr>
                      <w:szCs w:val="21"/>
                    </w:rPr>
                  </w:pPr>
                  <w:r>
                    <w:rPr>
                      <w:rFonts w:hint="eastAsia"/>
                      <w:sz w:val="21"/>
                      <w:szCs w:val="21"/>
                    </w:rPr>
                    <w:t>本项目不涉及高污染燃料；</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restart"/>
                  <w:vAlign w:val="center"/>
                </w:tcPr>
                <w:p>
                  <w:pPr>
                    <w:widowControl w:val="0"/>
                    <w:spacing w:line="360" w:lineRule="exact"/>
                    <w:jc w:val="center"/>
                    <w:rPr>
                      <w:szCs w:val="21"/>
                    </w:rPr>
                  </w:pPr>
                  <w:r>
                    <w:rPr>
                      <w:rFonts w:hint="eastAsia"/>
                      <w:sz w:val="21"/>
                      <w:szCs w:val="21"/>
                    </w:rPr>
                    <w:t>单元级清单管控要求</w:t>
                  </w:r>
                </w:p>
              </w:tc>
              <w:tc>
                <w:tcPr>
                  <w:tcW w:w="651" w:type="dxa"/>
                  <w:vMerge w:val="restart"/>
                  <w:vAlign w:val="center"/>
                </w:tcPr>
                <w:p>
                  <w:pPr>
                    <w:widowControl w:val="0"/>
                    <w:spacing w:line="360" w:lineRule="exact"/>
                    <w:jc w:val="center"/>
                    <w:rPr>
                      <w:szCs w:val="21"/>
                    </w:rPr>
                  </w:pPr>
                  <w:r>
                    <w:rPr>
                      <w:rFonts w:hint="eastAsia"/>
                      <w:sz w:val="21"/>
                      <w:szCs w:val="21"/>
                    </w:rPr>
                    <w:t>空间布局约束</w:t>
                  </w:r>
                </w:p>
              </w:tc>
              <w:tc>
                <w:tcPr>
                  <w:tcW w:w="1154" w:type="dxa"/>
                  <w:vAlign w:val="center"/>
                </w:tcPr>
                <w:p>
                  <w:pPr>
                    <w:widowControl w:val="0"/>
                    <w:spacing w:line="360" w:lineRule="exact"/>
                    <w:jc w:val="center"/>
                    <w:rPr>
                      <w:szCs w:val="21"/>
                    </w:rPr>
                  </w:pPr>
                  <w:r>
                    <w:rPr>
                      <w:rFonts w:hint="eastAsia"/>
                      <w:sz w:val="21"/>
                      <w:szCs w:val="21"/>
                    </w:rPr>
                    <w:t>禁止开发建设活动的要求</w:t>
                  </w:r>
                </w:p>
              </w:tc>
              <w:tc>
                <w:tcPr>
                  <w:tcW w:w="5373" w:type="dxa"/>
                  <w:vAlign w:val="center"/>
                </w:tcPr>
                <w:p>
                  <w:pPr>
                    <w:pStyle w:val="129"/>
                    <w:widowControl/>
                    <w:shd w:val="clear" w:color="auto" w:fill="FFFFFF"/>
                    <w:spacing w:line="360" w:lineRule="exact"/>
                    <w:ind w:firstLine="0" w:firstLineChars="0"/>
                    <w:jc w:val="left"/>
                    <w:rPr>
                      <w:rFonts w:eastAsiaTheme="minorEastAsia"/>
                      <w:sz w:val="21"/>
                    </w:rPr>
                  </w:pPr>
                  <w:r>
                    <w:rPr>
                      <w:rFonts w:eastAsiaTheme="minorEastAsia"/>
                      <w:sz w:val="21"/>
                    </w:rPr>
                    <w:t>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本项目符合普适性管控要求；</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center"/>
                    <w:rPr>
                      <w:szCs w:val="21"/>
                    </w:rPr>
                  </w:pPr>
                  <w:r>
                    <w:rPr>
                      <w:rFonts w:hint="eastAsia"/>
                      <w:sz w:val="21"/>
                      <w:szCs w:val="21"/>
                    </w:rPr>
                    <w:t>限制开发建设活动的要求</w:t>
                  </w:r>
                </w:p>
              </w:tc>
              <w:tc>
                <w:tcPr>
                  <w:tcW w:w="5373" w:type="dxa"/>
                  <w:vAlign w:val="center"/>
                </w:tcPr>
                <w:p>
                  <w:pPr>
                    <w:pStyle w:val="129"/>
                    <w:widowControl/>
                    <w:shd w:val="clear" w:color="auto" w:fill="FFFFFF"/>
                    <w:spacing w:line="360" w:lineRule="exact"/>
                    <w:ind w:firstLine="0" w:firstLineChars="0"/>
                    <w:jc w:val="left"/>
                    <w:rPr>
                      <w:rFonts w:eastAsiaTheme="minorEastAsia"/>
                      <w:sz w:val="21"/>
                    </w:rPr>
                  </w:pPr>
                  <w:r>
                    <w:rPr>
                      <w:rFonts w:eastAsiaTheme="minorEastAsia"/>
                      <w:sz w:val="21"/>
                    </w:rPr>
                    <w:t>对四川省主体功能区划中的农产品主产区，应限制进行大规模高强度工业化城镇化开发，严格控制有色金属冶炼、石油加工、化工、焦化、电镀、制革等产能，原则上不增加产能其他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项目不涉及；</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both"/>
                    <w:rPr>
                      <w:szCs w:val="21"/>
                    </w:rPr>
                  </w:pPr>
                  <w:r>
                    <w:rPr>
                      <w:rFonts w:hint="eastAsia"/>
                      <w:sz w:val="21"/>
                      <w:szCs w:val="21"/>
                    </w:rPr>
                    <w:t>允许开发建设活动的要求</w:t>
                  </w:r>
                </w:p>
              </w:tc>
              <w:tc>
                <w:tcPr>
                  <w:tcW w:w="5373" w:type="dxa"/>
                  <w:vAlign w:val="center"/>
                </w:tcPr>
                <w:p>
                  <w:pPr>
                    <w:widowControl w:val="0"/>
                    <w:spacing w:line="360" w:lineRule="exact"/>
                    <w:jc w:val="both"/>
                    <w:rPr>
                      <w:szCs w:val="21"/>
                    </w:rPr>
                  </w:pPr>
                  <w:r>
                    <w:rPr>
                      <w:rFonts w:hint="eastAsia"/>
                      <w:sz w:val="21"/>
                      <w:szCs w:val="21"/>
                    </w:rPr>
                    <w:t>执行达州市城镇重点管控单元总体要求</w:t>
                  </w:r>
                </w:p>
              </w:tc>
              <w:tc>
                <w:tcPr>
                  <w:tcW w:w="2163" w:type="dxa"/>
                  <w:vAlign w:val="center"/>
                </w:tcPr>
                <w:p>
                  <w:pPr>
                    <w:widowControl w:val="0"/>
                    <w:spacing w:line="360" w:lineRule="exact"/>
                    <w:jc w:val="both"/>
                    <w:rPr>
                      <w:szCs w:val="21"/>
                    </w:rPr>
                  </w:pPr>
                  <w:r>
                    <w:rPr>
                      <w:rFonts w:hint="eastAsia"/>
                      <w:sz w:val="21"/>
                      <w:szCs w:val="21"/>
                    </w:rPr>
                    <w:t>本项目符合普适性管控要求；</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center"/>
                    <w:rPr>
                      <w:szCs w:val="21"/>
                    </w:rPr>
                  </w:pPr>
                  <w:r>
                    <w:rPr>
                      <w:rFonts w:hint="eastAsia"/>
                      <w:sz w:val="21"/>
                      <w:szCs w:val="21"/>
                    </w:rPr>
                    <w:t>不符合空间布局要求活动的退出要求</w:t>
                  </w:r>
                </w:p>
              </w:tc>
              <w:tc>
                <w:tcPr>
                  <w:tcW w:w="5373"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他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本项目为污水处理工程，属于配套的公共设施工程，不属于工业企业；</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restart"/>
                  <w:vAlign w:val="center"/>
                </w:tcPr>
                <w:p>
                  <w:pPr>
                    <w:widowControl w:val="0"/>
                    <w:spacing w:line="360" w:lineRule="exact"/>
                    <w:jc w:val="center"/>
                    <w:rPr>
                      <w:szCs w:val="21"/>
                    </w:rPr>
                  </w:pPr>
                  <w:r>
                    <w:rPr>
                      <w:sz w:val="21"/>
                      <w:szCs w:val="21"/>
                    </w:rPr>
                    <w:t>污染物排放管控</w:t>
                  </w:r>
                </w:p>
              </w:tc>
              <w:tc>
                <w:tcPr>
                  <w:tcW w:w="1154" w:type="dxa"/>
                  <w:vAlign w:val="center"/>
                </w:tcPr>
                <w:p>
                  <w:pPr>
                    <w:widowControl w:val="0"/>
                    <w:spacing w:line="360" w:lineRule="exact"/>
                    <w:jc w:val="center"/>
                    <w:rPr>
                      <w:szCs w:val="21"/>
                    </w:rPr>
                  </w:pPr>
                  <w:r>
                    <w:rPr>
                      <w:rFonts w:hint="eastAsia"/>
                      <w:sz w:val="21"/>
                      <w:szCs w:val="21"/>
                    </w:rPr>
                    <w:t>现有源提标升级改造</w:t>
                  </w:r>
                </w:p>
              </w:tc>
              <w:tc>
                <w:tcPr>
                  <w:tcW w:w="5373"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本项目符合普适性管控要求；</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center"/>
                    <w:rPr>
                      <w:szCs w:val="21"/>
                    </w:rPr>
                  </w:pPr>
                  <w:r>
                    <w:rPr>
                      <w:rFonts w:hint="eastAsia"/>
                      <w:sz w:val="21"/>
                      <w:szCs w:val="21"/>
                    </w:rPr>
                    <w:t>新增源等量或倍量替代</w:t>
                  </w:r>
                </w:p>
              </w:tc>
              <w:tc>
                <w:tcPr>
                  <w:tcW w:w="5373"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本项目符合普适性管控要求；</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center"/>
                    <w:rPr>
                      <w:szCs w:val="21"/>
                    </w:rPr>
                  </w:pPr>
                  <w:r>
                    <w:rPr>
                      <w:rFonts w:hint="eastAsia"/>
                      <w:sz w:val="21"/>
                      <w:szCs w:val="21"/>
                    </w:rPr>
                    <w:t>新增源排放标准限值</w:t>
                  </w:r>
                </w:p>
              </w:tc>
              <w:tc>
                <w:tcPr>
                  <w:tcW w:w="5373"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本项目符合普适性管控要求；</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center"/>
                    <w:rPr>
                      <w:szCs w:val="21"/>
                    </w:rPr>
                  </w:pPr>
                  <w:r>
                    <w:rPr>
                      <w:rFonts w:hint="eastAsia"/>
                      <w:sz w:val="21"/>
                      <w:szCs w:val="21"/>
                    </w:rPr>
                    <w:t>污染物排放绩效水平准入要求</w:t>
                  </w:r>
                </w:p>
              </w:tc>
              <w:tc>
                <w:tcPr>
                  <w:tcW w:w="5373"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-大气环境布局敏感和弱扩散重点管控区内，现有大气污染重点企业，限期进行深度治理或关停并转。-其它同达州市一般管控单元总体准入要求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本项目为污水处理工程，属于配套的公共设施工程，产生的废气主要为恶臭，不属于大气污染重点企业；</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restart"/>
                  <w:vAlign w:val="center"/>
                </w:tcPr>
                <w:p>
                  <w:pPr>
                    <w:widowControl w:val="0"/>
                    <w:spacing w:line="360" w:lineRule="exact"/>
                    <w:jc w:val="center"/>
                    <w:rPr>
                      <w:szCs w:val="21"/>
                    </w:rPr>
                  </w:pPr>
                  <w:r>
                    <w:rPr>
                      <w:sz w:val="21"/>
                      <w:szCs w:val="21"/>
                    </w:rPr>
                    <w:t>环境风险防控</w:t>
                  </w:r>
                </w:p>
              </w:tc>
              <w:tc>
                <w:tcPr>
                  <w:tcW w:w="1154" w:type="dxa"/>
                  <w:vAlign w:val="center"/>
                </w:tcPr>
                <w:p>
                  <w:pPr>
                    <w:pStyle w:val="129"/>
                    <w:widowControl/>
                    <w:shd w:val="clear" w:color="auto" w:fill="FFFFFF"/>
                    <w:spacing w:line="360" w:lineRule="exact"/>
                    <w:ind w:firstLine="0" w:firstLineChars="0"/>
                    <w:jc w:val="left"/>
                    <w:rPr>
                      <w:sz w:val="21"/>
                    </w:rPr>
                  </w:pPr>
                  <w:r>
                    <w:rPr>
                      <w:rFonts w:hint="eastAsia" w:ascii="宋体" w:hAnsi="宋体" w:eastAsia="宋体"/>
                      <w:sz w:val="21"/>
                    </w:rPr>
                    <w:t>严格管控类农用地管控要求</w:t>
                  </w:r>
                </w:p>
              </w:tc>
              <w:tc>
                <w:tcPr>
                  <w:tcW w:w="5373"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本项目符合普适性管控要求；</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安全利用类农用地管控要求</w:t>
                  </w:r>
                </w:p>
              </w:tc>
              <w:tc>
                <w:tcPr>
                  <w:tcW w:w="5373"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本项目符合普适性管控要求；</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污染地块管控要求</w:t>
                  </w:r>
                </w:p>
              </w:tc>
              <w:tc>
                <w:tcPr>
                  <w:tcW w:w="5373"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本项目符合普适性管控要求；</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企业环境风险防控要求</w:t>
                  </w:r>
                </w:p>
              </w:tc>
              <w:tc>
                <w:tcPr>
                  <w:tcW w:w="5373"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本项目符合普适性管控要求；</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restart"/>
                  <w:vAlign w:val="center"/>
                </w:tcPr>
                <w:p>
                  <w:pPr>
                    <w:widowControl w:val="0"/>
                    <w:spacing w:line="360" w:lineRule="exact"/>
                    <w:jc w:val="center"/>
                    <w:rPr>
                      <w:szCs w:val="21"/>
                    </w:rPr>
                  </w:pPr>
                  <w:r>
                    <w:rPr>
                      <w:rFonts w:hint="eastAsia"/>
                      <w:sz w:val="21"/>
                      <w:szCs w:val="21"/>
                    </w:rPr>
                    <w:t>资源开发利用要求</w:t>
                  </w:r>
                </w:p>
              </w:tc>
              <w:tc>
                <w:tcPr>
                  <w:tcW w:w="1154" w:type="dxa"/>
                  <w:vAlign w:val="center"/>
                </w:tcPr>
                <w:p>
                  <w:pPr>
                    <w:widowControl w:val="0"/>
                    <w:spacing w:line="360" w:lineRule="exact"/>
                    <w:jc w:val="center"/>
                    <w:rPr>
                      <w:szCs w:val="21"/>
                    </w:rPr>
                  </w:pPr>
                  <w:r>
                    <w:rPr>
                      <w:rFonts w:hint="eastAsia"/>
                      <w:sz w:val="21"/>
                      <w:szCs w:val="21"/>
                    </w:rPr>
                    <w:t>水资源利用效率要求</w:t>
                  </w:r>
                </w:p>
              </w:tc>
              <w:tc>
                <w:tcPr>
                  <w:tcW w:w="5373"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本项目符合普适性管控要求；</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pStyle w:val="129"/>
                    <w:widowControl/>
                    <w:shd w:val="clear" w:color="auto" w:fill="FFFFFF"/>
                    <w:spacing w:line="360" w:lineRule="exact"/>
                    <w:ind w:firstLine="0" w:firstLineChars="0"/>
                    <w:jc w:val="left"/>
                    <w:rPr>
                      <w:sz w:val="21"/>
                    </w:rPr>
                  </w:pPr>
                  <w:r>
                    <w:rPr>
                      <w:rFonts w:hint="eastAsia" w:ascii="宋体" w:hAnsi="宋体" w:eastAsia="宋体"/>
                      <w:sz w:val="21"/>
                    </w:rPr>
                    <w:t>地下水开采要求</w:t>
                  </w:r>
                </w:p>
              </w:tc>
              <w:tc>
                <w:tcPr>
                  <w:tcW w:w="5373"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本项目符合普适性管控要求；</w:t>
                  </w:r>
                </w:p>
              </w:tc>
              <w:tc>
                <w:tcPr>
                  <w:tcW w:w="1000" w:type="dxa"/>
                  <w:vAlign w:val="center"/>
                </w:tcPr>
                <w:p>
                  <w:pPr>
                    <w:widowControl w:val="0"/>
                    <w:spacing w:line="360" w:lineRule="exact"/>
                    <w:jc w:val="center"/>
                    <w:rPr>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2" w:type="dxa"/>
                  <w:vMerge w:val="continue"/>
                  <w:vAlign w:val="center"/>
                </w:tcPr>
                <w:p>
                  <w:pPr>
                    <w:widowControl w:val="0"/>
                    <w:spacing w:line="360" w:lineRule="exact"/>
                    <w:jc w:val="center"/>
                    <w:rPr>
                      <w:szCs w:val="21"/>
                    </w:rPr>
                  </w:pPr>
                </w:p>
              </w:tc>
              <w:tc>
                <w:tcPr>
                  <w:tcW w:w="761" w:type="dxa"/>
                  <w:vMerge w:val="continue"/>
                  <w:vAlign w:val="center"/>
                </w:tcPr>
                <w:p>
                  <w:pPr>
                    <w:widowControl w:val="0"/>
                    <w:spacing w:line="360" w:lineRule="exact"/>
                    <w:jc w:val="center"/>
                    <w:rPr>
                      <w:szCs w:val="21"/>
                    </w:rPr>
                  </w:pPr>
                </w:p>
              </w:tc>
              <w:tc>
                <w:tcPr>
                  <w:tcW w:w="651" w:type="dxa"/>
                  <w:vMerge w:val="continue"/>
                  <w:vAlign w:val="center"/>
                </w:tcPr>
                <w:p>
                  <w:pPr>
                    <w:widowControl w:val="0"/>
                    <w:spacing w:line="360" w:lineRule="exact"/>
                    <w:jc w:val="center"/>
                    <w:rPr>
                      <w:szCs w:val="21"/>
                    </w:rPr>
                  </w:pPr>
                </w:p>
              </w:tc>
              <w:tc>
                <w:tcPr>
                  <w:tcW w:w="1154" w:type="dxa"/>
                  <w:vAlign w:val="center"/>
                </w:tcPr>
                <w:p>
                  <w:pPr>
                    <w:widowControl w:val="0"/>
                    <w:spacing w:line="360" w:lineRule="exact"/>
                    <w:jc w:val="center"/>
                    <w:rPr>
                      <w:szCs w:val="21"/>
                    </w:rPr>
                  </w:pPr>
                  <w:r>
                    <w:rPr>
                      <w:rFonts w:hint="eastAsia"/>
                      <w:sz w:val="21"/>
                      <w:szCs w:val="21"/>
                    </w:rPr>
                    <w:t>能源利用效率要求</w:t>
                  </w:r>
                </w:p>
              </w:tc>
              <w:tc>
                <w:tcPr>
                  <w:tcW w:w="5373" w:type="dxa"/>
                  <w:vAlign w:val="center"/>
                </w:tcPr>
                <w:p>
                  <w:pPr>
                    <w:pStyle w:val="129"/>
                    <w:widowControl/>
                    <w:shd w:val="clear" w:color="auto" w:fill="FFFFFF"/>
                    <w:spacing w:line="360" w:lineRule="exact"/>
                    <w:ind w:firstLine="0" w:firstLineChars="0"/>
                    <w:jc w:val="left"/>
                    <w:rPr>
                      <w:rFonts w:ascii="宋体" w:hAnsi="宋体" w:eastAsia="宋体"/>
                      <w:sz w:val="21"/>
                    </w:rPr>
                  </w:pPr>
                  <w:r>
                    <w:rPr>
                      <w:rFonts w:hint="eastAsia" w:ascii="宋体" w:hAnsi="宋体" w:eastAsia="宋体"/>
                      <w:sz w:val="21"/>
                    </w:rPr>
                    <w:t>同达州市一般管控单元总体准入要求</w:t>
                  </w:r>
                </w:p>
              </w:tc>
              <w:tc>
                <w:tcPr>
                  <w:tcW w:w="2163" w:type="dxa"/>
                  <w:vAlign w:val="center"/>
                </w:tcPr>
                <w:p>
                  <w:pPr>
                    <w:widowControl w:val="0"/>
                    <w:spacing w:line="360" w:lineRule="exact"/>
                    <w:jc w:val="both"/>
                    <w:rPr>
                      <w:szCs w:val="21"/>
                    </w:rPr>
                  </w:pPr>
                  <w:r>
                    <w:rPr>
                      <w:rFonts w:hint="eastAsia"/>
                      <w:sz w:val="21"/>
                      <w:szCs w:val="21"/>
                    </w:rPr>
                    <w:t>本项目符合普适性管控要求；</w:t>
                  </w:r>
                </w:p>
              </w:tc>
              <w:tc>
                <w:tcPr>
                  <w:tcW w:w="1000" w:type="dxa"/>
                  <w:vAlign w:val="center"/>
                </w:tcPr>
                <w:p>
                  <w:pPr>
                    <w:widowControl w:val="0"/>
                    <w:spacing w:line="360" w:lineRule="exact"/>
                    <w:jc w:val="center"/>
                    <w:rPr>
                      <w:szCs w:val="21"/>
                    </w:rPr>
                  </w:pPr>
                  <w:r>
                    <w:rPr>
                      <w:rFonts w:hint="eastAsia"/>
                      <w:sz w:val="21"/>
                      <w:szCs w:val="21"/>
                    </w:rPr>
                    <w:t>符合</w:t>
                  </w:r>
                </w:p>
              </w:tc>
            </w:tr>
          </w:tbl>
          <w:p>
            <w:pPr>
              <w:widowControl/>
              <w:ind w:firstLine="480" w:firstLineChars="200"/>
              <w:jc w:val="left"/>
              <w:rPr>
                <w:rFonts w:cs="Times New Roman" w:asciiTheme="majorHAnsi" w:hAnsiTheme="majorHAnsi"/>
                <w:kern w:val="0"/>
                <w:szCs w:val="20"/>
              </w:rPr>
            </w:pPr>
            <w:r>
              <w:rPr>
                <w:rFonts w:cs="Times New Roman" w:asciiTheme="majorHAnsi" w:hAnsiTheme="majorHAnsi"/>
                <w:bCs/>
                <w:kern w:val="0"/>
                <w:szCs w:val="20"/>
              </w:rPr>
              <w:t>综上所述，本项目符合《</w:t>
            </w:r>
            <w:r>
              <w:rPr>
                <w:rFonts w:hAnsi="宋体"/>
              </w:rPr>
              <w:t>长江经济带战略环境评价四川省达州市</w:t>
            </w:r>
            <w:r>
              <w:t>“</w:t>
            </w:r>
            <w:r>
              <w:rPr>
                <w:rFonts w:hAnsi="宋体"/>
              </w:rPr>
              <w:t>三线一单</w:t>
            </w:r>
            <w:r>
              <w:t>”</w:t>
            </w:r>
            <w:r>
              <w:rPr>
                <w:rFonts w:hAnsi="宋体"/>
              </w:rPr>
              <w:t>生态环境分区管控优化完善研究报告</w:t>
            </w:r>
            <w:r>
              <w:rPr>
                <w:rFonts w:cs="Times New Roman" w:asciiTheme="majorHAnsi" w:hAnsiTheme="majorHAnsi"/>
                <w:bCs/>
                <w:kern w:val="0"/>
                <w:szCs w:val="20"/>
              </w:rPr>
              <w:t>》中提出的要求。</w:t>
            </w:r>
          </w:p>
          <w:p>
            <w:pPr>
              <w:pStyle w:val="18"/>
              <w:widowControl w:val="0"/>
            </w:pPr>
          </w:p>
          <w:p>
            <w:pPr>
              <w:widowControl w:val="0"/>
              <w:jc w:val="both"/>
            </w:pPr>
          </w:p>
          <w:p>
            <w:pPr>
              <w:pStyle w:val="18"/>
              <w:widowControl w:val="0"/>
            </w:pPr>
          </w:p>
          <w:p>
            <w:pPr>
              <w:widowControl w:val="0"/>
              <w:jc w:val="both"/>
            </w:pPr>
          </w:p>
          <w:p>
            <w:pPr>
              <w:pStyle w:val="18"/>
              <w:widowControl w:val="0"/>
            </w:pPr>
          </w:p>
          <w:p>
            <w:pPr>
              <w:widowControl w:val="0"/>
              <w:jc w:val="both"/>
            </w:pPr>
          </w:p>
          <w:p>
            <w:pPr>
              <w:pStyle w:val="18"/>
              <w:widowControl w:val="0"/>
            </w:pPr>
          </w:p>
          <w:p>
            <w:pPr>
              <w:widowControl w:val="0"/>
              <w:jc w:val="both"/>
            </w:pPr>
          </w:p>
          <w:p>
            <w:pPr>
              <w:widowControl w:val="0"/>
              <w:jc w:val="both"/>
            </w:pPr>
          </w:p>
          <w:p>
            <w:pPr>
              <w:widowControl w:val="0"/>
              <w:jc w:val="both"/>
            </w:pPr>
          </w:p>
          <w:p>
            <w:pPr>
              <w:widowControl w:val="0"/>
              <w:jc w:val="both"/>
            </w:pPr>
          </w:p>
          <w:p>
            <w:pPr>
              <w:widowControl w:val="0"/>
              <w:jc w:val="both"/>
            </w:pPr>
          </w:p>
          <w:p>
            <w:pPr>
              <w:widowControl w:val="0"/>
              <w:jc w:val="both"/>
            </w:pPr>
          </w:p>
        </w:tc>
      </w:tr>
    </w:tbl>
    <w:p>
      <w:pPr>
        <w:tabs>
          <w:tab w:val="center" w:pos="6718"/>
        </w:tabs>
        <w:sectPr>
          <w:pgSz w:w="16838" w:h="11906" w:orient="landscape"/>
          <w:pgMar w:top="1531" w:right="1701" w:bottom="1531" w:left="1701" w:header="851" w:footer="992" w:gutter="0"/>
          <w:pgBorders>
            <w:top w:val="none" w:sz="0" w:space="0"/>
            <w:left w:val="none" w:sz="0" w:space="0"/>
            <w:bottom w:val="none" w:sz="0" w:space="0"/>
            <w:right w:val="none" w:sz="0" w:space="0"/>
          </w:pgBorders>
          <w:cols w:space="425" w:num="1"/>
          <w:docGrid w:type="lines" w:linePitch="326" w:charSpace="0"/>
        </w:sectPr>
      </w:pPr>
      <w:r>
        <w:rPr>
          <w:rFonts w:hint="eastAsia"/>
        </w:rPr>
        <w:tab/>
      </w:r>
    </w:p>
    <w:p>
      <w:pPr>
        <w:pStyle w:val="40"/>
        <w:jc w:val="center"/>
        <w:outlineLvl w:val="0"/>
        <w:rPr>
          <w:rFonts w:ascii="黑体" w:hAnsi="黑体" w:eastAsia="黑体"/>
          <w:snapToGrid w:val="0"/>
          <w:sz w:val="30"/>
          <w:szCs w:val="30"/>
          <w:lang w:val="zh-CN"/>
        </w:rPr>
      </w:pPr>
      <w:bookmarkStart w:id="8" w:name="_Toc25942"/>
      <w:bookmarkStart w:id="9" w:name="_Toc118974720"/>
      <w:bookmarkStart w:id="10" w:name="_Toc648"/>
      <w:r>
        <w:rPr>
          <w:rFonts w:ascii="黑体" w:hAnsi="黑体" w:eastAsia="黑体"/>
          <w:snapToGrid w:val="0"/>
          <w:sz w:val="30"/>
          <w:szCs w:val="30"/>
          <w:lang w:val="zh-CN"/>
        </w:rPr>
        <w:t>二、建设项目工程分析</w:t>
      </w:r>
      <w:bookmarkEnd w:id="8"/>
      <w:bookmarkEnd w:id="9"/>
      <w:bookmarkEnd w:id="10"/>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Align w:val="center"/>
          </w:tcPr>
          <w:p>
            <w:pPr>
              <w:widowControl w:val="0"/>
              <w:jc w:val="center"/>
              <w:rPr>
                <w:rFonts w:cs="Times New Roman" w:asciiTheme="majorHAnsi" w:hAnsiTheme="majorHAnsi"/>
                <w:kern w:val="0"/>
                <w:szCs w:val="20"/>
              </w:rPr>
            </w:pPr>
            <w:r>
              <w:rPr>
                <w:rFonts w:hint="eastAsia" w:cs="Times New Roman" w:asciiTheme="majorHAnsi" w:hAnsiTheme="majorHAnsi"/>
                <w:kern w:val="0"/>
                <w:szCs w:val="20"/>
              </w:rPr>
              <w:t>建设内容</w:t>
            </w:r>
          </w:p>
        </w:tc>
        <w:tc>
          <w:tcPr>
            <w:tcW w:w="8381" w:type="dxa"/>
            <w:vAlign w:val="center"/>
          </w:tcPr>
          <w:p>
            <w:pPr>
              <w:widowControl w:val="0"/>
              <w:autoSpaceDE w:val="0"/>
              <w:autoSpaceDN w:val="0"/>
              <w:adjustRightInd w:val="0"/>
              <w:snapToGrid w:val="0"/>
              <w:spacing w:before="163" w:beforeLines="50"/>
              <w:jc w:val="left"/>
              <w:rPr>
                <w:rFonts w:eastAsia="黑体"/>
                <w:b/>
                <w:bCs/>
              </w:rPr>
            </w:pPr>
            <w:r>
              <w:rPr>
                <w:rFonts w:eastAsia="黑体"/>
                <w:b/>
                <w:bCs/>
              </w:rPr>
              <w:t>2.1项目</w:t>
            </w:r>
            <w:r>
              <w:rPr>
                <w:rFonts w:hint="eastAsia" w:eastAsia="黑体"/>
                <w:b/>
                <w:bCs/>
              </w:rPr>
              <w:t>由来</w:t>
            </w:r>
          </w:p>
          <w:p>
            <w:pPr>
              <w:widowControl w:val="0"/>
              <w:adjustRightInd w:val="0"/>
              <w:snapToGrid w:val="0"/>
              <w:ind w:firstLine="480" w:firstLineChars="200"/>
              <w:jc w:val="both"/>
              <w:rPr>
                <w:rFonts w:cs="Calibri"/>
              </w:rPr>
            </w:pPr>
            <w:r>
              <w:rPr>
                <w:rFonts w:hint="eastAsia" w:cs="Calibri"/>
              </w:rPr>
              <w:t>2021年10月，达州市第五次党代会上对宣汉做了明确的定位，即建成全国新能源、新材料综合利用示范区，争当全国“百强县”。奋力争创全国“百强县”，勇当达州振兴“主力军”，在“十四五”期间，让宣汉成为宜居、创新创业的美好家乡，人们安居乐业，幸福指数提升。构建宣汉中学“两高中两初中”；在明月新城建康养医院，打造9个县域的次级中心。同时，按照“公园城市”理念，宣汉要开发明月新城，建设“印象州河畔、城市会客厅”，打造山环水绕、山水相映的生态滨江城，推动县城达到“双 30”规模。</w:t>
            </w:r>
          </w:p>
          <w:p>
            <w:pPr>
              <w:widowControl w:val="0"/>
              <w:adjustRightInd w:val="0"/>
              <w:snapToGrid w:val="0"/>
              <w:ind w:firstLine="480" w:firstLineChars="200"/>
              <w:jc w:val="both"/>
              <w:rPr>
                <w:rFonts w:cs="Calibri"/>
              </w:rPr>
            </w:pPr>
            <w:r>
              <w:rPr>
                <w:rFonts w:hint="eastAsia" w:cs="Calibri"/>
              </w:rPr>
              <w:t>宣汉县明月新城处于宣汉县城的核心建设区，是“百强县”建设战略的载体，是积极融入万达开川渝统筹发展示范区的竞争力，将承载宣汉县“公园城市”宜居的战略任务。规划应积极利用经济腹地优势，创建人城境业和谐共生的宜居城市。</w:t>
            </w:r>
          </w:p>
          <w:p>
            <w:pPr>
              <w:widowControl w:val="0"/>
              <w:adjustRightInd w:val="0"/>
              <w:snapToGrid w:val="0"/>
              <w:ind w:firstLine="480" w:firstLineChars="200"/>
              <w:jc w:val="both"/>
              <w:rPr>
                <w:rFonts w:cs="Calibri"/>
              </w:rPr>
            </w:pPr>
            <w:r>
              <w:rPr>
                <w:rFonts w:hint="eastAsia" w:cs="Calibri"/>
              </w:rPr>
              <w:t>宣汉县明月新城作为成渝经济圈的重要功能区，随着成渝地区双城经济圈、万达开川渝统筹发展示范区建的开展，其区位优势越显突出。</w:t>
            </w:r>
          </w:p>
          <w:p>
            <w:pPr>
              <w:widowControl w:val="0"/>
              <w:adjustRightInd w:val="0"/>
              <w:snapToGrid w:val="0"/>
              <w:ind w:firstLine="480" w:firstLineChars="200"/>
              <w:jc w:val="both"/>
              <w:rPr>
                <w:rFonts w:cs="Calibri"/>
              </w:rPr>
            </w:pPr>
            <w:r>
              <w:rPr>
                <w:rFonts w:hint="eastAsia" w:cs="Calibri"/>
              </w:rPr>
              <w:t>为保证宣汉县明月新城的经济与城市发展，适应城区快速发展的要求，对明月新城产生的污水进行有效收集和处理，防止污水乱排，</w:t>
            </w:r>
            <w:r>
              <w:rPr>
                <w:rFonts w:hint="eastAsia"/>
              </w:rPr>
              <w:t>宣汉发展投资集团有限公司拟在明月新城投资新建一座污水处理厂。</w:t>
            </w:r>
          </w:p>
          <w:p>
            <w:pPr>
              <w:widowControl w:val="0"/>
              <w:adjustRightInd w:val="0"/>
              <w:snapToGrid w:val="0"/>
              <w:ind w:firstLine="480" w:firstLineChars="200"/>
              <w:jc w:val="both"/>
              <w:rPr>
                <w:rFonts w:cs="Times New Roman" w:asciiTheme="majorHAnsi" w:hAnsiTheme="majorHAnsi"/>
                <w:kern w:val="0"/>
                <w:szCs w:val="20"/>
              </w:rPr>
            </w:pPr>
            <w:r>
              <w:rPr>
                <w:rFonts w:hint="eastAsia"/>
              </w:rPr>
              <w:t>2</w:t>
            </w:r>
            <w:r>
              <w:t>022</w:t>
            </w:r>
            <w:r>
              <w:rPr>
                <w:rFonts w:hint="eastAsia"/>
              </w:rPr>
              <w:t>年</w:t>
            </w:r>
            <w:r>
              <w:t>1</w:t>
            </w:r>
            <w:r>
              <w:rPr>
                <w:rFonts w:hint="eastAsia"/>
              </w:rPr>
              <w:t>月</w:t>
            </w:r>
            <w:r>
              <w:t>14</w:t>
            </w:r>
            <w:r>
              <w:rPr>
                <w:rFonts w:hint="eastAsia"/>
              </w:rPr>
              <w:t>日，宣汉发展投资集团有限公司取得了宣汉县发展和改革局</w:t>
            </w:r>
            <w:r>
              <w:t>出具</w:t>
            </w:r>
            <w:r>
              <w:rPr>
                <w:rFonts w:hint="eastAsia"/>
              </w:rPr>
              <w:t>的本项目的可行性研究报告的批复</w:t>
            </w:r>
            <w:r>
              <w:rPr>
                <w:rFonts w:hint="eastAsia"/>
                <w:bCs/>
              </w:rPr>
              <w:t>（宣</w:t>
            </w:r>
            <w:r>
              <w:rPr>
                <w:bCs/>
              </w:rPr>
              <w:t>发改审</w:t>
            </w:r>
            <w:r>
              <w:rPr>
                <w:rFonts w:hint="eastAsia"/>
                <w:bCs/>
              </w:rPr>
              <w:t>【20</w:t>
            </w:r>
            <w:r>
              <w:rPr>
                <w:bCs/>
              </w:rPr>
              <w:t>22</w:t>
            </w:r>
            <w:r>
              <w:rPr>
                <w:rFonts w:hint="eastAsia"/>
                <w:bCs/>
              </w:rPr>
              <w:t>】</w:t>
            </w:r>
            <w:r>
              <w:rPr>
                <w:bCs/>
              </w:rPr>
              <w:t>17</w:t>
            </w:r>
            <w:r>
              <w:rPr>
                <w:rFonts w:hint="eastAsia"/>
                <w:bCs/>
              </w:rPr>
              <w:t>号），拟在宣汉县明月新城</w:t>
            </w:r>
            <w:r>
              <w:rPr>
                <w:rFonts w:hint="eastAsia"/>
              </w:rPr>
              <w:t>实施“宣汉县城（明月坝）污水处理厂建设项目”。根据项目的可行性研究报告的批复</w:t>
            </w:r>
            <w:r>
              <w:rPr>
                <w:rFonts w:hint="eastAsia"/>
                <w:bCs/>
              </w:rPr>
              <w:t>（宣</w:t>
            </w:r>
            <w:r>
              <w:rPr>
                <w:bCs/>
              </w:rPr>
              <w:t>发改审</w:t>
            </w:r>
            <w:r>
              <w:rPr>
                <w:rFonts w:hint="eastAsia"/>
                <w:bCs/>
              </w:rPr>
              <w:t>【20</w:t>
            </w:r>
            <w:r>
              <w:rPr>
                <w:bCs/>
              </w:rPr>
              <w:t>22</w:t>
            </w:r>
            <w:r>
              <w:rPr>
                <w:rFonts w:hint="eastAsia"/>
                <w:bCs/>
              </w:rPr>
              <w:t>】</w:t>
            </w:r>
            <w:r>
              <w:rPr>
                <w:bCs/>
              </w:rPr>
              <w:t>17</w:t>
            </w:r>
            <w:r>
              <w:rPr>
                <w:rFonts w:hint="eastAsia"/>
                <w:bCs/>
              </w:rPr>
              <w:t>号），其建设内容为：</w:t>
            </w:r>
            <w:r>
              <w:rPr>
                <w:rFonts w:hint="eastAsia" w:cs="Times New Roman" w:asciiTheme="majorHAnsi" w:hAnsiTheme="majorHAnsi"/>
                <w:kern w:val="0"/>
                <w:szCs w:val="20"/>
              </w:rPr>
              <w:t>新建污水处理厂一座，占地面积10000m</w:t>
            </w:r>
            <w:r>
              <w:rPr>
                <w:rFonts w:hint="eastAsia" w:cs="Times New Roman" w:asciiTheme="majorHAnsi" w:hAnsiTheme="majorHAnsi"/>
                <w:kern w:val="0"/>
                <w:szCs w:val="20"/>
                <w:vertAlign w:val="superscript"/>
              </w:rPr>
              <w:t>2</w:t>
            </w:r>
            <w:r>
              <w:rPr>
                <w:rFonts w:hint="eastAsia" w:cs="Times New Roman" w:asciiTheme="majorHAnsi" w:hAnsiTheme="majorHAnsi"/>
                <w:kern w:val="0"/>
                <w:szCs w:val="20"/>
              </w:rPr>
              <w:t>（约15亩），污水厂区及其配套设施建筑面积7500 m</w:t>
            </w:r>
            <w:r>
              <w:rPr>
                <w:rFonts w:cs="Times New Roman" w:asciiTheme="majorHAnsi" w:hAnsiTheme="majorHAnsi"/>
                <w:kern w:val="0"/>
                <w:szCs w:val="20"/>
                <w:vertAlign w:val="superscript"/>
              </w:rPr>
              <w:t>2</w:t>
            </w:r>
            <w:r>
              <w:rPr>
                <w:rFonts w:hint="eastAsia" w:cs="Times New Roman" w:asciiTheme="majorHAnsi" w:hAnsiTheme="majorHAnsi"/>
                <w:kern w:val="0"/>
                <w:szCs w:val="20"/>
              </w:rPr>
              <w:t>，道路2500 m</w:t>
            </w:r>
            <w:r>
              <w:rPr>
                <w:rFonts w:cs="Times New Roman" w:asciiTheme="majorHAnsi" w:hAnsiTheme="majorHAnsi"/>
                <w:kern w:val="0"/>
                <w:szCs w:val="20"/>
                <w:vertAlign w:val="superscript"/>
              </w:rPr>
              <w:t>2</w:t>
            </w:r>
            <w:r>
              <w:rPr>
                <w:rFonts w:hint="eastAsia" w:cs="Times New Roman" w:asciiTheme="majorHAnsi" w:hAnsiTheme="majorHAnsi"/>
                <w:kern w:val="0"/>
                <w:szCs w:val="20"/>
              </w:rPr>
              <w:t>，日处理规模为13000m</w:t>
            </w:r>
            <w:r>
              <w:rPr>
                <w:rFonts w:hint="eastAsia" w:cs="Times New Roman" w:asciiTheme="majorHAnsi" w:hAnsiTheme="majorHAnsi"/>
                <w:kern w:val="0"/>
                <w:szCs w:val="20"/>
                <w:vertAlign w:val="superscript"/>
              </w:rPr>
              <w:t>3</w:t>
            </w:r>
            <w:r>
              <w:rPr>
                <w:rFonts w:hint="eastAsia" w:cs="Times New Roman" w:asciiTheme="majorHAnsi" w:hAnsiTheme="majorHAnsi"/>
                <w:kern w:val="0"/>
                <w:szCs w:val="20"/>
              </w:rPr>
              <w:t>，建设截污管道长约20km及其配套附属设施。</w:t>
            </w:r>
          </w:p>
          <w:p>
            <w:pPr>
              <w:widowControl/>
              <w:ind w:firstLine="480" w:firstLineChars="200"/>
              <w:jc w:val="both"/>
              <w:rPr>
                <w:bCs/>
              </w:rPr>
            </w:pPr>
            <w:r>
              <w:rPr>
                <w:rFonts w:hint="eastAsia"/>
                <w:bCs/>
              </w:rPr>
              <w:t>本项目服务范围为收集明月新城片区内的生活污水，因明月新城规划在前，污水处理厂设计在后，设计方案结合明月新城规划区的单位人口综合用水量等资料，校核该片区生活污水产生量，污水处理厂的日最大处理量为10000m</w:t>
            </w:r>
            <w:r>
              <w:rPr>
                <w:rFonts w:hint="eastAsia"/>
                <w:bCs/>
                <w:vertAlign w:val="superscript"/>
              </w:rPr>
              <w:t>3</w:t>
            </w:r>
            <w:r>
              <w:rPr>
                <w:rFonts w:hint="eastAsia"/>
                <w:bCs/>
              </w:rPr>
              <w:t>/d即可满足明月新城排污需求。因此，本次设计规模按照日处理量为10000m</w:t>
            </w:r>
            <w:r>
              <w:rPr>
                <w:rFonts w:hint="eastAsia"/>
                <w:bCs/>
                <w:vertAlign w:val="superscript"/>
              </w:rPr>
              <w:t>3</w:t>
            </w:r>
            <w:r>
              <w:rPr>
                <w:rFonts w:hint="eastAsia"/>
                <w:bCs/>
              </w:rPr>
              <w:t>/d进行评价。</w:t>
            </w:r>
          </w:p>
          <w:p>
            <w:pPr>
              <w:widowControl/>
              <w:ind w:firstLine="482" w:firstLineChars="200"/>
              <w:jc w:val="both"/>
              <w:rPr>
                <w:b/>
              </w:rPr>
            </w:pPr>
            <w:r>
              <w:rPr>
                <w:rFonts w:hint="eastAsia"/>
                <w:b/>
              </w:rPr>
              <w:t>另外，因2500m</w:t>
            </w:r>
            <w:r>
              <w:rPr>
                <w:rFonts w:hint="eastAsia"/>
                <w:b/>
                <w:vertAlign w:val="superscript"/>
              </w:rPr>
              <w:t>2</w:t>
            </w:r>
            <w:r>
              <w:rPr>
                <w:rFonts w:hint="eastAsia"/>
                <w:b/>
              </w:rPr>
              <w:t>的道路、20km入户的截污管道及其配套附属设施以及污水处理厂尾水外排至江口大坝下游的尾水输送管网、跨河管桥（共计长度约为2</w:t>
            </w:r>
            <w:r>
              <w:rPr>
                <w:b/>
              </w:rPr>
              <w:t>.115</w:t>
            </w:r>
            <w:r>
              <w:rPr>
                <w:rFonts w:hint="eastAsia"/>
                <w:b/>
              </w:rPr>
              <w:t>km）等建设内容暂未进行设计，该部分内容后期另行环评。（建设单位已出具说明，详见附件7）。</w:t>
            </w:r>
          </w:p>
          <w:p>
            <w:pPr>
              <w:widowControl/>
              <w:ind w:firstLine="482" w:firstLineChars="200"/>
              <w:jc w:val="both"/>
              <w:rPr>
                <w:b/>
              </w:rPr>
            </w:pPr>
            <w:r>
              <w:rPr>
                <w:rFonts w:hint="eastAsia"/>
                <w:b/>
              </w:rPr>
              <w:t>因此，宣汉县城（明月坝）污水处理厂建设项目总投资</w:t>
            </w:r>
            <w:r>
              <w:rPr>
                <w:b/>
              </w:rPr>
              <w:t>8205.3</w:t>
            </w:r>
            <w:r>
              <w:rPr>
                <w:rFonts w:hint="eastAsia"/>
                <w:b/>
              </w:rPr>
              <w:t>万元，根据设计，本次实际建设内容为：</w:t>
            </w:r>
            <w:r>
              <w:rPr>
                <w:rFonts w:hint="eastAsia" w:cs="Times New Roman" w:asciiTheme="majorHAnsi" w:hAnsiTheme="majorHAnsi"/>
                <w:b/>
                <w:kern w:val="0"/>
                <w:szCs w:val="20"/>
              </w:rPr>
              <w:t>新建污水处理厂一座，占地面积10000m</w:t>
            </w:r>
            <w:r>
              <w:rPr>
                <w:rFonts w:hint="eastAsia" w:cs="Times New Roman" w:asciiTheme="majorHAnsi" w:hAnsiTheme="majorHAnsi"/>
                <w:b/>
                <w:kern w:val="0"/>
                <w:szCs w:val="20"/>
                <w:vertAlign w:val="superscript"/>
              </w:rPr>
              <w:t>2</w:t>
            </w:r>
            <w:r>
              <w:rPr>
                <w:rFonts w:hint="eastAsia" w:cs="Times New Roman" w:asciiTheme="majorHAnsi" w:hAnsiTheme="majorHAnsi"/>
                <w:b/>
                <w:kern w:val="0"/>
                <w:szCs w:val="20"/>
              </w:rPr>
              <w:t>（约15亩），污水厂区及其配套设施建筑面积7500 m</w:t>
            </w:r>
            <w:r>
              <w:rPr>
                <w:rFonts w:cs="Times New Roman" w:asciiTheme="majorHAnsi" w:hAnsiTheme="majorHAnsi"/>
                <w:b/>
                <w:kern w:val="0"/>
                <w:szCs w:val="20"/>
                <w:vertAlign w:val="superscript"/>
              </w:rPr>
              <w:t>2</w:t>
            </w:r>
            <w:r>
              <w:rPr>
                <w:rFonts w:hint="eastAsia" w:cs="Times New Roman" w:asciiTheme="majorHAnsi" w:hAnsiTheme="majorHAnsi"/>
                <w:b/>
                <w:kern w:val="0"/>
                <w:szCs w:val="20"/>
              </w:rPr>
              <w:t>，日处理规模共计1</w:t>
            </w:r>
            <w:r>
              <w:rPr>
                <w:rFonts w:cs="Times New Roman" w:asciiTheme="majorHAnsi" w:hAnsiTheme="majorHAnsi"/>
                <w:b/>
                <w:kern w:val="0"/>
                <w:szCs w:val="20"/>
              </w:rPr>
              <w:t>0</w:t>
            </w:r>
            <w:r>
              <w:rPr>
                <w:rFonts w:hint="eastAsia" w:cs="Times New Roman" w:asciiTheme="majorHAnsi" w:hAnsiTheme="majorHAnsi"/>
                <w:b/>
                <w:kern w:val="0"/>
                <w:szCs w:val="20"/>
              </w:rPr>
              <w:t>000m</w:t>
            </w:r>
            <w:r>
              <w:rPr>
                <w:rFonts w:hint="eastAsia" w:cs="Times New Roman" w:asciiTheme="majorHAnsi" w:hAnsiTheme="majorHAnsi"/>
                <w:b/>
                <w:kern w:val="0"/>
                <w:szCs w:val="20"/>
                <w:vertAlign w:val="superscript"/>
              </w:rPr>
              <w:t>3</w:t>
            </w:r>
            <w:r>
              <w:rPr>
                <w:rFonts w:hint="eastAsia" w:cs="Times New Roman" w:asciiTheme="majorHAnsi" w:hAnsiTheme="majorHAnsi"/>
                <w:b/>
                <w:kern w:val="0"/>
                <w:szCs w:val="20"/>
              </w:rPr>
              <w:t>，项目分两期进行建设，一期污水处理规模为5</w:t>
            </w:r>
            <w:r>
              <w:rPr>
                <w:rFonts w:cs="Times New Roman" w:asciiTheme="majorHAnsi" w:hAnsiTheme="majorHAnsi"/>
                <w:b/>
                <w:kern w:val="0"/>
                <w:szCs w:val="20"/>
              </w:rPr>
              <w:t>000</w:t>
            </w:r>
            <w:r>
              <w:rPr>
                <w:rFonts w:hint="eastAsia" w:cs="Times New Roman" w:asciiTheme="majorHAnsi" w:hAnsiTheme="majorHAnsi"/>
                <w:b/>
                <w:kern w:val="0"/>
                <w:szCs w:val="20"/>
              </w:rPr>
              <w:t xml:space="preserve"> m</w:t>
            </w:r>
            <w:r>
              <w:rPr>
                <w:rFonts w:hint="eastAsia" w:cs="Times New Roman" w:asciiTheme="majorHAnsi" w:hAnsiTheme="majorHAnsi"/>
                <w:b/>
                <w:kern w:val="0"/>
                <w:szCs w:val="20"/>
                <w:vertAlign w:val="superscript"/>
              </w:rPr>
              <w:t>3</w:t>
            </w:r>
            <w:r>
              <w:rPr>
                <w:rFonts w:cs="Times New Roman" w:asciiTheme="majorHAnsi" w:hAnsiTheme="majorHAnsi"/>
                <w:b/>
                <w:kern w:val="0"/>
                <w:szCs w:val="20"/>
              </w:rPr>
              <w:t>/d</w:t>
            </w:r>
            <w:r>
              <w:rPr>
                <w:rFonts w:hint="eastAsia" w:cs="Times New Roman" w:asciiTheme="majorHAnsi" w:hAnsiTheme="majorHAnsi"/>
                <w:b/>
                <w:kern w:val="0"/>
                <w:szCs w:val="20"/>
              </w:rPr>
              <w:t>，二期污水处理规模为5</w:t>
            </w:r>
            <w:r>
              <w:rPr>
                <w:rFonts w:cs="Times New Roman" w:asciiTheme="majorHAnsi" w:hAnsiTheme="majorHAnsi"/>
                <w:b/>
                <w:kern w:val="0"/>
                <w:szCs w:val="20"/>
              </w:rPr>
              <w:t>000</w:t>
            </w:r>
            <w:r>
              <w:rPr>
                <w:rFonts w:hint="eastAsia" w:cs="Times New Roman" w:asciiTheme="majorHAnsi" w:hAnsiTheme="majorHAnsi"/>
                <w:b/>
                <w:kern w:val="0"/>
                <w:szCs w:val="20"/>
              </w:rPr>
              <w:t xml:space="preserve"> m</w:t>
            </w:r>
            <w:r>
              <w:rPr>
                <w:rFonts w:hint="eastAsia" w:cs="Times New Roman" w:asciiTheme="majorHAnsi" w:hAnsiTheme="majorHAnsi"/>
                <w:b/>
                <w:kern w:val="0"/>
                <w:szCs w:val="20"/>
                <w:vertAlign w:val="superscript"/>
              </w:rPr>
              <w:t>3</w:t>
            </w:r>
            <w:r>
              <w:rPr>
                <w:rFonts w:cs="Times New Roman" w:asciiTheme="majorHAnsi" w:hAnsiTheme="majorHAnsi"/>
                <w:b/>
                <w:kern w:val="0"/>
                <w:szCs w:val="20"/>
              </w:rPr>
              <w:t>/d</w:t>
            </w:r>
            <w:r>
              <w:rPr>
                <w:rFonts w:hint="eastAsia" w:cs="Times New Roman" w:asciiTheme="majorHAnsi" w:hAnsiTheme="majorHAnsi"/>
                <w:b/>
                <w:kern w:val="0"/>
                <w:szCs w:val="20"/>
              </w:rPr>
              <w:t>，并配套约1.7km的污水收集管道。</w:t>
            </w:r>
          </w:p>
          <w:p>
            <w:pPr>
              <w:widowControl/>
              <w:ind w:firstLine="482" w:firstLineChars="200"/>
              <w:jc w:val="both"/>
              <w:rPr>
                <w:b/>
                <w:bCs/>
              </w:rPr>
            </w:pPr>
            <w:r>
              <w:rPr>
                <w:rFonts w:hint="eastAsia"/>
                <w:b/>
                <w:bCs/>
              </w:rPr>
              <w:t>其中，</w:t>
            </w:r>
            <w:r>
              <w:rPr>
                <w:rFonts w:hint="eastAsia"/>
                <w:b/>
              </w:rPr>
              <w:t>2500m</w:t>
            </w:r>
            <w:r>
              <w:rPr>
                <w:rFonts w:hint="eastAsia"/>
                <w:b/>
                <w:vertAlign w:val="superscript"/>
              </w:rPr>
              <w:t>2</w:t>
            </w:r>
            <w:r>
              <w:rPr>
                <w:rFonts w:hint="eastAsia"/>
                <w:b/>
              </w:rPr>
              <w:t>的道路、20km入户的截污管道及其配套附属设施以及污水处理厂尾水外排至江口大坝下游的尾水输送管网、跨河管桥（共计长度约为2</w:t>
            </w:r>
            <w:r>
              <w:rPr>
                <w:b/>
              </w:rPr>
              <w:t>.115</w:t>
            </w:r>
            <w:r>
              <w:rPr>
                <w:rFonts w:hint="eastAsia"/>
                <w:b/>
              </w:rPr>
              <w:t>km）等建设内容</w:t>
            </w:r>
            <w:r>
              <w:rPr>
                <w:rFonts w:hint="eastAsia"/>
                <w:b/>
                <w:bCs/>
                <w:kern w:val="0"/>
              </w:rPr>
              <w:t>，后期另行环评。</w:t>
            </w:r>
          </w:p>
          <w:p>
            <w:pPr>
              <w:widowControl w:val="0"/>
              <w:ind w:firstLine="480" w:firstLineChars="200"/>
              <w:jc w:val="both"/>
              <w:textAlignment w:val="baseline"/>
              <w:rPr>
                <w:rFonts w:ascii="黑体" w:hAnsi="黑体" w:eastAsia="黑体"/>
                <w:bCs/>
                <w:kern w:val="0"/>
              </w:rPr>
            </w:pPr>
            <w:r>
              <w:rPr>
                <w:kern w:val="0"/>
              </w:rPr>
              <w:t>按照《中华人民共和国环境保护法》、《中华人民共和国环境影响评价法》和《建设项目环境保护管理条例》（国务院第682号令2017年10月1日）的要求，建设项目应进行环境影响评价。按照《建设项目环境影响评价分类管理名录</w:t>
            </w:r>
            <w:r>
              <w:rPr>
                <w:rFonts w:hint="eastAsia"/>
                <w:kern w:val="0"/>
              </w:rPr>
              <w:t>（2021年版）</w:t>
            </w:r>
            <w:r>
              <w:rPr>
                <w:kern w:val="0"/>
              </w:rPr>
              <w:t>》（</w:t>
            </w:r>
            <w:r>
              <w:rPr>
                <w:rFonts w:hint="eastAsia"/>
                <w:kern w:val="0"/>
              </w:rPr>
              <w:t>生态</w:t>
            </w:r>
            <w:r>
              <w:rPr>
                <w:kern w:val="0"/>
              </w:rPr>
              <w:t>环境部</w:t>
            </w:r>
            <w:r>
              <w:rPr>
                <w:rFonts w:hint="eastAsia"/>
                <w:kern w:val="0"/>
              </w:rPr>
              <w:t xml:space="preserve"> 部</w:t>
            </w:r>
            <w:r>
              <w:rPr>
                <w:kern w:val="0"/>
              </w:rPr>
              <w:t>令第</w:t>
            </w:r>
            <w:r>
              <w:rPr>
                <w:rFonts w:hint="eastAsia"/>
                <w:kern w:val="0"/>
              </w:rPr>
              <w:t>16</w:t>
            </w:r>
            <w:r>
              <w:rPr>
                <w:kern w:val="0"/>
              </w:rPr>
              <w:t>号</w:t>
            </w:r>
            <w:r>
              <w:rPr>
                <w:rFonts w:hint="eastAsia"/>
                <w:kern w:val="0"/>
              </w:rPr>
              <w:t>2020</w:t>
            </w:r>
            <w:r>
              <w:rPr>
                <w:kern w:val="0"/>
              </w:rPr>
              <w:t>年</w:t>
            </w:r>
            <w:r>
              <w:rPr>
                <w:rFonts w:hint="eastAsia"/>
                <w:kern w:val="0"/>
              </w:rPr>
              <w:t>11</w:t>
            </w:r>
            <w:r>
              <w:rPr>
                <w:kern w:val="0"/>
              </w:rPr>
              <w:t>月</w:t>
            </w:r>
            <w:r>
              <w:rPr>
                <w:rFonts w:hint="eastAsia"/>
                <w:kern w:val="0"/>
              </w:rPr>
              <w:t>30</w:t>
            </w:r>
            <w:r>
              <w:rPr>
                <w:kern w:val="0"/>
              </w:rPr>
              <w:t>日）</w:t>
            </w:r>
            <w:r>
              <w:rPr>
                <w:rFonts w:hint="eastAsia"/>
                <w:kern w:val="0"/>
              </w:rPr>
              <w:t>要求</w:t>
            </w:r>
            <w:r>
              <w:rPr>
                <w:kern w:val="0"/>
              </w:rPr>
              <w:t>，</w:t>
            </w:r>
            <w:r>
              <w:rPr>
                <w:bCs/>
                <w:kern w:val="0"/>
              </w:rPr>
              <w:t>本项目属于名录中</w:t>
            </w:r>
            <w:r>
              <w:rPr>
                <w:rFonts w:hint="eastAsia" w:ascii="黑体" w:hAnsi="黑体" w:eastAsia="黑体"/>
                <w:bCs/>
                <w:kern w:val="0"/>
              </w:rPr>
              <w:t>“四十三、水的生产和供应业：95污水处理及其再生利用-</w:t>
            </w:r>
            <w:r>
              <w:rPr>
                <w:rFonts w:ascii="黑体" w:hAnsi="黑体" w:eastAsia="黑体"/>
                <w:bCs/>
                <w:kern w:val="0"/>
              </w:rPr>
              <w:t>--</w:t>
            </w:r>
            <w:r>
              <w:rPr>
                <w:rFonts w:hint="eastAsia" w:ascii="黑体" w:hAnsi="黑体" w:eastAsia="黑体"/>
                <w:bCs/>
                <w:kern w:val="0"/>
              </w:rPr>
              <w:t>新建、扩建日处理10万吨以下500吨及以上城乡污水处理的”</w:t>
            </w:r>
            <w:r>
              <w:rPr>
                <w:bCs/>
                <w:kern w:val="0"/>
              </w:rPr>
              <w:t>，应编制环境影响报告</w:t>
            </w:r>
            <w:r>
              <w:rPr>
                <w:rFonts w:hint="eastAsia"/>
                <w:bCs/>
                <w:kern w:val="0"/>
              </w:rPr>
              <w:t>表</w:t>
            </w:r>
            <w:r>
              <w:rPr>
                <w:bCs/>
                <w:kern w:val="0"/>
              </w:rPr>
              <w:t>，</w:t>
            </w:r>
            <w:r>
              <w:rPr>
                <w:rFonts w:hint="eastAsia"/>
              </w:rPr>
              <w:t>为此，宣汉发展投资集团有限公司委托</w:t>
            </w:r>
            <w:r>
              <w:rPr>
                <w:rFonts w:hint="eastAsia"/>
                <w:bCs/>
              </w:rPr>
              <w:t>我</w:t>
            </w:r>
            <w:r>
              <w:rPr>
                <w:bCs/>
              </w:rPr>
              <w:t>公司</w:t>
            </w:r>
            <w:r>
              <w:rPr>
                <w:rFonts w:hint="eastAsia"/>
              </w:rPr>
              <w:t>承担此项工作（委托书见附件1）。</w:t>
            </w:r>
          </w:p>
          <w:p>
            <w:pPr>
              <w:widowControl w:val="0"/>
              <w:autoSpaceDE w:val="0"/>
              <w:autoSpaceDN w:val="0"/>
              <w:adjustRightInd w:val="0"/>
              <w:snapToGrid w:val="0"/>
              <w:spacing w:before="163" w:beforeLines="50"/>
              <w:jc w:val="left"/>
              <w:rPr>
                <w:rFonts w:eastAsia="黑体"/>
                <w:b/>
                <w:bCs/>
              </w:rPr>
            </w:pPr>
            <w:r>
              <w:rPr>
                <w:rFonts w:eastAsia="黑体"/>
                <w:b/>
                <w:bCs/>
              </w:rPr>
              <w:t>2.2项目</w:t>
            </w:r>
            <w:r>
              <w:rPr>
                <w:rFonts w:hint="eastAsia" w:eastAsia="黑体"/>
                <w:b/>
                <w:bCs/>
              </w:rPr>
              <w:t>概况</w:t>
            </w:r>
          </w:p>
          <w:p>
            <w:pPr>
              <w:widowControl w:val="0"/>
              <w:ind w:firstLine="480" w:firstLineChars="200"/>
              <w:jc w:val="both"/>
            </w:pPr>
            <w:r>
              <w:t>项目名称：</w:t>
            </w:r>
            <w:r>
              <w:rPr>
                <w:rFonts w:hint="eastAsia"/>
              </w:rPr>
              <w:t>宣汉县城（明月坝）污水处理厂建设项目</w:t>
            </w:r>
          </w:p>
          <w:p>
            <w:pPr>
              <w:widowControl w:val="0"/>
              <w:ind w:firstLine="480" w:firstLineChars="200"/>
              <w:jc w:val="both"/>
            </w:pPr>
            <w:r>
              <w:t>建设单位：</w:t>
            </w:r>
            <w:r>
              <w:rPr>
                <w:rFonts w:hint="eastAsia"/>
              </w:rPr>
              <w:t>宣汉发展投资集团有限公司</w:t>
            </w:r>
          </w:p>
          <w:p>
            <w:pPr>
              <w:widowControl w:val="0"/>
              <w:ind w:firstLine="480" w:firstLineChars="200"/>
              <w:jc w:val="both"/>
            </w:pPr>
            <w:r>
              <w:t>建设地点：</w:t>
            </w:r>
            <w:r>
              <w:rPr>
                <w:rFonts w:hint="eastAsia"/>
              </w:rPr>
              <w:t>宣汉县明月新城</w:t>
            </w:r>
          </w:p>
          <w:p>
            <w:pPr>
              <w:widowControl w:val="0"/>
              <w:ind w:firstLine="480" w:firstLineChars="200"/>
              <w:jc w:val="both"/>
            </w:pPr>
            <w:r>
              <w:t>建设性质：新建</w:t>
            </w:r>
          </w:p>
          <w:p>
            <w:pPr>
              <w:widowControl w:val="0"/>
              <w:ind w:firstLine="480" w:firstLineChars="200"/>
              <w:jc w:val="both"/>
            </w:pPr>
            <w:r>
              <w:t>项目投资：总投资</w:t>
            </w:r>
            <w:r>
              <w:rPr>
                <w:rFonts w:hint="eastAsia"/>
              </w:rPr>
              <w:t>8205.3</w:t>
            </w:r>
            <w:r>
              <w:t>万元</w:t>
            </w:r>
          </w:p>
          <w:p>
            <w:pPr>
              <w:widowControl w:val="0"/>
              <w:autoSpaceDE w:val="0"/>
              <w:autoSpaceDN w:val="0"/>
              <w:adjustRightInd w:val="0"/>
              <w:snapToGrid w:val="0"/>
              <w:spacing w:before="163" w:beforeLines="50"/>
              <w:jc w:val="left"/>
              <w:rPr>
                <w:rFonts w:eastAsia="黑体"/>
                <w:b/>
                <w:bCs/>
              </w:rPr>
            </w:pPr>
            <w:r>
              <w:rPr>
                <w:rFonts w:eastAsia="黑体"/>
                <w:b/>
                <w:bCs/>
              </w:rPr>
              <w:t>2.3项目建设内容及规模</w:t>
            </w:r>
          </w:p>
          <w:p>
            <w:pPr>
              <w:widowControl/>
              <w:ind w:firstLine="482" w:firstLineChars="200"/>
              <w:jc w:val="both"/>
              <w:rPr>
                <w:rFonts w:cs="Times New Roman" w:asciiTheme="majorHAnsi" w:hAnsiTheme="majorHAnsi"/>
                <w:kern w:val="0"/>
                <w:szCs w:val="20"/>
              </w:rPr>
            </w:pPr>
            <w:r>
              <w:rPr>
                <w:rFonts w:hint="eastAsia"/>
                <w:b/>
              </w:rPr>
              <w:t>实际</w:t>
            </w:r>
            <w:r>
              <w:rPr>
                <w:b/>
              </w:rPr>
              <w:t>建设内容：</w:t>
            </w:r>
            <w:r>
              <w:rPr>
                <w:rFonts w:hint="eastAsia" w:cs="Times New Roman" w:asciiTheme="majorHAnsi" w:hAnsiTheme="majorHAnsi"/>
                <w:kern w:val="0"/>
                <w:szCs w:val="20"/>
              </w:rPr>
              <w:t>新建一座日处理规模为1</w:t>
            </w:r>
            <w:r>
              <w:rPr>
                <w:rFonts w:cs="Times New Roman" w:asciiTheme="majorHAnsi" w:hAnsiTheme="majorHAnsi"/>
                <w:kern w:val="0"/>
                <w:szCs w:val="20"/>
              </w:rPr>
              <w:t>0</w:t>
            </w:r>
            <w:r>
              <w:rPr>
                <w:rFonts w:hint="eastAsia" w:cs="Times New Roman" w:asciiTheme="majorHAnsi" w:hAnsiTheme="majorHAnsi"/>
                <w:kern w:val="0"/>
                <w:szCs w:val="20"/>
              </w:rPr>
              <w:t>000m</w:t>
            </w:r>
            <w:r>
              <w:rPr>
                <w:rFonts w:hint="eastAsia" w:cs="Times New Roman" w:asciiTheme="majorHAnsi" w:hAnsiTheme="majorHAnsi"/>
                <w:kern w:val="0"/>
                <w:szCs w:val="20"/>
                <w:vertAlign w:val="superscript"/>
              </w:rPr>
              <w:t>3</w:t>
            </w:r>
            <w:r>
              <w:rPr>
                <w:rFonts w:hint="eastAsia" w:cs="Times New Roman" w:asciiTheme="majorHAnsi" w:hAnsiTheme="majorHAnsi"/>
                <w:kern w:val="0"/>
                <w:szCs w:val="20"/>
              </w:rPr>
              <w:t>的污水处理厂，占地面积10000m</w:t>
            </w:r>
            <w:r>
              <w:rPr>
                <w:rFonts w:hint="eastAsia" w:cs="Times New Roman" w:asciiTheme="majorHAnsi" w:hAnsiTheme="majorHAnsi"/>
                <w:kern w:val="0"/>
                <w:szCs w:val="20"/>
                <w:vertAlign w:val="superscript"/>
              </w:rPr>
              <w:t>2</w:t>
            </w:r>
            <w:r>
              <w:rPr>
                <w:rFonts w:hint="eastAsia" w:cs="Times New Roman" w:asciiTheme="majorHAnsi" w:hAnsiTheme="majorHAnsi"/>
                <w:kern w:val="0"/>
                <w:szCs w:val="20"/>
              </w:rPr>
              <w:t>（约15亩），污水厂区及其配套设施建筑面积7500 m</w:t>
            </w:r>
            <w:r>
              <w:rPr>
                <w:rFonts w:cs="Times New Roman" w:asciiTheme="majorHAnsi" w:hAnsiTheme="majorHAnsi"/>
                <w:kern w:val="0"/>
                <w:szCs w:val="20"/>
                <w:vertAlign w:val="superscript"/>
              </w:rPr>
              <w:t>2</w:t>
            </w:r>
            <w:r>
              <w:rPr>
                <w:rFonts w:hint="eastAsia" w:cs="Times New Roman" w:asciiTheme="majorHAnsi" w:hAnsiTheme="majorHAnsi"/>
                <w:kern w:val="0"/>
                <w:szCs w:val="20"/>
              </w:rPr>
              <w:t>。其中，本项目分两期实施，</w:t>
            </w:r>
            <w:r>
              <w:t>设计总处理规模为</w:t>
            </w:r>
            <w:r>
              <w:rPr>
                <w:rFonts w:cs="Times New Roman" w:asciiTheme="majorHAnsi" w:hAnsiTheme="majorHAnsi"/>
                <w:kern w:val="0"/>
                <w:szCs w:val="20"/>
              </w:rPr>
              <w:t>10000</w:t>
            </w:r>
            <w:r>
              <w:rPr>
                <w:rFonts w:hint="eastAsia" w:cs="Times New Roman" w:asciiTheme="majorHAnsi" w:hAnsiTheme="majorHAnsi"/>
                <w:kern w:val="0"/>
                <w:szCs w:val="20"/>
              </w:rPr>
              <w:t>m</w:t>
            </w:r>
            <w:r>
              <w:rPr>
                <w:rFonts w:hint="eastAsia" w:cs="Times New Roman" w:asciiTheme="majorHAnsi" w:hAnsiTheme="majorHAnsi"/>
                <w:kern w:val="0"/>
                <w:szCs w:val="20"/>
                <w:vertAlign w:val="superscript"/>
              </w:rPr>
              <w:t>3</w:t>
            </w:r>
            <w:r>
              <w:rPr>
                <w:rFonts w:cs="Times New Roman" w:asciiTheme="majorHAnsi" w:hAnsiTheme="majorHAnsi"/>
                <w:kern w:val="0"/>
                <w:szCs w:val="20"/>
              </w:rPr>
              <w:t>/d</w:t>
            </w:r>
            <w:r>
              <w:rPr>
                <w:rFonts w:hint="eastAsia"/>
              </w:rPr>
              <w:t>，其中，</w:t>
            </w:r>
            <w:r>
              <w:rPr>
                <w:rFonts w:hint="eastAsia" w:cs="Times New Roman" w:asciiTheme="majorHAnsi" w:hAnsiTheme="majorHAnsi"/>
                <w:kern w:val="0"/>
                <w:szCs w:val="20"/>
              </w:rPr>
              <w:t>一期日处理规模为5</w:t>
            </w:r>
            <w:r>
              <w:rPr>
                <w:rFonts w:cs="Times New Roman" w:asciiTheme="majorHAnsi" w:hAnsiTheme="majorHAnsi"/>
                <w:kern w:val="0"/>
                <w:szCs w:val="20"/>
              </w:rPr>
              <w:t>000</w:t>
            </w:r>
            <w:r>
              <w:rPr>
                <w:rFonts w:hint="eastAsia" w:cs="Times New Roman" w:asciiTheme="majorHAnsi" w:hAnsiTheme="majorHAnsi"/>
                <w:kern w:val="0"/>
                <w:szCs w:val="20"/>
              </w:rPr>
              <w:t>m</w:t>
            </w:r>
            <w:r>
              <w:rPr>
                <w:rFonts w:hint="eastAsia" w:cs="Times New Roman" w:asciiTheme="majorHAnsi" w:hAnsiTheme="majorHAnsi"/>
                <w:kern w:val="0"/>
                <w:szCs w:val="20"/>
                <w:vertAlign w:val="superscript"/>
              </w:rPr>
              <w:t>3</w:t>
            </w:r>
            <w:r>
              <w:rPr>
                <w:rFonts w:cs="Times New Roman" w:asciiTheme="majorHAnsi" w:hAnsiTheme="majorHAnsi"/>
                <w:kern w:val="0"/>
                <w:szCs w:val="20"/>
              </w:rPr>
              <w:t>/d</w:t>
            </w:r>
            <w:r>
              <w:rPr>
                <w:rFonts w:hint="eastAsia" w:cs="Times New Roman" w:asciiTheme="majorHAnsi" w:hAnsiTheme="majorHAnsi"/>
                <w:kern w:val="0"/>
                <w:szCs w:val="20"/>
              </w:rPr>
              <w:t>，二期日处理规模达</w:t>
            </w:r>
            <w:r>
              <w:rPr>
                <w:rFonts w:cs="Times New Roman" w:asciiTheme="majorHAnsi" w:hAnsiTheme="majorHAnsi"/>
                <w:kern w:val="0"/>
                <w:szCs w:val="20"/>
              </w:rPr>
              <w:t>5000</w:t>
            </w:r>
            <w:r>
              <w:rPr>
                <w:rFonts w:hint="eastAsia" w:cs="Times New Roman" w:asciiTheme="majorHAnsi" w:hAnsiTheme="majorHAnsi"/>
                <w:kern w:val="0"/>
                <w:szCs w:val="20"/>
              </w:rPr>
              <w:t>m</w:t>
            </w:r>
            <w:r>
              <w:rPr>
                <w:rFonts w:hint="eastAsia" w:cs="Times New Roman" w:asciiTheme="majorHAnsi" w:hAnsiTheme="majorHAnsi"/>
                <w:kern w:val="0"/>
                <w:szCs w:val="20"/>
                <w:vertAlign w:val="superscript"/>
              </w:rPr>
              <w:t>3</w:t>
            </w:r>
            <w:r>
              <w:rPr>
                <w:rFonts w:cs="Times New Roman" w:asciiTheme="majorHAnsi" w:hAnsiTheme="majorHAnsi"/>
                <w:kern w:val="0"/>
                <w:szCs w:val="20"/>
              </w:rPr>
              <w:t>/d</w:t>
            </w:r>
            <w:r>
              <w:rPr>
                <w:rFonts w:hint="eastAsia" w:cs="Times New Roman" w:asciiTheme="majorHAnsi" w:hAnsiTheme="majorHAnsi"/>
                <w:kern w:val="0"/>
                <w:szCs w:val="20"/>
              </w:rPr>
              <w:t>，并配套约1.7km的污水管道。土建设计时满足二期使用要求，二期只需增加设备。</w:t>
            </w:r>
          </w:p>
          <w:p>
            <w:pPr>
              <w:widowControl w:val="0"/>
              <w:ind w:firstLine="482" w:firstLineChars="200"/>
              <w:jc w:val="both"/>
              <w:rPr>
                <w:kern w:val="0"/>
              </w:rPr>
            </w:pPr>
            <w:r>
              <w:rPr>
                <w:rFonts w:hint="eastAsia"/>
                <w:b/>
                <w:kern w:val="0"/>
              </w:rPr>
              <w:t>服务范围：</w:t>
            </w:r>
            <w:r>
              <w:rPr>
                <w:rFonts w:hint="eastAsia"/>
                <w:kern w:val="0"/>
              </w:rPr>
              <w:t>宣汉县明月新城，片区内的生活污水。</w:t>
            </w:r>
          </w:p>
          <w:p>
            <w:pPr>
              <w:widowControl w:val="0"/>
              <w:ind w:firstLine="482" w:firstLineChars="200"/>
              <w:jc w:val="both"/>
              <w:rPr>
                <w:b/>
                <w:i/>
              </w:rPr>
            </w:pPr>
            <w:r>
              <w:rPr>
                <w:b/>
              </w:rPr>
              <w:t>进水水质要求：</w:t>
            </w:r>
            <w:r>
              <w:t>本项目为城镇生活污水处理</w:t>
            </w:r>
            <w:r>
              <w:rPr>
                <w:rFonts w:hint="eastAsia"/>
              </w:rPr>
              <w:t>厂</w:t>
            </w:r>
            <w:r>
              <w:t>，处理污水为</w:t>
            </w:r>
            <w:r>
              <w:rPr>
                <w:rFonts w:hint="eastAsia"/>
              </w:rPr>
              <w:t>宣汉县城</w:t>
            </w:r>
            <w:r>
              <w:t>生活污水</w:t>
            </w:r>
            <w:r>
              <w:rPr>
                <w:rFonts w:hint="eastAsia"/>
              </w:rPr>
              <w:t>，</w:t>
            </w:r>
            <w:r>
              <w:rPr>
                <w:rFonts w:hint="eastAsia"/>
                <w:b/>
                <w:i/>
              </w:rPr>
              <w:t>本项目禁止接纳工业企业排放的工业废水进入</w:t>
            </w:r>
            <w:r>
              <w:rPr>
                <w:b/>
                <w:i/>
              </w:rPr>
              <w:t>。</w:t>
            </w:r>
          </w:p>
          <w:p>
            <w:pPr>
              <w:widowControl w:val="0"/>
              <w:ind w:firstLine="482" w:firstLineChars="200"/>
              <w:jc w:val="both"/>
            </w:pPr>
            <w:r>
              <w:rPr>
                <w:b/>
              </w:rPr>
              <w:t>入河排污口位置：</w:t>
            </w:r>
            <w:r>
              <w:rPr>
                <w:rFonts w:hint="eastAsia" w:ascii="宋体" w:hAnsi="宋体"/>
              </w:rPr>
              <w:t>宣汉县城蒲江街道明月社区</w:t>
            </w:r>
            <w:r>
              <w:t>，地理坐标为：107.736831</w:t>
            </w:r>
            <w:r>
              <w:rPr>
                <w:rFonts w:hint="eastAsia"/>
              </w:rPr>
              <w:t>，</w:t>
            </w:r>
            <w:r>
              <w:t>31.355947</w:t>
            </w:r>
            <w:r>
              <w:rPr>
                <w:rFonts w:hint="eastAsia"/>
              </w:rPr>
              <w:t>。</w:t>
            </w:r>
          </w:p>
          <w:p>
            <w:pPr>
              <w:widowControl w:val="0"/>
              <w:ind w:firstLine="482" w:firstLineChars="200"/>
              <w:jc w:val="both"/>
            </w:pPr>
            <w:r>
              <w:rPr>
                <w:rFonts w:hint="eastAsia"/>
                <w:b/>
              </w:rPr>
              <w:t>污水排放管以及</w:t>
            </w:r>
            <w:r>
              <w:rPr>
                <w:b/>
              </w:rPr>
              <w:t>入河方式：</w:t>
            </w:r>
            <w:r>
              <w:rPr>
                <w:rFonts w:hAnsi="宋体"/>
              </w:rPr>
              <w:t>在污水处理厂出厂界设置了巴氏计量槽和检查井，在线监测出水水质。</w:t>
            </w:r>
            <w:r>
              <w:rPr>
                <w:rFonts w:hint="eastAsia"/>
              </w:rPr>
              <w:t>尾水输送管线长约1</w:t>
            </w:r>
            <w:r>
              <w:t>800</w:t>
            </w:r>
            <w:r>
              <w:rPr>
                <w:rFonts w:hint="eastAsia"/>
              </w:rPr>
              <w:t>m，管径为DN450焊接钢管；过河桥梁管桥长约3</w:t>
            </w:r>
            <w:r>
              <w:t>15</w:t>
            </w:r>
            <w:r>
              <w:rPr>
                <w:rFonts w:hint="eastAsia"/>
              </w:rPr>
              <w:t>m。（项目尾水输送管线及管桥，另行环评）。</w:t>
            </w:r>
          </w:p>
          <w:p>
            <w:pPr>
              <w:widowControl w:val="0"/>
              <w:ind w:firstLine="480" w:firstLineChars="200"/>
              <w:jc w:val="both"/>
            </w:pPr>
            <w:r>
              <w:t>处理达标后</w:t>
            </w:r>
            <w:r>
              <w:rPr>
                <w:rFonts w:hint="eastAsia"/>
              </w:rPr>
              <w:t>的尾水经污水处理厂提升泵提升后，沿现有宣开大道输送，后与宣开大道的前河大桥平行输送过河，过河后沿宣南路向西输送，最后在江口大桥附近排放至州河（大坝下游）。</w:t>
            </w:r>
          </w:p>
          <w:p>
            <w:pPr>
              <w:widowControl w:val="0"/>
              <w:ind w:firstLine="480" w:firstLineChars="200"/>
              <w:jc w:val="both"/>
            </w:pPr>
          </w:p>
          <w:p>
            <w:pPr>
              <w:widowControl w:val="0"/>
              <w:ind w:firstLine="480" w:firstLineChars="200"/>
              <w:jc w:val="both"/>
            </w:pPr>
          </w:p>
          <w:p>
            <w:pPr>
              <w:widowControl w:val="0"/>
              <w:ind w:firstLine="480" w:firstLineChars="200"/>
              <w:jc w:val="both"/>
            </w:pPr>
          </w:p>
          <w:p>
            <w:pPr>
              <w:widowControl w:val="0"/>
              <w:ind w:firstLine="480" w:firstLineChars="200"/>
              <w:jc w:val="both"/>
            </w:pPr>
          </w:p>
          <w:p>
            <w:pPr>
              <w:widowControl w:val="0"/>
              <w:ind w:firstLine="480" w:firstLineChars="200"/>
              <w:jc w:val="both"/>
            </w:pPr>
          </w:p>
          <w:p>
            <w:pPr>
              <w:widowControl w:val="0"/>
              <w:ind w:firstLine="480" w:firstLineChars="200"/>
              <w:jc w:val="both"/>
            </w:pPr>
          </w:p>
          <w:p>
            <w:pPr>
              <w:widowControl w:val="0"/>
              <w:ind w:firstLine="480" w:firstLineChars="200"/>
              <w:jc w:val="both"/>
            </w:pPr>
          </w:p>
          <w:p>
            <w:pPr>
              <w:widowControl w:val="0"/>
              <w:jc w:val="both"/>
            </w:pPr>
            <w:r>
              <w:drawing>
                <wp:inline distT="0" distB="0" distL="0" distR="0">
                  <wp:extent cx="5013325" cy="5086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31668" cy="5104490"/>
                          </a:xfrm>
                          <a:prstGeom prst="rect">
                            <a:avLst/>
                          </a:prstGeom>
                          <a:noFill/>
                          <a:ln>
                            <a:noFill/>
                          </a:ln>
                        </pic:spPr>
                      </pic:pic>
                    </a:graphicData>
                  </a:graphic>
                </wp:inline>
              </w:drawing>
            </w:r>
          </w:p>
          <w:p>
            <w:pPr>
              <w:pStyle w:val="18"/>
              <w:widowControl w:val="0"/>
              <w:numPr>
                <w:ilvl w:val="0"/>
                <w:numId w:val="4"/>
              </w:numPr>
              <w:jc w:val="center"/>
              <w:rPr>
                <w:rFonts w:ascii="黑体" w:hAnsi="黑体" w:eastAsia="黑体"/>
                <w:sz w:val="24"/>
                <w:szCs w:val="24"/>
              </w:rPr>
            </w:pPr>
            <w:r>
              <w:rPr>
                <w:rFonts w:hint="eastAsia" w:ascii="黑体" w:hAnsi="黑体" w:eastAsia="黑体"/>
                <w:sz w:val="24"/>
                <w:szCs w:val="24"/>
              </w:rPr>
              <w:t>污水收集管网、尾水输送管网走向示意图</w:t>
            </w:r>
          </w:p>
          <w:p>
            <w:pPr>
              <w:widowControl w:val="0"/>
              <w:autoSpaceDE w:val="0"/>
              <w:autoSpaceDN w:val="0"/>
              <w:adjustRightInd w:val="0"/>
              <w:snapToGrid w:val="0"/>
              <w:spacing w:before="163" w:beforeLines="50"/>
              <w:jc w:val="left"/>
              <w:rPr>
                <w:rFonts w:eastAsia="黑体"/>
                <w:b/>
                <w:bCs/>
              </w:rPr>
            </w:pPr>
            <w:r>
              <w:rPr>
                <w:rFonts w:eastAsia="黑体"/>
                <w:b/>
                <w:bCs/>
              </w:rPr>
              <w:t>2.4项目</w:t>
            </w:r>
            <w:r>
              <w:rPr>
                <w:rFonts w:hint="eastAsia" w:eastAsia="黑体"/>
                <w:b/>
                <w:bCs/>
              </w:rPr>
              <w:t>组成</w:t>
            </w:r>
          </w:p>
          <w:p>
            <w:pPr>
              <w:widowControl w:val="0"/>
              <w:ind w:firstLine="480" w:firstLineChars="200"/>
              <w:jc w:val="both"/>
              <w:rPr>
                <w:rFonts w:cs="Times New Roman" w:asciiTheme="majorHAnsi" w:hAnsiTheme="majorHAnsi"/>
                <w:kern w:val="0"/>
                <w:szCs w:val="20"/>
              </w:rPr>
            </w:pPr>
            <w:r>
              <w:rPr>
                <w:rFonts w:hint="eastAsia" w:cs="Times New Roman" w:asciiTheme="majorHAnsi" w:hAnsiTheme="majorHAnsi"/>
                <w:kern w:val="0"/>
                <w:szCs w:val="20"/>
              </w:rPr>
              <w:t>本项目的建设内容包括主体工程、辅助工程、公用工程和环保工程，项目组成及主要的环境问题见下表。</w:t>
            </w:r>
          </w:p>
          <w:p>
            <w:pPr>
              <w:pStyle w:val="14"/>
              <w:keepNext/>
              <w:numPr>
                <w:ilvl w:val="0"/>
                <w:numId w:val="5"/>
              </w:numPr>
              <w:spacing w:line="240" w:lineRule="auto"/>
              <w:rPr>
                <w:rFonts w:ascii="黑体" w:hAnsi="黑体" w:eastAsia="黑体"/>
                <w:kern w:val="0"/>
              </w:rPr>
            </w:pPr>
            <w:r>
              <w:rPr>
                <w:rFonts w:hint="eastAsia" w:ascii="黑体" w:hAnsi="黑体" w:eastAsia="黑体"/>
                <w:kern w:val="0"/>
              </w:rPr>
              <w:t>项目组成及主要环境问题</w:t>
            </w:r>
          </w:p>
          <w:tbl>
            <w:tblPr>
              <w:tblStyle w:val="1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1317"/>
              <w:gridCol w:w="1057"/>
              <w:gridCol w:w="4339"/>
              <w:gridCol w:w="625"/>
              <w:gridCol w:w="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0" w:type="auto"/>
                  <w:vMerge w:val="restart"/>
                  <w:vAlign w:val="center"/>
                </w:tcPr>
                <w:p>
                  <w:pPr>
                    <w:adjustRightInd w:val="0"/>
                    <w:snapToGrid w:val="0"/>
                    <w:spacing w:line="360" w:lineRule="exact"/>
                    <w:jc w:val="center"/>
                    <w:rPr>
                      <w:rFonts w:ascii="Times New Roman" w:hAnsi="Times New Roman" w:cs="Times New Roman"/>
                      <w:b/>
                      <w:bCs/>
                      <w:sz w:val="21"/>
                      <w:szCs w:val="21"/>
                    </w:rPr>
                  </w:pPr>
                  <w:r>
                    <w:rPr>
                      <w:rFonts w:ascii="Times New Roman" w:cs="Times New Roman" w:hAnsiTheme="minorEastAsia"/>
                      <w:b/>
                      <w:bCs/>
                      <w:sz w:val="21"/>
                      <w:szCs w:val="21"/>
                    </w:rPr>
                    <w:t>名称</w:t>
                  </w:r>
                </w:p>
              </w:tc>
              <w:tc>
                <w:tcPr>
                  <w:tcW w:w="0" w:type="auto"/>
                  <w:vMerge w:val="restart"/>
                  <w:vAlign w:val="center"/>
                </w:tcPr>
                <w:p>
                  <w:pPr>
                    <w:adjustRightInd w:val="0"/>
                    <w:snapToGrid w:val="0"/>
                    <w:spacing w:line="360" w:lineRule="exact"/>
                    <w:jc w:val="center"/>
                    <w:rPr>
                      <w:rFonts w:ascii="Times New Roman" w:hAnsi="Times New Roman" w:cs="Times New Roman"/>
                      <w:b/>
                      <w:bCs/>
                      <w:sz w:val="21"/>
                      <w:szCs w:val="21"/>
                    </w:rPr>
                  </w:pPr>
                  <w:r>
                    <w:rPr>
                      <w:rFonts w:ascii="Times New Roman" w:cs="Times New Roman" w:hAnsiTheme="minorEastAsia"/>
                      <w:b/>
                      <w:bCs/>
                      <w:sz w:val="21"/>
                      <w:szCs w:val="21"/>
                    </w:rPr>
                    <w:t>建设内容</w:t>
                  </w:r>
                </w:p>
              </w:tc>
              <w:tc>
                <w:tcPr>
                  <w:tcW w:w="4897" w:type="dxa"/>
                  <w:gridSpan w:val="2"/>
                  <w:vMerge w:val="restart"/>
                  <w:vAlign w:val="center"/>
                </w:tcPr>
                <w:p>
                  <w:pPr>
                    <w:adjustRightInd w:val="0"/>
                    <w:snapToGrid w:val="0"/>
                    <w:spacing w:line="360" w:lineRule="exact"/>
                    <w:jc w:val="center"/>
                    <w:rPr>
                      <w:rFonts w:ascii="Times New Roman" w:hAnsi="Times New Roman" w:cs="Times New Roman"/>
                      <w:b/>
                      <w:bCs/>
                      <w:sz w:val="21"/>
                      <w:szCs w:val="21"/>
                    </w:rPr>
                  </w:pPr>
                  <w:r>
                    <w:rPr>
                      <w:rFonts w:ascii="Times New Roman" w:cs="Times New Roman" w:hAnsiTheme="minorEastAsia"/>
                      <w:b/>
                      <w:bCs/>
                      <w:sz w:val="21"/>
                      <w:szCs w:val="21"/>
                    </w:rPr>
                    <w:t>规模</w:t>
                  </w:r>
                </w:p>
              </w:tc>
              <w:tc>
                <w:tcPr>
                  <w:tcW w:w="1750" w:type="dxa"/>
                  <w:gridSpan w:val="2"/>
                  <w:vAlign w:val="center"/>
                </w:tcPr>
                <w:p>
                  <w:pPr>
                    <w:adjustRightInd w:val="0"/>
                    <w:snapToGrid w:val="0"/>
                    <w:spacing w:line="360" w:lineRule="exact"/>
                    <w:jc w:val="center"/>
                    <w:rPr>
                      <w:rFonts w:ascii="Times New Roman" w:hAnsi="Times New Roman" w:cs="Times New Roman"/>
                      <w:b/>
                      <w:bCs/>
                      <w:sz w:val="21"/>
                      <w:szCs w:val="21"/>
                    </w:rPr>
                  </w:pPr>
                  <w:r>
                    <w:rPr>
                      <w:rFonts w:ascii="Times New Roman" w:cs="Times New Roman" w:hAnsiTheme="minorEastAsia"/>
                      <w:b/>
                      <w:bCs/>
                      <w:sz w:val="21"/>
                      <w:szCs w:val="21"/>
                    </w:rPr>
                    <w:t>可能产生的环境问题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0" w:type="auto"/>
                  <w:vMerge w:val="continue"/>
                  <w:vAlign w:val="center"/>
                </w:tcPr>
                <w:p>
                  <w:pPr>
                    <w:adjustRightInd w:val="0"/>
                    <w:snapToGrid w:val="0"/>
                    <w:spacing w:line="360" w:lineRule="exact"/>
                    <w:jc w:val="center"/>
                    <w:rPr>
                      <w:rFonts w:ascii="Times New Roman" w:hAnsi="Times New Roman" w:cs="Times New Roman"/>
                      <w:b/>
                      <w:bCs/>
                      <w:sz w:val="21"/>
                      <w:szCs w:val="21"/>
                    </w:rPr>
                  </w:pPr>
                </w:p>
              </w:tc>
              <w:tc>
                <w:tcPr>
                  <w:tcW w:w="0" w:type="auto"/>
                  <w:vMerge w:val="continue"/>
                  <w:vAlign w:val="center"/>
                </w:tcPr>
                <w:p>
                  <w:pPr>
                    <w:adjustRightInd w:val="0"/>
                    <w:snapToGrid w:val="0"/>
                    <w:spacing w:line="360" w:lineRule="exact"/>
                    <w:jc w:val="center"/>
                    <w:rPr>
                      <w:rFonts w:ascii="Times New Roman" w:hAnsi="Times New Roman" w:cs="Times New Roman"/>
                      <w:b/>
                      <w:bCs/>
                      <w:sz w:val="21"/>
                      <w:szCs w:val="21"/>
                    </w:rPr>
                  </w:pPr>
                </w:p>
              </w:tc>
              <w:tc>
                <w:tcPr>
                  <w:tcW w:w="4897" w:type="dxa"/>
                  <w:gridSpan w:val="2"/>
                  <w:vMerge w:val="continue"/>
                  <w:vAlign w:val="center"/>
                </w:tcPr>
                <w:p>
                  <w:pPr>
                    <w:adjustRightInd w:val="0"/>
                    <w:snapToGrid w:val="0"/>
                    <w:spacing w:line="360" w:lineRule="exact"/>
                    <w:jc w:val="center"/>
                    <w:rPr>
                      <w:rFonts w:ascii="Times New Roman" w:hAnsi="Times New Roman" w:cs="Times New Roman"/>
                      <w:b/>
                      <w:bCs/>
                      <w:sz w:val="21"/>
                      <w:szCs w:val="21"/>
                    </w:rPr>
                  </w:pPr>
                </w:p>
              </w:tc>
              <w:tc>
                <w:tcPr>
                  <w:tcW w:w="1125" w:type="dxa"/>
                  <w:vAlign w:val="center"/>
                </w:tcPr>
                <w:p>
                  <w:pPr>
                    <w:adjustRightInd w:val="0"/>
                    <w:snapToGrid w:val="0"/>
                    <w:spacing w:line="360" w:lineRule="exact"/>
                    <w:jc w:val="center"/>
                    <w:rPr>
                      <w:rFonts w:ascii="Times New Roman" w:hAnsi="Times New Roman" w:cs="Times New Roman"/>
                      <w:b/>
                      <w:bCs/>
                      <w:kern w:val="0"/>
                      <w:sz w:val="21"/>
                      <w:szCs w:val="21"/>
                    </w:rPr>
                  </w:pPr>
                  <w:r>
                    <w:rPr>
                      <w:rFonts w:ascii="Times New Roman" w:cs="Times New Roman" w:hAnsiTheme="minorEastAsia"/>
                      <w:b/>
                      <w:bCs/>
                      <w:kern w:val="0"/>
                      <w:sz w:val="21"/>
                      <w:szCs w:val="21"/>
                    </w:rPr>
                    <w:t>施</w:t>
                  </w:r>
                  <w:r>
                    <w:rPr>
                      <w:rFonts w:ascii="Times New Roman" w:hAnsi="Times New Roman" w:cs="Times New Roman"/>
                      <w:b/>
                      <w:bCs/>
                      <w:kern w:val="0"/>
                      <w:sz w:val="21"/>
                      <w:szCs w:val="21"/>
                    </w:rPr>
                    <w:t xml:space="preserve"> </w:t>
                  </w:r>
                  <w:r>
                    <w:rPr>
                      <w:rFonts w:ascii="Times New Roman" w:cs="Times New Roman" w:hAnsiTheme="minorEastAsia"/>
                      <w:b/>
                      <w:bCs/>
                      <w:kern w:val="0"/>
                      <w:sz w:val="21"/>
                      <w:szCs w:val="21"/>
                    </w:rPr>
                    <w:t>工</w:t>
                  </w:r>
                  <w:r>
                    <w:rPr>
                      <w:rFonts w:ascii="Times New Roman" w:hAnsi="Times New Roman" w:cs="Times New Roman"/>
                      <w:b/>
                      <w:bCs/>
                      <w:kern w:val="0"/>
                      <w:sz w:val="21"/>
                      <w:szCs w:val="21"/>
                    </w:rPr>
                    <w:t xml:space="preserve"> </w:t>
                  </w:r>
                  <w:r>
                    <w:rPr>
                      <w:rFonts w:ascii="Times New Roman" w:cs="Times New Roman" w:hAnsiTheme="minorEastAsia"/>
                      <w:b/>
                      <w:bCs/>
                      <w:kern w:val="0"/>
                      <w:sz w:val="21"/>
                      <w:szCs w:val="21"/>
                    </w:rPr>
                    <w:t>期</w:t>
                  </w:r>
                </w:p>
              </w:tc>
              <w:tc>
                <w:tcPr>
                  <w:tcW w:w="0" w:type="auto"/>
                  <w:vAlign w:val="center"/>
                </w:tcPr>
                <w:p>
                  <w:pPr>
                    <w:adjustRightInd w:val="0"/>
                    <w:snapToGrid w:val="0"/>
                    <w:spacing w:line="360" w:lineRule="exact"/>
                    <w:jc w:val="center"/>
                    <w:rPr>
                      <w:rFonts w:ascii="Times New Roman" w:hAnsi="Times New Roman" w:cs="Times New Roman"/>
                      <w:b/>
                      <w:bCs/>
                      <w:sz w:val="21"/>
                      <w:szCs w:val="21"/>
                    </w:rPr>
                  </w:pPr>
                  <w:r>
                    <w:rPr>
                      <w:rFonts w:ascii="Times New Roman" w:cs="Times New Roman" w:hAnsiTheme="minorEastAsia"/>
                      <w:b/>
                      <w:bCs/>
                      <w:sz w:val="21"/>
                      <w:szCs w:val="21"/>
                    </w:rPr>
                    <w:t>营</w:t>
                  </w:r>
                  <w:r>
                    <w:rPr>
                      <w:rFonts w:ascii="Times New Roman" w:hAnsi="Times New Roman" w:cs="Times New Roman"/>
                      <w:b/>
                      <w:bCs/>
                      <w:sz w:val="21"/>
                      <w:szCs w:val="21"/>
                    </w:rPr>
                    <w:t xml:space="preserve"> </w:t>
                  </w:r>
                  <w:r>
                    <w:rPr>
                      <w:rFonts w:ascii="Times New Roman" w:cs="Times New Roman" w:hAnsiTheme="minorEastAsia"/>
                      <w:b/>
                      <w:bCs/>
                      <w:sz w:val="21"/>
                      <w:szCs w:val="21"/>
                    </w:rPr>
                    <w:t>运</w:t>
                  </w:r>
                  <w:r>
                    <w:rPr>
                      <w:rFonts w:ascii="Times New Roman" w:hAnsi="Times New Roman" w:cs="Times New Roman"/>
                      <w:b/>
                      <w:bCs/>
                      <w:sz w:val="21"/>
                      <w:szCs w:val="21"/>
                    </w:rPr>
                    <w:t xml:space="preserve"> </w:t>
                  </w:r>
                  <w:r>
                    <w:rPr>
                      <w:rFonts w:ascii="Times New Roman" w:cs="Times New Roman" w:hAnsiTheme="minorEastAsia"/>
                      <w:b/>
                      <w:bCs/>
                      <w:sz w:val="21"/>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6" w:hRule="atLeast"/>
                <w:jc w:val="center"/>
              </w:trPr>
              <w:tc>
                <w:tcPr>
                  <w:tcW w:w="0" w:type="auto"/>
                  <w:vMerge w:val="restart"/>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sz w:val="21"/>
                      <w:szCs w:val="21"/>
                    </w:rPr>
                    <w:t>主体</w:t>
                  </w:r>
                </w:p>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sz w:val="21"/>
                      <w:szCs w:val="21"/>
                    </w:rPr>
                    <w:t>工程</w:t>
                  </w:r>
                </w:p>
              </w:tc>
              <w:tc>
                <w:tcPr>
                  <w:tcW w:w="0" w:type="auto"/>
                  <w:vMerge w:val="restart"/>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kern w:val="0"/>
                      <w:sz w:val="21"/>
                      <w:szCs w:val="21"/>
                    </w:rPr>
                    <w:t>粗格栅及调节池</w:t>
                  </w:r>
                </w:p>
              </w:tc>
              <w:tc>
                <w:tcPr>
                  <w:tcW w:w="0" w:type="auto"/>
                  <w:vAlign w:val="center"/>
                </w:tcPr>
                <w:p>
                  <w:pPr>
                    <w:pStyle w:val="43"/>
                    <w:snapToGrid w:val="0"/>
                    <w:spacing w:line="360" w:lineRule="exact"/>
                    <w:ind w:firstLine="0"/>
                    <w:jc w:val="center"/>
                    <w:rPr>
                      <w:rFonts w:ascii="Times New Roman" w:eastAsiaTheme="minorEastAsia"/>
                      <w:bCs/>
                      <w:sz w:val="21"/>
                      <w:szCs w:val="21"/>
                    </w:rPr>
                  </w:pPr>
                  <w:r>
                    <w:rPr>
                      <w:rFonts w:ascii="Times New Roman" w:hAnsiTheme="minorEastAsia" w:eastAsiaTheme="minorEastAsia"/>
                      <w:sz w:val="21"/>
                      <w:szCs w:val="21"/>
                    </w:rPr>
                    <w:t>粗格栅渠</w:t>
                  </w:r>
                </w:p>
              </w:tc>
              <w:tc>
                <w:tcPr>
                  <w:tcW w:w="4387" w:type="dxa"/>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建设地下式钢筋砼平行渠道</w:t>
                  </w:r>
                  <w:r>
                    <w:rPr>
                      <w:rFonts w:ascii="Times New Roman" w:hAnsi="Times New Roman" w:cs="Times New Roman"/>
                      <w:sz w:val="21"/>
                      <w:szCs w:val="21"/>
                    </w:rPr>
                    <w:t xml:space="preserve"> 1 </w:t>
                  </w:r>
                  <w:r>
                    <w:rPr>
                      <w:rFonts w:ascii="Times New Roman" w:cs="Times New Roman" w:hAnsiTheme="minorEastAsia"/>
                      <w:sz w:val="21"/>
                      <w:szCs w:val="21"/>
                    </w:rPr>
                    <w:t>座，设计规</w:t>
                  </w:r>
                  <w:r>
                    <w:rPr>
                      <w:rFonts w:ascii="Times New Roman" w:hAnsi="Times New Roman" w:cs="Times New Roman"/>
                      <w:sz w:val="21"/>
                      <w:szCs w:val="21"/>
                    </w:rPr>
                    <w:t>31600m</w:t>
                  </w:r>
                  <w:r>
                    <w:rPr>
                      <w:rFonts w:ascii="Times New Roman" w:hAnsi="Times New Roman" w:cs="Times New Roman"/>
                      <w:sz w:val="21"/>
                      <w:szCs w:val="21"/>
                      <w:vertAlign w:val="superscript"/>
                    </w:rPr>
                    <w:t>3</w:t>
                  </w:r>
                  <w:r>
                    <w:rPr>
                      <w:rFonts w:ascii="Times New Roman" w:hAnsi="Times New Roman" w:cs="Times New Roman"/>
                      <w:sz w:val="21"/>
                      <w:szCs w:val="21"/>
                    </w:rPr>
                    <w:t>/d</w:t>
                  </w:r>
                  <w:r>
                    <w:rPr>
                      <w:rFonts w:ascii="Times New Roman" w:cs="Times New Roman" w:hAnsiTheme="minorEastAsia"/>
                      <w:sz w:val="21"/>
                      <w:szCs w:val="21"/>
                    </w:rPr>
                    <w:t>，设计流量</w:t>
                  </w:r>
                  <w:r>
                    <w:rPr>
                      <w:rFonts w:ascii="Times New Roman" w:hAnsi="Times New Roman" w:cs="Times New Roman"/>
                      <w:sz w:val="21"/>
                      <w:szCs w:val="21"/>
                    </w:rPr>
                    <w:t>1312.7m</w:t>
                  </w:r>
                  <w:r>
                    <w:rPr>
                      <w:rFonts w:ascii="Times New Roman" w:hAnsi="Times New Roman" w:cs="Times New Roman"/>
                      <w:sz w:val="21"/>
                      <w:szCs w:val="21"/>
                      <w:vertAlign w:val="superscript"/>
                    </w:rPr>
                    <w:t>3</w:t>
                  </w:r>
                  <w:r>
                    <w:rPr>
                      <w:rFonts w:ascii="Times New Roman" w:hAnsi="Times New Roman" w:cs="Times New Roman"/>
                      <w:sz w:val="21"/>
                      <w:szCs w:val="21"/>
                    </w:rPr>
                    <w:t>/h</w:t>
                  </w:r>
                  <w:r>
                    <w:rPr>
                      <w:rFonts w:ascii="Times New Roman" w:cs="Times New Roman" w:hAnsiTheme="minorEastAsia"/>
                      <w:sz w:val="21"/>
                      <w:szCs w:val="21"/>
                    </w:rPr>
                    <w:t>，格栅渠尺寸</w:t>
                  </w:r>
                  <w:r>
                    <w:rPr>
                      <w:rFonts w:ascii="Times New Roman" w:hAnsi="Times New Roman" w:cs="Times New Roman"/>
                      <w:sz w:val="21"/>
                      <w:szCs w:val="21"/>
                    </w:rPr>
                    <w:t xml:space="preserve"> L×B×H= L×B×H =12.0m×2.05m×7.4m</w:t>
                  </w:r>
                  <w:r>
                    <w:rPr>
                      <w:rFonts w:ascii="Times New Roman" w:cs="Times New Roman" w:hAnsiTheme="minorEastAsia"/>
                      <w:sz w:val="21"/>
                      <w:szCs w:val="21"/>
                    </w:rPr>
                    <w:t>，栅前水深</w:t>
                  </w:r>
                  <w:r>
                    <w:rPr>
                      <w:rFonts w:ascii="Times New Roman" w:hAnsi="Times New Roman" w:cs="Times New Roman"/>
                      <w:sz w:val="21"/>
                      <w:szCs w:val="21"/>
                    </w:rPr>
                    <w:t xml:space="preserve"> h=0.65m</w:t>
                  </w:r>
                  <w:r>
                    <w:rPr>
                      <w:rFonts w:ascii="Times New Roman" w:cs="Times New Roman" w:hAnsiTheme="minorEastAsia"/>
                      <w:sz w:val="21"/>
                      <w:szCs w:val="21"/>
                    </w:rPr>
                    <w:t>，设置粗格栅清污机</w:t>
                  </w:r>
                  <w:r>
                    <w:rPr>
                      <w:rFonts w:ascii="Times New Roman" w:hAnsi="Times New Roman" w:cs="Times New Roman"/>
                      <w:sz w:val="21"/>
                      <w:szCs w:val="21"/>
                    </w:rPr>
                    <w:t xml:space="preserve"> 1 </w:t>
                  </w:r>
                  <w:r>
                    <w:rPr>
                      <w:rFonts w:ascii="Times New Roman" w:cs="Times New Roman" w:hAnsiTheme="minorEastAsia"/>
                      <w:sz w:val="21"/>
                      <w:szCs w:val="21"/>
                    </w:rPr>
                    <w:t>台，手推渣车</w:t>
                  </w:r>
                  <w:r>
                    <w:rPr>
                      <w:rFonts w:ascii="Times New Roman" w:hAnsi="Times New Roman" w:cs="Times New Roman"/>
                      <w:sz w:val="21"/>
                      <w:szCs w:val="21"/>
                    </w:rPr>
                    <w:t>2</w:t>
                  </w:r>
                  <w:r>
                    <w:rPr>
                      <w:rFonts w:ascii="Times New Roman" w:cs="Times New Roman" w:hAnsiTheme="minorEastAsia"/>
                      <w:sz w:val="21"/>
                      <w:szCs w:val="21"/>
                    </w:rPr>
                    <w:t>辆，闸门</w:t>
                  </w:r>
                  <w:r>
                    <w:rPr>
                      <w:rFonts w:ascii="Times New Roman" w:hAnsi="Times New Roman" w:cs="Times New Roman"/>
                      <w:sz w:val="21"/>
                      <w:szCs w:val="21"/>
                    </w:rPr>
                    <w:t xml:space="preserve"> 6</w:t>
                  </w:r>
                  <w:r>
                    <w:rPr>
                      <w:rFonts w:ascii="Times New Roman" w:cs="Times New Roman" w:hAnsiTheme="minorEastAsia"/>
                      <w:sz w:val="21"/>
                      <w:szCs w:val="21"/>
                    </w:rPr>
                    <w:t>套。</w:t>
                  </w:r>
                </w:p>
              </w:tc>
              <w:tc>
                <w:tcPr>
                  <w:tcW w:w="1125" w:type="dxa"/>
                  <w:vMerge w:val="restart"/>
                  <w:vAlign w:val="center"/>
                </w:tcPr>
                <w:p>
                  <w:pPr>
                    <w:adjustRightInd w:val="0"/>
                    <w:snapToGrid w:val="0"/>
                    <w:spacing w:line="360" w:lineRule="exact"/>
                    <w:rPr>
                      <w:rFonts w:ascii="Times New Roman" w:hAnsi="Times New Roman" w:cs="Times New Roman"/>
                      <w:bCs/>
                      <w:sz w:val="21"/>
                      <w:szCs w:val="21"/>
                    </w:rPr>
                  </w:pPr>
                  <w:r>
                    <w:rPr>
                      <w:rFonts w:ascii="Times New Roman" w:cs="Times New Roman" w:hAnsiTheme="minorEastAsia"/>
                      <w:bCs/>
                      <w:sz w:val="21"/>
                      <w:szCs w:val="21"/>
                    </w:rPr>
                    <w:t>土方开挖、施工噪声、施</w:t>
                  </w:r>
                </w:p>
                <w:p>
                  <w:pPr>
                    <w:adjustRightInd w:val="0"/>
                    <w:snapToGrid w:val="0"/>
                    <w:spacing w:line="360" w:lineRule="exact"/>
                    <w:rPr>
                      <w:rFonts w:ascii="Times New Roman" w:hAnsi="Times New Roman" w:cs="Times New Roman"/>
                      <w:bCs/>
                      <w:sz w:val="21"/>
                      <w:szCs w:val="21"/>
                    </w:rPr>
                  </w:pPr>
                  <w:r>
                    <w:rPr>
                      <w:rFonts w:ascii="Times New Roman" w:cs="Times New Roman" w:hAnsiTheme="minorEastAsia"/>
                      <w:bCs/>
                      <w:sz w:val="21"/>
                      <w:szCs w:val="21"/>
                    </w:rPr>
                    <w:t>工废水、</w:t>
                  </w:r>
                </w:p>
                <w:p>
                  <w:pPr>
                    <w:adjustRightInd w:val="0"/>
                    <w:snapToGrid w:val="0"/>
                    <w:spacing w:line="360" w:lineRule="exact"/>
                    <w:rPr>
                      <w:rFonts w:ascii="Times New Roman" w:hAnsi="Times New Roman" w:cs="Times New Roman"/>
                      <w:bCs/>
                      <w:sz w:val="21"/>
                      <w:szCs w:val="21"/>
                    </w:rPr>
                  </w:pPr>
                  <w:r>
                    <w:rPr>
                      <w:rFonts w:ascii="Times New Roman" w:cs="Times New Roman" w:hAnsiTheme="minorEastAsia"/>
                      <w:bCs/>
                      <w:sz w:val="21"/>
                      <w:szCs w:val="21"/>
                    </w:rPr>
                    <w:t>生活污</w:t>
                  </w:r>
                </w:p>
                <w:p>
                  <w:pPr>
                    <w:adjustRightInd w:val="0"/>
                    <w:snapToGrid w:val="0"/>
                    <w:spacing w:line="360" w:lineRule="exact"/>
                    <w:rPr>
                      <w:rFonts w:ascii="Times New Roman" w:hAnsi="Times New Roman" w:cs="Times New Roman"/>
                      <w:bCs/>
                      <w:sz w:val="21"/>
                      <w:szCs w:val="21"/>
                    </w:rPr>
                  </w:pPr>
                  <w:r>
                    <w:rPr>
                      <w:rFonts w:ascii="Times New Roman" w:cs="Times New Roman" w:hAnsiTheme="minorEastAsia"/>
                      <w:bCs/>
                      <w:sz w:val="21"/>
                      <w:szCs w:val="21"/>
                    </w:rPr>
                    <w:t>水、施工扬尘、建</w:t>
                  </w:r>
                </w:p>
                <w:p>
                  <w:pPr>
                    <w:adjustRightInd w:val="0"/>
                    <w:snapToGrid w:val="0"/>
                    <w:spacing w:line="360" w:lineRule="exact"/>
                    <w:rPr>
                      <w:rFonts w:ascii="Times New Roman" w:hAnsi="Times New Roman" w:cs="Times New Roman"/>
                      <w:bCs/>
                      <w:sz w:val="21"/>
                      <w:szCs w:val="21"/>
                    </w:rPr>
                  </w:pPr>
                  <w:r>
                    <w:rPr>
                      <w:rFonts w:ascii="Times New Roman" w:cs="Times New Roman" w:hAnsiTheme="minorEastAsia"/>
                      <w:bCs/>
                      <w:sz w:val="21"/>
                      <w:szCs w:val="21"/>
                    </w:rPr>
                    <w:t>筑垃圾、</w:t>
                  </w:r>
                </w:p>
                <w:p>
                  <w:pPr>
                    <w:adjustRightInd w:val="0"/>
                    <w:snapToGrid w:val="0"/>
                    <w:spacing w:line="360" w:lineRule="exact"/>
                    <w:rPr>
                      <w:rFonts w:ascii="Times New Roman" w:hAnsi="Times New Roman" w:cs="Times New Roman"/>
                      <w:bCs/>
                      <w:sz w:val="21"/>
                      <w:szCs w:val="21"/>
                    </w:rPr>
                  </w:pPr>
                  <w:r>
                    <w:rPr>
                      <w:rFonts w:ascii="Times New Roman" w:cs="Times New Roman" w:hAnsiTheme="minorEastAsia"/>
                      <w:bCs/>
                      <w:sz w:val="21"/>
                      <w:szCs w:val="21"/>
                    </w:rPr>
                    <w:t>汽车尾</w:t>
                  </w:r>
                </w:p>
                <w:p>
                  <w:pPr>
                    <w:adjustRightInd w:val="0"/>
                    <w:snapToGrid w:val="0"/>
                    <w:spacing w:line="360" w:lineRule="exact"/>
                    <w:rPr>
                      <w:rFonts w:ascii="Times New Roman" w:hAnsi="Times New Roman" w:cs="Times New Roman"/>
                      <w:sz w:val="21"/>
                      <w:szCs w:val="21"/>
                    </w:rPr>
                  </w:pPr>
                  <w:r>
                    <w:rPr>
                      <w:rFonts w:ascii="Times New Roman" w:cs="Times New Roman" w:hAnsiTheme="minorEastAsia"/>
                      <w:bCs/>
                      <w:sz w:val="21"/>
                      <w:szCs w:val="21"/>
                    </w:rPr>
                    <w:t>气、水土流失等主要环境问题。</w:t>
                  </w:r>
                </w:p>
              </w:tc>
              <w:tc>
                <w:tcPr>
                  <w:tcW w:w="0" w:type="auto"/>
                  <w:vMerge w:val="restart"/>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噪</w:t>
                  </w:r>
                </w:p>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声、恶</w:t>
                  </w:r>
                </w:p>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臭、</w:t>
                  </w:r>
                </w:p>
                <w:p>
                  <w:pPr>
                    <w:adjustRightInd w:val="0"/>
                    <w:snapToGrid w:val="0"/>
                    <w:spacing w:line="360" w:lineRule="exact"/>
                    <w:rPr>
                      <w:rFonts w:ascii="Times New Roman" w:cs="Times New Roman" w:hAnsiTheme="minorEastAsia"/>
                      <w:sz w:val="21"/>
                      <w:szCs w:val="21"/>
                    </w:rPr>
                  </w:pPr>
                  <w:r>
                    <w:rPr>
                      <w:rFonts w:ascii="Times New Roman" w:cs="Times New Roman" w:hAnsiTheme="minorEastAsia"/>
                      <w:sz w:val="21"/>
                      <w:szCs w:val="21"/>
                    </w:rPr>
                    <w:t>废水、</w:t>
                  </w:r>
                </w:p>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Align w:val="center"/>
                </w:tcPr>
                <w:p>
                  <w:pPr>
                    <w:pStyle w:val="43"/>
                    <w:snapToGrid w:val="0"/>
                    <w:spacing w:line="360" w:lineRule="exact"/>
                    <w:ind w:firstLine="0"/>
                    <w:jc w:val="center"/>
                    <w:rPr>
                      <w:rFonts w:ascii="Times New Roman" w:eastAsiaTheme="minorEastAsia"/>
                      <w:bCs/>
                      <w:sz w:val="21"/>
                      <w:szCs w:val="21"/>
                    </w:rPr>
                  </w:pPr>
                  <w:r>
                    <w:rPr>
                      <w:rFonts w:ascii="Times New Roman" w:hAnsiTheme="minorEastAsia" w:eastAsiaTheme="minorEastAsia"/>
                      <w:sz w:val="21"/>
                      <w:szCs w:val="21"/>
                    </w:rPr>
                    <w:t>调节池</w:t>
                  </w:r>
                  <w:r>
                    <w:rPr>
                      <w:rFonts w:ascii="Times New Roman" w:eastAsiaTheme="minorEastAsia"/>
                      <w:sz w:val="21"/>
                      <w:szCs w:val="21"/>
                    </w:rPr>
                    <w:t>1</w:t>
                  </w:r>
                </w:p>
              </w:tc>
              <w:tc>
                <w:tcPr>
                  <w:tcW w:w="4387" w:type="dxa"/>
                  <w:vAlign w:val="center"/>
                </w:tcPr>
                <w:p>
                  <w:pPr>
                    <w:pStyle w:val="43"/>
                    <w:snapToGrid w:val="0"/>
                    <w:spacing w:line="360" w:lineRule="exact"/>
                    <w:ind w:firstLine="0"/>
                    <w:jc w:val="left"/>
                    <w:rPr>
                      <w:rFonts w:ascii="Times New Roman" w:eastAsiaTheme="minorEastAsia"/>
                      <w:sz w:val="21"/>
                      <w:szCs w:val="21"/>
                    </w:rPr>
                  </w:pPr>
                  <w:r>
                    <w:rPr>
                      <w:rFonts w:ascii="Times New Roman" w:eastAsiaTheme="minorEastAsia"/>
                      <w:sz w:val="21"/>
                      <w:szCs w:val="21"/>
                    </w:rPr>
                    <w:t>1</w:t>
                  </w:r>
                  <w:r>
                    <w:rPr>
                      <w:rFonts w:ascii="Times New Roman" w:hAnsiTheme="minorEastAsia" w:eastAsiaTheme="minorEastAsia"/>
                      <w:sz w:val="21"/>
                      <w:szCs w:val="21"/>
                    </w:rPr>
                    <w:t>座，</w:t>
                  </w:r>
                  <w:r>
                    <w:rPr>
                      <w:rFonts w:ascii="Times New Roman" w:eastAsiaTheme="minorEastAsia"/>
                      <w:sz w:val="21"/>
                      <w:szCs w:val="21"/>
                    </w:rPr>
                    <w:t>1</w:t>
                  </w:r>
                  <w:r>
                    <w:rPr>
                      <w:rFonts w:ascii="Times New Roman" w:hAnsiTheme="minorEastAsia" w:eastAsiaTheme="minorEastAsia"/>
                      <w:sz w:val="21"/>
                      <w:szCs w:val="21"/>
                    </w:rPr>
                    <w:t>格，钢砼结构，构筑物尺寸：</w:t>
                  </w:r>
                  <w:r>
                    <w:rPr>
                      <w:rFonts w:ascii="Times New Roman" w:eastAsiaTheme="minorEastAsia"/>
                      <w:sz w:val="21"/>
                      <w:szCs w:val="21"/>
                    </w:rPr>
                    <w:t>L×B×H =13.7m×7.0m×8.0m+18.35m×21.7m×8.0m</w:t>
                  </w:r>
                  <w:r>
                    <w:rPr>
                      <w:rFonts w:ascii="Times New Roman" w:hAnsiTheme="minorEastAsia" w:eastAsiaTheme="minorEastAsia"/>
                      <w:sz w:val="21"/>
                      <w:szCs w:val="21"/>
                    </w:rPr>
                    <w:t>；设计处理能力：池体</w:t>
                  </w:r>
                  <w:r>
                    <w:rPr>
                      <w:rFonts w:ascii="Times New Roman" w:eastAsiaTheme="minorEastAsia"/>
                      <w:sz w:val="21"/>
                      <w:szCs w:val="21"/>
                    </w:rPr>
                    <w:t>20000m³/d</w:t>
                  </w:r>
                  <w:r>
                    <w:rPr>
                      <w:rFonts w:ascii="Times New Roman" w:hAnsiTheme="minorEastAsia" w:eastAsiaTheme="minorEastAsia"/>
                      <w:sz w:val="21"/>
                      <w:szCs w:val="21"/>
                    </w:rPr>
                    <w:t>，</w:t>
                  </w:r>
                  <w:r>
                    <w:rPr>
                      <w:rFonts w:ascii="Times New Roman" w:eastAsiaTheme="minorEastAsia"/>
                      <w:sz w:val="21"/>
                      <w:szCs w:val="21"/>
                    </w:rPr>
                    <w:t>833.3m³/h</w:t>
                  </w:r>
                  <w:r>
                    <w:rPr>
                      <w:rFonts w:ascii="Times New Roman" w:hAnsiTheme="minorEastAsia" w:eastAsiaTheme="minorEastAsia"/>
                      <w:sz w:val="21"/>
                      <w:szCs w:val="21"/>
                    </w:rPr>
                    <w:t>；设备</w:t>
                  </w:r>
                  <w:r>
                    <w:rPr>
                      <w:rFonts w:ascii="Times New Roman" w:eastAsiaTheme="minorEastAsia"/>
                      <w:sz w:val="21"/>
                      <w:szCs w:val="21"/>
                    </w:rPr>
                    <w:t>10000m³/d</w:t>
                  </w:r>
                  <w:r>
                    <w:rPr>
                      <w:rFonts w:ascii="Times New Roman" w:hAnsiTheme="minorEastAsia" w:eastAsiaTheme="minorEastAsia"/>
                      <w:sz w:val="21"/>
                      <w:szCs w:val="21"/>
                    </w:rPr>
                    <w:t>，</w:t>
                  </w:r>
                  <w:r>
                    <w:rPr>
                      <w:rFonts w:ascii="Times New Roman" w:eastAsiaTheme="minorEastAsia"/>
                      <w:sz w:val="21"/>
                      <w:szCs w:val="21"/>
                    </w:rPr>
                    <w:t>416.7m³/d</w:t>
                  </w:r>
                  <w:r>
                    <w:rPr>
                      <w:rFonts w:ascii="Times New Roman" w:hAnsiTheme="minorEastAsia" w:eastAsiaTheme="minorEastAsia"/>
                      <w:sz w:val="21"/>
                      <w:szCs w:val="21"/>
                    </w:rPr>
                    <w:t>；设置潜污泵</w:t>
                  </w:r>
                  <w:r>
                    <w:rPr>
                      <w:rFonts w:ascii="Times New Roman" w:eastAsiaTheme="minorEastAsia"/>
                      <w:sz w:val="21"/>
                      <w:szCs w:val="21"/>
                    </w:rPr>
                    <w:t xml:space="preserve"> 3 </w:t>
                  </w:r>
                  <w:r>
                    <w:rPr>
                      <w:rFonts w:ascii="Times New Roman" w:hAnsiTheme="minorEastAsia" w:eastAsiaTheme="minorEastAsia"/>
                      <w:sz w:val="21"/>
                      <w:szCs w:val="21"/>
                    </w:rPr>
                    <w:t>台（</w:t>
                  </w:r>
                  <w:r>
                    <w:rPr>
                      <w:rFonts w:ascii="Times New Roman" w:eastAsiaTheme="minorEastAsia"/>
                      <w:sz w:val="21"/>
                      <w:szCs w:val="21"/>
                    </w:rPr>
                    <w:t xml:space="preserve">1 </w:t>
                  </w:r>
                  <w:r>
                    <w:rPr>
                      <w:rFonts w:ascii="Times New Roman" w:hAnsiTheme="minorEastAsia" w:eastAsiaTheme="minorEastAsia"/>
                      <w:sz w:val="21"/>
                      <w:szCs w:val="21"/>
                    </w:rPr>
                    <w:t>用</w:t>
                  </w:r>
                  <w:r>
                    <w:rPr>
                      <w:rFonts w:ascii="Times New Roman" w:eastAsiaTheme="minorEastAsia"/>
                      <w:sz w:val="21"/>
                      <w:szCs w:val="21"/>
                    </w:rPr>
                    <w:t xml:space="preserve"> 2 </w:t>
                  </w:r>
                  <w:r>
                    <w:rPr>
                      <w:rFonts w:ascii="Times New Roman" w:hAnsiTheme="minorEastAsia" w:eastAsiaTheme="minorEastAsia"/>
                      <w:sz w:val="21"/>
                      <w:szCs w:val="21"/>
                    </w:rPr>
                    <w:t>备）；</w:t>
                  </w:r>
                </w:p>
              </w:tc>
              <w:tc>
                <w:tcPr>
                  <w:tcW w:w="1125" w:type="dxa"/>
                  <w:vMerge w:val="continue"/>
                  <w:vAlign w:val="center"/>
                </w:tcPr>
                <w:p>
                  <w:pPr>
                    <w:pStyle w:val="43"/>
                    <w:snapToGrid w:val="0"/>
                    <w:spacing w:line="360" w:lineRule="exact"/>
                    <w:ind w:firstLine="0"/>
                    <w:jc w:val="left"/>
                    <w:rPr>
                      <w:rFonts w:ascii="Times New Roman" w:eastAsiaTheme="minorEastAsia"/>
                      <w:bCs/>
                      <w:sz w:val="21"/>
                      <w:szCs w:val="21"/>
                    </w:rPr>
                  </w:pPr>
                </w:p>
              </w:tc>
              <w:tc>
                <w:tcPr>
                  <w:tcW w:w="0" w:type="auto"/>
                  <w:vMerge w:val="continue"/>
                  <w:vAlign w:val="center"/>
                </w:tcPr>
                <w:p>
                  <w:pPr>
                    <w:adjustRightInd w:val="0"/>
                    <w:snapToGrid w:val="0"/>
                    <w:spacing w:line="360" w:lineRule="exact"/>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Merge w:val="restart"/>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kern w:val="0"/>
                      <w:sz w:val="21"/>
                      <w:szCs w:val="21"/>
                    </w:rPr>
                    <w:t>加氯加药间及调节池</w:t>
                  </w:r>
                </w:p>
              </w:tc>
              <w:tc>
                <w:tcPr>
                  <w:tcW w:w="0" w:type="auto"/>
                  <w:vAlign w:val="center"/>
                </w:tcPr>
                <w:p>
                  <w:pPr>
                    <w:pStyle w:val="43"/>
                    <w:snapToGrid w:val="0"/>
                    <w:spacing w:line="360" w:lineRule="exact"/>
                    <w:ind w:firstLine="0"/>
                    <w:jc w:val="center"/>
                    <w:rPr>
                      <w:rFonts w:ascii="Times New Roman" w:eastAsiaTheme="minorEastAsia"/>
                      <w:bCs/>
                      <w:sz w:val="21"/>
                      <w:szCs w:val="21"/>
                    </w:rPr>
                  </w:pPr>
                  <w:r>
                    <w:rPr>
                      <w:rFonts w:ascii="Times New Roman" w:hAnsiTheme="minorEastAsia" w:eastAsiaTheme="minorEastAsia"/>
                      <w:sz w:val="21"/>
                      <w:szCs w:val="21"/>
                    </w:rPr>
                    <w:t>调节池</w:t>
                  </w:r>
                  <w:r>
                    <w:rPr>
                      <w:rFonts w:ascii="Times New Roman" w:eastAsiaTheme="minorEastAsia"/>
                      <w:sz w:val="21"/>
                      <w:szCs w:val="21"/>
                    </w:rPr>
                    <w:t>2</w:t>
                  </w:r>
                </w:p>
              </w:tc>
              <w:tc>
                <w:tcPr>
                  <w:tcW w:w="4387" w:type="dxa"/>
                  <w:vAlign w:val="center"/>
                </w:tcPr>
                <w:p>
                  <w:pPr>
                    <w:pStyle w:val="43"/>
                    <w:snapToGrid w:val="0"/>
                    <w:spacing w:line="360" w:lineRule="exact"/>
                    <w:ind w:firstLine="0"/>
                    <w:jc w:val="left"/>
                    <w:rPr>
                      <w:rFonts w:ascii="Times New Roman" w:eastAsiaTheme="minorEastAsia"/>
                      <w:bCs/>
                      <w:sz w:val="21"/>
                      <w:szCs w:val="21"/>
                    </w:rPr>
                  </w:pPr>
                  <w:r>
                    <w:rPr>
                      <w:rFonts w:ascii="Times New Roman" w:eastAsiaTheme="minorEastAsia"/>
                      <w:sz w:val="21"/>
                      <w:szCs w:val="21"/>
                    </w:rPr>
                    <w:t>1</w:t>
                  </w:r>
                  <w:r>
                    <w:rPr>
                      <w:rFonts w:ascii="Times New Roman" w:hAnsiTheme="minorEastAsia" w:eastAsiaTheme="minorEastAsia"/>
                      <w:sz w:val="21"/>
                      <w:szCs w:val="21"/>
                    </w:rPr>
                    <w:t>座，</w:t>
                  </w:r>
                  <w:r>
                    <w:rPr>
                      <w:rFonts w:ascii="Times New Roman" w:eastAsiaTheme="minorEastAsia"/>
                      <w:sz w:val="21"/>
                      <w:szCs w:val="21"/>
                    </w:rPr>
                    <w:t>1</w:t>
                  </w:r>
                  <w:r>
                    <w:rPr>
                      <w:rFonts w:ascii="Times New Roman" w:hAnsiTheme="minorEastAsia" w:eastAsiaTheme="minorEastAsia"/>
                      <w:sz w:val="21"/>
                      <w:szCs w:val="21"/>
                    </w:rPr>
                    <w:t>格，钢砼结构，构筑物尺寸：</w:t>
                  </w:r>
                  <w:r>
                    <w:rPr>
                      <w:rFonts w:ascii="Times New Roman" w:eastAsiaTheme="minorEastAsia"/>
                      <w:sz w:val="21"/>
                      <w:szCs w:val="21"/>
                    </w:rPr>
                    <w:t>L×B×H =22.2m×12.0m×9.95m</w:t>
                  </w:r>
                  <w:r>
                    <w:rPr>
                      <w:rFonts w:ascii="Times New Roman" w:hAnsiTheme="minorEastAsia" w:eastAsiaTheme="minorEastAsia"/>
                      <w:sz w:val="21"/>
                      <w:szCs w:val="21"/>
                    </w:rPr>
                    <w:t>；设计处理能力：池体</w:t>
                  </w:r>
                  <w:r>
                    <w:rPr>
                      <w:rFonts w:ascii="Times New Roman" w:eastAsiaTheme="minorEastAsia"/>
                      <w:sz w:val="21"/>
                      <w:szCs w:val="21"/>
                    </w:rPr>
                    <w:t>20000m³/d</w:t>
                  </w:r>
                  <w:r>
                    <w:rPr>
                      <w:rFonts w:ascii="Times New Roman" w:hAnsiTheme="minorEastAsia" w:eastAsiaTheme="minorEastAsia"/>
                      <w:sz w:val="21"/>
                      <w:szCs w:val="21"/>
                    </w:rPr>
                    <w:t>，</w:t>
                  </w:r>
                  <w:r>
                    <w:rPr>
                      <w:rFonts w:ascii="Times New Roman" w:eastAsiaTheme="minorEastAsia"/>
                      <w:sz w:val="21"/>
                      <w:szCs w:val="21"/>
                    </w:rPr>
                    <w:t>833.3m³/h</w:t>
                  </w:r>
                  <w:r>
                    <w:rPr>
                      <w:rFonts w:ascii="Times New Roman" w:hAnsiTheme="minorEastAsia" w:eastAsiaTheme="minorEastAsia"/>
                      <w:sz w:val="21"/>
                      <w:szCs w:val="21"/>
                    </w:rPr>
                    <w:t>；设备</w:t>
                  </w:r>
                  <w:r>
                    <w:rPr>
                      <w:rFonts w:ascii="Times New Roman" w:eastAsiaTheme="minorEastAsia"/>
                      <w:sz w:val="21"/>
                      <w:szCs w:val="21"/>
                    </w:rPr>
                    <w:t>10000m³/d</w:t>
                  </w:r>
                  <w:r>
                    <w:rPr>
                      <w:rFonts w:ascii="Times New Roman" w:hAnsiTheme="minorEastAsia" w:eastAsiaTheme="minorEastAsia"/>
                      <w:sz w:val="21"/>
                      <w:szCs w:val="21"/>
                    </w:rPr>
                    <w:t>，</w:t>
                  </w:r>
                  <w:r>
                    <w:rPr>
                      <w:rFonts w:ascii="Times New Roman" w:eastAsiaTheme="minorEastAsia"/>
                      <w:sz w:val="21"/>
                      <w:szCs w:val="21"/>
                    </w:rPr>
                    <w:t>416.7m³/h</w:t>
                  </w:r>
                  <w:r>
                    <w:rPr>
                      <w:rFonts w:ascii="Times New Roman" w:hAnsiTheme="minorEastAsia" w:eastAsiaTheme="minorEastAsia"/>
                      <w:sz w:val="21"/>
                      <w:szCs w:val="21"/>
                    </w:rPr>
                    <w:t>；设置潜污泵</w:t>
                  </w:r>
                  <w:r>
                    <w:rPr>
                      <w:rFonts w:ascii="Times New Roman" w:eastAsiaTheme="minorEastAsia"/>
                      <w:sz w:val="21"/>
                      <w:szCs w:val="21"/>
                    </w:rPr>
                    <w:t xml:space="preserve"> 3 </w:t>
                  </w:r>
                  <w:r>
                    <w:rPr>
                      <w:rFonts w:ascii="Times New Roman" w:hAnsiTheme="minorEastAsia" w:eastAsiaTheme="minorEastAsia"/>
                      <w:sz w:val="21"/>
                      <w:szCs w:val="21"/>
                    </w:rPr>
                    <w:t>台（</w:t>
                  </w:r>
                  <w:r>
                    <w:rPr>
                      <w:rFonts w:ascii="Times New Roman" w:eastAsiaTheme="minorEastAsia"/>
                      <w:sz w:val="21"/>
                      <w:szCs w:val="21"/>
                    </w:rPr>
                    <w:t xml:space="preserve">1 </w:t>
                  </w:r>
                  <w:r>
                    <w:rPr>
                      <w:rFonts w:ascii="Times New Roman" w:hAnsiTheme="minorEastAsia" w:eastAsiaTheme="minorEastAsia"/>
                      <w:sz w:val="21"/>
                      <w:szCs w:val="21"/>
                    </w:rPr>
                    <w:t>用</w:t>
                  </w:r>
                  <w:r>
                    <w:rPr>
                      <w:rFonts w:ascii="Times New Roman" w:eastAsiaTheme="minorEastAsia"/>
                      <w:sz w:val="21"/>
                      <w:szCs w:val="21"/>
                    </w:rPr>
                    <w:t xml:space="preserve"> 2 </w:t>
                  </w:r>
                  <w:r>
                    <w:rPr>
                      <w:rFonts w:ascii="Times New Roman" w:hAnsiTheme="minorEastAsia" w:eastAsiaTheme="minorEastAsia"/>
                      <w:sz w:val="21"/>
                      <w:szCs w:val="21"/>
                    </w:rPr>
                    <w:t>备）；</w:t>
                  </w:r>
                </w:p>
              </w:tc>
              <w:tc>
                <w:tcPr>
                  <w:tcW w:w="1125" w:type="dxa"/>
                  <w:vMerge w:val="continue"/>
                  <w:vAlign w:val="center"/>
                </w:tcPr>
                <w:p>
                  <w:pPr>
                    <w:pStyle w:val="43"/>
                    <w:snapToGrid w:val="0"/>
                    <w:spacing w:line="360" w:lineRule="exact"/>
                    <w:ind w:firstLine="0"/>
                    <w:jc w:val="left"/>
                    <w:rPr>
                      <w:rFonts w:ascii="Times New Roman" w:eastAsiaTheme="minorEastAsia"/>
                      <w:bCs/>
                      <w:sz w:val="21"/>
                      <w:szCs w:val="21"/>
                    </w:rPr>
                  </w:pPr>
                </w:p>
              </w:tc>
              <w:tc>
                <w:tcPr>
                  <w:tcW w:w="0" w:type="auto"/>
                  <w:vMerge w:val="continue"/>
                  <w:vAlign w:val="center"/>
                </w:tcPr>
                <w:p>
                  <w:pPr>
                    <w:adjustRightInd w:val="0"/>
                    <w:snapToGrid w:val="0"/>
                    <w:spacing w:line="360" w:lineRule="exact"/>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Align w:val="center"/>
                </w:tcPr>
                <w:p>
                  <w:pPr>
                    <w:pStyle w:val="43"/>
                    <w:snapToGrid w:val="0"/>
                    <w:spacing w:line="360" w:lineRule="exact"/>
                    <w:ind w:firstLine="0"/>
                    <w:jc w:val="center"/>
                    <w:rPr>
                      <w:rFonts w:ascii="Times New Roman" w:eastAsiaTheme="minorEastAsia"/>
                      <w:bCs/>
                      <w:sz w:val="21"/>
                      <w:szCs w:val="21"/>
                    </w:rPr>
                  </w:pPr>
                  <w:r>
                    <w:rPr>
                      <w:rFonts w:ascii="Times New Roman" w:hAnsiTheme="minorEastAsia" w:eastAsiaTheme="minorEastAsia"/>
                      <w:sz w:val="21"/>
                      <w:szCs w:val="21"/>
                    </w:rPr>
                    <w:t>加氯加药间</w:t>
                  </w:r>
                </w:p>
              </w:tc>
              <w:tc>
                <w:tcPr>
                  <w:tcW w:w="4387" w:type="dxa"/>
                  <w:vAlign w:val="center"/>
                </w:tcPr>
                <w:p>
                  <w:pPr>
                    <w:pStyle w:val="43"/>
                    <w:snapToGrid w:val="0"/>
                    <w:spacing w:line="360" w:lineRule="exact"/>
                    <w:ind w:firstLine="0"/>
                    <w:jc w:val="left"/>
                    <w:rPr>
                      <w:rFonts w:ascii="Times New Roman" w:eastAsiaTheme="minorEastAsia"/>
                      <w:bCs/>
                      <w:sz w:val="21"/>
                      <w:szCs w:val="21"/>
                    </w:rPr>
                  </w:pPr>
                  <w:r>
                    <w:rPr>
                      <w:rFonts w:ascii="Times New Roman" w:eastAsiaTheme="minorEastAsia"/>
                      <w:sz w:val="21"/>
                      <w:szCs w:val="21"/>
                    </w:rPr>
                    <w:t>1</w:t>
                  </w:r>
                  <w:r>
                    <w:rPr>
                      <w:rFonts w:ascii="Times New Roman" w:hAnsiTheme="minorEastAsia" w:eastAsiaTheme="minorEastAsia"/>
                      <w:sz w:val="21"/>
                      <w:szCs w:val="21"/>
                    </w:rPr>
                    <w:t>栋，</w:t>
                  </w:r>
                  <w:r>
                    <w:rPr>
                      <w:rFonts w:ascii="Times New Roman" w:eastAsiaTheme="minorEastAsia"/>
                      <w:sz w:val="21"/>
                      <w:szCs w:val="21"/>
                    </w:rPr>
                    <w:t>1F</w:t>
                  </w:r>
                  <w:r>
                    <w:rPr>
                      <w:rFonts w:ascii="Times New Roman" w:hAnsiTheme="minorEastAsia" w:eastAsiaTheme="minorEastAsia"/>
                      <w:sz w:val="21"/>
                      <w:szCs w:val="21"/>
                    </w:rPr>
                    <w:t>，框架结构，位于调节池</w:t>
                  </w:r>
                  <w:r>
                    <w:rPr>
                      <w:rFonts w:ascii="Times New Roman" w:eastAsiaTheme="minorEastAsia"/>
                      <w:sz w:val="21"/>
                      <w:szCs w:val="21"/>
                    </w:rPr>
                    <w:t>2</w:t>
                  </w:r>
                  <w:r>
                    <w:rPr>
                      <w:rFonts w:ascii="Times New Roman" w:hAnsiTheme="minorEastAsia" w:eastAsiaTheme="minorEastAsia"/>
                      <w:sz w:val="21"/>
                      <w:szCs w:val="21"/>
                    </w:rPr>
                    <w:t>上，建筑面积约为</w:t>
                  </w:r>
                  <w:r>
                    <w:rPr>
                      <w:rFonts w:ascii="Times New Roman" w:eastAsiaTheme="minorEastAsia"/>
                      <w:sz w:val="21"/>
                      <w:szCs w:val="21"/>
                    </w:rPr>
                    <w:t>183 m</w:t>
                  </w:r>
                  <w:r>
                    <w:rPr>
                      <w:rFonts w:ascii="Times New Roman" w:eastAsiaTheme="minorEastAsia"/>
                      <w:sz w:val="21"/>
                      <w:szCs w:val="21"/>
                      <w:vertAlign w:val="superscript"/>
                    </w:rPr>
                    <w:t>2</w:t>
                  </w:r>
                  <w:r>
                    <w:rPr>
                      <w:rFonts w:ascii="Times New Roman" w:hAnsiTheme="minorEastAsia" w:eastAsiaTheme="minorEastAsia"/>
                      <w:sz w:val="21"/>
                      <w:szCs w:val="21"/>
                    </w:rPr>
                    <w:t>；自动投加提供</w:t>
                  </w:r>
                  <w:r>
                    <w:rPr>
                      <w:rFonts w:ascii="Times New Roman" w:eastAsiaTheme="minorEastAsia"/>
                      <w:sz w:val="21"/>
                      <w:szCs w:val="21"/>
                    </w:rPr>
                    <w:t>PAC</w:t>
                  </w:r>
                  <w:r>
                    <w:rPr>
                      <w:rFonts w:ascii="Times New Roman" w:hAnsiTheme="minorEastAsia" w:eastAsiaTheme="minorEastAsia"/>
                      <w:sz w:val="21"/>
                      <w:szCs w:val="21"/>
                    </w:rPr>
                    <w:t>、</w:t>
                  </w:r>
                  <w:r>
                    <w:rPr>
                      <w:rFonts w:ascii="Times New Roman" w:eastAsiaTheme="minorEastAsia"/>
                      <w:sz w:val="21"/>
                      <w:szCs w:val="21"/>
                    </w:rPr>
                    <w:t>PAM</w:t>
                  </w:r>
                  <w:r>
                    <w:rPr>
                      <w:rFonts w:ascii="Times New Roman" w:hAnsiTheme="minorEastAsia" w:eastAsiaTheme="minorEastAsia"/>
                      <w:sz w:val="21"/>
                      <w:szCs w:val="21"/>
                    </w:rPr>
                    <w:t>及次氯酸钠；设置</w:t>
                  </w:r>
                  <w:r>
                    <w:rPr>
                      <w:rFonts w:ascii="Times New Roman" w:eastAsiaTheme="minorEastAsia"/>
                      <w:sz w:val="21"/>
                      <w:szCs w:val="21"/>
                    </w:rPr>
                    <w:t>4</w:t>
                  </w:r>
                  <w:r>
                    <w:rPr>
                      <w:rFonts w:ascii="Times New Roman" w:hAnsiTheme="minorEastAsia" w:eastAsiaTheme="minorEastAsia"/>
                      <w:sz w:val="21"/>
                      <w:szCs w:val="21"/>
                    </w:rPr>
                    <w:t>台反应搅拌机、次氯酸钠发生器</w:t>
                  </w:r>
                  <w:r>
                    <w:rPr>
                      <w:rFonts w:ascii="Times New Roman" w:eastAsiaTheme="minorEastAsia"/>
                      <w:sz w:val="21"/>
                      <w:szCs w:val="21"/>
                    </w:rPr>
                    <w:t>5</w:t>
                  </w:r>
                  <w:r>
                    <w:rPr>
                      <w:rFonts w:ascii="Times New Roman" w:hAnsiTheme="minorEastAsia" w:eastAsiaTheme="minorEastAsia"/>
                      <w:sz w:val="21"/>
                      <w:szCs w:val="21"/>
                    </w:rPr>
                    <w:t>台，</w:t>
                  </w:r>
                  <w:r>
                    <w:rPr>
                      <w:rFonts w:ascii="Times New Roman" w:eastAsiaTheme="minorEastAsia"/>
                      <w:sz w:val="21"/>
                      <w:szCs w:val="21"/>
                    </w:rPr>
                    <w:t>1</w:t>
                  </w:r>
                  <w:r>
                    <w:rPr>
                      <w:rFonts w:ascii="Times New Roman" w:hAnsiTheme="minorEastAsia" w:eastAsiaTheme="minorEastAsia"/>
                      <w:sz w:val="21"/>
                      <w:szCs w:val="21"/>
                    </w:rPr>
                    <w:t>期</w:t>
                  </w:r>
                  <w:r>
                    <w:rPr>
                      <w:rFonts w:ascii="Times New Roman" w:eastAsiaTheme="minorEastAsia"/>
                      <w:sz w:val="21"/>
                      <w:szCs w:val="21"/>
                    </w:rPr>
                    <w:t>1</w:t>
                  </w:r>
                  <w:r>
                    <w:rPr>
                      <w:rFonts w:ascii="Times New Roman" w:hAnsiTheme="minorEastAsia" w:eastAsiaTheme="minorEastAsia"/>
                      <w:sz w:val="21"/>
                      <w:szCs w:val="21"/>
                    </w:rPr>
                    <w:t>用</w:t>
                  </w:r>
                  <w:r>
                    <w:rPr>
                      <w:rFonts w:ascii="Times New Roman" w:eastAsiaTheme="minorEastAsia"/>
                      <w:sz w:val="21"/>
                      <w:szCs w:val="21"/>
                    </w:rPr>
                    <w:t>1</w:t>
                  </w:r>
                  <w:r>
                    <w:rPr>
                      <w:rFonts w:ascii="Times New Roman" w:hAnsiTheme="minorEastAsia" w:eastAsiaTheme="minorEastAsia"/>
                      <w:sz w:val="21"/>
                      <w:szCs w:val="21"/>
                    </w:rPr>
                    <w:t>备，</w:t>
                  </w:r>
                  <w:r>
                    <w:rPr>
                      <w:rFonts w:ascii="Times New Roman" w:eastAsiaTheme="minorEastAsia"/>
                      <w:sz w:val="21"/>
                      <w:szCs w:val="21"/>
                    </w:rPr>
                    <w:t>2</w:t>
                  </w:r>
                  <w:r>
                    <w:rPr>
                      <w:rFonts w:ascii="Times New Roman" w:hAnsiTheme="minorEastAsia" w:eastAsiaTheme="minorEastAsia"/>
                      <w:sz w:val="21"/>
                      <w:szCs w:val="21"/>
                    </w:rPr>
                    <w:t>期</w:t>
                  </w:r>
                  <w:r>
                    <w:rPr>
                      <w:rFonts w:ascii="Times New Roman" w:eastAsiaTheme="minorEastAsia"/>
                      <w:sz w:val="21"/>
                      <w:szCs w:val="21"/>
                    </w:rPr>
                    <w:t>2</w:t>
                  </w:r>
                  <w:r>
                    <w:rPr>
                      <w:rFonts w:ascii="Times New Roman" w:hAnsiTheme="minorEastAsia" w:eastAsiaTheme="minorEastAsia"/>
                      <w:sz w:val="21"/>
                      <w:szCs w:val="21"/>
                    </w:rPr>
                    <w:t>用</w:t>
                  </w:r>
                  <w:r>
                    <w:rPr>
                      <w:rFonts w:ascii="Times New Roman" w:eastAsiaTheme="minorEastAsia"/>
                      <w:sz w:val="21"/>
                      <w:szCs w:val="21"/>
                    </w:rPr>
                    <w:t>1</w:t>
                  </w:r>
                  <w:r>
                    <w:rPr>
                      <w:rFonts w:ascii="Times New Roman" w:hAnsiTheme="minorEastAsia" w:eastAsiaTheme="minorEastAsia"/>
                      <w:sz w:val="21"/>
                      <w:szCs w:val="21"/>
                    </w:rPr>
                    <w:t>备以及计量泵等；</w:t>
                  </w:r>
                </w:p>
              </w:tc>
              <w:tc>
                <w:tcPr>
                  <w:tcW w:w="1125" w:type="dxa"/>
                  <w:vMerge w:val="continue"/>
                  <w:vAlign w:val="center"/>
                </w:tcPr>
                <w:p>
                  <w:pPr>
                    <w:pStyle w:val="43"/>
                    <w:snapToGrid w:val="0"/>
                    <w:spacing w:line="360" w:lineRule="exact"/>
                    <w:ind w:firstLine="0"/>
                    <w:jc w:val="left"/>
                    <w:rPr>
                      <w:rFonts w:ascii="Times New Roman" w:eastAsiaTheme="minorEastAsia"/>
                      <w:bCs/>
                      <w:sz w:val="21"/>
                      <w:szCs w:val="21"/>
                    </w:rPr>
                  </w:pPr>
                </w:p>
              </w:tc>
              <w:tc>
                <w:tcPr>
                  <w:tcW w:w="0" w:type="auto"/>
                  <w:vMerge w:val="continue"/>
                  <w:vAlign w:val="center"/>
                </w:tcPr>
                <w:p>
                  <w:pPr>
                    <w:adjustRightInd w:val="0"/>
                    <w:snapToGrid w:val="0"/>
                    <w:spacing w:line="360" w:lineRule="exact"/>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kern w:val="0"/>
                      <w:sz w:val="21"/>
                      <w:szCs w:val="21"/>
                    </w:rPr>
                    <w:t>细格栅及旋流沉砂池</w:t>
                  </w:r>
                </w:p>
              </w:tc>
              <w:tc>
                <w:tcPr>
                  <w:tcW w:w="4897" w:type="dxa"/>
                  <w:gridSpan w:val="2"/>
                  <w:vAlign w:val="center"/>
                </w:tcPr>
                <w:p>
                  <w:pPr>
                    <w:pStyle w:val="43"/>
                    <w:snapToGrid w:val="0"/>
                    <w:spacing w:line="360" w:lineRule="exact"/>
                    <w:ind w:firstLine="0"/>
                    <w:jc w:val="left"/>
                    <w:rPr>
                      <w:rFonts w:ascii="Times New Roman" w:eastAsiaTheme="minorEastAsia"/>
                      <w:bCs/>
                      <w:sz w:val="21"/>
                      <w:szCs w:val="21"/>
                    </w:rPr>
                  </w:pPr>
                  <w:r>
                    <w:rPr>
                      <w:rFonts w:ascii="Times New Roman" w:eastAsiaTheme="minorEastAsia"/>
                      <w:sz w:val="21"/>
                      <w:szCs w:val="21"/>
                    </w:rPr>
                    <w:t>1</w:t>
                  </w:r>
                  <w:r>
                    <w:rPr>
                      <w:rFonts w:ascii="Times New Roman" w:hAnsiTheme="minorEastAsia" w:eastAsiaTheme="minorEastAsia"/>
                      <w:sz w:val="21"/>
                      <w:szCs w:val="21"/>
                    </w:rPr>
                    <w:t>座，</w:t>
                  </w:r>
                  <w:r>
                    <w:rPr>
                      <w:rFonts w:ascii="Times New Roman" w:eastAsiaTheme="minorEastAsia"/>
                      <w:sz w:val="21"/>
                      <w:szCs w:val="21"/>
                    </w:rPr>
                    <w:t>2</w:t>
                  </w:r>
                  <w:r>
                    <w:rPr>
                      <w:rFonts w:ascii="Times New Roman" w:hAnsiTheme="minorEastAsia" w:eastAsiaTheme="minorEastAsia"/>
                      <w:sz w:val="21"/>
                      <w:szCs w:val="21"/>
                    </w:rPr>
                    <w:t>格，钢砼结构，架空，构筑物尺寸：</w:t>
                  </w:r>
                  <w:r>
                    <w:rPr>
                      <w:rFonts w:ascii="Times New Roman" w:eastAsiaTheme="minorEastAsia"/>
                      <w:sz w:val="21"/>
                      <w:szCs w:val="21"/>
                    </w:rPr>
                    <w:t>L×B×H =3.2m×2.0m×1.5m+6.1m×2.8m×1.5m+5.03m×6.51m×4.0m</w:t>
                  </w:r>
                  <w:r>
                    <w:rPr>
                      <w:rFonts w:ascii="Times New Roman" w:hAnsiTheme="minorEastAsia" w:eastAsiaTheme="minorEastAsia"/>
                      <w:sz w:val="21"/>
                      <w:szCs w:val="21"/>
                    </w:rPr>
                    <w:t>；设计处理能力：</w:t>
                  </w:r>
                  <w:r>
                    <w:rPr>
                      <w:rFonts w:ascii="Times New Roman" w:eastAsiaTheme="minorEastAsia"/>
                      <w:sz w:val="21"/>
                      <w:szCs w:val="21"/>
                    </w:rPr>
                    <w:t>20000m³/d</w:t>
                  </w:r>
                  <w:r>
                    <w:rPr>
                      <w:rFonts w:ascii="Times New Roman" w:hAnsiTheme="minorEastAsia" w:eastAsiaTheme="minorEastAsia"/>
                      <w:sz w:val="21"/>
                      <w:szCs w:val="21"/>
                    </w:rPr>
                    <w:t>，</w:t>
                  </w:r>
                  <w:r>
                    <w:rPr>
                      <w:rFonts w:ascii="Times New Roman" w:eastAsiaTheme="minorEastAsia"/>
                      <w:sz w:val="21"/>
                      <w:szCs w:val="21"/>
                    </w:rPr>
                    <w:t>833.3m³/h</w:t>
                  </w:r>
                </w:p>
              </w:tc>
              <w:tc>
                <w:tcPr>
                  <w:tcW w:w="1125" w:type="dxa"/>
                  <w:vMerge w:val="continue"/>
                  <w:vAlign w:val="center"/>
                </w:tcPr>
                <w:p>
                  <w:pPr>
                    <w:adjustRightInd w:val="0"/>
                    <w:snapToGrid w:val="0"/>
                    <w:spacing w:line="360" w:lineRule="exact"/>
                    <w:rPr>
                      <w:rFonts w:ascii="Times New Roman" w:hAnsi="Times New Roman" w:cs="Times New Roman"/>
                      <w:bCs/>
                      <w:sz w:val="21"/>
                      <w:szCs w:val="21"/>
                    </w:rPr>
                  </w:pPr>
                </w:p>
              </w:tc>
              <w:tc>
                <w:tcPr>
                  <w:tcW w:w="0" w:type="auto"/>
                  <w:vMerge w:val="continue"/>
                  <w:vAlign w:val="center"/>
                </w:tcPr>
                <w:p>
                  <w:pPr>
                    <w:adjustRightInd w:val="0"/>
                    <w:snapToGrid w:val="0"/>
                    <w:spacing w:line="360" w:lineRule="exact"/>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Merge w:val="restart"/>
                  <w:vAlign w:val="center"/>
                </w:tcPr>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kern w:val="0"/>
                      <w:sz w:val="21"/>
                      <w:szCs w:val="21"/>
                    </w:rPr>
                    <w:t>AAO-MBBR</w:t>
                  </w:r>
                  <w:r>
                    <w:rPr>
                      <w:rFonts w:ascii="Times New Roman" w:cs="Times New Roman" w:hAnsiTheme="minorEastAsia"/>
                      <w:kern w:val="0"/>
                      <w:sz w:val="21"/>
                      <w:szCs w:val="21"/>
                    </w:rPr>
                    <w:t>生化池</w:t>
                  </w:r>
                </w:p>
              </w:tc>
              <w:tc>
                <w:tcPr>
                  <w:tcW w:w="0" w:type="auto"/>
                  <w:vAlign w:val="center"/>
                </w:tcPr>
                <w:p>
                  <w:pPr>
                    <w:pStyle w:val="43"/>
                    <w:snapToGrid w:val="0"/>
                    <w:spacing w:line="360" w:lineRule="exact"/>
                    <w:ind w:firstLine="0"/>
                    <w:jc w:val="center"/>
                    <w:rPr>
                      <w:rFonts w:ascii="Times New Roman" w:eastAsiaTheme="minorEastAsia"/>
                      <w:bCs/>
                      <w:sz w:val="21"/>
                      <w:szCs w:val="21"/>
                    </w:rPr>
                  </w:pPr>
                  <w:r>
                    <w:rPr>
                      <w:rFonts w:ascii="Times New Roman" w:hAnsiTheme="minorEastAsia" w:eastAsiaTheme="minorEastAsia"/>
                      <w:sz w:val="21"/>
                      <w:szCs w:val="21"/>
                    </w:rPr>
                    <w:t>一期</w:t>
                  </w:r>
                </w:p>
              </w:tc>
              <w:tc>
                <w:tcPr>
                  <w:tcW w:w="4387" w:type="dxa"/>
                  <w:vAlign w:val="center"/>
                </w:tcPr>
                <w:p>
                  <w:pPr>
                    <w:pStyle w:val="43"/>
                    <w:snapToGrid w:val="0"/>
                    <w:spacing w:line="360" w:lineRule="exact"/>
                    <w:ind w:firstLine="0"/>
                    <w:jc w:val="left"/>
                    <w:rPr>
                      <w:rFonts w:ascii="Times New Roman" w:eastAsiaTheme="minorEastAsia"/>
                      <w:bCs/>
                      <w:sz w:val="21"/>
                      <w:szCs w:val="21"/>
                    </w:rPr>
                  </w:pPr>
                  <w:r>
                    <w:rPr>
                      <w:rFonts w:ascii="Times New Roman" w:eastAsiaTheme="minorEastAsia"/>
                      <w:sz w:val="21"/>
                      <w:szCs w:val="21"/>
                    </w:rPr>
                    <w:t>2</w:t>
                  </w:r>
                  <w:r>
                    <w:rPr>
                      <w:rFonts w:ascii="Times New Roman" w:hAnsiTheme="minorEastAsia" w:eastAsiaTheme="minorEastAsia"/>
                      <w:sz w:val="21"/>
                      <w:szCs w:val="21"/>
                    </w:rPr>
                    <w:t>格，钢砼结构，构筑物尺寸：</w:t>
                  </w:r>
                  <w:r>
                    <w:rPr>
                      <w:rFonts w:ascii="Times New Roman" w:eastAsiaTheme="minorEastAsia"/>
                      <w:sz w:val="21"/>
                      <w:szCs w:val="21"/>
                    </w:rPr>
                    <w:t>L×B×H=45.8m×9.0m×6.6m</w:t>
                  </w:r>
                  <w:r>
                    <w:rPr>
                      <w:rFonts w:ascii="Times New Roman" w:hAnsiTheme="minorEastAsia" w:eastAsiaTheme="minorEastAsia"/>
                      <w:sz w:val="21"/>
                      <w:szCs w:val="21"/>
                    </w:rPr>
                    <w:t>；设计处理能力：</w:t>
                  </w:r>
                  <w:r>
                    <w:rPr>
                      <w:rFonts w:ascii="Times New Roman" w:eastAsiaTheme="minorEastAsia"/>
                      <w:sz w:val="21"/>
                      <w:szCs w:val="21"/>
                    </w:rPr>
                    <w:t>5000m³/d</w:t>
                  </w:r>
                  <w:r>
                    <w:rPr>
                      <w:rFonts w:ascii="Times New Roman" w:hAnsiTheme="minorEastAsia" w:eastAsiaTheme="minorEastAsia"/>
                      <w:sz w:val="21"/>
                      <w:szCs w:val="21"/>
                    </w:rPr>
                    <w:t>，</w:t>
                  </w:r>
                  <w:r>
                    <w:rPr>
                      <w:rFonts w:ascii="Times New Roman" w:eastAsiaTheme="minorEastAsia"/>
                      <w:sz w:val="21"/>
                      <w:szCs w:val="21"/>
                    </w:rPr>
                    <w:t>208m³/h</w:t>
                  </w:r>
                </w:p>
              </w:tc>
              <w:tc>
                <w:tcPr>
                  <w:tcW w:w="1125" w:type="dxa"/>
                  <w:vMerge w:val="continue"/>
                  <w:vAlign w:val="center"/>
                </w:tcPr>
                <w:p>
                  <w:pPr>
                    <w:pStyle w:val="43"/>
                    <w:snapToGrid w:val="0"/>
                    <w:spacing w:line="360" w:lineRule="exact"/>
                    <w:ind w:firstLine="0"/>
                    <w:jc w:val="left"/>
                    <w:rPr>
                      <w:rFonts w:ascii="Times New Roman" w:eastAsiaTheme="minorEastAsia"/>
                      <w:bCs/>
                      <w:sz w:val="21"/>
                      <w:szCs w:val="21"/>
                    </w:rPr>
                  </w:pPr>
                </w:p>
              </w:tc>
              <w:tc>
                <w:tcPr>
                  <w:tcW w:w="0" w:type="auto"/>
                  <w:vMerge w:val="continue"/>
                  <w:vAlign w:val="center"/>
                </w:tcPr>
                <w:p>
                  <w:pPr>
                    <w:adjustRightInd w:val="0"/>
                    <w:snapToGrid w:val="0"/>
                    <w:spacing w:line="360" w:lineRule="exact"/>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Align w:val="center"/>
                </w:tcPr>
                <w:p>
                  <w:pPr>
                    <w:pStyle w:val="43"/>
                    <w:snapToGrid w:val="0"/>
                    <w:spacing w:line="360" w:lineRule="exact"/>
                    <w:ind w:firstLine="0"/>
                    <w:jc w:val="center"/>
                    <w:rPr>
                      <w:rFonts w:ascii="Times New Roman" w:eastAsiaTheme="minorEastAsia"/>
                      <w:bCs/>
                      <w:sz w:val="21"/>
                      <w:szCs w:val="21"/>
                    </w:rPr>
                  </w:pPr>
                  <w:r>
                    <w:rPr>
                      <w:rFonts w:ascii="Times New Roman" w:hAnsiTheme="minorEastAsia" w:eastAsiaTheme="minorEastAsia"/>
                      <w:sz w:val="21"/>
                      <w:szCs w:val="21"/>
                    </w:rPr>
                    <w:t>二期</w:t>
                  </w:r>
                </w:p>
              </w:tc>
              <w:tc>
                <w:tcPr>
                  <w:tcW w:w="4387" w:type="dxa"/>
                  <w:vAlign w:val="center"/>
                </w:tcPr>
                <w:p>
                  <w:pPr>
                    <w:pStyle w:val="43"/>
                    <w:snapToGrid w:val="0"/>
                    <w:spacing w:line="360" w:lineRule="exact"/>
                    <w:ind w:firstLine="0"/>
                    <w:jc w:val="left"/>
                    <w:rPr>
                      <w:rFonts w:ascii="Times New Roman" w:eastAsiaTheme="minorEastAsia"/>
                      <w:bCs/>
                      <w:sz w:val="21"/>
                      <w:szCs w:val="21"/>
                    </w:rPr>
                  </w:pPr>
                  <w:r>
                    <w:rPr>
                      <w:rFonts w:ascii="Times New Roman" w:eastAsiaTheme="minorEastAsia"/>
                      <w:sz w:val="21"/>
                      <w:szCs w:val="21"/>
                    </w:rPr>
                    <w:t>1</w:t>
                  </w:r>
                  <w:r>
                    <w:rPr>
                      <w:rFonts w:ascii="Times New Roman" w:hAnsiTheme="minorEastAsia" w:eastAsiaTheme="minorEastAsia"/>
                      <w:sz w:val="21"/>
                      <w:szCs w:val="21"/>
                    </w:rPr>
                    <w:t>座，钢砼结构，构筑物尺寸：</w:t>
                  </w:r>
                  <w:r>
                    <w:rPr>
                      <w:rFonts w:ascii="Times New Roman" w:eastAsiaTheme="minorEastAsia"/>
                      <w:sz w:val="21"/>
                      <w:szCs w:val="21"/>
                    </w:rPr>
                    <w:t>L×B×H=43.1m×20.45m×6.6m</w:t>
                  </w:r>
                  <w:r>
                    <w:rPr>
                      <w:rFonts w:ascii="Times New Roman" w:hAnsiTheme="minorEastAsia" w:eastAsiaTheme="minorEastAsia"/>
                      <w:sz w:val="21"/>
                      <w:szCs w:val="21"/>
                    </w:rPr>
                    <w:t>；设计处理能力：</w:t>
                  </w:r>
                  <w:r>
                    <w:rPr>
                      <w:rFonts w:ascii="Times New Roman" w:eastAsiaTheme="minorEastAsia"/>
                      <w:sz w:val="21"/>
                      <w:szCs w:val="21"/>
                    </w:rPr>
                    <w:t>5000m³/d</w:t>
                  </w:r>
                  <w:r>
                    <w:rPr>
                      <w:rFonts w:ascii="Times New Roman" w:hAnsiTheme="minorEastAsia" w:eastAsiaTheme="minorEastAsia"/>
                      <w:sz w:val="21"/>
                      <w:szCs w:val="21"/>
                    </w:rPr>
                    <w:t>，</w:t>
                  </w:r>
                  <w:r>
                    <w:rPr>
                      <w:rFonts w:ascii="Times New Roman" w:eastAsiaTheme="minorEastAsia"/>
                      <w:sz w:val="21"/>
                      <w:szCs w:val="21"/>
                    </w:rPr>
                    <w:t>208m³/h</w:t>
                  </w:r>
                </w:p>
              </w:tc>
              <w:tc>
                <w:tcPr>
                  <w:tcW w:w="1125" w:type="dxa"/>
                  <w:vMerge w:val="continue"/>
                  <w:vAlign w:val="center"/>
                </w:tcPr>
                <w:p>
                  <w:pPr>
                    <w:pStyle w:val="43"/>
                    <w:snapToGrid w:val="0"/>
                    <w:spacing w:line="360" w:lineRule="exact"/>
                    <w:ind w:firstLine="0"/>
                    <w:jc w:val="left"/>
                    <w:rPr>
                      <w:rFonts w:ascii="Times New Roman" w:eastAsiaTheme="minorEastAsia"/>
                      <w:bCs/>
                      <w:sz w:val="21"/>
                      <w:szCs w:val="21"/>
                    </w:rPr>
                  </w:pPr>
                </w:p>
              </w:tc>
              <w:tc>
                <w:tcPr>
                  <w:tcW w:w="0" w:type="auto"/>
                  <w:vMerge w:val="continue"/>
                  <w:vAlign w:val="center"/>
                </w:tcPr>
                <w:p>
                  <w:pPr>
                    <w:adjustRightInd w:val="0"/>
                    <w:snapToGrid w:val="0"/>
                    <w:spacing w:line="360" w:lineRule="exact"/>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Merge w:val="restart"/>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bCs/>
                      <w:sz w:val="21"/>
                      <w:szCs w:val="21"/>
                    </w:rPr>
                    <w:t>二沉池</w:t>
                  </w:r>
                </w:p>
              </w:tc>
              <w:tc>
                <w:tcPr>
                  <w:tcW w:w="0" w:type="auto"/>
                  <w:vAlign w:val="center"/>
                </w:tcPr>
                <w:p>
                  <w:pPr>
                    <w:pStyle w:val="43"/>
                    <w:snapToGrid w:val="0"/>
                    <w:spacing w:line="360" w:lineRule="exact"/>
                    <w:ind w:firstLine="0"/>
                    <w:jc w:val="center"/>
                    <w:rPr>
                      <w:rFonts w:ascii="Times New Roman" w:eastAsiaTheme="minorEastAsia"/>
                      <w:bCs/>
                      <w:sz w:val="21"/>
                      <w:szCs w:val="21"/>
                    </w:rPr>
                  </w:pPr>
                  <w:r>
                    <w:rPr>
                      <w:rFonts w:ascii="Times New Roman" w:hAnsiTheme="minorEastAsia" w:eastAsiaTheme="minorEastAsia"/>
                      <w:bCs/>
                      <w:sz w:val="21"/>
                      <w:szCs w:val="21"/>
                    </w:rPr>
                    <w:t>一期</w:t>
                  </w:r>
                </w:p>
              </w:tc>
              <w:tc>
                <w:tcPr>
                  <w:tcW w:w="4387" w:type="dxa"/>
                  <w:vAlign w:val="center"/>
                </w:tcPr>
                <w:p>
                  <w:pPr>
                    <w:pStyle w:val="43"/>
                    <w:snapToGrid w:val="0"/>
                    <w:spacing w:line="360" w:lineRule="exact"/>
                    <w:ind w:firstLine="0"/>
                    <w:jc w:val="left"/>
                    <w:rPr>
                      <w:rFonts w:ascii="Times New Roman" w:eastAsiaTheme="minorEastAsia"/>
                      <w:bCs/>
                      <w:sz w:val="21"/>
                      <w:szCs w:val="21"/>
                    </w:rPr>
                  </w:pPr>
                  <w:r>
                    <w:rPr>
                      <w:rFonts w:ascii="Times New Roman" w:eastAsiaTheme="minorEastAsia"/>
                      <w:sz w:val="21"/>
                      <w:szCs w:val="21"/>
                    </w:rPr>
                    <w:t>2</w:t>
                  </w:r>
                  <w:r>
                    <w:rPr>
                      <w:rFonts w:ascii="Times New Roman" w:hAnsiTheme="minorEastAsia" w:eastAsiaTheme="minorEastAsia"/>
                      <w:sz w:val="21"/>
                      <w:szCs w:val="21"/>
                    </w:rPr>
                    <w:t>座，钢砼结构，构筑物尺寸：</w:t>
                  </w:r>
                  <w:r>
                    <w:rPr>
                      <w:rFonts w:ascii="Times New Roman" w:eastAsiaTheme="minorEastAsia"/>
                      <w:sz w:val="21"/>
                      <w:szCs w:val="21"/>
                    </w:rPr>
                    <w:t>D×H=14.0m×4.05m</w:t>
                  </w:r>
                  <w:r>
                    <w:rPr>
                      <w:rFonts w:ascii="Times New Roman" w:hAnsiTheme="minorEastAsia" w:eastAsiaTheme="minorEastAsia"/>
                      <w:sz w:val="21"/>
                      <w:szCs w:val="21"/>
                    </w:rPr>
                    <w:t>；设计处理能力：</w:t>
                  </w:r>
                  <w:r>
                    <w:rPr>
                      <w:rFonts w:ascii="Times New Roman" w:eastAsiaTheme="minorEastAsia"/>
                      <w:sz w:val="21"/>
                      <w:szCs w:val="21"/>
                    </w:rPr>
                    <w:t>5000m</w:t>
                  </w:r>
                  <w:r>
                    <w:rPr>
                      <w:rFonts w:ascii="Times New Roman" w:eastAsiaTheme="minorEastAsia"/>
                      <w:sz w:val="21"/>
                      <w:szCs w:val="21"/>
                      <w:vertAlign w:val="superscript"/>
                    </w:rPr>
                    <w:t>3</w:t>
                  </w:r>
                  <w:r>
                    <w:rPr>
                      <w:rFonts w:ascii="Times New Roman" w:eastAsiaTheme="minorEastAsia"/>
                      <w:sz w:val="21"/>
                      <w:szCs w:val="21"/>
                    </w:rPr>
                    <w:t>/d</w:t>
                  </w:r>
                  <w:r>
                    <w:rPr>
                      <w:rFonts w:ascii="Times New Roman" w:hAnsiTheme="minorEastAsia" w:eastAsiaTheme="minorEastAsia"/>
                      <w:sz w:val="21"/>
                      <w:szCs w:val="21"/>
                    </w:rPr>
                    <w:t>，</w:t>
                  </w:r>
                  <w:r>
                    <w:rPr>
                      <w:rFonts w:ascii="Times New Roman" w:eastAsiaTheme="minorEastAsia"/>
                      <w:sz w:val="21"/>
                      <w:szCs w:val="21"/>
                    </w:rPr>
                    <w:t>208m</w:t>
                  </w:r>
                  <w:r>
                    <w:rPr>
                      <w:rFonts w:ascii="Times New Roman" w:eastAsiaTheme="minorEastAsia"/>
                      <w:sz w:val="21"/>
                      <w:szCs w:val="21"/>
                      <w:vertAlign w:val="superscript"/>
                    </w:rPr>
                    <w:t>3</w:t>
                  </w:r>
                  <w:r>
                    <w:rPr>
                      <w:rFonts w:ascii="Times New Roman" w:eastAsiaTheme="minorEastAsia"/>
                      <w:sz w:val="21"/>
                      <w:szCs w:val="21"/>
                    </w:rPr>
                    <w:t>/h</w:t>
                  </w:r>
                </w:p>
              </w:tc>
              <w:tc>
                <w:tcPr>
                  <w:tcW w:w="1125" w:type="dxa"/>
                  <w:vMerge w:val="continue"/>
                  <w:vAlign w:val="center"/>
                </w:tcPr>
                <w:p>
                  <w:pPr>
                    <w:pStyle w:val="43"/>
                    <w:snapToGrid w:val="0"/>
                    <w:spacing w:line="360" w:lineRule="exact"/>
                    <w:ind w:firstLine="0"/>
                    <w:jc w:val="left"/>
                    <w:rPr>
                      <w:rFonts w:ascii="Times New Roman" w:eastAsiaTheme="minorEastAsia"/>
                      <w:bCs/>
                      <w:sz w:val="21"/>
                      <w:szCs w:val="21"/>
                    </w:rPr>
                  </w:pPr>
                </w:p>
              </w:tc>
              <w:tc>
                <w:tcPr>
                  <w:tcW w:w="0" w:type="auto"/>
                  <w:vMerge w:val="continue"/>
                  <w:vAlign w:val="center"/>
                </w:tcPr>
                <w:p>
                  <w:pPr>
                    <w:adjustRightInd w:val="0"/>
                    <w:snapToGrid w:val="0"/>
                    <w:spacing w:line="360" w:lineRule="exact"/>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pStyle w:val="43"/>
                    <w:snapToGrid w:val="0"/>
                    <w:spacing w:line="360" w:lineRule="exact"/>
                    <w:ind w:firstLine="0"/>
                    <w:jc w:val="left"/>
                    <w:rPr>
                      <w:rFonts w:ascii="Times New Roman" w:eastAsiaTheme="minorEastAsia"/>
                      <w:bCs/>
                      <w:sz w:val="21"/>
                      <w:szCs w:val="21"/>
                    </w:rPr>
                  </w:pPr>
                  <w:r>
                    <w:rPr>
                      <w:rFonts w:ascii="Times New Roman" w:hAnsiTheme="minorEastAsia" w:eastAsiaTheme="minorEastAsia"/>
                      <w:sz w:val="21"/>
                      <w:szCs w:val="21"/>
                    </w:rPr>
                    <w:t>二期</w:t>
                  </w:r>
                </w:p>
              </w:tc>
              <w:tc>
                <w:tcPr>
                  <w:tcW w:w="4387" w:type="dxa"/>
                  <w:vAlign w:val="center"/>
                </w:tcPr>
                <w:p>
                  <w:pPr>
                    <w:pStyle w:val="43"/>
                    <w:snapToGrid w:val="0"/>
                    <w:spacing w:line="360" w:lineRule="exact"/>
                    <w:ind w:firstLine="0"/>
                    <w:jc w:val="left"/>
                    <w:rPr>
                      <w:rFonts w:ascii="Times New Roman" w:eastAsiaTheme="minorEastAsia"/>
                      <w:bCs/>
                      <w:sz w:val="21"/>
                      <w:szCs w:val="21"/>
                    </w:rPr>
                  </w:pPr>
                  <w:r>
                    <w:rPr>
                      <w:rFonts w:ascii="Times New Roman" w:eastAsiaTheme="minorEastAsia"/>
                      <w:sz w:val="21"/>
                      <w:szCs w:val="21"/>
                    </w:rPr>
                    <w:t>1</w:t>
                  </w:r>
                  <w:r>
                    <w:rPr>
                      <w:rFonts w:ascii="Times New Roman" w:hAnsiTheme="minorEastAsia" w:eastAsiaTheme="minorEastAsia"/>
                      <w:sz w:val="21"/>
                      <w:szCs w:val="21"/>
                    </w:rPr>
                    <w:t>座，钢砼结构，构筑物尺寸：</w:t>
                  </w:r>
                  <w:r>
                    <w:rPr>
                      <w:rFonts w:ascii="Times New Roman" w:eastAsiaTheme="minorEastAsia"/>
                      <w:sz w:val="21"/>
                      <w:szCs w:val="21"/>
                    </w:rPr>
                    <w:t>D×H=20.0m×4.85m</w:t>
                  </w:r>
                  <w:r>
                    <w:rPr>
                      <w:rFonts w:ascii="Times New Roman" w:hAnsiTheme="minorEastAsia" w:eastAsiaTheme="minorEastAsia"/>
                      <w:sz w:val="21"/>
                      <w:szCs w:val="21"/>
                    </w:rPr>
                    <w:t>；设计处理能力：</w:t>
                  </w:r>
                  <w:r>
                    <w:rPr>
                      <w:rFonts w:ascii="Times New Roman" w:eastAsiaTheme="minorEastAsia"/>
                      <w:sz w:val="21"/>
                      <w:szCs w:val="21"/>
                    </w:rPr>
                    <w:t>5000m³/d</w:t>
                  </w:r>
                  <w:r>
                    <w:rPr>
                      <w:rFonts w:ascii="Times New Roman" w:hAnsiTheme="minorEastAsia" w:eastAsiaTheme="minorEastAsia"/>
                      <w:sz w:val="21"/>
                      <w:szCs w:val="21"/>
                    </w:rPr>
                    <w:t>，</w:t>
                  </w:r>
                  <w:r>
                    <w:rPr>
                      <w:rFonts w:ascii="Times New Roman" w:eastAsiaTheme="minorEastAsia"/>
                      <w:sz w:val="21"/>
                      <w:szCs w:val="21"/>
                    </w:rPr>
                    <w:t>208m³/h</w:t>
                  </w:r>
                </w:p>
              </w:tc>
              <w:tc>
                <w:tcPr>
                  <w:tcW w:w="1125" w:type="dxa"/>
                  <w:vMerge w:val="continue"/>
                  <w:vAlign w:val="center"/>
                </w:tcPr>
                <w:p>
                  <w:pPr>
                    <w:pStyle w:val="43"/>
                    <w:snapToGrid w:val="0"/>
                    <w:spacing w:line="360" w:lineRule="exact"/>
                    <w:ind w:firstLine="0"/>
                    <w:jc w:val="left"/>
                    <w:rPr>
                      <w:rFonts w:ascii="Times New Roman" w:eastAsiaTheme="minorEastAsia"/>
                      <w:bCs/>
                      <w:sz w:val="21"/>
                      <w:szCs w:val="21"/>
                    </w:rPr>
                  </w:pPr>
                </w:p>
              </w:tc>
              <w:tc>
                <w:tcPr>
                  <w:tcW w:w="0" w:type="auto"/>
                  <w:vMerge w:val="continue"/>
                  <w:vAlign w:val="center"/>
                </w:tcPr>
                <w:p>
                  <w:pPr>
                    <w:adjustRightInd w:val="0"/>
                    <w:snapToGrid w:val="0"/>
                    <w:spacing w:line="360" w:lineRule="exact"/>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Merge w:val="restart"/>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bCs/>
                      <w:sz w:val="21"/>
                      <w:szCs w:val="21"/>
                    </w:rPr>
                    <w:t>污泥泵池</w:t>
                  </w:r>
                </w:p>
              </w:tc>
              <w:tc>
                <w:tcPr>
                  <w:tcW w:w="0" w:type="auto"/>
                  <w:vAlign w:val="center"/>
                </w:tcPr>
                <w:p>
                  <w:pPr>
                    <w:pStyle w:val="43"/>
                    <w:snapToGrid w:val="0"/>
                    <w:spacing w:line="360" w:lineRule="exact"/>
                    <w:ind w:firstLine="0"/>
                    <w:jc w:val="center"/>
                    <w:rPr>
                      <w:rFonts w:ascii="Times New Roman" w:eastAsiaTheme="minorEastAsia"/>
                      <w:bCs/>
                      <w:sz w:val="21"/>
                      <w:szCs w:val="21"/>
                    </w:rPr>
                  </w:pPr>
                  <w:r>
                    <w:rPr>
                      <w:rFonts w:ascii="Times New Roman" w:hAnsiTheme="minorEastAsia" w:eastAsiaTheme="minorEastAsia"/>
                      <w:bCs/>
                      <w:sz w:val="21"/>
                      <w:szCs w:val="21"/>
                    </w:rPr>
                    <w:t>一期</w:t>
                  </w:r>
                </w:p>
              </w:tc>
              <w:tc>
                <w:tcPr>
                  <w:tcW w:w="4387" w:type="dxa"/>
                  <w:vAlign w:val="center"/>
                </w:tcPr>
                <w:p>
                  <w:pPr>
                    <w:pStyle w:val="43"/>
                    <w:snapToGrid w:val="0"/>
                    <w:spacing w:line="360" w:lineRule="exact"/>
                    <w:ind w:firstLine="0"/>
                    <w:jc w:val="left"/>
                    <w:rPr>
                      <w:rFonts w:ascii="Times New Roman" w:eastAsiaTheme="minorEastAsia"/>
                      <w:bCs/>
                      <w:sz w:val="21"/>
                      <w:szCs w:val="21"/>
                    </w:rPr>
                  </w:pPr>
                  <w:r>
                    <w:rPr>
                      <w:rFonts w:ascii="Times New Roman" w:eastAsiaTheme="minorEastAsia"/>
                      <w:sz w:val="21"/>
                      <w:szCs w:val="21"/>
                    </w:rPr>
                    <w:t>1</w:t>
                  </w:r>
                  <w:r>
                    <w:rPr>
                      <w:rFonts w:ascii="Times New Roman" w:hAnsiTheme="minorEastAsia" w:eastAsiaTheme="minorEastAsia"/>
                      <w:sz w:val="21"/>
                      <w:szCs w:val="21"/>
                    </w:rPr>
                    <w:t>座，钢砼结构，构筑物尺寸：</w:t>
                  </w:r>
                  <w:r>
                    <w:rPr>
                      <w:rFonts w:ascii="Times New Roman" w:eastAsiaTheme="minorEastAsia"/>
                      <w:sz w:val="21"/>
                      <w:szCs w:val="21"/>
                    </w:rPr>
                    <w:t xml:space="preserve">L×B×H=6.0m×2.75m×5.3m </w:t>
                  </w:r>
                  <w:r>
                    <w:rPr>
                      <w:rFonts w:ascii="Times New Roman" w:hAnsiTheme="minorEastAsia" w:eastAsiaTheme="minorEastAsia"/>
                      <w:sz w:val="21"/>
                      <w:szCs w:val="21"/>
                    </w:rPr>
                    <w:t>；设计处理能力：</w:t>
                  </w:r>
                  <w:r>
                    <w:rPr>
                      <w:rFonts w:ascii="Times New Roman" w:eastAsiaTheme="minorEastAsia"/>
                      <w:sz w:val="21"/>
                      <w:szCs w:val="21"/>
                    </w:rPr>
                    <w:t>5000m³/d</w:t>
                  </w:r>
                  <w:r>
                    <w:rPr>
                      <w:rFonts w:ascii="Times New Roman" w:hAnsiTheme="minorEastAsia" w:eastAsiaTheme="minorEastAsia"/>
                      <w:sz w:val="21"/>
                      <w:szCs w:val="21"/>
                    </w:rPr>
                    <w:t>，</w:t>
                  </w:r>
                  <w:r>
                    <w:rPr>
                      <w:rFonts w:ascii="Times New Roman" w:eastAsiaTheme="minorEastAsia"/>
                      <w:sz w:val="21"/>
                      <w:szCs w:val="21"/>
                    </w:rPr>
                    <w:t>208m³/h</w:t>
                  </w:r>
                </w:p>
              </w:tc>
              <w:tc>
                <w:tcPr>
                  <w:tcW w:w="1125" w:type="dxa"/>
                  <w:vMerge w:val="continue"/>
                  <w:vAlign w:val="center"/>
                </w:tcPr>
                <w:p>
                  <w:pPr>
                    <w:pStyle w:val="43"/>
                    <w:snapToGrid w:val="0"/>
                    <w:spacing w:line="360" w:lineRule="exact"/>
                    <w:ind w:firstLine="0"/>
                    <w:jc w:val="left"/>
                    <w:rPr>
                      <w:rFonts w:ascii="Times New Roman" w:eastAsiaTheme="minorEastAsia"/>
                      <w:bCs/>
                      <w:sz w:val="21"/>
                      <w:szCs w:val="21"/>
                    </w:rPr>
                  </w:pPr>
                </w:p>
              </w:tc>
              <w:tc>
                <w:tcPr>
                  <w:tcW w:w="0" w:type="auto"/>
                  <w:vMerge w:val="continue"/>
                  <w:vAlign w:val="center"/>
                </w:tcPr>
                <w:p>
                  <w:pPr>
                    <w:adjustRightInd w:val="0"/>
                    <w:snapToGrid w:val="0"/>
                    <w:spacing w:line="360" w:lineRule="exact"/>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Align w:val="center"/>
                </w:tcPr>
                <w:p>
                  <w:pPr>
                    <w:pStyle w:val="43"/>
                    <w:snapToGrid w:val="0"/>
                    <w:spacing w:line="360" w:lineRule="exact"/>
                    <w:ind w:firstLine="0"/>
                    <w:jc w:val="center"/>
                    <w:rPr>
                      <w:rFonts w:ascii="Times New Roman" w:eastAsiaTheme="minorEastAsia"/>
                      <w:bCs/>
                      <w:sz w:val="21"/>
                      <w:szCs w:val="21"/>
                    </w:rPr>
                  </w:pPr>
                  <w:r>
                    <w:rPr>
                      <w:rFonts w:ascii="Times New Roman" w:hAnsiTheme="minorEastAsia" w:eastAsiaTheme="minorEastAsia"/>
                      <w:sz w:val="21"/>
                      <w:szCs w:val="21"/>
                    </w:rPr>
                    <w:t>二期</w:t>
                  </w:r>
                </w:p>
              </w:tc>
              <w:tc>
                <w:tcPr>
                  <w:tcW w:w="4387" w:type="dxa"/>
                  <w:vAlign w:val="center"/>
                </w:tcPr>
                <w:p>
                  <w:pPr>
                    <w:pStyle w:val="43"/>
                    <w:snapToGrid w:val="0"/>
                    <w:spacing w:line="360" w:lineRule="exact"/>
                    <w:ind w:firstLine="0"/>
                    <w:jc w:val="left"/>
                    <w:rPr>
                      <w:rFonts w:ascii="Times New Roman" w:eastAsiaTheme="minorEastAsia"/>
                      <w:bCs/>
                      <w:sz w:val="21"/>
                      <w:szCs w:val="21"/>
                    </w:rPr>
                  </w:pPr>
                  <w:r>
                    <w:rPr>
                      <w:rFonts w:ascii="Times New Roman" w:eastAsiaTheme="minorEastAsia"/>
                      <w:sz w:val="21"/>
                      <w:szCs w:val="21"/>
                    </w:rPr>
                    <w:t>1</w:t>
                  </w:r>
                  <w:r>
                    <w:rPr>
                      <w:rFonts w:ascii="Times New Roman" w:hAnsiTheme="minorEastAsia" w:eastAsiaTheme="minorEastAsia"/>
                      <w:sz w:val="21"/>
                      <w:szCs w:val="21"/>
                    </w:rPr>
                    <w:t>座，钢砼结构，构筑物尺寸：</w:t>
                  </w:r>
                  <w:r>
                    <w:rPr>
                      <w:rFonts w:ascii="Times New Roman" w:eastAsiaTheme="minorEastAsia"/>
                      <w:sz w:val="21"/>
                      <w:szCs w:val="21"/>
                    </w:rPr>
                    <w:t>L×B×H=6.0m×2.76m×5.3m</w:t>
                  </w:r>
                  <w:r>
                    <w:rPr>
                      <w:rFonts w:ascii="Times New Roman" w:hAnsiTheme="minorEastAsia" w:eastAsiaTheme="minorEastAsia"/>
                      <w:sz w:val="21"/>
                      <w:szCs w:val="21"/>
                    </w:rPr>
                    <w:t>；设计处理能力：</w:t>
                  </w:r>
                  <w:r>
                    <w:rPr>
                      <w:rFonts w:ascii="Times New Roman" w:eastAsiaTheme="minorEastAsia"/>
                      <w:sz w:val="21"/>
                      <w:szCs w:val="21"/>
                    </w:rPr>
                    <w:t>5000m³/d</w:t>
                  </w:r>
                  <w:r>
                    <w:rPr>
                      <w:rFonts w:ascii="Times New Roman" w:hAnsiTheme="minorEastAsia" w:eastAsiaTheme="minorEastAsia"/>
                      <w:sz w:val="21"/>
                      <w:szCs w:val="21"/>
                    </w:rPr>
                    <w:t>，</w:t>
                  </w:r>
                  <w:r>
                    <w:rPr>
                      <w:rFonts w:ascii="Times New Roman" w:eastAsiaTheme="minorEastAsia"/>
                      <w:sz w:val="21"/>
                      <w:szCs w:val="21"/>
                    </w:rPr>
                    <w:t>208m³/h</w:t>
                  </w:r>
                </w:p>
              </w:tc>
              <w:tc>
                <w:tcPr>
                  <w:tcW w:w="1125" w:type="dxa"/>
                  <w:vMerge w:val="continue"/>
                  <w:vAlign w:val="center"/>
                </w:tcPr>
                <w:p>
                  <w:pPr>
                    <w:pStyle w:val="43"/>
                    <w:snapToGrid w:val="0"/>
                    <w:spacing w:line="360" w:lineRule="exact"/>
                    <w:ind w:firstLine="0"/>
                    <w:jc w:val="left"/>
                    <w:rPr>
                      <w:rFonts w:ascii="Times New Roman" w:eastAsiaTheme="minorEastAsia"/>
                      <w:bCs/>
                      <w:sz w:val="21"/>
                      <w:szCs w:val="21"/>
                    </w:rPr>
                  </w:pPr>
                </w:p>
              </w:tc>
              <w:tc>
                <w:tcPr>
                  <w:tcW w:w="0" w:type="auto"/>
                  <w:vMerge w:val="continue"/>
                  <w:vAlign w:val="center"/>
                </w:tcPr>
                <w:p>
                  <w:pPr>
                    <w:adjustRightInd w:val="0"/>
                    <w:snapToGrid w:val="0"/>
                    <w:spacing w:line="360" w:lineRule="exact"/>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Merge w:val="restart"/>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kern w:val="0"/>
                      <w:sz w:val="21"/>
                      <w:szCs w:val="21"/>
                    </w:rPr>
                    <w:t>高效沉淀池</w:t>
                  </w:r>
                </w:p>
              </w:tc>
              <w:tc>
                <w:tcPr>
                  <w:tcW w:w="0" w:type="auto"/>
                  <w:vAlign w:val="center"/>
                </w:tcPr>
                <w:p>
                  <w:pPr>
                    <w:pStyle w:val="43"/>
                    <w:snapToGrid w:val="0"/>
                    <w:spacing w:line="360" w:lineRule="exact"/>
                    <w:ind w:firstLine="0"/>
                    <w:jc w:val="center"/>
                    <w:rPr>
                      <w:rFonts w:ascii="Times New Roman" w:eastAsiaTheme="minorEastAsia"/>
                      <w:bCs/>
                      <w:sz w:val="21"/>
                      <w:szCs w:val="21"/>
                    </w:rPr>
                  </w:pPr>
                  <w:r>
                    <w:rPr>
                      <w:rFonts w:ascii="Times New Roman" w:hAnsiTheme="minorEastAsia" w:eastAsiaTheme="minorEastAsia"/>
                      <w:sz w:val="21"/>
                      <w:szCs w:val="21"/>
                    </w:rPr>
                    <w:t>一期</w:t>
                  </w:r>
                </w:p>
              </w:tc>
              <w:tc>
                <w:tcPr>
                  <w:tcW w:w="4387" w:type="dxa"/>
                  <w:vAlign w:val="center"/>
                </w:tcPr>
                <w:p>
                  <w:pPr>
                    <w:pStyle w:val="43"/>
                    <w:snapToGrid w:val="0"/>
                    <w:spacing w:line="360" w:lineRule="exact"/>
                    <w:ind w:firstLine="0"/>
                    <w:jc w:val="left"/>
                    <w:rPr>
                      <w:rFonts w:ascii="Times New Roman" w:eastAsiaTheme="minorEastAsia"/>
                      <w:bCs/>
                      <w:sz w:val="21"/>
                      <w:szCs w:val="21"/>
                    </w:rPr>
                  </w:pPr>
                  <w:r>
                    <w:rPr>
                      <w:rFonts w:ascii="Times New Roman" w:eastAsiaTheme="minorEastAsia"/>
                      <w:sz w:val="21"/>
                      <w:szCs w:val="21"/>
                    </w:rPr>
                    <w:t>2</w:t>
                  </w:r>
                  <w:r>
                    <w:rPr>
                      <w:rFonts w:ascii="Times New Roman" w:hAnsiTheme="minorEastAsia" w:eastAsiaTheme="minorEastAsia"/>
                      <w:sz w:val="21"/>
                      <w:szCs w:val="21"/>
                    </w:rPr>
                    <w:t>格，钢砼结构，构筑物尺寸：</w:t>
                  </w:r>
                  <w:r>
                    <w:rPr>
                      <w:rFonts w:ascii="Times New Roman" w:eastAsiaTheme="minorEastAsia"/>
                      <w:sz w:val="21"/>
                      <w:szCs w:val="21"/>
                    </w:rPr>
                    <w:t>L×B×H=9.5m×6.0m×5.65m</w:t>
                  </w:r>
                  <w:r>
                    <w:rPr>
                      <w:rFonts w:ascii="Times New Roman" w:hAnsiTheme="minorEastAsia" w:eastAsiaTheme="minorEastAsia"/>
                      <w:sz w:val="21"/>
                      <w:szCs w:val="21"/>
                    </w:rPr>
                    <w:t>；设计处理能力：</w:t>
                  </w:r>
                  <w:r>
                    <w:rPr>
                      <w:rFonts w:ascii="Times New Roman" w:eastAsiaTheme="minorEastAsia"/>
                      <w:sz w:val="21"/>
                      <w:szCs w:val="21"/>
                    </w:rPr>
                    <w:t>5000m³/d</w:t>
                  </w:r>
                  <w:r>
                    <w:rPr>
                      <w:rFonts w:ascii="Times New Roman" w:hAnsiTheme="minorEastAsia" w:eastAsiaTheme="minorEastAsia"/>
                      <w:sz w:val="21"/>
                      <w:szCs w:val="21"/>
                    </w:rPr>
                    <w:t>，</w:t>
                  </w:r>
                  <w:r>
                    <w:rPr>
                      <w:rFonts w:ascii="Times New Roman" w:eastAsiaTheme="minorEastAsia"/>
                      <w:sz w:val="21"/>
                      <w:szCs w:val="21"/>
                    </w:rPr>
                    <w:t>208m³/h</w:t>
                  </w:r>
                </w:p>
              </w:tc>
              <w:tc>
                <w:tcPr>
                  <w:tcW w:w="1125" w:type="dxa"/>
                  <w:vMerge w:val="continue"/>
                  <w:vAlign w:val="center"/>
                </w:tcPr>
                <w:p>
                  <w:pPr>
                    <w:pStyle w:val="43"/>
                    <w:snapToGrid w:val="0"/>
                    <w:spacing w:line="360" w:lineRule="exact"/>
                    <w:ind w:firstLine="0"/>
                    <w:jc w:val="left"/>
                    <w:rPr>
                      <w:rFonts w:ascii="Times New Roman" w:eastAsiaTheme="minorEastAsia"/>
                      <w:bCs/>
                      <w:sz w:val="21"/>
                      <w:szCs w:val="21"/>
                    </w:rPr>
                  </w:pPr>
                </w:p>
              </w:tc>
              <w:tc>
                <w:tcPr>
                  <w:tcW w:w="0" w:type="auto"/>
                  <w:vMerge w:val="continue"/>
                  <w:vAlign w:val="center"/>
                </w:tcPr>
                <w:p>
                  <w:pPr>
                    <w:adjustRightInd w:val="0"/>
                    <w:snapToGrid w:val="0"/>
                    <w:spacing w:line="360" w:lineRule="exact"/>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Align w:val="center"/>
                </w:tcPr>
                <w:p>
                  <w:pPr>
                    <w:pStyle w:val="43"/>
                    <w:snapToGrid w:val="0"/>
                    <w:spacing w:line="360" w:lineRule="exact"/>
                    <w:ind w:firstLine="0"/>
                    <w:jc w:val="center"/>
                    <w:rPr>
                      <w:rFonts w:ascii="Times New Roman" w:eastAsiaTheme="minorEastAsia"/>
                      <w:bCs/>
                      <w:sz w:val="21"/>
                      <w:szCs w:val="21"/>
                    </w:rPr>
                  </w:pPr>
                  <w:r>
                    <w:rPr>
                      <w:rFonts w:ascii="Times New Roman" w:hAnsiTheme="minorEastAsia" w:eastAsiaTheme="minorEastAsia"/>
                      <w:sz w:val="21"/>
                      <w:szCs w:val="21"/>
                    </w:rPr>
                    <w:t>二期</w:t>
                  </w:r>
                </w:p>
              </w:tc>
              <w:tc>
                <w:tcPr>
                  <w:tcW w:w="4387" w:type="dxa"/>
                  <w:vAlign w:val="center"/>
                </w:tcPr>
                <w:p>
                  <w:pPr>
                    <w:pStyle w:val="43"/>
                    <w:snapToGrid w:val="0"/>
                    <w:spacing w:line="360" w:lineRule="exact"/>
                    <w:ind w:firstLine="0"/>
                    <w:jc w:val="left"/>
                    <w:rPr>
                      <w:rFonts w:ascii="Times New Roman" w:eastAsiaTheme="minorEastAsia"/>
                      <w:bCs/>
                      <w:sz w:val="21"/>
                      <w:szCs w:val="21"/>
                    </w:rPr>
                  </w:pPr>
                  <w:r>
                    <w:rPr>
                      <w:rFonts w:ascii="Times New Roman" w:eastAsiaTheme="minorEastAsia"/>
                      <w:sz w:val="21"/>
                      <w:szCs w:val="21"/>
                    </w:rPr>
                    <w:t>1</w:t>
                  </w:r>
                  <w:r>
                    <w:rPr>
                      <w:rFonts w:ascii="Times New Roman" w:hAnsiTheme="minorEastAsia" w:eastAsiaTheme="minorEastAsia"/>
                      <w:sz w:val="21"/>
                      <w:szCs w:val="21"/>
                    </w:rPr>
                    <w:t>座，钢砼结构，构筑物尺寸：</w:t>
                  </w:r>
                  <w:r>
                    <w:rPr>
                      <w:rFonts w:ascii="Times New Roman" w:eastAsiaTheme="minorEastAsia"/>
                      <w:sz w:val="21"/>
                      <w:szCs w:val="21"/>
                    </w:rPr>
                    <w:t>L×B×H=6.7m×3.2m×6.25m+10.3m×8.4m×6.25m</w:t>
                  </w:r>
                  <w:r>
                    <w:rPr>
                      <w:rFonts w:ascii="Times New Roman" w:hAnsiTheme="minorEastAsia" w:eastAsiaTheme="minorEastAsia"/>
                      <w:sz w:val="21"/>
                      <w:szCs w:val="21"/>
                    </w:rPr>
                    <w:t>设计处理能力：</w:t>
                  </w:r>
                  <w:r>
                    <w:rPr>
                      <w:rFonts w:ascii="Times New Roman" w:eastAsiaTheme="minorEastAsia"/>
                      <w:sz w:val="21"/>
                      <w:szCs w:val="21"/>
                    </w:rPr>
                    <w:t>5000m³/d</w:t>
                  </w:r>
                  <w:r>
                    <w:rPr>
                      <w:rFonts w:ascii="Times New Roman" w:hAnsiTheme="minorEastAsia" w:eastAsiaTheme="minorEastAsia"/>
                      <w:sz w:val="21"/>
                      <w:szCs w:val="21"/>
                    </w:rPr>
                    <w:t>，</w:t>
                  </w:r>
                  <w:r>
                    <w:rPr>
                      <w:rFonts w:ascii="Times New Roman" w:eastAsiaTheme="minorEastAsia"/>
                      <w:sz w:val="21"/>
                      <w:szCs w:val="21"/>
                    </w:rPr>
                    <w:t>208m³/h</w:t>
                  </w:r>
                </w:p>
              </w:tc>
              <w:tc>
                <w:tcPr>
                  <w:tcW w:w="1125" w:type="dxa"/>
                  <w:vMerge w:val="continue"/>
                  <w:vAlign w:val="center"/>
                </w:tcPr>
                <w:p>
                  <w:pPr>
                    <w:pStyle w:val="43"/>
                    <w:snapToGrid w:val="0"/>
                    <w:spacing w:line="360" w:lineRule="exact"/>
                    <w:ind w:firstLine="0"/>
                    <w:jc w:val="left"/>
                    <w:rPr>
                      <w:rFonts w:ascii="Times New Roman" w:eastAsiaTheme="minorEastAsia"/>
                      <w:bCs/>
                      <w:sz w:val="21"/>
                      <w:szCs w:val="21"/>
                    </w:rPr>
                  </w:pPr>
                </w:p>
              </w:tc>
              <w:tc>
                <w:tcPr>
                  <w:tcW w:w="0" w:type="auto"/>
                  <w:vMerge w:val="continue"/>
                  <w:vAlign w:val="center"/>
                </w:tcPr>
                <w:p>
                  <w:pPr>
                    <w:adjustRightInd w:val="0"/>
                    <w:snapToGrid w:val="0"/>
                    <w:spacing w:line="360" w:lineRule="exact"/>
                    <w:rPr>
                      <w:rFonts w:ascii="Times New Roman" w:hAnsi="Times New Roman"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restart"/>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辅助工程</w:t>
                  </w:r>
                </w:p>
              </w:tc>
              <w:tc>
                <w:tcPr>
                  <w:tcW w:w="0" w:type="auto"/>
                  <w:vMerge w:val="restart"/>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kern w:val="0"/>
                      <w:sz w:val="21"/>
                      <w:szCs w:val="21"/>
                    </w:rPr>
                    <w:t>在线监测室及接触消毒池、计量渠</w:t>
                  </w:r>
                </w:p>
              </w:tc>
              <w:tc>
                <w:tcPr>
                  <w:tcW w:w="0" w:type="auto"/>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sz w:val="21"/>
                      <w:szCs w:val="21"/>
                    </w:rPr>
                    <w:t>接触消毒池及计量渠</w:t>
                  </w:r>
                </w:p>
              </w:tc>
              <w:tc>
                <w:tcPr>
                  <w:tcW w:w="4387" w:type="dxa"/>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1</w:t>
                  </w:r>
                  <w:r>
                    <w:rPr>
                      <w:rFonts w:ascii="Times New Roman" w:cs="Times New Roman" w:hAnsiTheme="minorEastAsia"/>
                      <w:sz w:val="21"/>
                      <w:szCs w:val="21"/>
                    </w:rPr>
                    <w:t>座，钢砼结构，构筑物尺寸：</w:t>
                  </w:r>
                  <w:r>
                    <w:rPr>
                      <w:rFonts w:ascii="Times New Roman" w:hAnsi="Times New Roman" w:cs="Times New Roman"/>
                      <w:sz w:val="21"/>
                      <w:szCs w:val="21"/>
                    </w:rPr>
                    <w:t>L×B×H=13.65m×10.45m×4.75m</w:t>
                  </w:r>
                  <w:r>
                    <w:rPr>
                      <w:rFonts w:ascii="Times New Roman" w:cs="Times New Roman" w:hAnsiTheme="minorEastAsia"/>
                      <w:sz w:val="21"/>
                      <w:szCs w:val="21"/>
                    </w:rPr>
                    <w:t>；接触消毒池设计处理能力：</w:t>
                  </w:r>
                  <w:r>
                    <w:rPr>
                      <w:rFonts w:ascii="Times New Roman" w:hAnsi="Times New Roman" w:cs="Times New Roman"/>
                      <w:sz w:val="21"/>
                      <w:szCs w:val="21"/>
                    </w:rPr>
                    <w:t>10000m³/d</w:t>
                  </w:r>
                  <w:r>
                    <w:rPr>
                      <w:rFonts w:ascii="Times New Roman" w:cs="Times New Roman" w:hAnsiTheme="minorEastAsia"/>
                      <w:sz w:val="21"/>
                      <w:szCs w:val="21"/>
                    </w:rPr>
                    <w:t>，</w:t>
                  </w:r>
                  <w:r>
                    <w:rPr>
                      <w:rFonts w:ascii="Times New Roman" w:hAnsi="Times New Roman" w:cs="Times New Roman"/>
                      <w:sz w:val="21"/>
                      <w:szCs w:val="21"/>
                    </w:rPr>
                    <w:t>416m³/h</w:t>
                  </w:r>
                </w:p>
              </w:tc>
              <w:tc>
                <w:tcPr>
                  <w:tcW w:w="1125" w:type="dxa"/>
                  <w:vMerge w:val="continue"/>
                  <w:vAlign w:val="center"/>
                </w:tcPr>
                <w:p>
                  <w:pPr>
                    <w:adjustRightInd w:val="0"/>
                    <w:snapToGrid w:val="0"/>
                    <w:spacing w:line="360" w:lineRule="exact"/>
                    <w:rPr>
                      <w:rFonts w:ascii="Times New Roman" w:hAnsi="Times New Roman" w:cs="Times New Roman"/>
                      <w:bCs/>
                      <w:sz w:val="21"/>
                      <w:szCs w:val="21"/>
                    </w:rPr>
                  </w:pPr>
                </w:p>
              </w:tc>
              <w:tc>
                <w:tcPr>
                  <w:tcW w:w="0" w:type="auto"/>
                  <w:vAlign w:val="center"/>
                </w:tcPr>
                <w:p>
                  <w:pPr>
                    <w:adjustRightInd w:val="0"/>
                    <w:snapToGrid w:val="0"/>
                    <w:spacing w:line="360" w:lineRule="exact"/>
                    <w:rPr>
                      <w:rFonts w:ascii="Times New Roman" w:hAnsi="Times New Roman" w:cs="Times New Roman"/>
                      <w:bCs/>
                      <w:sz w:val="21"/>
                      <w:szCs w:val="21"/>
                    </w:rPr>
                  </w:pPr>
                  <w:r>
                    <w:rPr>
                      <w:rFonts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sz w:val="21"/>
                      <w:szCs w:val="21"/>
                    </w:rPr>
                    <w:t>在线监测室</w:t>
                  </w:r>
                </w:p>
              </w:tc>
              <w:tc>
                <w:tcPr>
                  <w:tcW w:w="4387" w:type="dxa"/>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1</w:t>
                  </w:r>
                  <w:r>
                    <w:rPr>
                      <w:rFonts w:ascii="Times New Roman" w:cs="Times New Roman" w:hAnsiTheme="minorEastAsia"/>
                      <w:sz w:val="21"/>
                      <w:szCs w:val="21"/>
                    </w:rPr>
                    <w:t>栋，</w:t>
                  </w:r>
                  <w:r>
                    <w:rPr>
                      <w:rFonts w:ascii="Times New Roman" w:hAnsi="Times New Roman" w:cs="Times New Roman"/>
                      <w:sz w:val="21"/>
                      <w:szCs w:val="21"/>
                    </w:rPr>
                    <w:t>1F</w:t>
                  </w:r>
                  <w:r>
                    <w:rPr>
                      <w:rFonts w:ascii="Times New Roman" w:cs="Times New Roman" w:hAnsiTheme="minorEastAsia"/>
                      <w:sz w:val="21"/>
                      <w:szCs w:val="21"/>
                    </w:rPr>
                    <w:t>，框架结构，位于池体上，建筑面积约</w:t>
                  </w:r>
                  <w:r>
                    <w:rPr>
                      <w:rFonts w:ascii="Times New Roman" w:hAnsi="Times New Roman" w:cs="Times New Roman"/>
                      <w:sz w:val="21"/>
                      <w:szCs w:val="21"/>
                    </w:rPr>
                    <w:t>47m</w:t>
                  </w:r>
                  <w:r>
                    <w:rPr>
                      <w:rFonts w:ascii="Times New Roman" w:hAnsi="Times New Roman" w:cs="Times New Roman"/>
                      <w:sz w:val="21"/>
                      <w:szCs w:val="21"/>
                      <w:vertAlign w:val="superscript"/>
                    </w:rPr>
                    <w:t>2</w:t>
                  </w:r>
                  <w:r>
                    <w:rPr>
                      <w:rFonts w:ascii="Times New Roman" w:cs="Times New Roman" w:hAnsiTheme="minorEastAsia"/>
                      <w:sz w:val="21"/>
                      <w:szCs w:val="21"/>
                    </w:rPr>
                    <w:t>，用于污水进口设置</w:t>
                  </w:r>
                  <w:r>
                    <w:rPr>
                      <w:rFonts w:ascii="Times New Roman" w:hAnsi="Times New Roman" w:cs="Times New Roman"/>
                      <w:sz w:val="21"/>
                      <w:szCs w:val="21"/>
                    </w:rPr>
                    <w:t>1</w:t>
                  </w:r>
                  <w:r>
                    <w:rPr>
                      <w:rFonts w:ascii="Times New Roman" w:cs="Times New Roman" w:hAnsiTheme="minorEastAsia"/>
                      <w:sz w:val="21"/>
                      <w:szCs w:val="21"/>
                    </w:rPr>
                    <w:t>套流量、</w:t>
                  </w:r>
                  <w:r>
                    <w:rPr>
                      <w:rFonts w:ascii="Times New Roman" w:hAnsi="Times New Roman" w:cs="Times New Roman"/>
                      <w:sz w:val="21"/>
                      <w:szCs w:val="21"/>
                    </w:rPr>
                    <w:t>pH</w:t>
                  </w:r>
                  <w:r>
                    <w:rPr>
                      <w:rFonts w:ascii="Times New Roman" w:cs="Times New Roman" w:hAnsiTheme="minorEastAsia"/>
                      <w:sz w:val="21"/>
                      <w:szCs w:val="21"/>
                    </w:rPr>
                    <w:t>、</w:t>
                  </w:r>
                  <w:r>
                    <w:rPr>
                      <w:rFonts w:ascii="Times New Roman" w:hAnsi="Times New Roman" w:cs="Times New Roman"/>
                      <w:sz w:val="21"/>
                      <w:szCs w:val="21"/>
                    </w:rPr>
                    <w:t>COD</w:t>
                  </w:r>
                  <w:r>
                    <w:rPr>
                      <w:rFonts w:ascii="Times New Roman" w:cs="Times New Roman" w:hAnsiTheme="minorEastAsia"/>
                      <w:sz w:val="21"/>
                      <w:szCs w:val="21"/>
                    </w:rPr>
                    <w:t>、氨氮、</w:t>
                  </w:r>
                  <w:r>
                    <w:rPr>
                      <w:rFonts w:ascii="Times New Roman" w:hAnsi="Times New Roman" w:cs="Times New Roman"/>
                      <w:sz w:val="21"/>
                      <w:szCs w:val="21"/>
                    </w:rPr>
                    <w:t>TP</w:t>
                  </w:r>
                  <w:r>
                    <w:rPr>
                      <w:rFonts w:ascii="Times New Roman" w:cs="Times New Roman" w:hAnsiTheme="minorEastAsia"/>
                      <w:sz w:val="21"/>
                      <w:szCs w:val="21"/>
                    </w:rPr>
                    <w:t>、</w:t>
                  </w:r>
                  <w:r>
                    <w:rPr>
                      <w:rFonts w:ascii="Times New Roman" w:hAnsi="Times New Roman" w:cs="Times New Roman"/>
                      <w:sz w:val="21"/>
                      <w:szCs w:val="21"/>
                    </w:rPr>
                    <w:t>TN</w:t>
                  </w:r>
                  <w:r>
                    <w:rPr>
                      <w:rFonts w:ascii="Times New Roman" w:cs="Times New Roman" w:hAnsiTheme="minorEastAsia"/>
                      <w:sz w:val="21"/>
                      <w:szCs w:val="21"/>
                    </w:rPr>
                    <w:t>在线监测系统，对项目进水水质、水量进行实时监测</w:t>
                  </w:r>
                </w:p>
              </w:tc>
              <w:tc>
                <w:tcPr>
                  <w:tcW w:w="1125" w:type="dxa"/>
                  <w:vMerge w:val="continue"/>
                  <w:vAlign w:val="center"/>
                </w:tcPr>
                <w:p>
                  <w:pPr>
                    <w:adjustRightInd w:val="0"/>
                    <w:snapToGrid w:val="0"/>
                    <w:spacing w:line="360" w:lineRule="exact"/>
                    <w:rPr>
                      <w:rFonts w:ascii="Times New Roman" w:hAnsi="Times New Roman" w:cs="Times New Roman"/>
                      <w:bCs/>
                      <w:sz w:val="21"/>
                      <w:szCs w:val="21"/>
                    </w:rPr>
                  </w:pPr>
                </w:p>
              </w:tc>
              <w:tc>
                <w:tcPr>
                  <w:tcW w:w="0" w:type="auto"/>
                  <w:vAlign w:val="center"/>
                </w:tcPr>
                <w:p>
                  <w:pPr>
                    <w:adjustRightInd w:val="0"/>
                    <w:snapToGrid w:val="0"/>
                    <w:spacing w:line="360" w:lineRule="exact"/>
                    <w:rPr>
                      <w:rFonts w:ascii="Times New Roman" w:hAnsi="Times New Roman" w:cs="Times New Roman"/>
                      <w:bCs/>
                      <w:sz w:val="21"/>
                      <w:szCs w:val="21"/>
                    </w:rPr>
                  </w:pPr>
                  <w:r>
                    <w:rPr>
                      <w:rFonts w:hint="eastAsia" w:ascii="Times New Roman" w:hAnsi="Times New Roman" w:cs="Times New Roman"/>
                      <w:bCs/>
                      <w:sz w:val="21"/>
                      <w:szCs w:val="21"/>
                    </w:rPr>
                    <w:t>检验废液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kern w:val="0"/>
                      <w:sz w:val="21"/>
                      <w:szCs w:val="21"/>
                    </w:rPr>
                    <w:t>污泥储池</w:t>
                  </w:r>
                </w:p>
              </w:tc>
              <w:tc>
                <w:tcPr>
                  <w:tcW w:w="4897" w:type="dxa"/>
                  <w:gridSpan w:val="2"/>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1</w:t>
                  </w:r>
                  <w:r>
                    <w:rPr>
                      <w:rFonts w:ascii="Times New Roman" w:cs="Times New Roman" w:hAnsiTheme="minorEastAsia"/>
                      <w:sz w:val="21"/>
                      <w:szCs w:val="21"/>
                    </w:rPr>
                    <w:t>座，钢砼结构，构筑物尺寸：</w:t>
                  </w:r>
                  <w:r>
                    <w:rPr>
                      <w:rFonts w:ascii="Times New Roman" w:hAnsi="Times New Roman" w:cs="Times New Roman"/>
                      <w:sz w:val="21"/>
                      <w:szCs w:val="21"/>
                    </w:rPr>
                    <w:t>L×B×H =3.0m×3.0m×5.5m</w:t>
                  </w:r>
                  <w:r>
                    <w:rPr>
                      <w:rFonts w:ascii="Times New Roman" w:cs="Times New Roman" w:hAnsiTheme="minorEastAsia"/>
                      <w:sz w:val="21"/>
                      <w:szCs w:val="21"/>
                    </w:rPr>
                    <w:t>；设计处理能力：</w:t>
                  </w:r>
                  <w:r>
                    <w:rPr>
                      <w:rFonts w:ascii="Times New Roman" w:hAnsi="Times New Roman" w:cs="Times New Roman"/>
                      <w:sz w:val="21"/>
                      <w:szCs w:val="21"/>
                    </w:rPr>
                    <w:t>10000m</w:t>
                  </w:r>
                  <w:r>
                    <w:rPr>
                      <w:rFonts w:ascii="Times New Roman" w:hAnsi="Times New Roman" w:cs="Times New Roman"/>
                      <w:sz w:val="21"/>
                      <w:szCs w:val="21"/>
                      <w:vertAlign w:val="superscript"/>
                    </w:rPr>
                    <w:t>3</w:t>
                  </w:r>
                  <w:r>
                    <w:rPr>
                      <w:rFonts w:ascii="Times New Roman" w:hAnsi="Times New Roman" w:cs="Times New Roman"/>
                      <w:sz w:val="21"/>
                      <w:szCs w:val="21"/>
                    </w:rPr>
                    <w:t>/d</w:t>
                  </w:r>
                </w:p>
              </w:tc>
              <w:tc>
                <w:tcPr>
                  <w:tcW w:w="1125" w:type="dxa"/>
                  <w:vMerge w:val="continue"/>
                  <w:vAlign w:val="center"/>
                </w:tcPr>
                <w:p>
                  <w:pPr>
                    <w:adjustRightInd w:val="0"/>
                    <w:snapToGrid w:val="0"/>
                    <w:spacing w:line="360" w:lineRule="exact"/>
                    <w:rPr>
                      <w:rFonts w:ascii="Times New Roman" w:hAnsi="Times New Roman" w:cs="Times New Roman"/>
                      <w:bCs/>
                      <w:sz w:val="21"/>
                      <w:szCs w:val="21"/>
                    </w:rPr>
                  </w:pPr>
                </w:p>
              </w:tc>
              <w:tc>
                <w:tcPr>
                  <w:tcW w:w="0" w:type="auto"/>
                  <w:vAlign w:val="center"/>
                </w:tcPr>
                <w:p>
                  <w:pPr>
                    <w:adjustRightInd w:val="0"/>
                    <w:snapToGrid w:val="0"/>
                    <w:spacing w:line="360" w:lineRule="exact"/>
                    <w:rPr>
                      <w:rFonts w:ascii="Times New Roman" w:hAnsi="Times New Roman" w:cs="Times New Roman"/>
                      <w:bCs/>
                      <w:sz w:val="21"/>
                      <w:szCs w:val="21"/>
                    </w:rPr>
                  </w:pPr>
                  <w:r>
                    <w:rPr>
                      <w:rFonts w:hint="eastAsia" w:ascii="Times New Roman" w:hAnsi="Times New Roman" w:cs="Times New Roman"/>
                      <w:bCs/>
                      <w:sz w:val="21"/>
                      <w:szCs w:val="21"/>
                    </w:rPr>
                    <w:t>污泥恶臭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kern w:val="0"/>
                      <w:sz w:val="21"/>
                      <w:szCs w:val="21"/>
                    </w:rPr>
                    <w:t>鼓风机房及配电室</w:t>
                  </w:r>
                </w:p>
              </w:tc>
              <w:tc>
                <w:tcPr>
                  <w:tcW w:w="4897" w:type="dxa"/>
                  <w:gridSpan w:val="2"/>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1</w:t>
                  </w:r>
                  <w:r>
                    <w:rPr>
                      <w:rFonts w:ascii="Times New Roman" w:cs="Times New Roman" w:hAnsiTheme="minorEastAsia"/>
                      <w:sz w:val="21"/>
                      <w:szCs w:val="21"/>
                    </w:rPr>
                    <w:t>栋，框架结构，建筑面积约</w:t>
                  </w:r>
                  <w:r>
                    <w:rPr>
                      <w:rFonts w:ascii="Times New Roman" w:hAnsi="Times New Roman" w:cs="Times New Roman"/>
                      <w:sz w:val="21"/>
                      <w:szCs w:val="21"/>
                    </w:rPr>
                    <w:t>289m</w:t>
                  </w:r>
                  <w:r>
                    <w:rPr>
                      <w:rFonts w:ascii="Times New Roman" w:hAnsi="Times New Roman" w:cs="Times New Roman"/>
                      <w:sz w:val="21"/>
                      <w:szCs w:val="21"/>
                      <w:vertAlign w:val="superscript"/>
                    </w:rPr>
                    <w:t>2</w:t>
                  </w:r>
                  <w:r>
                    <w:rPr>
                      <w:rFonts w:ascii="Times New Roman" w:cs="Times New Roman" w:hAnsiTheme="minorEastAsia"/>
                      <w:sz w:val="21"/>
                      <w:szCs w:val="21"/>
                    </w:rPr>
                    <w:t>，设计处理能力：</w:t>
                  </w:r>
                  <w:r>
                    <w:rPr>
                      <w:rFonts w:ascii="Times New Roman" w:hAnsi="Times New Roman" w:cs="Times New Roman"/>
                      <w:sz w:val="21"/>
                      <w:szCs w:val="21"/>
                    </w:rPr>
                    <w:t>5000m³/d</w:t>
                  </w:r>
                  <w:r>
                    <w:rPr>
                      <w:rFonts w:ascii="Times New Roman" w:cs="Times New Roman" w:hAnsiTheme="minorEastAsia"/>
                      <w:sz w:val="21"/>
                      <w:szCs w:val="21"/>
                    </w:rPr>
                    <w:t>，</w:t>
                  </w:r>
                  <w:r>
                    <w:rPr>
                      <w:rFonts w:ascii="Times New Roman" w:hAnsi="Times New Roman" w:cs="Times New Roman"/>
                      <w:sz w:val="21"/>
                      <w:szCs w:val="21"/>
                    </w:rPr>
                    <w:t>416m³/h</w:t>
                  </w:r>
                  <w:r>
                    <w:rPr>
                      <w:rFonts w:ascii="Times New Roman" w:cs="Times New Roman" w:hAnsiTheme="minorEastAsia"/>
                      <w:sz w:val="21"/>
                      <w:szCs w:val="21"/>
                    </w:rPr>
                    <w:t>；</w:t>
                  </w:r>
                </w:p>
              </w:tc>
              <w:tc>
                <w:tcPr>
                  <w:tcW w:w="1125" w:type="dxa"/>
                  <w:vMerge w:val="continue"/>
                  <w:vAlign w:val="center"/>
                </w:tcPr>
                <w:p>
                  <w:pPr>
                    <w:adjustRightInd w:val="0"/>
                    <w:snapToGrid w:val="0"/>
                    <w:spacing w:line="360" w:lineRule="exact"/>
                    <w:rPr>
                      <w:rFonts w:ascii="Times New Roman" w:hAnsi="Times New Roman" w:cs="Times New Roman"/>
                      <w:bCs/>
                      <w:sz w:val="21"/>
                      <w:szCs w:val="21"/>
                    </w:rPr>
                  </w:pPr>
                </w:p>
              </w:tc>
              <w:tc>
                <w:tcPr>
                  <w:tcW w:w="0" w:type="auto"/>
                  <w:vAlign w:val="center"/>
                </w:tcPr>
                <w:p>
                  <w:pPr>
                    <w:adjustRightInd w:val="0"/>
                    <w:snapToGrid w:val="0"/>
                    <w:spacing w:line="360" w:lineRule="exact"/>
                    <w:rPr>
                      <w:rFonts w:ascii="Times New Roman" w:hAnsi="Times New Roman" w:cs="Times New Roman"/>
                      <w:bCs/>
                      <w:sz w:val="21"/>
                      <w:szCs w:val="21"/>
                    </w:rPr>
                  </w:pPr>
                  <w:r>
                    <w:rPr>
                      <w:rFonts w:ascii="Times New Roman" w:hAnsi="Times New Roman"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bCs/>
                      <w:sz w:val="21"/>
                      <w:szCs w:val="21"/>
                    </w:rPr>
                    <w:t>污泥脱水机间</w:t>
                  </w:r>
                </w:p>
              </w:tc>
              <w:tc>
                <w:tcPr>
                  <w:tcW w:w="4897" w:type="dxa"/>
                  <w:gridSpan w:val="2"/>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1</w:t>
                  </w:r>
                  <w:r>
                    <w:rPr>
                      <w:rFonts w:ascii="Times New Roman" w:cs="Times New Roman" w:hAnsiTheme="minorEastAsia"/>
                      <w:sz w:val="21"/>
                      <w:szCs w:val="21"/>
                    </w:rPr>
                    <w:t>栋，框架结构，建筑面积约</w:t>
                  </w:r>
                  <w:r>
                    <w:rPr>
                      <w:rFonts w:ascii="Times New Roman" w:hAnsi="Times New Roman" w:cs="Times New Roman"/>
                      <w:sz w:val="21"/>
                      <w:szCs w:val="21"/>
                    </w:rPr>
                    <w:t>740m</w:t>
                  </w:r>
                  <w:r>
                    <w:rPr>
                      <w:rFonts w:ascii="Times New Roman" w:hAnsi="Times New Roman" w:cs="Times New Roman"/>
                      <w:sz w:val="21"/>
                      <w:szCs w:val="21"/>
                      <w:vertAlign w:val="superscript"/>
                    </w:rPr>
                    <w:t>2</w:t>
                  </w:r>
                  <w:r>
                    <w:rPr>
                      <w:rFonts w:ascii="Times New Roman" w:cs="Times New Roman" w:hAnsiTheme="minorEastAsia"/>
                      <w:sz w:val="21"/>
                      <w:szCs w:val="21"/>
                    </w:rPr>
                    <w:t>，进水污泥含水率：</w:t>
                  </w:r>
                  <w:r>
                    <w:rPr>
                      <w:rFonts w:ascii="Times New Roman" w:hAnsi="Times New Roman" w:cs="Times New Roman"/>
                      <w:sz w:val="21"/>
                      <w:szCs w:val="21"/>
                    </w:rPr>
                    <w:t>99.2%</w:t>
                  </w:r>
                  <w:r>
                    <w:rPr>
                      <w:rFonts w:ascii="Times New Roman" w:cs="Times New Roman" w:hAnsiTheme="minorEastAsia"/>
                      <w:sz w:val="21"/>
                      <w:szCs w:val="21"/>
                    </w:rPr>
                    <w:t>；污泥脱水后含水率：≦</w:t>
                  </w:r>
                  <w:r>
                    <w:rPr>
                      <w:rFonts w:ascii="Times New Roman" w:hAnsi="Times New Roman" w:cs="Times New Roman"/>
                      <w:sz w:val="21"/>
                      <w:szCs w:val="21"/>
                    </w:rPr>
                    <w:t>60%</w:t>
                  </w:r>
                </w:p>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浓缩设备一期运行时间</w:t>
                  </w:r>
                  <w:r>
                    <w:rPr>
                      <w:rFonts w:ascii="Times New Roman" w:hAnsi="Times New Roman" w:cs="Times New Roman"/>
                      <w:sz w:val="21"/>
                      <w:szCs w:val="21"/>
                    </w:rPr>
                    <w:t>1</w:t>
                  </w:r>
                  <w:r>
                    <w:rPr>
                      <w:rFonts w:ascii="Times New Roman" w:cs="Times New Roman" w:hAnsiTheme="minorEastAsia"/>
                      <w:sz w:val="21"/>
                      <w:szCs w:val="21"/>
                    </w:rPr>
                    <w:t>台：</w:t>
                  </w:r>
                  <w:r>
                    <w:rPr>
                      <w:rFonts w:ascii="Times New Roman" w:hAnsi="Times New Roman" w:cs="Times New Roman"/>
                      <w:sz w:val="21"/>
                      <w:szCs w:val="21"/>
                    </w:rPr>
                    <w:t>5h/d</w:t>
                  </w:r>
                  <w:r>
                    <w:rPr>
                      <w:rFonts w:ascii="Times New Roman" w:cs="Times New Roman" w:hAnsiTheme="minorEastAsia"/>
                      <w:sz w:val="21"/>
                      <w:szCs w:val="21"/>
                    </w:rPr>
                    <w:t>；二期运行时间</w:t>
                  </w:r>
                  <w:r>
                    <w:rPr>
                      <w:rFonts w:ascii="Times New Roman" w:hAnsi="Times New Roman" w:cs="Times New Roman"/>
                      <w:sz w:val="21"/>
                      <w:szCs w:val="21"/>
                    </w:rPr>
                    <w:t>1</w:t>
                  </w:r>
                  <w:r>
                    <w:rPr>
                      <w:rFonts w:ascii="Times New Roman" w:cs="Times New Roman" w:hAnsiTheme="minorEastAsia"/>
                      <w:sz w:val="21"/>
                      <w:szCs w:val="21"/>
                    </w:rPr>
                    <w:t>台：</w:t>
                  </w:r>
                  <w:r>
                    <w:rPr>
                      <w:rFonts w:ascii="Times New Roman" w:hAnsi="Times New Roman" w:cs="Times New Roman"/>
                      <w:sz w:val="21"/>
                      <w:szCs w:val="21"/>
                    </w:rPr>
                    <w:t>20h/d</w:t>
                  </w:r>
                  <w:r>
                    <w:rPr>
                      <w:rFonts w:ascii="Times New Roman" w:cs="Times New Roman" w:hAnsiTheme="minorEastAsia"/>
                      <w:sz w:val="21"/>
                      <w:szCs w:val="21"/>
                    </w:rPr>
                    <w:t>；</w:t>
                  </w:r>
                </w:p>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脱水设备一期运行时间</w:t>
                  </w:r>
                  <w:r>
                    <w:rPr>
                      <w:rFonts w:ascii="Times New Roman" w:hAnsi="Times New Roman" w:cs="Times New Roman"/>
                      <w:sz w:val="21"/>
                      <w:szCs w:val="21"/>
                    </w:rPr>
                    <w:t>1</w:t>
                  </w:r>
                  <w:r>
                    <w:rPr>
                      <w:rFonts w:ascii="Times New Roman" w:cs="Times New Roman" w:hAnsiTheme="minorEastAsia"/>
                      <w:sz w:val="21"/>
                      <w:szCs w:val="21"/>
                    </w:rPr>
                    <w:t>台：</w:t>
                  </w:r>
                  <w:r>
                    <w:rPr>
                      <w:rFonts w:ascii="Times New Roman" w:hAnsi="Times New Roman" w:cs="Times New Roman"/>
                      <w:sz w:val="21"/>
                      <w:szCs w:val="21"/>
                    </w:rPr>
                    <w:t>8h/d</w:t>
                  </w:r>
                  <w:r>
                    <w:rPr>
                      <w:rFonts w:ascii="Times New Roman" w:cs="Times New Roman" w:hAnsiTheme="minorEastAsia"/>
                      <w:sz w:val="21"/>
                      <w:szCs w:val="21"/>
                    </w:rPr>
                    <w:t>；二期运行时间</w:t>
                  </w:r>
                  <w:r>
                    <w:rPr>
                      <w:rFonts w:ascii="Times New Roman" w:hAnsi="Times New Roman" w:cs="Times New Roman"/>
                      <w:sz w:val="21"/>
                      <w:szCs w:val="21"/>
                    </w:rPr>
                    <w:t>2</w:t>
                  </w:r>
                  <w:r>
                    <w:rPr>
                      <w:rFonts w:ascii="Times New Roman" w:cs="Times New Roman" w:hAnsiTheme="minorEastAsia"/>
                      <w:sz w:val="21"/>
                      <w:szCs w:val="21"/>
                    </w:rPr>
                    <w:t>台：</w:t>
                  </w:r>
                  <w:r>
                    <w:rPr>
                      <w:rFonts w:ascii="Times New Roman" w:hAnsi="Times New Roman" w:cs="Times New Roman"/>
                      <w:sz w:val="21"/>
                      <w:szCs w:val="21"/>
                    </w:rPr>
                    <w:t>8h/d</w:t>
                  </w:r>
                  <w:r>
                    <w:rPr>
                      <w:rFonts w:ascii="Times New Roman" w:cs="Times New Roman" w:hAnsiTheme="minorEastAsia"/>
                      <w:sz w:val="21"/>
                      <w:szCs w:val="21"/>
                    </w:rPr>
                    <w:t>；</w:t>
                  </w:r>
                </w:p>
              </w:tc>
              <w:tc>
                <w:tcPr>
                  <w:tcW w:w="1125" w:type="dxa"/>
                  <w:vMerge w:val="continue"/>
                  <w:vAlign w:val="center"/>
                </w:tcPr>
                <w:p>
                  <w:pPr>
                    <w:adjustRightInd w:val="0"/>
                    <w:snapToGrid w:val="0"/>
                    <w:spacing w:line="360" w:lineRule="exact"/>
                    <w:rPr>
                      <w:rFonts w:ascii="Times New Roman" w:hAnsi="Times New Roman" w:cs="Times New Roman"/>
                      <w:bCs/>
                      <w:sz w:val="21"/>
                      <w:szCs w:val="21"/>
                    </w:rPr>
                  </w:pPr>
                </w:p>
              </w:tc>
              <w:tc>
                <w:tcPr>
                  <w:tcW w:w="0" w:type="auto"/>
                  <w:vAlign w:val="center"/>
                </w:tcPr>
                <w:p>
                  <w:pPr>
                    <w:adjustRightInd w:val="0"/>
                    <w:snapToGrid w:val="0"/>
                    <w:spacing w:line="360" w:lineRule="exact"/>
                    <w:rPr>
                      <w:rFonts w:ascii="Times New Roman" w:hAnsi="Times New Roman" w:cs="Times New Roman"/>
                      <w:bCs/>
                      <w:sz w:val="21"/>
                      <w:szCs w:val="21"/>
                    </w:rPr>
                  </w:pPr>
                  <w:r>
                    <w:rPr>
                      <w:rFonts w:hint="eastAsia" w:ascii="Times New Roman" w:hAnsi="Times New Roman" w:cs="Times New Roman"/>
                      <w:bCs/>
                      <w:sz w:val="21"/>
                      <w:szCs w:val="21"/>
                    </w:rPr>
                    <w:t>污泥恶臭噪声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bCs/>
                      <w:sz w:val="21"/>
                      <w:szCs w:val="21"/>
                    </w:rPr>
                    <w:t>停车场</w:t>
                  </w:r>
                </w:p>
              </w:tc>
              <w:tc>
                <w:tcPr>
                  <w:tcW w:w="4897" w:type="dxa"/>
                  <w:gridSpan w:val="2"/>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bCs/>
                      <w:sz w:val="21"/>
                      <w:szCs w:val="21"/>
                    </w:rPr>
                    <w:t>设置</w:t>
                  </w:r>
                  <w:r>
                    <w:rPr>
                      <w:rFonts w:ascii="Times New Roman" w:hAnsi="Times New Roman" w:cs="Times New Roman"/>
                      <w:bCs/>
                      <w:sz w:val="21"/>
                      <w:szCs w:val="21"/>
                    </w:rPr>
                    <w:t>1</w:t>
                  </w:r>
                  <w:r>
                    <w:rPr>
                      <w:rFonts w:ascii="Times New Roman" w:cs="Times New Roman" w:hAnsiTheme="minorEastAsia"/>
                      <w:bCs/>
                      <w:sz w:val="21"/>
                      <w:szCs w:val="21"/>
                    </w:rPr>
                    <w:t>处地面停车场，共设置</w:t>
                  </w:r>
                  <w:r>
                    <w:rPr>
                      <w:rFonts w:ascii="Times New Roman" w:hAnsi="Times New Roman" w:cs="Times New Roman"/>
                      <w:bCs/>
                      <w:sz w:val="21"/>
                      <w:szCs w:val="21"/>
                    </w:rPr>
                    <w:t>6</w:t>
                  </w:r>
                  <w:r>
                    <w:rPr>
                      <w:rFonts w:ascii="Times New Roman" w:cs="Times New Roman" w:hAnsiTheme="minorEastAsia"/>
                      <w:bCs/>
                      <w:sz w:val="21"/>
                      <w:szCs w:val="21"/>
                    </w:rPr>
                    <w:t>个停车位</w:t>
                  </w:r>
                </w:p>
              </w:tc>
              <w:tc>
                <w:tcPr>
                  <w:tcW w:w="1125" w:type="dxa"/>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0" w:type="auto"/>
                  <w:vMerge w:val="restart"/>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公用</w:t>
                  </w:r>
                </w:p>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工程</w:t>
                  </w:r>
                </w:p>
              </w:tc>
              <w:tc>
                <w:tcPr>
                  <w:tcW w:w="0" w:type="auto"/>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sz w:val="21"/>
                      <w:szCs w:val="21"/>
                    </w:rPr>
                    <w:t>供水系统</w:t>
                  </w:r>
                </w:p>
              </w:tc>
              <w:tc>
                <w:tcPr>
                  <w:tcW w:w="4897" w:type="dxa"/>
                  <w:gridSpan w:val="2"/>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lang w:val="pt-BR"/>
                    </w:rPr>
                    <w:t>市政给水管网供水</w:t>
                  </w:r>
                </w:p>
              </w:tc>
              <w:tc>
                <w:tcPr>
                  <w:tcW w:w="1125" w:type="dxa"/>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pStyle w:val="26"/>
                    <w:adjustRightInd w:val="0"/>
                    <w:snapToGrid w:val="0"/>
                    <w:spacing w:line="360" w:lineRule="exact"/>
                    <w:ind w:left="-72" w:leftChars="-30" w:right="-72" w:rightChars="-30"/>
                    <w:jc w:val="center"/>
                    <w:rPr>
                      <w:rFonts w:eastAsiaTheme="minorEastAsia"/>
                      <w:sz w:val="21"/>
                      <w:szCs w:val="21"/>
                    </w:rPr>
                  </w:pPr>
                  <w:r>
                    <w:rPr>
                      <w:rFonts w:hAnsiTheme="minorEastAsia" w:eastAsiaTheme="minorEastAsia"/>
                      <w:sz w:val="21"/>
                      <w:szCs w:val="21"/>
                    </w:rPr>
                    <w:t>供电系统</w:t>
                  </w:r>
                </w:p>
              </w:tc>
              <w:tc>
                <w:tcPr>
                  <w:tcW w:w="4897" w:type="dxa"/>
                  <w:gridSpan w:val="2"/>
                  <w:vAlign w:val="center"/>
                </w:tcPr>
                <w:p>
                  <w:pPr>
                    <w:adjustRightInd w:val="0"/>
                    <w:snapToGrid w:val="0"/>
                    <w:spacing w:line="360" w:lineRule="exact"/>
                    <w:ind w:left="-72" w:leftChars="-30" w:right="-72" w:rightChars="-30"/>
                    <w:rPr>
                      <w:rFonts w:ascii="Times New Roman" w:hAnsi="Times New Roman" w:cs="Times New Roman"/>
                      <w:sz w:val="21"/>
                      <w:szCs w:val="21"/>
                    </w:rPr>
                  </w:pPr>
                  <w:r>
                    <w:rPr>
                      <w:rFonts w:ascii="Times New Roman" w:cs="Times New Roman" w:hAnsiTheme="minorEastAsia"/>
                      <w:sz w:val="21"/>
                      <w:szCs w:val="21"/>
                      <w:lang w:val="pt-BR"/>
                    </w:rPr>
                    <w:t>市政电网供电</w:t>
                  </w:r>
                </w:p>
              </w:tc>
              <w:tc>
                <w:tcPr>
                  <w:tcW w:w="1125" w:type="dxa"/>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pStyle w:val="26"/>
                    <w:adjustRightInd w:val="0"/>
                    <w:snapToGrid w:val="0"/>
                    <w:spacing w:line="360" w:lineRule="exact"/>
                    <w:ind w:left="-72" w:leftChars="-30" w:right="-72" w:rightChars="-30"/>
                    <w:jc w:val="center"/>
                    <w:rPr>
                      <w:rFonts w:eastAsiaTheme="minorEastAsia"/>
                      <w:sz w:val="21"/>
                      <w:szCs w:val="21"/>
                    </w:rPr>
                  </w:pPr>
                  <w:r>
                    <w:rPr>
                      <w:rFonts w:hAnsiTheme="minorEastAsia" w:eastAsiaTheme="minorEastAsia"/>
                      <w:sz w:val="21"/>
                      <w:szCs w:val="21"/>
                      <w:lang w:val="pt-BR"/>
                    </w:rPr>
                    <w:t>道路</w:t>
                  </w:r>
                </w:p>
              </w:tc>
              <w:tc>
                <w:tcPr>
                  <w:tcW w:w="4897" w:type="dxa"/>
                  <w:gridSpan w:val="2"/>
                  <w:vAlign w:val="center"/>
                </w:tcPr>
                <w:p>
                  <w:pPr>
                    <w:adjustRightInd w:val="0"/>
                    <w:snapToGrid w:val="0"/>
                    <w:spacing w:line="360" w:lineRule="exact"/>
                    <w:ind w:left="-72" w:leftChars="-30" w:right="-72" w:rightChars="-30"/>
                    <w:rPr>
                      <w:rFonts w:ascii="Times New Roman" w:hAnsi="Times New Roman" w:cs="Times New Roman"/>
                      <w:sz w:val="21"/>
                      <w:szCs w:val="21"/>
                    </w:rPr>
                  </w:pPr>
                  <w:r>
                    <w:rPr>
                      <w:rFonts w:ascii="Times New Roman" w:cs="Times New Roman" w:hAnsiTheme="minorEastAsia"/>
                      <w:sz w:val="21"/>
                      <w:szCs w:val="21"/>
                    </w:rPr>
                    <w:t>污水处理厂进厂道路紧接现状道路，厂区内设置主干道路宽</w:t>
                  </w:r>
                  <w:r>
                    <w:rPr>
                      <w:rFonts w:ascii="Times New Roman" w:hAnsi="Times New Roman" w:cs="Times New Roman"/>
                      <w:sz w:val="21"/>
                      <w:szCs w:val="21"/>
                    </w:rPr>
                    <w:t>4.0m</w:t>
                  </w:r>
                  <w:r>
                    <w:rPr>
                      <w:rFonts w:ascii="Times New Roman" w:cs="Times New Roman" w:hAnsiTheme="minorEastAsia"/>
                      <w:sz w:val="21"/>
                      <w:szCs w:val="21"/>
                    </w:rPr>
                    <w:t>，路面材质为</w:t>
                  </w:r>
                  <w:r>
                    <w:rPr>
                      <w:rFonts w:ascii="Times New Roman" w:hAnsi="Times New Roman" w:cs="Times New Roman"/>
                      <w:sz w:val="21"/>
                      <w:szCs w:val="21"/>
                    </w:rPr>
                    <w:t>C25</w:t>
                  </w:r>
                  <w:r>
                    <w:rPr>
                      <w:rFonts w:ascii="Times New Roman" w:cs="Times New Roman" w:hAnsiTheme="minorEastAsia"/>
                      <w:sz w:val="21"/>
                      <w:szCs w:val="21"/>
                    </w:rPr>
                    <w:t>混凝土，厚</w:t>
                  </w:r>
                  <w:r>
                    <w:rPr>
                      <w:rFonts w:ascii="Times New Roman" w:hAnsi="Times New Roman" w:cs="Times New Roman"/>
                      <w:sz w:val="21"/>
                      <w:szCs w:val="21"/>
                    </w:rPr>
                    <w:t>22cm</w:t>
                  </w:r>
                  <w:r>
                    <w:rPr>
                      <w:rFonts w:ascii="Times New Roman" w:cs="Times New Roman" w:hAnsiTheme="minorEastAsia"/>
                      <w:sz w:val="21"/>
                      <w:szCs w:val="21"/>
                    </w:rPr>
                    <w:t>，路边设侧卧石，高出路面</w:t>
                  </w:r>
                  <w:r>
                    <w:rPr>
                      <w:rFonts w:ascii="Times New Roman" w:hAnsi="Times New Roman" w:cs="Times New Roman"/>
                      <w:sz w:val="21"/>
                      <w:szCs w:val="21"/>
                    </w:rPr>
                    <w:t>10cm</w:t>
                  </w:r>
                  <w:r>
                    <w:rPr>
                      <w:rFonts w:ascii="Times New Roman" w:cs="Times New Roman" w:hAnsiTheme="minorEastAsia"/>
                      <w:sz w:val="21"/>
                      <w:szCs w:val="21"/>
                      <w:lang w:val="pt-BR"/>
                    </w:rPr>
                    <w:t>。</w:t>
                  </w:r>
                </w:p>
              </w:tc>
              <w:tc>
                <w:tcPr>
                  <w:tcW w:w="1125" w:type="dxa"/>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hint="eastAsia"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0" w:type="auto"/>
                  <w:vMerge w:val="restart"/>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办公及生活设施</w:t>
                  </w:r>
                </w:p>
              </w:tc>
              <w:tc>
                <w:tcPr>
                  <w:tcW w:w="0" w:type="auto"/>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kern w:val="0"/>
                      <w:sz w:val="21"/>
                      <w:szCs w:val="21"/>
                    </w:rPr>
                    <w:t>综合用房</w:t>
                  </w:r>
                </w:p>
              </w:tc>
              <w:tc>
                <w:tcPr>
                  <w:tcW w:w="4897" w:type="dxa"/>
                  <w:gridSpan w:val="2"/>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1</w:t>
                  </w:r>
                  <w:r>
                    <w:rPr>
                      <w:rFonts w:ascii="Times New Roman" w:cs="Times New Roman" w:hAnsiTheme="minorEastAsia"/>
                      <w:sz w:val="21"/>
                      <w:szCs w:val="21"/>
                    </w:rPr>
                    <w:t>栋，</w:t>
                  </w:r>
                  <w:r>
                    <w:rPr>
                      <w:rFonts w:ascii="Times New Roman" w:hAnsi="Times New Roman" w:cs="Times New Roman"/>
                      <w:sz w:val="21"/>
                      <w:szCs w:val="21"/>
                    </w:rPr>
                    <w:t>2F</w:t>
                  </w:r>
                  <w:r>
                    <w:rPr>
                      <w:rFonts w:ascii="Times New Roman" w:cs="Times New Roman" w:hAnsiTheme="minorEastAsia"/>
                      <w:sz w:val="21"/>
                      <w:szCs w:val="21"/>
                    </w:rPr>
                    <w:t>，框架结构，建筑面积约</w:t>
                  </w:r>
                  <w:r>
                    <w:rPr>
                      <w:rFonts w:ascii="Times New Roman" w:hAnsi="Times New Roman" w:cs="Times New Roman"/>
                      <w:sz w:val="21"/>
                      <w:szCs w:val="21"/>
                    </w:rPr>
                    <w:t>637m²</w:t>
                  </w:r>
                  <w:r>
                    <w:rPr>
                      <w:rFonts w:ascii="Times New Roman" w:cs="Times New Roman" w:hAnsiTheme="minorEastAsia"/>
                      <w:sz w:val="21"/>
                      <w:szCs w:val="21"/>
                    </w:rPr>
                    <w:t>；综合楼包括办公室、会议室、宿舍、中控室、化验室、餐厅、厨房、厕所等；</w:t>
                  </w:r>
                </w:p>
              </w:tc>
              <w:tc>
                <w:tcPr>
                  <w:tcW w:w="1125" w:type="dxa"/>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hint="eastAsia" w:ascii="Times New Roman" w:hAnsi="Times New Roman" w:cs="Times New Roman"/>
                      <w:sz w:val="21"/>
                      <w:szCs w:val="21"/>
                    </w:rPr>
                    <w:t>办公生活废水、办公垃圾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kern w:val="0"/>
                      <w:sz w:val="21"/>
                      <w:szCs w:val="21"/>
                    </w:rPr>
                    <w:t>门卫室</w:t>
                  </w:r>
                </w:p>
              </w:tc>
              <w:tc>
                <w:tcPr>
                  <w:tcW w:w="4897" w:type="dxa"/>
                  <w:gridSpan w:val="2"/>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1</w:t>
                  </w:r>
                  <w:r>
                    <w:rPr>
                      <w:rFonts w:ascii="Times New Roman" w:cs="Times New Roman" w:hAnsiTheme="minorEastAsia"/>
                      <w:sz w:val="21"/>
                      <w:szCs w:val="21"/>
                    </w:rPr>
                    <w:t>栋，</w:t>
                  </w:r>
                  <w:r>
                    <w:rPr>
                      <w:rFonts w:ascii="Times New Roman" w:hAnsi="Times New Roman" w:cs="Times New Roman"/>
                      <w:sz w:val="21"/>
                      <w:szCs w:val="21"/>
                    </w:rPr>
                    <w:t>1F</w:t>
                  </w:r>
                  <w:r>
                    <w:rPr>
                      <w:rFonts w:ascii="Times New Roman" w:cs="Times New Roman" w:hAnsiTheme="minorEastAsia"/>
                      <w:sz w:val="21"/>
                      <w:szCs w:val="21"/>
                    </w:rPr>
                    <w:t>，框架结构，建筑面积约</w:t>
                  </w:r>
                  <w:r>
                    <w:rPr>
                      <w:rFonts w:ascii="Times New Roman" w:hAnsi="Times New Roman" w:cs="Times New Roman"/>
                      <w:sz w:val="21"/>
                      <w:szCs w:val="21"/>
                    </w:rPr>
                    <w:t>35m</w:t>
                  </w:r>
                  <w:r>
                    <w:rPr>
                      <w:rFonts w:ascii="Times New Roman" w:hAnsi="Times New Roman" w:cs="Times New Roman"/>
                      <w:sz w:val="21"/>
                      <w:szCs w:val="21"/>
                      <w:vertAlign w:val="superscript"/>
                    </w:rPr>
                    <w:t>2</w:t>
                  </w:r>
                  <w:r>
                    <w:rPr>
                      <w:rFonts w:ascii="Times New Roman" w:cs="Times New Roman" w:hAnsiTheme="minorEastAsia"/>
                      <w:sz w:val="21"/>
                      <w:szCs w:val="21"/>
                    </w:rPr>
                    <w:t>；</w:t>
                  </w:r>
                </w:p>
              </w:tc>
              <w:tc>
                <w:tcPr>
                  <w:tcW w:w="1125" w:type="dxa"/>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ind w:left="-120" w:leftChars="-50" w:right="-120" w:rightChars="-50"/>
                    <w:rPr>
                      <w:rFonts w:ascii="Times New Roman" w:hAnsi="Times New Roman" w:cs="Times New Roman"/>
                      <w:kern w:val="0"/>
                      <w:sz w:val="21"/>
                      <w:szCs w:val="21"/>
                    </w:rPr>
                  </w:pPr>
                  <w:r>
                    <w:rPr>
                      <w:rFonts w:hint="eastAsia" w:ascii="Times New Roman" w:hAnsi="Times New Roman" w:cs="Times New Roman"/>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0" w:type="auto"/>
                  <w:vMerge w:val="restart"/>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环保</w:t>
                  </w:r>
                </w:p>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工程</w:t>
                  </w:r>
                </w:p>
              </w:tc>
              <w:tc>
                <w:tcPr>
                  <w:tcW w:w="0" w:type="auto"/>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sz w:val="21"/>
                      <w:szCs w:val="21"/>
                    </w:rPr>
                    <w:t>废水</w:t>
                  </w:r>
                </w:p>
              </w:tc>
              <w:tc>
                <w:tcPr>
                  <w:tcW w:w="4897" w:type="dxa"/>
                  <w:gridSpan w:val="2"/>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生活污水与生产废水均经污水处理厂处理（采用粗格栅及调节池</w:t>
                  </w:r>
                  <w:r>
                    <w:rPr>
                      <w:rFonts w:ascii="Times New Roman" w:hAnsi="Times New Roman" w:cs="Times New Roman"/>
                      <w:sz w:val="21"/>
                      <w:szCs w:val="21"/>
                    </w:rPr>
                    <w:t>+</w:t>
                  </w:r>
                  <w:r>
                    <w:rPr>
                      <w:rFonts w:ascii="Times New Roman" w:cs="Times New Roman" w:hAnsiTheme="minorEastAsia"/>
                      <w:sz w:val="21"/>
                      <w:szCs w:val="21"/>
                    </w:rPr>
                    <w:t>细格栅旋流沉砂池</w:t>
                  </w:r>
                  <w:r>
                    <w:rPr>
                      <w:rFonts w:ascii="Times New Roman" w:hAnsi="Times New Roman" w:cs="Times New Roman"/>
                      <w:sz w:val="21"/>
                      <w:szCs w:val="21"/>
                    </w:rPr>
                    <w:t>+A</w:t>
                  </w:r>
                  <w:r>
                    <w:rPr>
                      <w:rFonts w:ascii="Times New Roman" w:hAnsi="Times New Roman" w:cs="Times New Roman"/>
                      <w:sz w:val="21"/>
                      <w:szCs w:val="21"/>
                      <w:vertAlign w:val="superscript"/>
                    </w:rPr>
                    <w:t>2</w:t>
                  </w:r>
                  <w:r>
                    <w:rPr>
                      <w:rFonts w:ascii="Times New Roman" w:hAnsi="Times New Roman" w:cs="Times New Roman"/>
                      <w:sz w:val="21"/>
                      <w:szCs w:val="21"/>
                    </w:rPr>
                    <w:t>O-MBBR</w:t>
                  </w:r>
                  <w:r>
                    <w:rPr>
                      <w:rFonts w:ascii="Times New Roman" w:cs="Times New Roman" w:hAnsiTheme="minorEastAsia"/>
                      <w:sz w:val="21"/>
                      <w:szCs w:val="21"/>
                    </w:rPr>
                    <w:t>生化池</w:t>
                  </w:r>
                  <w:r>
                    <w:rPr>
                      <w:rFonts w:ascii="Times New Roman" w:hAnsi="Times New Roman" w:cs="Times New Roman"/>
                      <w:sz w:val="21"/>
                      <w:szCs w:val="21"/>
                    </w:rPr>
                    <w:t>+</w:t>
                  </w:r>
                  <w:r>
                    <w:rPr>
                      <w:rFonts w:ascii="Times New Roman" w:cs="Times New Roman" w:hAnsiTheme="minorEastAsia"/>
                      <w:sz w:val="21"/>
                      <w:szCs w:val="21"/>
                    </w:rPr>
                    <w:t>二沉池</w:t>
                  </w:r>
                  <w:r>
                    <w:rPr>
                      <w:rFonts w:ascii="Times New Roman" w:hAnsi="Times New Roman" w:cs="Times New Roman"/>
                      <w:sz w:val="21"/>
                      <w:szCs w:val="21"/>
                    </w:rPr>
                    <w:t>+</w:t>
                  </w:r>
                  <w:r>
                    <w:rPr>
                      <w:rFonts w:ascii="Times New Roman" w:cs="Times New Roman" w:hAnsiTheme="minorEastAsia"/>
                      <w:sz w:val="21"/>
                      <w:szCs w:val="21"/>
                    </w:rPr>
                    <w:t>高效沉淀池</w:t>
                  </w:r>
                  <w:r>
                    <w:rPr>
                      <w:rFonts w:ascii="Times New Roman" w:hAnsi="Times New Roman" w:cs="Times New Roman"/>
                      <w:sz w:val="21"/>
                      <w:szCs w:val="21"/>
                    </w:rPr>
                    <w:t>+</w:t>
                  </w:r>
                  <w:r>
                    <w:rPr>
                      <w:rFonts w:ascii="Times New Roman" w:cs="Times New Roman" w:hAnsiTheme="minorEastAsia"/>
                      <w:sz w:val="21"/>
                      <w:szCs w:val="21"/>
                    </w:rPr>
                    <w:t>消毒池（次氯酸钠））后达标排放</w:t>
                  </w:r>
                </w:p>
              </w:tc>
              <w:tc>
                <w:tcPr>
                  <w:tcW w:w="1125" w:type="dxa"/>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hint="eastAsia" w:ascii="Times New Roman" w:hAnsi="Times New Roman" w:cs="Times New Roman"/>
                      <w:sz w:val="21"/>
                      <w:szCs w:val="21"/>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sz w:val="21"/>
                      <w:szCs w:val="21"/>
                    </w:rPr>
                    <w:t>废气</w:t>
                  </w:r>
                </w:p>
              </w:tc>
              <w:tc>
                <w:tcPr>
                  <w:tcW w:w="4897" w:type="dxa"/>
                  <w:gridSpan w:val="2"/>
                  <w:vAlign w:val="center"/>
                </w:tcPr>
                <w:p>
                  <w:pPr>
                    <w:pStyle w:val="43"/>
                    <w:snapToGrid w:val="0"/>
                    <w:spacing w:line="360" w:lineRule="exact"/>
                    <w:ind w:firstLine="0"/>
                    <w:jc w:val="left"/>
                    <w:rPr>
                      <w:rFonts w:ascii="Times New Roman" w:eastAsiaTheme="minorEastAsia"/>
                      <w:bCs/>
                      <w:sz w:val="21"/>
                      <w:szCs w:val="21"/>
                    </w:rPr>
                  </w:pPr>
                  <w:r>
                    <w:rPr>
                      <w:rFonts w:ascii="Times New Roman" w:hAnsiTheme="minorEastAsia" w:eastAsiaTheme="minorEastAsia"/>
                      <w:sz w:val="21"/>
                      <w:szCs w:val="21"/>
                    </w:rPr>
                    <w:t>恶臭废气：产臭单元顶部加盖或密闭，</w:t>
                  </w:r>
                  <w:r>
                    <w:rPr>
                      <w:rFonts w:ascii="Times New Roman" w:eastAsiaTheme="minorEastAsia"/>
                      <w:sz w:val="21"/>
                      <w:szCs w:val="21"/>
                    </w:rPr>
                    <w:t>1</w:t>
                  </w:r>
                  <w:r>
                    <w:rPr>
                      <w:rFonts w:ascii="Times New Roman" w:hAnsiTheme="minorEastAsia" w:eastAsiaTheme="minorEastAsia"/>
                      <w:sz w:val="21"/>
                      <w:szCs w:val="21"/>
                    </w:rPr>
                    <w:t>期恶臭废气经密闭加罩</w:t>
                  </w:r>
                  <w:r>
                    <w:rPr>
                      <w:rFonts w:ascii="Times New Roman" w:eastAsiaTheme="minorEastAsia"/>
                      <w:sz w:val="21"/>
                      <w:szCs w:val="21"/>
                    </w:rPr>
                    <w:t>+</w:t>
                  </w:r>
                  <w:r>
                    <w:rPr>
                      <w:rFonts w:ascii="Times New Roman" w:hAnsiTheme="minorEastAsia" w:eastAsiaTheme="minorEastAsia"/>
                      <w:sz w:val="21"/>
                      <w:szCs w:val="21"/>
                    </w:rPr>
                    <w:t>集气管道</w:t>
                  </w:r>
                  <w:r>
                    <w:rPr>
                      <w:rFonts w:ascii="Times New Roman" w:eastAsiaTheme="minorEastAsia"/>
                      <w:sz w:val="21"/>
                      <w:szCs w:val="21"/>
                    </w:rPr>
                    <w:t>+</w:t>
                  </w:r>
                  <w:r>
                    <w:rPr>
                      <w:rFonts w:ascii="Times New Roman" w:hAnsiTheme="minorEastAsia" w:eastAsiaTheme="minorEastAsia"/>
                      <w:sz w:val="21"/>
                      <w:szCs w:val="21"/>
                    </w:rPr>
                    <w:t>负压收集</w:t>
                  </w:r>
                  <w:r>
                    <w:rPr>
                      <w:rFonts w:ascii="Times New Roman" w:eastAsiaTheme="minorEastAsia"/>
                      <w:sz w:val="21"/>
                      <w:szCs w:val="21"/>
                    </w:rPr>
                    <w:t>+1</w:t>
                  </w:r>
                  <w:r>
                    <w:rPr>
                      <w:rFonts w:ascii="Times New Roman" w:hAnsiTheme="minorEastAsia" w:eastAsiaTheme="minorEastAsia"/>
                      <w:sz w:val="21"/>
                      <w:szCs w:val="21"/>
                    </w:rPr>
                    <w:t>套生物除臭装置（</w:t>
                  </w:r>
                  <w:r>
                    <w:rPr>
                      <w:rFonts w:ascii="Times New Roman" w:eastAsiaTheme="minorEastAsia"/>
                      <w:sz w:val="21"/>
                      <w:szCs w:val="21"/>
                    </w:rPr>
                    <w:t>TA001</w:t>
                  </w:r>
                  <w:r>
                    <w:rPr>
                      <w:rFonts w:ascii="Times New Roman" w:hAnsiTheme="minorEastAsia" w:eastAsiaTheme="minorEastAsia"/>
                      <w:sz w:val="21"/>
                      <w:szCs w:val="21"/>
                    </w:rPr>
                    <w:t>）</w:t>
                  </w:r>
                  <w:r>
                    <w:rPr>
                      <w:rFonts w:ascii="Times New Roman" w:eastAsiaTheme="minorEastAsia"/>
                      <w:sz w:val="21"/>
                      <w:szCs w:val="21"/>
                    </w:rPr>
                    <w:t>+1</w:t>
                  </w:r>
                  <w:r>
                    <w:rPr>
                      <w:rFonts w:ascii="Times New Roman" w:hAnsiTheme="minorEastAsia" w:eastAsiaTheme="minorEastAsia"/>
                      <w:sz w:val="21"/>
                      <w:szCs w:val="21"/>
                    </w:rPr>
                    <w:t>根</w:t>
                  </w:r>
                  <w:r>
                    <w:rPr>
                      <w:rFonts w:ascii="Times New Roman" w:eastAsiaTheme="minorEastAsia"/>
                      <w:sz w:val="21"/>
                      <w:szCs w:val="21"/>
                    </w:rPr>
                    <w:t>15m</w:t>
                  </w:r>
                  <w:r>
                    <w:rPr>
                      <w:rFonts w:ascii="Times New Roman" w:hAnsiTheme="minorEastAsia" w:eastAsiaTheme="minorEastAsia"/>
                      <w:sz w:val="21"/>
                      <w:szCs w:val="21"/>
                    </w:rPr>
                    <w:t>高排气筒（</w:t>
                  </w:r>
                  <w:r>
                    <w:rPr>
                      <w:rFonts w:ascii="Times New Roman" w:eastAsiaTheme="minorEastAsia"/>
                      <w:sz w:val="21"/>
                      <w:szCs w:val="21"/>
                    </w:rPr>
                    <w:t>DA001</w:t>
                  </w:r>
                  <w:r>
                    <w:rPr>
                      <w:rFonts w:ascii="Times New Roman" w:hAnsiTheme="minorEastAsia" w:eastAsiaTheme="minorEastAsia"/>
                      <w:sz w:val="21"/>
                      <w:szCs w:val="21"/>
                    </w:rPr>
                    <w:t>）；</w:t>
                  </w:r>
                  <w:r>
                    <w:rPr>
                      <w:rFonts w:ascii="Times New Roman" w:eastAsiaTheme="minorEastAsia"/>
                      <w:sz w:val="21"/>
                      <w:szCs w:val="21"/>
                    </w:rPr>
                    <w:t>2</w:t>
                  </w:r>
                  <w:r>
                    <w:rPr>
                      <w:rFonts w:ascii="Times New Roman" w:hAnsiTheme="minorEastAsia" w:eastAsiaTheme="minorEastAsia"/>
                      <w:sz w:val="21"/>
                      <w:szCs w:val="21"/>
                    </w:rPr>
                    <w:t>期恶臭废气经密闭加罩</w:t>
                  </w:r>
                  <w:r>
                    <w:rPr>
                      <w:rFonts w:ascii="Times New Roman" w:eastAsiaTheme="minorEastAsia"/>
                      <w:sz w:val="21"/>
                      <w:szCs w:val="21"/>
                    </w:rPr>
                    <w:t>+</w:t>
                  </w:r>
                  <w:r>
                    <w:rPr>
                      <w:rFonts w:ascii="Times New Roman" w:hAnsiTheme="minorEastAsia" w:eastAsiaTheme="minorEastAsia"/>
                      <w:sz w:val="21"/>
                      <w:szCs w:val="21"/>
                    </w:rPr>
                    <w:t>集气管道</w:t>
                  </w:r>
                  <w:r>
                    <w:rPr>
                      <w:rFonts w:ascii="Times New Roman" w:eastAsiaTheme="minorEastAsia"/>
                      <w:sz w:val="21"/>
                      <w:szCs w:val="21"/>
                    </w:rPr>
                    <w:t>+</w:t>
                  </w:r>
                  <w:r>
                    <w:rPr>
                      <w:rFonts w:ascii="Times New Roman" w:hAnsiTheme="minorEastAsia" w:eastAsiaTheme="minorEastAsia"/>
                      <w:sz w:val="21"/>
                      <w:szCs w:val="21"/>
                    </w:rPr>
                    <w:t>负压收集</w:t>
                  </w:r>
                  <w:r>
                    <w:rPr>
                      <w:rFonts w:ascii="Times New Roman" w:eastAsiaTheme="minorEastAsia"/>
                      <w:sz w:val="21"/>
                      <w:szCs w:val="21"/>
                    </w:rPr>
                    <w:t>+1</w:t>
                  </w:r>
                  <w:r>
                    <w:rPr>
                      <w:rFonts w:ascii="Times New Roman" w:hAnsiTheme="minorEastAsia" w:eastAsiaTheme="minorEastAsia"/>
                      <w:sz w:val="21"/>
                      <w:szCs w:val="21"/>
                    </w:rPr>
                    <w:t>套生物除臭装置（</w:t>
                  </w:r>
                  <w:r>
                    <w:rPr>
                      <w:rFonts w:ascii="Times New Roman" w:eastAsiaTheme="minorEastAsia"/>
                      <w:sz w:val="21"/>
                      <w:szCs w:val="21"/>
                    </w:rPr>
                    <w:t>TA002</w:t>
                  </w:r>
                  <w:r>
                    <w:rPr>
                      <w:rFonts w:ascii="Times New Roman" w:hAnsiTheme="minorEastAsia" w:eastAsiaTheme="minorEastAsia"/>
                      <w:sz w:val="21"/>
                      <w:szCs w:val="21"/>
                    </w:rPr>
                    <w:t>）</w:t>
                  </w:r>
                  <w:r>
                    <w:rPr>
                      <w:rFonts w:ascii="Times New Roman" w:eastAsiaTheme="minorEastAsia"/>
                      <w:sz w:val="21"/>
                      <w:szCs w:val="21"/>
                    </w:rPr>
                    <w:t>+1</w:t>
                  </w:r>
                  <w:r>
                    <w:rPr>
                      <w:rFonts w:ascii="Times New Roman" w:hAnsiTheme="minorEastAsia" w:eastAsiaTheme="minorEastAsia"/>
                      <w:sz w:val="21"/>
                      <w:szCs w:val="21"/>
                    </w:rPr>
                    <w:t>根</w:t>
                  </w:r>
                  <w:r>
                    <w:rPr>
                      <w:rFonts w:ascii="Times New Roman" w:eastAsiaTheme="minorEastAsia"/>
                      <w:sz w:val="21"/>
                      <w:szCs w:val="21"/>
                    </w:rPr>
                    <w:t>15m</w:t>
                  </w:r>
                  <w:r>
                    <w:rPr>
                      <w:rFonts w:ascii="Times New Roman" w:hAnsiTheme="minorEastAsia" w:eastAsiaTheme="minorEastAsia"/>
                      <w:sz w:val="21"/>
                      <w:szCs w:val="21"/>
                    </w:rPr>
                    <w:t>高排气筒（</w:t>
                  </w:r>
                  <w:r>
                    <w:rPr>
                      <w:rFonts w:ascii="Times New Roman" w:eastAsiaTheme="minorEastAsia"/>
                      <w:sz w:val="21"/>
                      <w:szCs w:val="21"/>
                    </w:rPr>
                    <w:t>DA002</w:t>
                  </w:r>
                  <w:r>
                    <w:rPr>
                      <w:rFonts w:ascii="Times New Roman" w:hAnsiTheme="minorEastAsia" w:eastAsiaTheme="minorEastAsia"/>
                      <w:sz w:val="21"/>
                      <w:szCs w:val="21"/>
                    </w:rPr>
                    <w:t>）</w:t>
                  </w:r>
                  <w:r>
                    <w:rPr>
                      <w:rFonts w:ascii="Times New Roman" w:hAnsiTheme="minorEastAsia" w:eastAsiaTheme="minorEastAsia"/>
                      <w:bCs/>
                      <w:sz w:val="21"/>
                      <w:szCs w:val="21"/>
                    </w:rPr>
                    <w:t>，周边设置绿化带，污泥及时清运。</w:t>
                  </w:r>
                </w:p>
              </w:tc>
              <w:tc>
                <w:tcPr>
                  <w:tcW w:w="1125" w:type="dxa"/>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废水、废生物填料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ind w:left="-72" w:leftChars="-30" w:right="-72" w:rightChars="-30"/>
                    <w:jc w:val="center"/>
                    <w:rPr>
                      <w:rFonts w:ascii="Times New Roman" w:hAnsi="Times New Roman" w:cs="Times New Roman"/>
                      <w:sz w:val="21"/>
                      <w:szCs w:val="21"/>
                    </w:rPr>
                  </w:pPr>
                  <w:r>
                    <w:rPr>
                      <w:rFonts w:ascii="Times New Roman" w:cs="Times New Roman" w:hAnsiTheme="minorEastAsia"/>
                      <w:sz w:val="21"/>
                      <w:szCs w:val="21"/>
                    </w:rPr>
                    <w:t>噪声</w:t>
                  </w:r>
                </w:p>
              </w:tc>
              <w:tc>
                <w:tcPr>
                  <w:tcW w:w="4897" w:type="dxa"/>
                  <w:gridSpan w:val="2"/>
                  <w:vAlign w:val="center"/>
                </w:tcPr>
                <w:p>
                  <w:pPr>
                    <w:adjustRightInd w:val="0"/>
                    <w:snapToGrid w:val="0"/>
                    <w:spacing w:line="360" w:lineRule="exact"/>
                    <w:ind w:left="-72" w:leftChars="-30" w:right="-72" w:rightChars="-30"/>
                    <w:rPr>
                      <w:rFonts w:ascii="Times New Roman" w:hAnsi="Times New Roman" w:cs="Times New Roman"/>
                      <w:sz w:val="21"/>
                      <w:szCs w:val="21"/>
                    </w:rPr>
                  </w:pPr>
                  <w:r>
                    <w:rPr>
                      <w:rFonts w:ascii="Times New Roman" w:cs="Times New Roman" w:hAnsiTheme="minorEastAsia"/>
                      <w:sz w:val="21"/>
                      <w:szCs w:val="21"/>
                    </w:rPr>
                    <w:t>风机房密闭、低噪声设备、基座减震、建筑隔声；</w:t>
                  </w:r>
                </w:p>
              </w:tc>
              <w:tc>
                <w:tcPr>
                  <w:tcW w:w="1125" w:type="dxa"/>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Merge w:val="restart"/>
                  <w:vAlign w:val="center"/>
                </w:tcPr>
                <w:p>
                  <w:pPr>
                    <w:adjustRightInd w:val="0"/>
                    <w:snapToGrid w:val="0"/>
                    <w:spacing w:line="360" w:lineRule="exact"/>
                    <w:ind w:left="-72" w:leftChars="-30" w:right="-72" w:rightChars="-30"/>
                    <w:jc w:val="center"/>
                    <w:rPr>
                      <w:rFonts w:ascii="Times New Roman" w:hAnsi="Times New Roman" w:cs="Times New Roman"/>
                      <w:sz w:val="21"/>
                      <w:szCs w:val="21"/>
                    </w:rPr>
                  </w:pPr>
                  <w:r>
                    <w:rPr>
                      <w:rFonts w:ascii="Times New Roman" w:cs="Times New Roman" w:hAnsiTheme="minorEastAsia"/>
                      <w:sz w:val="21"/>
                      <w:szCs w:val="21"/>
                    </w:rPr>
                    <w:t>固废</w:t>
                  </w:r>
                </w:p>
              </w:tc>
              <w:tc>
                <w:tcPr>
                  <w:tcW w:w="0" w:type="auto"/>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生活垃圾</w:t>
                  </w:r>
                </w:p>
              </w:tc>
              <w:tc>
                <w:tcPr>
                  <w:tcW w:w="4387" w:type="dxa"/>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办公室设置生活垃圾桶，由环卫公司统一收集处理；</w:t>
                  </w:r>
                </w:p>
              </w:tc>
              <w:tc>
                <w:tcPr>
                  <w:tcW w:w="1125" w:type="dxa"/>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Merge w:val="continue"/>
                  <w:vAlign w:val="center"/>
                </w:tcPr>
                <w:p>
                  <w:pPr>
                    <w:adjustRightInd w:val="0"/>
                    <w:snapToGrid w:val="0"/>
                    <w:spacing w:line="360" w:lineRule="exact"/>
                    <w:ind w:left="-72" w:leftChars="-30" w:right="-72" w:rightChars="-30"/>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一般固废</w:t>
                  </w:r>
                </w:p>
              </w:tc>
              <w:tc>
                <w:tcPr>
                  <w:tcW w:w="4387" w:type="dxa"/>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脱水污泥暂存于污泥脱水车间内，脱水后与栅渣、沉砂收集后由环卫部门统一清运至市政指</w:t>
                  </w:r>
                </w:p>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定垃圾填埋场；生物滤池更换填料由原厂家回收；加药间废包装物经收集后交由废品回收站处理</w:t>
                  </w:r>
                </w:p>
              </w:tc>
              <w:tc>
                <w:tcPr>
                  <w:tcW w:w="1125" w:type="dxa"/>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Merge w:val="continue"/>
                  <w:vAlign w:val="center"/>
                </w:tcPr>
                <w:p>
                  <w:pPr>
                    <w:adjustRightInd w:val="0"/>
                    <w:snapToGrid w:val="0"/>
                    <w:spacing w:line="360" w:lineRule="exact"/>
                    <w:ind w:left="-72" w:leftChars="-30" w:right="-72" w:rightChars="-30"/>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危险废物</w:t>
                  </w:r>
                </w:p>
              </w:tc>
              <w:tc>
                <w:tcPr>
                  <w:tcW w:w="4387" w:type="dxa"/>
                  <w:vAlign w:val="center"/>
                </w:tcPr>
                <w:p>
                  <w:pPr>
                    <w:adjustRightInd w:val="0"/>
                    <w:snapToGrid w:val="0"/>
                    <w:spacing w:line="360" w:lineRule="exact"/>
                    <w:rPr>
                      <w:rFonts w:ascii="Times New Roman" w:hAnsi="Times New Roman" w:cs="Times New Roman"/>
                      <w:sz w:val="21"/>
                      <w:szCs w:val="21"/>
                    </w:rPr>
                  </w:pPr>
                  <w:r>
                    <w:rPr>
                      <w:rFonts w:hint="eastAsia" w:ascii="Times New Roman" w:cs="Times New Roman" w:hAnsiTheme="minorEastAsia"/>
                      <w:sz w:val="21"/>
                      <w:szCs w:val="21"/>
                    </w:rPr>
                    <w:t>在线监控室西侧</w:t>
                  </w:r>
                  <w:r>
                    <w:rPr>
                      <w:rFonts w:ascii="Times New Roman" w:cs="Times New Roman" w:hAnsiTheme="minorEastAsia"/>
                      <w:sz w:val="21"/>
                      <w:szCs w:val="21"/>
                    </w:rPr>
                    <w:t>设置危险废物暂存间</w:t>
                  </w:r>
                  <w:r>
                    <w:rPr>
                      <w:rFonts w:ascii="Times New Roman" w:hAnsi="Times New Roman" w:cs="Times New Roman"/>
                      <w:sz w:val="21"/>
                      <w:szCs w:val="21"/>
                    </w:rPr>
                    <w:t>1</w:t>
                  </w:r>
                  <w:r>
                    <w:rPr>
                      <w:rFonts w:ascii="Times New Roman" w:cs="Times New Roman" w:hAnsiTheme="minorEastAsia"/>
                      <w:sz w:val="21"/>
                      <w:szCs w:val="21"/>
                    </w:rPr>
                    <w:t>间，占地面积约为</w:t>
                  </w:r>
                  <w:r>
                    <w:rPr>
                      <w:rFonts w:ascii="Times New Roman" w:hAnsi="Times New Roman" w:cs="Times New Roman"/>
                      <w:sz w:val="21"/>
                      <w:szCs w:val="21"/>
                    </w:rPr>
                    <w:t>20m</w:t>
                  </w:r>
                  <w:r>
                    <w:rPr>
                      <w:rFonts w:ascii="Times New Roman" w:hAnsi="Times New Roman" w:cs="Times New Roman"/>
                      <w:sz w:val="21"/>
                      <w:szCs w:val="21"/>
                      <w:vertAlign w:val="superscript"/>
                    </w:rPr>
                    <w:t>2</w:t>
                  </w:r>
                  <w:r>
                    <w:rPr>
                      <w:rFonts w:ascii="Times New Roman" w:cs="Times New Roman" w:hAnsiTheme="minorEastAsia"/>
                      <w:sz w:val="21"/>
                      <w:szCs w:val="21"/>
                    </w:rPr>
                    <w:t>，主要放置废弃化学试剂药品、废试剂瓶、在线监测设备废液等；</w:t>
                  </w:r>
                  <w:r>
                    <w:rPr>
                      <w:rFonts w:ascii="Times New Roman" w:hAnsi="Times New Roman" w:cs="Times New Roman"/>
                      <w:sz w:val="21"/>
                      <w:szCs w:val="21"/>
                    </w:rPr>
                    <w:t xml:space="preserve"> </w:t>
                  </w:r>
                </w:p>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危废暂存间要求地面以及四周墙裙防渗，并设置警示标识。</w:t>
                  </w:r>
                </w:p>
              </w:tc>
              <w:tc>
                <w:tcPr>
                  <w:tcW w:w="1125" w:type="dxa"/>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0" w:type="auto"/>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ind w:left="-72" w:leftChars="-30" w:right="-72" w:rightChars="-30"/>
                    <w:rPr>
                      <w:rFonts w:ascii="Times New Roman" w:hAnsi="Times New Roman" w:cs="Times New Roman"/>
                      <w:sz w:val="21"/>
                      <w:szCs w:val="21"/>
                    </w:rPr>
                  </w:pPr>
                  <w:r>
                    <w:rPr>
                      <w:rFonts w:ascii="Times New Roman" w:cs="Times New Roman" w:hAnsiTheme="minorEastAsia"/>
                      <w:sz w:val="21"/>
                      <w:szCs w:val="21"/>
                    </w:rPr>
                    <w:t>土壤、地下水</w:t>
                  </w:r>
                </w:p>
              </w:tc>
              <w:tc>
                <w:tcPr>
                  <w:tcW w:w="4897" w:type="dxa"/>
                  <w:gridSpan w:val="2"/>
                  <w:vAlign w:val="center"/>
                </w:tcPr>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重点防渗区：危废暂存间、污水处理设施（包括格栅池、调节池、沉砂池、生化处理设施、二沉池、高效沉淀池及消毒池等）、污泥储池、污水脱水车间、加氯加药间等区域。防渗技术要求为等效粘土防渗层</w:t>
                  </w:r>
                  <w:r>
                    <w:rPr>
                      <w:rFonts w:ascii="Times New Roman" w:hAnsi="Times New Roman" w:cs="Times New Roman"/>
                      <w:sz w:val="21"/>
                      <w:szCs w:val="21"/>
                    </w:rPr>
                    <w:t>Mb≥6.0m</w:t>
                  </w:r>
                  <w:r>
                    <w:rPr>
                      <w:rFonts w:ascii="Times New Roman" w:cs="Times New Roman" w:hAnsiTheme="minorEastAsia"/>
                      <w:sz w:val="21"/>
                      <w:szCs w:val="21"/>
                    </w:rPr>
                    <w:t>，</w:t>
                  </w:r>
                  <w:r>
                    <w:rPr>
                      <w:rFonts w:ascii="Times New Roman" w:hAnsi="Times New Roman" w:cs="Times New Roman"/>
                      <w:sz w:val="21"/>
                      <w:szCs w:val="21"/>
                    </w:rPr>
                    <w:t>K≤10</w:t>
                  </w:r>
                  <w:r>
                    <w:rPr>
                      <w:rFonts w:ascii="Times New Roman" w:hAnsi="Times New Roman" w:cs="Times New Roman"/>
                      <w:sz w:val="21"/>
                      <w:szCs w:val="21"/>
                      <w:vertAlign w:val="superscript"/>
                    </w:rPr>
                    <w:t>-7</w:t>
                  </w:r>
                  <w:r>
                    <w:rPr>
                      <w:rFonts w:ascii="Times New Roman" w:hAnsi="Times New Roman" w:cs="Times New Roman"/>
                      <w:sz w:val="21"/>
                      <w:szCs w:val="21"/>
                    </w:rPr>
                    <w:t>cm/s</w:t>
                  </w:r>
                  <w:r>
                    <w:rPr>
                      <w:rFonts w:ascii="Times New Roman" w:cs="Times New Roman" w:hAnsiTheme="minorEastAsia"/>
                      <w:sz w:val="21"/>
                      <w:szCs w:val="21"/>
                    </w:rPr>
                    <w:t>。</w:t>
                  </w:r>
                </w:p>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一般防渗区：隔油池、在线监测室、鼓风机房、综合用房（除重点防渗区外的区域）。防渗技术要求为等效粘土防渗层</w:t>
                  </w:r>
                  <w:r>
                    <w:rPr>
                      <w:rFonts w:ascii="Times New Roman" w:hAnsi="Times New Roman" w:cs="Times New Roman"/>
                      <w:sz w:val="21"/>
                      <w:szCs w:val="21"/>
                    </w:rPr>
                    <w:t>Mb≥1.5m</w:t>
                  </w:r>
                  <w:r>
                    <w:rPr>
                      <w:rFonts w:ascii="Times New Roman" w:cs="Times New Roman" w:hAnsiTheme="minorEastAsia"/>
                      <w:sz w:val="21"/>
                      <w:szCs w:val="21"/>
                    </w:rPr>
                    <w:t>，</w:t>
                  </w:r>
                  <w:r>
                    <w:rPr>
                      <w:rFonts w:ascii="Times New Roman" w:hAnsi="Times New Roman" w:cs="Times New Roman"/>
                      <w:sz w:val="21"/>
                      <w:szCs w:val="21"/>
                    </w:rPr>
                    <w:t>K≤10</w:t>
                  </w:r>
                  <w:r>
                    <w:rPr>
                      <w:rFonts w:ascii="Times New Roman" w:hAnsi="Times New Roman" w:cs="Times New Roman"/>
                      <w:sz w:val="21"/>
                      <w:szCs w:val="21"/>
                      <w:vertAlign w:val="superscript"/>
                    </w:rPr>
                    <w:t>-7</w:t>
                  </w:r>
                  <w:r>
                    <w:rPr>
                      <w:rFonts w:ascii="Times New Roman" w:hAnsi="Times New Roman" w:cs="Times New Roman"/>
                      <w:sz w:val="21"/>
                      <w:szCs w:val="21"/>
                    </w:rPr>
                    <w:t>cm/s</w:t>
                  </w:r>
                  <w:r>
                    <w:rPr>
                      <w:rFonts w:ascii="Times New Roman" w:cs="Times New Roman" w:hAnsiTheme="minorEastAsia"/>
                      <w:sz w:val="21"/>
                      <w:szCs w:val="21"/>
                    </w:rPr>
                    <w:t>。</w:t>
                  </w:r>
                </w:p>
                <w:p>
                  <w:pPr>
                    <w:adjustRightInd w:val="0"/>
                    <w:snapToGrid w:val="0"/>
                    <w:spacing w:line="360" w:lineRule="exact"/>
                    <w:rPr>
                      <w:rFonts w:ascii="Times New Roman" w:hAnsi="Times New Roman" w:cs="Times New Roman"/>
                      <w:sz w:val="21"/>
                      <w:szCs w:val="21"/>
                    </w:rPr>
                  </w:pPr>
                  <w:r>
                    <w:rPr>
                      <w:rFonts w:ascii="Times New Roman" w:cs="Times New Roman" w:hAnsiTheme="minorEastAsia"/>
                      <w:sz w:val="21"/>
                      <w:szCs w:val="21"/>
                    </w:rPr>
                    <w:t>简单防渗区：道路、门卫等。防渗技术要求为一般地面硬化。</w:t>
                  </w:r>
                </w:p>
              </w:tc>
              <w:tc>
                <w:tcPr>
                  <w:tcW w:w="1125" w:type="dxa"/>
                  <w:vMerge w:val="continue"/>
                  <w:vAlign w:val="center"/>
                </w:tcPr>
                <w:p>
                  <w:pPr>
                    <w:adjustRightInd w:val="0"/>
                    <w:snapToGrid w:val="0"/>
                    <w:spacing w:line="360" w:lineRule="exact"/>
                    <w:rPr>
                      <w:rFonts w:ascii="Times New Roman" w:hAnsi="Times New Roman" w:cs="Times New Roman"/>
                      <w:sz w:val="21"/>
                      <w:szCs w:val="21"/>
                    </w:rPr>
                  </w:pPr>
                </w:p>
              </w:tc>
              <w:tc>
                <w:tcPr>
                  <w:tcW w:w="0" w:type="auto"/>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0" w:type="auto"/>
                  <w:vAlign w:val="center"/>
                </w:tcPr>
                <w:p>
                  <w:pPr>
                    <w:adjustRightInd w:val="0"/>
                    <w:snapToGrid w:val="0"/>
                    <w:spacing w:line="360" w:lineRule="exact"/>
                    <w:ind w:left="-72" w:leftChars="-30" w:right="-72" w:rightChars="-30"/>
                    <w:jc w:val="center"/>
                    <w:rPr>
                      <w:rFonts w:ascii="Times New Roman" w:hAnsi="Times New Roman" w:cs="Times New Roman"/>
                      <w:sz w:val="21"/>
                      <w:szCs w:val="21"/>
                    </w:rPr>
                  </w:pPr>
                  <w:r>
                    <w:rPr>
                      <w:rFonts w:ascii="Times New Roman" w:cs="Times New Roman" w:hAnsiTheme="minorEastAsia"/>
                      <w:sz w:val="21"/>
                      <w:szCs w:val="21"/>
                    </w:rPr>
                    <w:t>依托工程</w:t>
                  </w:r>
                </w:p>
              </w:tc>
              <w:tc>
                <w:tcPr>
                  <w:tcW w:w="6214" w:type="dxa"/>
                  <w:gridSpan w:val="3"/>
                  <w:vAlign w:val="center"/>
                </w:tcPr>
                <w:p>
                  <w:pPr>
                    <w:adjustRightInd w:val="0"/>
                    <w:snapToGrid w:val="0"/>
                    <w:spacing w:line="360" w:lineRule="exact"/>
                    <w:jc w:val="center"/>
                    <w:rPr>
                      <w:rFonts w:ascii="Times New Roman" w:hAnsi="Times New Roman" w:cs="Times New Roman"/>
                      <w:sz w:val="21"/>
                      <w:szCs w:val="21"/>
                    </w:rPr>
                  </w:pPr>
                  <w:r>
                    <w:rPr>
                      <w:rFonts w:ascii="Times New Roman" w:cs="Times New Roman" w:hAnsiTheme="minorEastAsia"/>
                      <w:sz w:val="21"/>
                      <w:szCs w:val="21"/>
                    </w:rPr>
                    <w:t>无</w:t>
                  </w:r>
                </w:p>
              </w:tc>
              <w:tc>
                <w:tcPr>
                  <w:tcW w:w="1125" w:type="dxa"/>
                  <w:vMerge w:val="continue"/>
                  <w:vAlign w:val="center"/>
                </w:tcPr>
                <w:p>
                  <w:pPr>
                    <w:adjustRightInd w:val="0"/>
                    <w:snapToGrid w:val="0"/>
                    <w:spacing w:line="360" w:lineRule="exact"/>
                    <w:jc w:val="center"/>
                    <w:rPr>
                      <w:rFonts w:ascii="Times New Roman" w:hAnsi="Times New Roman" w:cs="Times New Roman"/>
                      <w:sz w:val="21"/>
                      <w:szCs w:val="21"/>
                    </w:rPr>
                  </w:pPr>
                </w:p>
              </w:tc>
              <w:tc>
                <w:tcPr>
                  <w:tcW w:w="0" w:type="auto"/>
                  <w:vAlign w:val="center"/>
                </w:tcPr>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sz w:val="21"/>
                      <w:szCs w:val="21"/>
                    </w:rPr>
                    <w:t>/</w:t>
                  </w:r>
                </w:p>
              </w:tc>
            </w:tr>
          </w:tbl>
          <w:p>
            <w:pPr>
              <w:widowControl w:val="0"/>
              <w:autoSpaceDE w:val="0"/>
              <w:autoSpaceDN w:val="0"/>
              <w:adjustRightInd w:val="0"/>
              <w:snapToGrid w:val="0"/>
              <w:spacing w:before="163" w:beforeLines="50"/>
              <w:jc w:val="both"/>
              <w:rPr>
                <w:b/>
              </w:rPr>
            </w:pPr>
            <w:r>
              <w:rPr>
                <w:rFonts w:eastAsia="黑体"/>
                <w:b/>
                <w:bCs/>
              </w:rPr>
              <w:t>2.5</w:t>
            </w:r>
            <w:r>
              <w:rPr>
                <w:b/>
              </w:rPr>
              <w:t>设计进水水质</w:t>
            </w:r>
          </w:p>
          <w:p>
            <w:pPr>
              <w:widowControl w:val="0"/>
              <w:ind w:firstLine="480" w:firstLineChars="200"/>
              <w:jc w:val="both"/>
              <w:rPr>
                <w:rFonts w:ascii="Times New Roman" w:hAnsi="Times New Roman" w:cs="Times New Roman"/>
              </w:rPr>
            </w:pPr>
            <w:r>
              <w:rPr>
                <w:rFonts w:ascii="Times New Roman" w:hAnsi="Times New Roman" w:cs="Times New Roman"/>
              </w:rPr>
              <w:t>根据</w:t>
            </w:r>
            <w:r>
              <w:rPr>
                <w:rFonts w:hint="eastAsia" w:ascii="Times New Roman" w:hAnsi="Times New Roman" w:cs="Times New Roman"/>
              </w:rPr>
              <w:t>明月新城城镇</w:t>
            </w:r>
            <w:r>
              <w:rPr>
                <w:rFonts w:ascii="Times New Roman" w:hAnsi="Times New Roman" w:cs="Times New Roman"/>
              </w:rPr>
              <w:t>性质和区域特点分析，确实能够本项目进水水质见下表。</w:t>
            </w:r>
          </w:p>
          <w:p>
            <w:pPr>
              <w:pStyle w:val="161"/>
              <w:numPr>
                <w:ilvl w:val="0"/>
                <w:numId w:val="5"/>
              </w:numPr>
              <w:spacing w:line="300" w:lineRule="auto"/>
              <w:ind w:firstLineChars="0"/>
              <w:jc w:val="center"/>
              <w:rPr>
                <w:rFonts w:eastAsia="黑体"/>
                <w:szCs w:val="21"/>
              </w:rPr>
            </w:pPr>
            <w:r>
              <w:rPr>
                <w:rFonts w:hint="eastAsia" w:eastAsia="黑体"/>
                <w:szCs w:val="21"/>
              </w:rPr>
              <w:t>本</w:t>
            </w:r>
            <w:r>
              <w:rPr>
                <w:rFonts w:eastAsia="黑体"/>
                <w:szCs w:val="21"/>
              </w:rPr>
              <w:t xml:space="preserve">项目设计进水水质  </w:t>
            </w:r>
          </w:p>
          <w:tbl>
            <w:tblPr>
              <w:tblStyle w:val="44"/>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992"/>
              <w:gridCol w:w="1208"/>
              <w:gridCol w:w="1019"/>
              <w:gridCol w:w="808"/>
              <w:gridCol w:w="1166"/>
              <w:gridCol w:w="805"/>
              <w:gridCol w:w="7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Align w:val="center"/>
                </w:tcPr>
                <w:p>
                  <w:pPr>
                    <w:adjustRightInd w:val="0"/>
                    <w:snapToGrid w:val="0"/>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项目</w:t>
                  </w:r>
                </w:p>
              </w:tc>
              <w:tc>
                <w:tcPr>
                  <w:tcW w:w="593" w:type="pct"/>
                  <w:vAlign w:val="center"/>
                </w:tcPr>
                <w:p>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pH</w:t>
                  </w:r>
                </w:p>
              </w:tc>
              <w:tc>
                <w:tcPr>
                  <w:tcW w:w="722" w:type="pct"/>
                  <w:vAlign w:val="center"/>
                </w:tcPr>
                <w:p>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COD</w:t>
                  </w:r>
                </w:p>
              </w:tc>
              <w:tc>
                <w:tcPr>
                  <w:tcW w:w="609" w:type="pct"/>
                  <w:vAlign w:val="center"/>
                </w:tcPr>
                <w:p>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483" w:type="pct"/>
                  <w:vAlign w:val="center"/>
                </w:tcPr>
                <w:p>
                  <w:pPr>
                    <w:adjustRightInd w:val="0"/>
                    <w:snapToGrid w:val="0"/>
                    <w:spacing w:line="240" w:lineRule="auto"/>
                    <w:jc w:val="center"/>
                    <w:rPr>
                      <w:rFonts w:ascii="Times New Roman" w:hAnsi="Times New Roman" w:cs="Times New Roman"/>
                      <w:sz w:val="21"/>
                      <w:szCs w:val="21"/>
                    </w:rPr>
                  </w:pPr>
                  <w:r>
                    <w:rPr>
                      <w:sz w:val="21"/>
                      <w:szCs w:val="21"/>
                    </w:rPr>
                    <w:t>SS</w:t>
                  </w:r>
                </w:p>
              </w:tc>
              <w:tc>
                <w:tcPr>
                  <w:tcW w:w="697" w:type="pct"/>
                  <w:vAlign w:val="center"/>
                </w:tcPr>
                <w:p>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r>
                    <w:rPr>
                      <w:sz w:val="21"/>
                      <w:szCs w:val="21"/>
                    </w:rPr>
                    <w:t xml:space="preserve"> </w:t>
                  </w:r>
                </w:p>
              </w:tc>
              <w:tc>
                <w:tcPr>
                  <w:tcW w:w="481" w:type="pct"/>
                  <w:vAlign w:val="center"/>
                </w:tcPr>
                <w:p>
                  <w:pPr>
                    <w:adjustRightInd w:val="0"/>
                    <w:snapToGrid w:val="0"/>
                    <w:spacing w:line="240" w:lineRule="auto"/>
                    <w:jc w:val="center"/>
                    <w:rPr>
                      <w:rFonts w:ascii="Times New Roman" w:hAnsi="Times New Roman" w:cs="Times New Roman"/>
                      <w:sz w:val="21"/>
                      <w:szCs w:val="21"/>
                    </w:rPr>
                  </w:pPr>
                  <w:r>
                    <w:rPr>
                      <w:sz w:val="21"/>
                      <w:szCs w:val="21"/>
                    </w:rPr>
                    <w:t>TN</w:t>
                  </w:r>
                </w:p>
              </w:tc>
              <w:tc>
                <w:tcPr>
                  <w:tcW w:w="435" w:type="pct"/>
                  <w:vAlign w:val="center"/>
                </w:tcPr>
                <w:p>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TP</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Align w:val="center"/>
                </w:tcPr>
                <w:p>
                  <w:pPr>
                    <w:adjustRightInd w:val="0"/>
                    <w:snapToGrid w:val="0"/>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标准限值（mg/L）</w:t>
                  </w:r>
                </w:p>
              </w:tc>
              <w:tc>
                <w:tcPr>
                  <w:tcW w:w="593" w:type="pct"/>
                  <w:vAlign w:val="center"/>
                </w:tcPr>
                <w:p>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6～9</w:t>
                  </w:r>
                </w:p>
              </w:tc>
              <w:tc>
                <w:tcPr>
                  <w:tcW w:w="722" w:type="pct"/>
                  <w:vAlign w:val="center"/>
                </w:tcPr>
                <w:p>
                  <w:pPr>
                    <w:adjustRightInd w:val="0"/>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3</w:t>
                  </w:r>
                  <w:r>
                    <w:rPr>
                      <w:rFonts w:ascii="Times New Roman" w:hAnsi="Times New Roman" w:eastAsia="宋体" w:cs="Times New Roman"/>
                      <w:sz w:val="21"/>
                      <w:szCs w:val="21"/>
                    </w:rPr>
                    <w:t>50</w:t>
                  </w:r>
                </w:p>
              </w:tc>
              <w:tc>
                <w:tcPr>
                  <w:tcW w:w="609" w:type="pct"/>
                  <w:vAlign w:val="center"/>
                </w:tcPr>
                <w:p>
                  <w:pPr>
                    <w:adjustRightInd w:val="0"/>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60</w:t>
                  </w:r>
                </w:p>
              </w:tc>
              <w:tc>
                <w:tcPr>
                  <w:tcW w:w="483" w:type="pct"/>
                  <w:vAlign w:val="center"/>
                </w:tcPr>
                <w:p>
                  <w:pPr>
                    <w:adjustRightInd w:val="0"/>
                    <w:snapToGrid w:val="0"/>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4</w:t>
                  </w:r>
                  <w:r>
                    <w:rPr>
                      <w:rFonts w:ascii="Times New Roman" w:hAnsi="Times New Roman" w:eastAsia="宋体" w:cs="Times New Roman"/>
                      <w:sz w:val="21"/>
                      <w:szCs w:val="21"/>
                    </w:rPr>
                    <w:t>00</w:t>
                  </w:r>
                </w:p>
              </w:tc>
              <w:tc>
                <w:tcPr>
                  <w:tcW w:w="697" w:type="pct"/>
                  <w:vAlign w:val="center"/>
                </w:tcPr>
                <w:p>
                  <w:pPr>
                    <w:adjustRightInd w:val="0"/>
                    <w:snapToGrid w:val="0"/>
                    <w:spacing w:line="240" w:lineRule="auto"/>
                    <w:jc w:val="center"/>
                    <w:rPr>
                      <w:rFonts w:ascii="Times New Roman" w:hAnsi="Times New Roman" w:eastAsia="宋体" w:cs="Times New Roman"/>
                      <w:sz w:val="21"/>
                      <w:szCs w:val="21"/>
                    </w:rPr>
                  </w:pPr>
                  <w:r>
                    <w:rPr>
                      <w:rFonts w:hint="eastAsia" w:ascii="Times New Roman" w:hAnsi="Times New Roman" w:cs="Times New Roman"/>
                      <w:sz w:val="21"/>
                      <w:szCs w:val="21"/>
                    </w:rPr>
                    <w:t>3</w:t>
                  </w:r>
                  <w:r>
                    <w:rPr>
                      <w:rFonts w:ascii="Times New Roman" w:hAnsi="Times New Roman" w:cs="Times New Roman"/>
                      <w:sz w:val="21"/>
                      <w:szCs w:val="21"/>
                    </w:rPr>
                    <w:t>0</w:t>
                  </w:r>
                </w:p>
              </w:tc>
              <w:tc>
                <w:tcPr>
                  <w:tcW w:w="481" w:type="pct"/>
                  <w:vAlign w:val="center"/>
                </w:tcPr>
                <w:p>
                  <w:pPr>
                    <w:adjustRightInd w:val="0"/>
                    <w:snapToGrid w:val="0"/>
                    <w:spacing w:line="240" w:lineRule="auto"/>
                    <w:jc w:val="center"/>
                    <w:rPr>
                      <w:rFonts w:ascii="Times New Roman" w:hAnsi="Times New Roman" w:cs="Times New Roman"/>
                      <w:sz w:val="21"/>
                      <w:szCs w:val="21"/>
                    </w:rPr>
                  </w:pPr>
                  <w:r>
                    <w:rPr>
                      <w:rFonts w:hint="eastAsia" w:ascii="Times New Roman" w:hAnsi="Times New Roman" w:eastAsia="宋体" w:cs="Times New Roman"/>
                      <w:sz w:val="21"/>
                      <w:szCs w:val="21"/>
                    </w:rPr>
                    <w:t>4</w:t>
                  </w:r>
                  <w:r>
                    <w:rPr>
                      <w:rFonts w:ascii="Times New Roman" w:hAnsi="Times New Roman" w:eastAsia="宋体" w:cs="Times New Roman"/>
                      <w:sz w:val="21"/>
                      <w:szCs w:val="21"/>
                    </w:rPr>
                    <w:t>5</w:t>
                  </w:r>
                </w:p>
              </w:tc>
              <w:tc>
                <w:tcPr>
                  <w:tcW w:w="435" w:type="pct"/>
                  <w:vAlign w:val="center"/>
                </w:tcPr>
                <w:p>
                  <w:pPr>
                    <w:adjustRightInd w:val="0"/>
                    <w:snapToGrid w:val="0"/>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4</w:t>
                  </w:r>
                  <w:r>
                    <w:rPr>
                      <w:rFonts w:ascii="Times New Roman" w:hAnsi="Times New Roman" w:cs="Times New Roman"/>
                      <w:sz w:val="21"/>
                      <w:szCs w:val="21"/>
                    </w:rPr>
                    <w:t>.5</w:t>
                  </w:r>
                </w:p>
              </w:tc>
            </w:tr>
          </w:tbl>
          <w:p>
            <w:pPr>
              <w:widowControl w:val="0"/>
              <w:autoSpaceDE w:val="0"/>
              <w:autoSpaceDN w:val="0"/>
              <w:adjustRightInd w:val="0"/>
              <w:snapToGrid w:val="0"/>
              <w:spacing w:before="163" w:beforeLines="50"/>
              <w:jc w:val="both"/>
              <w:rPr>
                <w:b/>
              </w:rPr>
            </w:pPr>
            <w:r>
              <w:rPr>
                <w:rFonts w:eastAsia="黑体"/>
                <w:b/>
                <w:bCs/>
              </w:rPr>
              <w:t>2.6</w:t>
            </w:r>
            <w:r>
              <w:rPr>
                <w:b/>
              </w:rPr>
              <w:t>设计</w:t>
            </w:r>
            <w:r>
              <w:rPr>
                <w:rFonts w:hint="eastAsia"/>
                <w:b/>
              </w:rPr>
              <w:t>出</w:t>
            </w:r>
            <w:r>
              <w:rPr>
                <w:b/>
              </w:rPr>
              <w:t>水水质</w:t>
            </w:r>
          </w:p>
          <w:p>
            <w:pPr>
              <w:widowControl w:val="0"/>
              <w:ind w:firstLine="480" w:firstLineChars="200"/>
              <w:jc w:val="both"/>
            </w:pPr>
            <w:r>
              <w:rPr>
                <w:rFonts w:hint="eastAsia"/>
              </w:rPr>
              <w:t>污水处理厂出水水质取决于受纳水体的功能及其环境容量。污水处理厂最终排入州河，州河为地表III类水域。本次建设完成后，尾水执行《城镇污水处理厂污染物综合排放标准》（GB18918-2002）</w:t>
            </w:r>
            <w:r>
              <w:rPr>
                <w:rFonts w:hint="eastAsia" w:ascii="宋体" w:hAnsi="宋体"/>
              </w:rPr>
              <w:t>表1一级标准的A标</w:t>
            </w:r>
            <w:r>
              <w:t>。具体出水水质见下表。</w:t>
            </w:r>
          </w:p>
          <w:p>
            <w:pPr>
              <w:pStyle w:val="161"/>
              <w:numPr>
                <w:ilvl w:val="0"/>
                <w:numId w:val="5"/>
              </w:numPr>
              <w:spacing w:line="276" w:lineRule="auto"/>
              <w:ind w:firstLineChars="0"/>
              <w:jc w:val="center"/>
              <w:rPr>
                <w:rFonts w:eastAsia="黑体"/>
                <w:szCs w:val="21"/>
              </w:rPr>
            </w:pPr>
            <w:r>
              <w:rPr>
                <w:rFonts w:hint="eastAsia" w:eastAsia="黑体"/>
                <w:szCs w:val="21"/>
              </w:rPr>
              <w:t>本项目</w:t>
            </w:r>
            <w:r>
              <w:rPr>
                <w:rFonts w:eastAsia="黑体"/>
                <w:szCs w:val="21"/>
              </w:rPr>
              <w:t xml:space="preserve">设计出水水质  </w:t>
            </w:r>
          </w:p>
          <w:tbl>
            <w:tblPr>
              <w:tblStyle w:val="44"/>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992"/>
              <w:gridCol w:w="1208"/>
              <w:gridCol w:w="1019"/>
              <w:gridCol w:w="808"/>
              <w:gridCol w:w="1166"/>
              <w:gridCol w:w="805"/>
              <w:gridCol w:w="7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980" w:type="pct"/>
                  <w:vAlign w:val="center"/>
                </w:tcPr>
                <w:p>
                  <w:pPr>
                    <w:adjustRightInd w:val="0"/>
                    <w:snapToGrid w:val="0"/>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项目</w:t>
                  </w:r>
                </w:p>
              </w:tc>
              <w:tc>
                <w:tcPr>
                  <w:tcW w:w="593" w:type="pct"/>
                  <w:vAlign w:val="center"/>
                </w:tcPr>
                <w:p>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pH</w:t>
                  </w:r>
                </w:p>
              </w:tc>
              <w:tc>
                <w:tcPr>
                  <w:tcW w:w="722" w:type="pct"/>
                  <w:vAlign w:val="center"/>
                </w:tcPr>
                <w:p>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COD</w:t>
                  </w:r>
                </w:p>
              </w:tc>
              <w:tc>
                <w:tcPr>
                  <w:tcW w:w="609" w:type="pct"/>
                  <w:vAlign w:val="center"/>
                </w:tcPr>
                <w:p>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483" w:type="pct"/>
                  <w:vAlign w:val="center"/>
                </w:tcPr>
                <w:p>
                  <w:pPr>
                    <w:adjustRightInd w:val="0"/>
                    <w:snapToGrid w:val="0"/>
                    <w:spacing w:line="240" w:lineRule="auto"/>
                    <w:jc w:val="center"/>
                    <w:rPr>
                      <w:rFonts w:ascii="Times New Roman" w:hAnsi="Times New Roman" w:cs="Times New Roman"/>
                      <w:sz w:val="21"/>
                      <w:szCs w:val="21"/>
                    </w:rPr>
                  </w:pPr>
                  <w:r>
                    <w:rPr>
                      <w:sz w:val="21"/>
                      <w:szCs w:val="21"/>
                    </w:rPr>
                    <w:t>SS</w:t>
                  </w:r>
                </w:p>
              </w:tc>
              <w:tc>
                <w:tcPr>
                  <w:tcW w:w="697" w:type="pct"/>
                  <w:vAlign w:val="center"/>
                </w:tcPr>
                <w:p>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r>
                    <w:rPr>
                      <w:sz w:val="21"/>
                      <w:szCs w:val="21"/>
                    </w:rPr>
                    <w:t xml:space="preserve"> </w:t>
                  </w:r>
                </w:p>
              </w:tc>
              <w:tc>
                <w:tcPr>
                  <w:tcW w:w="481" w:type="pct"/>
                  <w:vAlign w:val="center"/>
                </w:tcPr>
                <w:p>
                  <w:pPr>
                    <w:adjustRightInd w:val="0"/>
                    <w:snapToGrid w:val="0"/>
                    <w:spacing w:line="240" w:lineRule="auto"/>
                    <w:jc w:val="center"/>
                    <w:rPr>
                      <w:rFonts w:ascii="Times New Roman" w:hAnsi="Times New Roman" w:cs="Times New Roman"/>
                      <w:sz w:val="21"/>
                      <w:szCs w:val="21"/>
                    </w:rPr>
                  </w:pPr>
                  <w:r>
                    <w:rPr>
                      <w:sz w:val="21"/>
                      <w:szCs w:val="21"/>
                    </w:rPr>
                    <w:t>TN</w:t>
                  </w:r>
                </w:p>
              </w:tc>
              <w:tc>
                <w:tcPr>
                  <w:tcW w:w="435" w:type="pct"/>
                  <w:vAlign w:val="center"/>
                </w:tcPr>
                <w:p>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TP</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0" w:type="pct"/>
                  <w:vAlign w:val="center"/>
                </w:tcPr>
                <w:p>
                  <w:pPr>
                    <w:adjustRightInd w:val="0"/>
                    <w:snapToGrid w:val="0"/>
                    <w:spacing w:line="240" w:lineRule="auto"/>
                    <w:jc w:val="center"/>
                    <w:rPr>
                      <w:rFonts w:ascii="Times New Roman" w:hAnsi="Times New Roman" w:cs="Times New Roman"/>
                      <w:b/>
                      <w:bCs/>
                      <w:sz w:val="21"/>
                      <w:szCs w:val="21"/>
                    </w:rPr>
                  </w:pPr>
                  <w:r>
                    <w:rPr>
                      <w:rFonts w:ascii="Times New Roman" w:hAnsi="Times New Roman" w:cs="Times New Roman"/>
                      <w:b/>
                      <w:bCs/>
                      <w:sz w:val="21"/>
                      <w:szCs w:val="21"/>
                    </w:rPr>
                    <w:t>标准限值（mg/L）</w:t>
                  </w:r>
                </w:p>
              </w:tc>
              <w:tc>
                <w:tcPr>
                  <w:tcW w:w="593" w:type="pct"/>
                  <w:vAlign w:val="center"/>
                </w:tcPr>
                <w:p>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6～9</w:t>
                  </w:r>
                </w:p>
              </w:tc>
              <w:tc>
                <w:tcPr>
                  <w:tcW w:w="722" w:type="pct"/>
                  <w:vAlign w:val="center"/>
                </w:tcPr>
                <w:p>
                  <w:pPr>
                    <w:adjustRightInd w:val="0"/>
                    <w:snapToGrid w:val="0"/>
                    <w:spacing w:line="240" w:lineRule="auto"/>
                    <w:jc w:val="center"/>
                    <w:rPr>
                      <w:rFonts w:ascii="Times New Roman" w:hAnsi="Times New Roman" w:eastAsia="宋体" w:cs="Times New Roman"/>
                      <w:sz w:val="21"/>
                      <w:szCs w:val="21"/>
                    </w:rPr>
                  </w:pPr>
                  <w:r>
                    <w:rPr>
                      <w:rFonts w:ascii="Times New Roman" w:hAnsi="Times New Roman" w:cs="Times New Roman"/>
                      <w:sz w:val="21"/>
                      <w:szCs w:val="21"/>
                    </w:rPr>
                    <w:t>50</w:t>
                  </w:r>
                </w:p>
              </w:tc>
              <w:tc>
                <w:tcPr>
                  <w:tcW w:w="609" w:type="pct"/>
                  <w:vAlign w:val="center"/>
                </w:tcPr>
                <w:p>
                  <w:pPr>
                    <w:adjustRightInd w:val="0"/>
                    <w:snapToGrid w:val="0"/>
                    <w:spacing w:line="240" w:lineRule="auto"/>
                    <w:jc w:val="center"/>
                    <w:rPr>
                      <w:rFonts w:ascii="Times New Roman" w:hAnsi="Times New Roman" w:eastAsia="宋体" w:cs="Times New Roman"/>
                      <w:sz w:val="21"/>
                      <w:szCs w:val="21"/>
                    </w:rPr>
                  </w:pPr>
                  <w:r>
                    <w:rPr>
                      <w:rFonts w:ascii="Times New Roman" w:hAnsi="Times New Roman" w:cs="Times New Roman"/>
                      <w:sz w:val="21"/>
                      <w:szCs w:val="21"/>
                    </w:rPr>
                    <w:t>10</w:t>
                  </w:r>
                </w:p>
              </w:tc>
              <w:tc>
                <w:tcPr>
                  <w:tcW w:w="483" w:type="pct"/>
                  <w:vAlign w:val="center"/>
                </w:tcPr>
                <w:p>
                  <w:pPr>
                    <w:adjustRightInd w:val="0"/>
                    <w:snapToGrid w:val="0"/>
                    <w:spacing w:line="240" w:lineRule="auto"/>
                    <w:jc w:val="center"/>
                    <w:rPr>
                      <w:rFonts w:ascii="Times New Roman" w:hAnsi="Times New Roman" w:eastAsia="宋体" w:cs="Times New Roman"/>
                      <w:sz w:val="21"/>
                      <w:szCs w:val="21"/>
                    </w:rPr>
                  </w:pPr>
                  <w:r>
                    <w:rPr>
                      <w:sz w:val="21"/>
                      <w:szCs w:val="21"/>
                    </w:rPr>
                    <w:t>10</w:t>
                  </w:r>
                </w:p>
              </w:tc>
              <w:tc>
                <w:tcPr>
                  <w:tcW w:w="697" w:type="pct"/>
                  <w:vAlign w:val="center"/>
                </w:tcPr>
                <w:p>
                  <w:pPr>
                    <w:adjustRightInd w:val="0"/>
                    <w:snapToGrid w:val="0"/>
                    <w:spacing w:line="240" w:lineRule="auto"/>
                    <w:jc w:val="center"/>
                    <w:rPr>
                      <w:rFonts w:ascii="Times New Roman" w:hAnsi="Times New Roman" w:eastAsia="宋体" w:cs="Times New Roman"/>
                      <w:sz w:val="21"/>
                      <w:szCs w:val="21"/>
                    </w:rPr>
                  </w:pPr>
                  <w:r>
                    <w:rPr>
                      <w:rFonts w:ascii="Times New Roman" w:hAnsi="Times New Roman" w:cs="Times New Roman"/>
                      <w:sz w:val="21"/>
                      <w:szCs w:val="21"/>
                    </w:rPr>
                    <w:t>5</w:t>
                  </w:r>
                  <w:r>
                    <w:rPr>
                      <w:rFonts w:hint="eastAsia" w:ascii="Times New Roman" w:hAnsi="Times New Roman" w:cs="Times New Roman"/>
                      <w:sz w:val="21"/>
                      <w:szCs w:val="21"/>
                    </w:rPr>
                    <w:t>（</w:t>
                  </w:r>
                  <w:r>
                    <w:rPr>
                      <w:rFonts w:ascii="Times New Roman" w:hAnsi="Times New Roman" w:cs="Times New Roman"/>
                      <w:sz w:val="21"/>
                      <w:szCs w:val="21"/>
                    </w:rPr>
                    <w:t>8</w:t>
                  </w:r>
                  <w:r>
                    <w:rPr>
                      <w:rFonts w:hint="eastAsia" w:ascii="Times New Roman" w:hAnsi="Times New Roman" w:cs="Times New Roman"/>
                      <w:sz w:val="21"/>
                      <w:szCs w:val="21"/>
                    </w:rPr>
                    <w:t>）</w:t>
                  </w:r>
                </w:p>
              </w:tc>
              <w:tc>
                <w:tcPr>
                  <w:tcW w:w="481" w:type="pct"/>
                  <w:vAlign w:val="center"/>
                </w:tcPr>
                <w:p>
                  <w:pPr>
                    <w:adjustRightInd w:val="0"/>
                    <w:snapToGrid w:val="0"/>
                    <w:spacing w:line="240" w:lineRule="auto"/>
                    <w:jc w:val="center"/>
                    <w:rPr>
                      <w:rFonts w:ascii="Times New Roman" w:hAnsi="Times New Roman" w:cs="Times New Roman"/>
                      <w:sz w:val="21"/>
                      <w:szCs w:val="21"/>
                    </w:rPr>
                  </w:pPr>
                  <w:r>
                    <w:rPr>
                      <w:rFonts w:hint="eastAsia"/>
                      <w:sz w:val="21"/>
                      <w:szCs w:val="21"/>
                    </w:rPr>
                    <w:t>1</w:t>
                  </w:r>
                  <w:r>
                    <w:rPr>
                      <w:sz w:val="21"/>
                      <w:szCs w:val="21"/>
                    </w:rPr>
                    <w:t>5</w:t>
                  </w:r>
                </w:p>
              </w:tc>
              <w:tc>
                <w:tcPr>
                  <w:tcW w:w="435" w:type="pct"/>
                  <w:vAlign w:val="center"/>
                </w:tcPr>
                <w:p>
                  <w:pPr>
                    <w:adjustRightInd w:val="0"/>
                    <w:snapToGrid w:val="0"/>
                    <w:spacing w:line="240" w:lineRule="auto"/>
                    <w:jc w:val="center"/>
                    <w:rPr>
                      <w:rFonts w:ascii="Times New Roman" w:hAnsi="Times New Roman" w:cs="Times New Roman"/>
                      <w:sz w:val="21"/>
                      <w:szCs w:val="21"/>
                    </w:rPr>
                  </w:pPr>
                  <w:r>
                    <w:rPr>
                      <w:rFonts w:ascii="Times New Roman" w:hAnsi="Times New Roman" w:cs="Times New Roman"/>
                      <w:sz w:val="21"/>
                      <w:szCs w:val="21"/>
                    </w:rPr>
                    <w:t>0.5</w:t>
                  </w:r>
                </w:p>
              </w:tc>
            </w:tr>
          </w:tbl>
          <w:p>
            <w:pPr>
              <w:widowControl w:val="0"/>
              <w:adjustRightInd w:val="0"/>
              <w:snapToGrid w:val="0"/>
              <w:ind w:firstLine="420" w:firstLineChars="200"/>
              <w:jc w:val="both"/>
              <w:rPr>
                <w:rFonts w:ascii="Times New Roman" w:hAnsi="Times New Roman" w:cs="Times New Roman"/>
                <w:sz w:val="21"/>
                <w:szCs w:val="21"/>
              </w:rPr>
            </w:pPr>
            <w:r>
              <w:rPr>
                <w:rFonts w:ascii="Times New Roman" w:hAnsi="Times New Roman" w:cs="Times New Roman"/>
                <w:sz w:val="21"/>
                <w:szCs w:val="21"/>
              </w:rPr>
              <w:t>注：括号外数值为水温</w:t>
            </w:r>
            <w:r>
              <w:rPr>
                <w:rFonts w:hint="eastAsia" w:cs="Times New Roman" w:asciiTheme="minorEastAsia" w:hAnsiTheme="minorEastAsia"/>
                <w:sz w:val="21"/>
                <w:szCs w:val="21"/>
              </w:rPr>
              <w:t>＞</w:t>
            </w:r>
            <w:r>
              <w:rPr>
                <w:rFonts w:ascii="Times New Roman" w:hAnsi="Times New Roman" w:cs="Times New Roman"/>
                <w:sz w:val="21"/>
                <w:szCs w:val="21"/>
              </w:rPr>
              <w:t>12摄氏度时的控制指标，括号内为水温</w:t>
            </w:r>
            <w:r>
              <w:rPr>
                <w:rFonts w:hint="eastAsia" w:ascii="宋体" w:hAnsi="宋体" w:eastAsia="宋体" w:cs="Times New Roman"/>
                <w:sz w:val="21"/>
                <w:szCs w:val="21"/>
              </w:rPr>
              <w:t>≤</w:t>
            </w:r>
            <w:r>
              <w:rPr>
                <w:rFonts w:ascii="Times New Roman" w:hAnsi="Times New Roman" w:cs="Times New Roman"/>
                <w:sz w:val="21"/>
                <w:szCs w:val="21"/>
              </w:rPr>
              <w:t>12摄氏度时的控制指标。</w:t>
            </w:r>
          </w:p>
          <w:p>
            <w:pPr>
              <w:pStyle w:val="187"/>
              <w:widowControl w:val="0"/>
              <w:ind w:firstLine="480"/>
              <w:jc w:val="both"/>
            </w:pPr>
            <w:r>
              <w:rPr>
                <w:rFonts w:hint="eastAsia"/>
              </w:rPr>
              <w:t>根据本工程设计进出水水质，主要污染物去除率见下表：</w:t>
            </w:r>
          </w:p>
          <w:p>
            <w:pPr>
              <w:pStyle w:val="161"/>
              <w:numPr>
                <w:ilvl w:val="0"/>
                <w:numId w:val="5"/>
              </w:numPr>
              <w:spacing w:line="276" w:lineRule="auto"/>
              <w:ind w:firstLineChars="0"/>
              <w:jc w:val="center"/>
              <w:rPr>
                <w:rFonts w:eastAsia="黑体"/>
                <w:szCs w:val="21"/>
              </w:rPr>
            </w:pPr>
            <w:r>
              <w:rPr>
                <w:rFonts w:hint="eastAsia" w:eastAsia="黑体"/>
                <w:szCs w:val="21"/>
              </w:rPr>
              <w:t>主要污染物去除率表</w:t>
            </w:r>
            <w:r>
              <w:rPr>
                <w:rFonts w:eastAsia="黑体"/>
                <w:szCs w:val="21"/>
              </w:rPr>
              <w:t xml:space="preserve">  </w:t>
            </w:r>
            <w:r>
              <w:rPr>
                <w:rFonts w:hint="eastAsia" w:eastAsia="黑体"/>
                <w:szCs w:val="21"/>
              </w:rPr>
              <w:t>单位：</w:t>
            </w:r>
            <w:r>
              <w:rPr>
                <w:rFonts w:eastAsia="黑体"/>
                <w:szCs w:val="21"/>
              </w:rPr>
              <w:t>mg/L</w:t>
            </w:r>
          </w:p>
          <w:tbl>
            <w:tblPr>
              <w:tblStyle w:val="44"/>
              <w:tblW w:w="5000"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2055"/>
              <w:gridCol w:w="1148"/>
              <w:gridCol w:w="1163"/>
              <w:gridCol w:w="1017"/>
              <w:gridCol w:w="1112"/>
              <w:gridCol w:w="932"/>
              <w:gridCol w:w="9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tblHeader/>
              </w:trPr>
              <w:tc>
                <w:tcPr>
                  <w:tcW w:w="1229" w:type="pct"/>
                  <w:tcBorders>
                    <w:top w:val="single" w:color="auto" w:sz="4" w:space="0"/>
                    <w:left w:val="single" w:color="auto" w:sz="4" w:space="0"/>
                    <w:bottom w:val="single" w:color="auto" w:sz="4" w:space="0"/>
                    <w:right w:val="single" w:color="auto" w:sz="4" w:space="0"/>
                    <w:tl2br w:val="single" w:color="auto" w:sz="4" w:space="0"/>
                  </w:tcBorders>
                  <w:vAlign w:val="center"/>
                </w:tcPr>
                <w:p>
                  <w:pPr>
                    <w:pStyle w:val="108"/>
                    <w:contextualSpacing/>
                    <w:jc w:val="right"/>
                    <w:rPr>
                      <w:rFonts w:ascii="Times New Roman" w:hAnsi="Times New Roman"/>
                      <w:b/>
                      <w:bCs w:val="0"/>
                      <w:szCs w:val="21"/>
                    </w:rPr>
                  </w:pPr>
                  <w:r>
                    <w:rPr>
                      <w:rFonts w:ascii="Times New Roman" w:hAnsi="Times New Roman"/>
                      <w:b/>
                      <w:bCs w:val="0"/>
                      <w:szCs w:val="21"/>
                    </w:rPr>
                    <w:t xml:space="preserve"> 水质指标</w:t>
                  </w:r>
                </w:p>
                <w:p>
                  <w:pPr>
                    <w:pStyle w:val="108"/>
                    <w:contextualSpacing/>
                    <w:jc w:val="left"/>
                    <w:rPr>
                      <w:rFonts w:ascii="Times New Roman" w:hAnsi="Times New Roman"/>
                      <w:b/>
                      <w:bCs w:val="0"/>
                      <w:szCs w:val="21"/>
                    </w:rPr>
                  </w:pPr>
                  <w:r>
                    <w:rPr>
                      <w:rFonts w:ascii="Times New Roman" w:hAnsi="Times New Roman"/>
                      <w:b/>
                      <w:bCs w:val="0"/>
                      <w:szCs w:val="21"/>
                    </w:rPr>
                    <w:t>类别</w:t>
                  </w:r>
                </w:p>
              </w:tc>
              <w:tc>
                <w:tcPr>
                  <w:tcW w:w="686" w:type="pct"/>
                  <w:tcBorders>
                    <w:top w:val="single" w:color="auto" w:sz="4" w:space="0"/>
                    <w:left w:val="single" w:color="auto" w:sz="4" w:space="0"/>
                    <w:bottom w:val="single" w:color="auto" w:sz="4" w:space="0"/>
                    <w:right w:val="single" w:color="auto" w:sz="4" w:space="0"/>
                  </w:tcBorders>
                  <w:vAlign w:val="center"/>
                </w:tcPr>
                <w:p>
                  <w:pPr>
                    <w:pStyle w:val="189"/>
                    <w:contextualSpacing/>
                    <w:rPr>
                      <w:rFonts w:cs="Times New Roman"/>
                      <w:b w:val="0"/>
                      <w:bCs/>
                      <w:szCs w:val="21"/>
                    </w:rPr>
                  </w:pPr>
                  <w:r>
                    <w:rPr>
                      <w:rFonts w:cs="Times New Roman"/>
                      <w:b w:val="0"/>
                      <w:bCs/>
                      <w:szCs w:val="21"/>
                    </w:rPr>
                    <w:t>COD</w:t>
                  </w:r>
                  <w:r>
                    <w:rPr>
                      <w:rFonts w:cs="Times New Roman"/>
                      <w:b w:val="0"/>
                      <w:bCs/>
                      <w:szCs w:val="21"/>
                      <w:vertAlign w:val="subscript"/>
                    </w:rPr>
                    <w:t>Cr</w:t>
                  </w:r>
                </w:p>
              </w:tc>
              <w:tc>
                <w:tcPr>
                  <w:tcW w:w="695" w:type="pct"/>
                  <w:tcBorders>
                    <w:top w:val="single" w:color="auto" w:sz="4" w:space="0"/>
                    <w:left w:val="single" w:color="auto" w:sz="4" w:space="0"/>
                    <w:bottom w:val="single" w:color="auto" w:sz="4" w:space="0"/>
                    <w:right w:val="single" w:color="auto" w:sz="4" w:space="0"/>
                  </w:tcBorders>
                  <w:vAlign w:val="center"/>
                </w:tcPr>
                <w:p>
                  <w:pPr>
                    <w:pStyle w:val="189"/>
                    <w:contextualSpacing/>
                    <w:rPr>
                      <w:rFonts w:cs="Times New Roman"/>
                      <w:b w:val="0"/>
                      <w:bCs/>
                      <w:szCs w:val="21"/>
                    </w:rPr>
                  </w:pPr>
                  <w:r>
                    <w:rPr>
                      <w:rFonts w:cs="Times New Roman"/>
                      <w:b w:val="0"/>
                      <w:bCs/>
                      <w:szCs w:val="21"/>
                    </w:rPr>
                    <w:t>BOD</w:t>
                  </w:r>
                  <w:r>
                    <w:rPr>
                      <w:rFonts w:cs="Times New Roman"/>
                      <w:b w:val="0"/>
                      <w:bCs/>
                      <w:szCs w:val="21"/>
                      <w:vertAlign w:val="subscript"/>
                    </w:rPr>
                    <w:t>5</w:t>
                  </w:r>
                </w:p>
              </w:tc>
              <w:tc>
                <w:tcPr>
                  <w:tcW w:w="608" w:type="pct"/>
                  <w:tcBorders>
                    <w:top w:val="single" w:color="auto" w:sz="4" w:space="0"/>
                    <w:left w:val="single" w:color="auto" w:sz="4" w:space="0"/>
                    <w:bottom w:val="single" w:color="auto" w:sz="4" w:space="0"/>
                    <w:right w:val="single" w:color="auto" w:sz="4" w:space="0"/>
                  </w:tcBorders>
                  <w:vAlign w:val="center"/>
                </w:tcPr>
                <w:p>
                  <w:pPr>
                    <w:pStyle w:val="189"/>
                    <w:contextualSpacing/>
                    <w:rPr>
                      <w:rFonts w:cs="Times New Roman"/>
                      <w:b w:val="0"/>
                      <w:bCs/>
                      <w:szCs w:val="21"/>
                    </w:rPr>
                  </w:pPr>
                  <w:r>
                    <w:rPr>
                      <w:rFonts w:cs="Times New Roman"/>
                      <w:b w:val="0"/>
                      <w:bCs/>
                      <w:szCs w:val="21"/>
                    </w:rPr>
                    <w:t>SS</w:t>
                  </w:r>
                </w:p>
              </w:tc>
              <w:tc>
                <w:tcPr>
                  <w:tcW w:w="665" w:type="pct"/>
                  <w:tcBorders>
                    <w:top w:val="single" w:color="auto" w:sz="4" w:space="0"/>
                    <w:left w:val="single" w:color="auto" w:sz="4" w:space="0"/>
                    <w:bottom w:val="single" w:color="auto" w:sz="4" w:space="0"/>
                    <w:right w:val="single" w:color="auto" w:sz="4" w:space="0"/>
                  </w:tcBorders>
                  <w:vAlign w:val="center"/>
                </w:tcPr>
                <w:p>
                  <w:pPr>
                    <w:pStyle w:val="189"/>
                    <w:contextualSpacing/>
                    <w:rPr>
                      <w:rFonts w:cs="Times New Roman"/>
                      <w:b w:val="0"/>
                      <w:bCs/>
                      <w:szCs w:val="21"/>
                    </w:rPr>
                  </w:pPr>
                  <w:r>
                    <w:rPr>
                      <w:rFonts w:cs="Times New Roman"/>
                      <w:b w:val="0"/>
                      <w:bCs/>
                      <w:szCs w:val="21"/>
                    </w:rPr>
                    <w:t>NH</w:t>
                  </w:r>
                  <w:r>
                    <w:rPr>
                      <w:rFonts w:cs="Times New Roman"/>
                      <w:b w:val="0"/>
                      <w:bCs/>
                      <w:szCs w:val="21"/>
                      <w:vertAlign w:val="subscript"/>
                    </w:rPr>
                    <w:t>3</w:t>
                  </w:r>
                  <w:r>
                    <w:rPr>
                      <w:rFonts w:cs="Times New Roman"/>
                      <w:b w:val="0"/>
                      <w:bCs/>
                      <w:szCs w:val="21"/>
                    </w:rPr>
                    <w:t>-N</w:t>
                  </w:r>
                </w:p>
              </w:tc>
              <w:tc>
                <w:tcPr>
                  <w:tcW w:w="557" w:type="pct"/>
                  <w:tcBorders>
                    <w:top w:val="single" w:color="auto" w:sz="4" w:space="0"/>
                    <w:left w:val="single" w:color="auto" w:sz="4" w:space="0"/>
                    <w:bottom w:val="single" w:color="auto" w:sz="4" w:space="0"/>
                    <w:right w:val="single" w:color="auto" w:sz="4" w:space="0"/>
                  </w:tcBorders>
                  <w:vAlign w:val="center"/>
                </w:tcPr>
                <w:p>
                  <w:pPr>
                    <w:pStyle w:val="189"/>
                    <w:contextualSpacing/>
                    <w:rPr>
                      <w:rFonts w:cs="Times New Roman"/>
                      <w:b w:val="0"/>
                      <w:bCs/>
                      <w:szCs w:val="21"/>
                    </w:rPr>
                  </w:pPr>
                  <w:r>
                    <w:rPr>
                      <w:rFonts w:cs="Times New Roman"/>
                      <w:b w:val="0"/>
                      <w:bCs/>
                      <w:szCs w:val="21"/>
                    </w:rPr>
                    <w:t>TN</w:t>
                  </w:r>
                </w:p>
              </w:tc>
              <w:tc>
                <w:tcPr>
                  <w:tcW w:w="560" w:type="pct"/>
                  <w:tcBorders>
                    <w:top w:val="single" w:color="auto" w:sz="4" w:space="0"/>
                    <w:left w:val="single" w:color="auto" w:sz="4" w:space="0"/>
                    <w:bottom w:val="single" w:color="auto" w:sz="4" w:space="0"/>
                    <w:right w:val="single" w:color="auto" w:sz="4" w:space="0"/>
                  </w:tcBorders>
                  <w:vAlign w:val="center"/>
                </w:tcPr>
                <w:p>
                  <w:pPr>
                    <w:pStyle w:val="189"/>
                    <w:contextualSpacing/>
                    <w:rPr>
                      <w:rFonts w:cs="Times New Roman"/>
                      <w:b w:val="0"/>
                      <w:bCs/>
                      <w:szCs w:val="21"/>
                    </w:rPr>
                  </w:pPr>
                  <w:r>
                    <w:rPr>
                      <w:rFonts w:cs="Times New Roman"/>
                      <w:b w:val="0"/>
                      <w:bCs/>
                      <w:szCs w:val="21"/>
                    </w:rPr>
                    <w:t>TP</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229"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bCs w:val="0"/>
                      <w:szCs w:val="21"/>
                    </w:rPr>
                  </w:pPr>
                  <w:r>
                    <w:rPr>
                      <w:rFonts w:ascii="Times New Roman" w:hAnsi="Times New Roman"/>
                      <w:b/>
                      <w:bCs w:val="0"/>
                      <w:szCs w:val="21"/>
                    </w:rPr>
                    <w:t>设计进水水质</w:t>
                  </w:r>
                </w:p>
              </w:tc>
              <w:tc>
                <w:tcPr>
                  <w:tcW w:w="686"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val="0"/>
                      <w:kern w:val="0"/>
                      <w:szCs w:val="21"/>
                    </w:rPr>
                  </w:pPr>
                  <w:r>
                    <w:rPr>
                      <w:rFonts w:hint="eastAsia" w:ascii="Times New Roman" w:hAnsi="Times New Roman"/>
                      <w:b w:val="0"/>
                      <w:kern w:val="0"/>
                      <w:szCs w:val="21"/>
                    </w:rPr>
                    <w:t>3</w:t>
                  </w:r>
                  <w:r>
                    <w:rPr>
                      <w:rFonts w:ascii="Times New Roman" w:hAnsi="Times New Roman"/>
                      <w:b w:val="0"/>
                      <w:kern w:val="0"/>
                      <w:szCs w:val="21"/>
                    </w:rPr>
                    <w:t>50</w:t>
                  </w:r>
                </w:p>
              </w:tc>
              <w:tc>
                <w:tcPr>
                  <w:tcW w:w="695"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val="0"/>
                      <w:kern w:val="0"/>
                      <w:szCs w:val="21"/>
                    </w:rPr>
                  </w:pPr>
                  <w:r>
                    <w:rPr>
                      <w:rFonts w:ascii="Times New Roman" w:hAnsi="Times New Roman"/>
                      <w:b w:val="0"/>
                      <w:kern w:val="0"/>
                      <w:szCs w:val="21"/>
                    </w:rPr>
                    <w:t>160</w:t>
                  </w:r>
                </w:p>
              </w:tc>
              <w:tc>
                <w:tcPr>
                  <w:tcW w:w="608"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val="0"/>
                      <w:kern w:val="0"/>
                      <w:szCs w:val="21"/>
                    </w:rPr>
                  </w:pPr>
                  <w:r>
                    <w:rPr>
                      <w:rFonts w:hint="eastAsia" w:ascii="Times New Roman" w:hAnsi="Times New Roman"/>
                      <w:b w:val="0"/>
                      <w:kern w:val="0"/>
                      <w:szCs w:val="21"/>
                    </w:rPr>
                    <w:t>4</w:t>
                  </w:r>
                  <w:r>
                    <w:rPr>
                      <w:rFonts w:ascii="Times New Roman" w:hAnsi="Times New Roman"/>
                      <w:b w:val="0"/>
                      <w:kern w:val="0"/>
                      <w:szCs w:val="21"/>
                    </w:rPr>
                    <w:t>00</w:t>
                  </w:r>
                </w:p>
              </w:tc>
              <w:tc>
                <w:tcPr>
                  <w:tcW w:w="665"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val="0"/>
                      <w:kern w:val="0"/>
                      <w:szCs w:val="21"/>
                    </w:rPr>
                  </w:pPr>
                  <w:r>
                    <w:rPr>
                      <w:rFonts w:hint="eastAsia" w:ascii="Times New Roman" w:hAnsi="Times New Roman"/>
                      <w:b w:val="0"/>
                      <w:kern w:val="0"/>
                      <w:szCs w:val="21"/>
                    </w:rPr>
                    <w:t>3</w:t>
                  </w:r>
                  <w:r>
                    <w:rPr>
                      <w:rFonts w:ascii="Times New Roman" w:hAnsi="Times New Roman"/>
                      <w:b w:val="0"/>
                      <w:kern w:val="0"/>
                      <w:szCs w:val="21"/>
                    </w:rPr>
                    <w:t>0</w:t>
                  </w:r>
                </w:p>
              </w:tc>
              <w:tc>
                <w:tcPr>
                  <w:tcW w:w="557"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val="0"/>
                      <w:kern w:val="0"/>
                      <w:szCs w:val="21"/>
                    </w:rPr>
                  </w:pPr>
                  <w:r>
                    <w:rPr>
                      <w:rFonts w:hint="eastAsia" w:ascii="Times New Roman" w:hAnsi="Times New Roman"/>
                      <w:b w:val="0"/>
                      <w:kern w:val="0"/>
                      <w:szCs w:val="21"/>
                    </w:rPr>
                    <w:t>4</w:t>
                  </w:r>
                  <w:r>
                    <w:rPr>
                      <w:rFonts w:ascii="Times New Roman" w:hAnsi="Times New Roman"/>
                      <w:b w:val="0"/>
                      <w:kern w:val="0"/>
                      <w:szCs w:val="21"/>
                    </w:rPr>
                    <w:t>5</w:t>
                  </w:r>
                </w:p>
              </w:tc>
              <w:tc>
                <w:tcPr>
                  <w:tcW w:w="560"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val="0"/>
                      <w:kern w:val="0"/>
                      <w:szCs w:val="21"/>
                    </w:rPr>
                  </w:pPr>
                  <w:r>
                    <w:rPr>
                      <w:rFonts w:hint="eastAsia" w:ascii="Times New Roman" w:hAnsi="Times New Roman"/>
                      <w:b w:val="0"/>
                      <w:kern w:val="0"/>
                      <w:szCs w:val="21"/>
                    </w:rPr>
                    <w:t>4</w:t>
                  </w:r>
                  <w:r>
                    <w:rPr>
                      <w:rFonts w:ascii="Times New Roman" w:hAnsi="Times New Roman"/>
                      <w:b w:val="0"/>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229"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bCs w:val="0"/>
                      <w:szCs w:val="21"/>
                    </w:rPr>
                  </w:pPr>
                  <w:r>
                    <w:rPr>
                      <w:rFonts w:ascii="Times New Roman" w:hAnsi="Times New Roman"/>
                      <w:b/>
                      <w:bCs w:val="0"/>
                      <w:szCs w:val="21"/>
                    </w:rPr>
                    <w:t>设计出水水质</w:t>
                  </w:r>
                </w:p>
              </w:tc>
              <w:tc>
                <w:tcPr>
                  <w:tcW w:w="686"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val="0"/>
                      <w:kern w:val="0"/>
                      <w:szCs w:val="21"/>
                    </w:rPr>
                  </w:pPr>
                  <w:r>
                    <w:rPr>
                      <w:rFonts w:ascii="Times New Roman" w:hAnsi="Times New Roman"/>
                      <w:b w:val="0"/>
                      <w:kern w:val="0"/>
                      <w:szCs w:val="21"/>
                    </w:rPr>
                    <w:t>50</w:t>
                  </w:r>
                </w:p>
              </w:tc>
              <w:tc>
                <w:tcPr>
                  <w:tcW w:w="695"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val="0"/>
                      <w:kern w:val="0"/>
                      <w:szCs w:val="21"/>
                    </w:rPr>
                  </w:pPr>
                  <w:r>
                    <w:rPr>
                      <w:rFonts w:ascii="Times New Roman" w:hAnsi="Times New Roman"/>
                      <w:b w:val="0"/>
                      <w:kern w:val="0"/>
                      <w:szCs w:val="21"/>
                    </w:rPr>
                    <w:t>10</w:t>
                  </w:r>
                </w:p>
              </w:tc>
              <w:tc>
                <w:tcPr>
                  <w:tcW w:w="608"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val="0"/>
                      <w:kern w:val="0"/>
                      <w:szCs w:val="21"/>
                    </w:rPr>
                  </w:pPr>
                  <w:r>
                    <w:rPr>
                      <w:rFonts w:ascii="Times New Roman" w:hAnsi="Times New Roman"/>
                      <w:b w:val="0"/>
                      <w:kern w:val="0"/>
                      <w:szCs w:val="21"/>
                    </w:rPr>
                    <w:t>10</w:t>
                  </w:r>
                </w:p>
              </w:tc>
              <w:tc>
                <w:tcPr>
                  <w:tcW w:w="665"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val="0"/>
                      <w:kern w:val="0"/>
                      <w:szCs w:val="21"/>
                    </w:rPr>
                  </w:pPr>
                  <w:r>
                    <w:rPr>
                      <w:rFonts w:ascii="Times New Roman" w:hAnsi="Times New Roman"/>
                      <w:b w:val="0"/>
                      <w:szCs w:val="21"/>
                    </w:rPr>
                    <w:t>5</w:t>
                  </w:r>
                </w:p>
              </w:tc>
              <w:tc>
                <w:tcPr>
                  <w:tcW w:w="557"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val="0"/>
                      <w:kern w:val="0"/>
                      <w:szCs w:val="21"/>
                    </w:rPr>
                  </w:pPr>
                  <w:r>
                    <w:rPr>
                      <w:rFonts w:ascii="Times New Roman" w:hAnsi="Times New Roman"/>
                      <w:b w:val="0"/>
                      <w:kern w:val="0"/>
                      <w:szCs w:val="21"/>
                    </w:rPr>
                    <w:t>15</w:t>
                  </w:r>
                </w:p>
              </w:tc>
              <w:tc>
                <w:tcPr>
                  <w:tcW w:w="560"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val="0"/>
                      <w:kern w:val="0"/>
                      <w:szCs w:val="21"/>
                    </w:rPr>
                  </w:pPr>
                  <w:r>
                    <w:rPr>
                      <w:rFonts w:ascii="Times New Roman" w:hAnsi="Times New Roman"/>
                      <w:b w:val="0"/>
                      <w:kern w:val="0"/>
                      <w:szCs w:val="21"/>
                    </w:rPr>
                    <w:t>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7" w:hRule="atLeast"/>
              </w:trPr>
              <w:tc>
                <w:tcPr>
                  <w:tcW w:w="1229"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bCs w:val="0"/>
                      <w:szCs w:val="21"/>
                    </w:rPr>
                  </w:pPr>
                  <w:r>
                    <w:rPr>
                      <w:rFonts w:ascii="Times New Roman" w:hAnsi="Times New Roman"/>
                      <w:b/>
                      <w:bCs w:val="0"/>
                      <w:szCs w:val="21"/>
                    </w:rPr>
                    <w:t>处理</w:t>
                  </w:r>
                  <w:r>
                    <w:rPr>
                      <w:rFonts w:hint="eastAsia" w:ascii="Times New Roman" w:hAnsi="Times New Roman"/>
                      <w:b/>
                      <w:bCs w:val="0"/>
                      <w:szCs w:val="21"/>
                    </w:rPr>
                    <w:t>率</w:t>
                  </w:r>
                  <w:r>
                    <w:rPr>
                      <w:rFonts w:ascii="Times New Roman" w:hAnsi="Times New Roman"/>
                      <w:b/>
                      <w:bCs w:val="0"/>
                      <w:szCs w:val="21"/>
                    </w:rPr>
                    <w:t>（%）</w:t>
                  </w:r>
                </w:p>
              </w:tc>
              <w:tc>
                <w:tcPr>
                  <w:tcW w:w="686"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宋体" w:cs="Times New Roman"/>
                      <w:bCs/>
                      <w:kern w:val="0"/>
                      <w:sz w:val="21"/>
                      <w:szCs w:val="21"/>
                    </w:rPr>
                  </w:pPr>
                  <w:r>
                    <w:rPr>
                      <w:rFonts w:ascii="Times New Roman" w:hAnsi="Times New Roman" w:eastAsia="等线" w:cs="Times New Roman"/>
                      <w:sz w:val="21"/>
                      <w:szCs w:val="21"/>
                    </w:rPr>
                    <w:t xml:space="preserve">85.7 </w:t>
                  </w:r>
                </w:p>
              </w:tc>
              <w:tc>
                <w:tcPr>
                  <w:tcW w:w="695"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宋体" w:cs="Times New Roman"/>
                      <w:bCs/>
                      <w:kern w:val="0"/>
                      <w:sz w:val="21"/>
                      <w:szCs w:val="21"/>
                    </w:rPr>
                  </w:pPr>
                  <w:r>
                    <w:rPr>
                      <w:rFonts w:ascii="Times New Roman" w:hAnsi="Times New Roman" w:eastAsia="等线" w:cs="Times New Roman"/>
                      <w:sz w:val="21"/>
                      <w:szCs w:val="21"/>
                    </w:rPr>
                    <w:t xml:space="preserve">93.8 </w:t>
                  </w:r>
                </w:p>
              </w:tc>
              <w:tc>
                <w:tcPr>
                  <w:tcW w:w="608"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宋体" w:cs="Times New Roman"/>
                      <w:bCs/>
                      <w:kern w:val="0"/>
                      <w:sz w:val="21"/>
                      <w:szCs w:val="21"/>
                    </w:rPr>
                  </w:pPr>
                  <w:r>
                    <w:rPr>
                      <w:rFonts w:ascii="Times New Roman" w:hAnsi="Times New Roman" w:eastAsia="等线" w:cs="Times New Roman"/>
                      <w:sz w:val="21"/>
                      <w:szCs w:val="21"/>
                    </w:rPr>
                    <w:t xml:space="preserve">97.5 </w:t>
                  </w:r>
                </w:p>
              </w:tc>
              <w:tc>
                <w:tcPr>
                  <w:tcW w:w="665"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宋体" w:cs="Times New Roman"/>
                      <w:bCs/>
                      <w:kern w:val="0"/>
                      <w:sz w:val="21"/>
                      <w:szCs w:val="21"/>
                    </w:rPr>
                  </w:pPr>
                  <w:r>
                    <w:rPr>
                      <w:rFonts w:ascii="Times New Roman" w:hAnsi="Times New Roman" w:eastAsia="等线" w:cs="Times New Roman"/>
                      <w:sz w:val="21"/>
                      <w:szCs w:val="21"/>
                    </w:rPr>
                    <w:t xml:space="preserve">83.3 </w:t>
                  </w:r>
                </w:p>
              </w:tc>
              <w:tc>
                <w:tcPr>
                  <w:tcW w:w="557"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宋体" w:cs="Times New Roman"/>
                      <w:bCs/>
                      <w:kern w:val="0"/>
                      <w:sz w:val="21"/>
                      <w:szCs w:val="21"/>
                    </w:rPr>
                  </w:pPr>
                  <w:r>
                    <w:rPr>
                      <w:rFonts w:ascii="Times New Roman" w:hAnsi="Times New Roman" w:eastAsia="等线" w:cs="Times New Roman"/>
                      <w:sz w:val="21"/>
                      <w:szCs w:val="21"/>
                    </w:rPr>
                    <w:t xml:space="preserve">66.7 </w:t>
                  </w:r>
                </w:p>
              </w:tc>
              <w:tc>
                <w:tcPr>
                  <w:tcW w:w="560" w:type="pct"/>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Times New Roman" w:hAnsi="Times New Roman" w:eastAsia="宋体" w:cs="Times New Roman"/>
                      <w:bCs/>
                      <w:kern w:val="0"/>
                      <w:sz w:val="21"/>
                      <w:szCs w:val="21"/>
                    </w:rPr>
                  </w:pPr>
                  <w:r>
                    <w:rPr>
                      <w:rFonts w:ascii="Times New Roman" w:hAnsi="Times New Roman" w:eastAsia="等线" w:cs="Times New Roman"/>
                      <w:sz w:val="21"/>
                      <w:szCs w:val="21"/>
                    </w:rPr>
                    <w:t xml:space="preserve">88.9 </w:t>
                  </w:r>
                </w:p>
              </w:tc>
            </w:tr>
          </w:tbl>
          <w:p>
            <w:pPr>
              <w:widowControl w:val="0"/>
              <w:autoSpaceDE w:val="0"/>
              <w:autoSpaceDN w:val="0"/>
              <w:adjustRightInd w:val="0"/>
              <w:snapToGrid w:val="0"/>
              <w:spacing w:before="163" w:beforeLines="50"/>
              <w:jc w:val="left"/>
              <w:rPr>
                <w:rFonts w:eastAsia="黑体"/>
                <w:b/>
                <w:bCs/>
              </w:rPr>
            </w:pPr>
            <w:r>
              <w:rPr>
                <w:rFonts w:eastAsia="黑体"/>
                <w:b/>
                <w:bCs/>
              </w:rPr>
              <w:t>2.7</w:t>
            </w:r>
            <w:r>
              <w:rPr>
                <w:rFonts w:hint="eastAsia" w:eastAsia="黑体"/>
                <w:b/>
                <w:bCs/>
              </w:rPr>
              <w:t>建设规模确定</w:t>
            </w:r>
          </w:p>
          <w:p>
            <w:pPr>
              <w:widowControl w:val="0"/>
              <w:ind w:firstLine="480" w:firstLineChars="200"/>
              <w:jc w:val="both"/>
              <w:rPr>
                <w:rFonts w:ascii="Times New Roman" w:hAnsi="Times New Roman" w:eastAsia="宋体" w:cs="Times New Roman"/>
                <w:kern w:val="0"/>
              </w:rPr>
            </w:pPr>
            <w:r>
              <w:rPr>
                <w:rFonts w:ascii="Times New Roman" w:hAnsi="Times New Roman" w:eastAsia="宋体" w:cs="Times New Roman"/>
                <w:kern w:val="0"/>
              </w:rPr>
              <w:t>（1）城镇生活污水量预测</w:t>
            </w:r>
          </w:p>
          <w:p>
            <w:pPr>
              <w:widowControl w:val="0"/>
              <w:ind w:firstLine="480" w:firstLineChars="200"/>
              <w:jc w:val="both"/>
              <w:rPr>
                <w:rFonts w:ascii="Times New Roman" w:hAnsi="Times New Roman" w:eastAsia="宋体" w:cs="Times New Roman"/>
              </w:rPr>
            </w:pPr>
            <w:r>
              <w:rPr>
                <w:rFonts w:ascii="Times New Roman" w:hAnsi="Times New Roman" w:eastAsia="宋体" w:cs="Times New Roman"/>
              </w:rPr>
              <w:t>本项目城镇生活污水量预测采用单位人口综合用水量指标法和单位建设用地综合用水量指标法，通过两种方法预测的规划末期用水量相差不大，考虑为今后可持续发展留有余地，规划明月新城用水总量为17000m</w:t>
            </w:r>
            <w:r>
              <w:rPr>
                <w:rFonts w:ascii="Times New Roman" w:hAnsi="Times New Roman" w:eastAsia="宋体" w:cs="Times New Roman"/>
                <w:vertAlign w:val="superscript"/>
              </w:rPr>
              <w:t>3</w:t>
            </w:r>
            <w:r>
              <w:rPr>
                <w:rFonts w:ascii="Times New Roman" w:hAnsi="Times New Roman" w:eastAsia="宋体" w:cs="Times New Roman"/>
              </w:rPr>
              <w:t>/d。取日不均衡系数取Kz=1.3，则平均日用水量为13000m</w:t>
            </w:r>
            <w:r>
              <w:rPr>
                <w:rFonts w:ascii="Times New Roman" w:hAnsi="Times New Roman" w:eastAsia="宋体" w:cs="Times New Roman"/>
                <w:vertAlign w:val="superscript"/>
              </w:rPr>
              <w:t>3</w:t>
            </w:r>
            <w:r>
              <w:rPr>
                <w:rFonts w:ascii="Times New Roman" w:hAnsi="Times New Roman" w:eastAsia="宋体" w:cs="Times New Roman"/>
              </w:rPr>
              <w:t>/日。</w:t>
            </w:r>
          </w:p>
          <w:p>
            <w:pPr>
              <w:widowControl w:val="0"/>
              <w:ind w:firstLine="480" w:firstLineChars="200"/>
              <w:jc w:val="both"/>
              <w:rPr>
                <w:rFonts w:ascii="Times New Roman" w:hAnsi="Times New Roman" w:eastAsia="宋体" w:cs="Times New Roman"/>
              </w:rPr>
            </w:pPr>
            <w:r>
              <w:rPr>
                <w:rFonts w:hint="eastAsia" w:ascii="Times New Roman" w:hAnsi="Times New Roman" w:eastAsia="宋体" w:cs="Times New Roman"/>
              </w:rPr>
              <w:t>考虑新区建设是一个逐步完善的过程，产生的污水量也是一个逐步增加的过程，为保证经济效益最大化，污水处理厂的建设最好分期进行。</w:t>
            </w:r>
          </w:p>
          <w:p>
            <w:pPr>
              <w:widowControl w:val="0"/>
              <w:ind w:firstLine="480" w:firstLineChars="200"/>
              <w:jc w:val="both"/>
            </w:pPr>
            <w:r>
              <w:rPr>
                <w:rFonts w:hint="eastAsia"/>
              </w:rPr>
              <w:t>根据明月新城规划区开发时序，3年内，首先开发首发，5年内开发一期，</w:t>
            </w:r>
            <w:r>
              <w:t>5</w:t>
            </w:r>
            <w:r>
              <w:rPr>
                <w:rFonts w:hint="eastAsia"/>
              </w:rPr>
              <w:t>年后开发剩下的区域。因此，污水处理厂设计方案结合各个开发区的密度划分各区的人口，将污水处理厂服务范围分为一期服务首发及一期，二期服务规划区除首发及一期外的其余区域。首发及一期服务范围如图2-1所示。</w:t>
            </w:r>
          </w:p>
          <w:p>
            <w:pPr>
              <w:widowControl w:val="0"/>
              <w:jc w:val="center"/>
            </w:pPr>
            <w:r>
              <w:rPr>
                <w:rFonts w:ascii="宋体" w:hAnsi="宋体" w:cs="宋体"/>
                <w:kern w:val="0"/>
              </w:rPr>
              <w:fldChar w:fldCharType="begin"/>
            </w:r>
            <w:r>
              <w:rPr>
                <w:rFonts w:ascii="宋体" w:hAnsi="宋体" w:cs="宋体"/>
                <w:kern w:val="0"/>
              </w:rPr>
              <w:instrText xml:space="preserve">INCLUDEPICTURE \d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"C:\\Users\\Administrator\\AppData\\Roaming\\Tencent\\Users\\675653576\\QQ\\WinTemp\\RichOle\\VW{8`0KO6PCPM98SP_WO0KS.png"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"E:\\0、环评\\1、倍诚恒越-接手环评\\10、明月坝污水处理厂\\AppData\\Roaming\\Tencent\\Users\\675653576\\QQ\\WinTemp\\RichOle\\VW{8`0KO6PCPM98SP_WO0KS.png"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"E:\\0、环评\\1、倍诚恒越-接手环评\\10、明月坝污水处理厂\\AppData\\Roaming\\Tencent\\Users\\675653576\\QQ\\WinTemp\\RichOle\\VW{8`0KO6PCPM98SP_WO0KS.png"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"E:\\0、环评\\1、倍诚恒越-接手环评\\10、明月坝污水处理厂\\AppData\\Roaming\\Tencent\\Users\\675653576\\QQ\\WinTemp\\RichOle\\VW{8`0KO6PCPM98SP_WO0KS.png"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"E:\\0、环评\\1、倍诚恒越-接手环评\\10、明月坝污水处理厂\\AppData\\Roaming\\Tencent\\Users\\675653576\\QQ\\WinTemp\\RichOle\\VW{8`0KO6PCPM98SP_WO0KS.png"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"E:\\0、环评\\1、倍诚恒越-接手环评\\10、明月坝污水处理厂\\AppData\\Roaming\\Tencent\\Users\\675653576\\QQ\\WinTemp\\RichOle\\VW{8`0KO6PCPM98SP_WO0KS.png"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"E:\\0、环评\\1、倍诚恒越-接手环评\\10、明月坝污水处理厂\\AppData\\Roaming\\Tencent\\Users\\675653576\\QQ\\WinTemp\\RichOle\\VW{8`0KO6PCPM98SP_WO0KS.png" \* MERGEFORMATINET </w:instrText>
            </w:r>
            <w:r>
              <w:rPr>
                <w:rFonts w:ascii="宋体" w:hAnsi="宋体" w:cs="宋体"/>
                <w:kern w:val="0"/>
              </w:rPr>
              <w:fldChar w:fldCharType="separate"/>
            </w:r>
            <w:r>
              <w:rPr>
                <w:rFonts w:ascii="宋体" w:hAnsi="宋体" w:cs="宋体"/>
                <w:kern w:val="0"/>
              </w:rPr>
              <w:fldChar w:fldCharType="begin"/>
            </w:r>
            <w:r>
              <w:rPr>
                <w:rFonts w:ascii="宋体" w:hAnsi="宋体" w:cs="宋体"/>
                <w:kern w:val="0"/>
              </w:rPr>
              <w:instrText xml:space="preserve"> INCLUDEPICTURE  "E:\\0、环评\\1、倍诚恒越-接手环评\\10、明月坝污水处理厂\\AppData\\Roaming\\Tencent\\Users\\675653576\\QQ\\WinTemp\\RichOle\\VW{8`0KO6PCPM98SP_WO0KS.png" \* MERGEFORMATINET </w:instrText>
            </w:r>
            <w:r>
              <w:rPr>
                <w:rFonts w:ascii="宋体" w:hAnsi="宋体" w:cs="宋体"/>
                <w:kern w:val="0"/>
              </w:rPr>
              <w:fldChar w:fldCharType="separate"/>
            </w:r>
            <w:r>
              <w:rPr>
                <w:rFonts w:ascii="宋体" w:hAnsi="宋体" w:cs="宋体"/>
                <w:kern w:val="0"/>
              </w:rPr>
              <w:drawing>
                <wp:inline distT="0" distB="0" distL="114300" distR="114300">
                  <wp:extent cx="3219450" cy="223837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1" r:link="rId12"/>
                          <a:stretch>
                            <a:fillRect/>
                          </a:stretch>
                        </pic:blipFill>
                        <pic:spPr>
                          <a:xfrm>
                            <a:off x="0" y="0"/>
                            <a:ext cx="3219450" cy="2238375"/>
                          </a:xfrm>
                          <a:prstGeom prst="rect">
                            <a:avLst/>
                          </a:prstGeom>
                          <a:noFill/>
                          <a:ln>
                            <a:noFill/>
                          </a:ln>
                        </pic:spPr>
                      </pic:pic>
                    </a:graphicData>
                  </a:graphic>
                </wp:inline>
              </w:drawing>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r>
              <w:rPr>
                <w:rFonts w:ascii="宋体" w:hAnsi="宋体" w:cs="宋体"/>
                <w:kern w:val="0"/>
              </w:rPr>
              <w:fldChar w:fldCharType="end"/>
            </w:r>
          </w:p>
          <w:p>
            <w:pPr>
              <w:pStyle w:val="18"/>
              <w:widowControl w:val="0"/>
              <w:numPr>
                <w:ilvl w:val="0"/>
                <w:numId w:val="4"/>
              </w:numPr>
              <w:jc w:val="center"/>
              <w:rPr>
                <w:rFonts w:ascii="黑体" w:hAnsi="黑体" w:eastAsia="黑体"/>
                <w:sz w:val="24"/>
                <w:szCs w:val="24"/>
              </w:rPr>
            </w:pPr>
            <w:r>
              <w:rPr>
                <w:rFonts w:hint="eastAsia" w:ascii="黑体" w:hAnsi="黑体" w:eastAsia="黑体"/>
                <w:sz w:val="24"/>
                <w:szCs w:val="24"/>
              </w:rPr>
              <w:t>首发及一期服务范围图</w:t>
            </w:r>
          </w:p>
          <w:p>
            <w:pPr>
              <w:pStyle w:val="193"/>
              <w:adjustRightInd w:val="0"/>
              <w:snapToGrid w:val="0"/>
              <w:spacing w:afterLines="0" w:line="360" w:lineRule="auto"/>
              <w:ind w:firstLine="480"/>
              <w:jc w:val="left"/>
              <w:rPr>
                <w:rFonts w:cs="Times New Roman"/>
                <w:sz w:val="24"/>
                <w:szCs w:val="24"/>
              </w:rPr>
            </w:pPr>
            <w:r>
              <w:rPr>
                <w:rFonts w:cs="Times New Roman"/>
                <w:sz w:val="24"/>
                <w:szCs w:val="24"/>
              </w:rPr>
              <w:t>规划建设面积为195.94ha，其中首发及一期服务范围约119.491ha。规划区常驻人口为4.8万人。</w:t>
            </w:r>
          </w:p>
          <w:p>
            <w:pPr>
              <w:pStyle w:val="193"/>
              <w:adjustRightInd w:val="0"/>
              <w:snapToGrid w:val="0"/>
              <w:spacing w:afterLines="0" w:line="360" w:lineRule="auto"/>
              <w:ind w:firstLine="480"/>
              <w:jc w:val="left"/>
              <w:rPr>
                <w:rFonts w:cs="Times New Roman"/>
                <w:sz w:val="24"/>
                <w:szCs w:val="24"/>
              </w:rPr>
            </w:pPr>
            <w:r>
              <w:rPr>
                <w:rFonts w:cs="Times New Roman"/>
                <w:sz w:val="24"/>
                <w:szCs w:val="24"/>
              </w:rPr>
              <w:t>首发及一期常驻人口约19798人，按规划区一期人口占总人口的比率，得出一期产生污水量约4124m</w:t>
            </w:r>
            <w:r>
              <w:rPr>
                <w:rFonts w:cs="Times New Roman"/>
                <w:sz w:val="24"/>
                <w:szCs w:val="24"/>
                <w:vertAlign w:val="superscript"/>
              </w:rPr>
              <w:t>3</w:t>
            </w:r>
            <w:r>
              <w:rPr>
                <w:rFonts w:cs="Times New Roman"/>
                <w:sz w:val="24"/>
                <w:szCs w:val="24"/>
              </w:rPr>
              <w:t>/d。</w:t>
            </w:r>
          </w:p>
          <w:p>
            <w:pPr>
              <w:pStyle w:val="193"/>
              <w:adjustRightInd w:val="0"/>
              <w:snapToGrid w:val="0"/>
              <w:spacing w:afterLines="0" w:line="360" w:lineRule="auto"/>
              <w:ind w:firstLine="480"/>
              <w:jc w:val="left"/>
              <w:rPr>
                <w:rFonts w:cs="Times New Roman"/>
                <w:sz w:val="24"/>
                <w:szCs w:val="24"/>
              </w:rPr>
            </w:pPr>
            <w:r>
              <w:rPr>
                <w:rFonts w:cs="Times New Roman"/>
                <w:sz w:val="24"/>
                <w:szCs w:val="24"/>
              </w:rPr>
              <w:t>考虑二期开发入驻的人口和流动人口，以及有利于污水处理厂构筑物的布设管理，则</w:t>
            </w:r>
            <w:r>
              <w:rPr>
                <w:rFonts w:cs="Times New Roman"/>
                <w:b/>
                <w:bCs/>
                <w:sz w:val="24"/>
                <w:szCs w:val="24"/>
              </w:rPr>
              <w:t>首发及一期设计规模取5000m</w:t>
            </w:r>
            <w:r>
              <w:rPr>
                <w:rFonts w:cs="Times New Roman"/>
                <w:b/>
                <w:bCs/>
                <w:sz w:val="24"/>
                <w:szCs w:val="24"/>
                <w:vertAlign w:val="superscript"/>
              </w:rPr>
              <w:t>3</w:t>
            </w:r>
            <w:r>
              <w:rPr>
                <w:rFonts w:cs="Times New Roman"/>
                <w:b/>
                <w:bCs/>
                <w:sz w:val="24"/>
                <w:szCs w:val="24"/>
              </w:rPr>
              <w:t>/d</w:t>
            </w:r>
            <w:r>
              <w:rPr>
                <w:rFonts w:cs="Times New Roman"/>
                <w:sz w:val="24"/>
                <w:szCs w:val="24"/>
              </w:rPr>
              <w:t>，污水总变化系数为1.74，</w:t>
            </w:r>
            <w:r>
              <w:rPr>
                <w:rFonts w:cs="Times New Roman"/>
                <w:b/>
                <w:bCs/>
                <w:sz w:val="24"/>
                <w:szCs w:val="24"/>
              </w:rPr>
              <w:t>首发及一期、二期总设计规模取10000m</w:t>
            </w:r>
            <w:r>
              <w:rPr>
                <w:rFonts w:cs="Times New Roman"/>
                <w:b/>
                <w:bCs/>
                <w:sz w:val="24"/>
                <w:szCs w:val="24"/>
                <w:vertAlign w:val="superscript"/>
              </w:rPr>
              <w:t>3</w:t>
            </w:r>
            <w:r>
              <w:rPr>
                <w:rFonts w:cs="Times New Roman"/>
                <w:b/>
                <w:bCs/>
                <w:sz w:val="24"/>
                <w:szCs w:val="24"/>
              </w:rPr>
              <w:t>/d</w:t>
            </w:r>
            <w:r>
              <w:rPr>
                <w:rFonts w:cs="Times New Roman"/>
                <w:sz w:val="24"/>
                <w:szCs w:val="24"/>
              </w:rPr>
              <w:t>，污水总变化系数为1.58。</w:t>
            </w:r>
          </w:p>
          <w:p>
            <w:pPr>
              <w:widowControl w:val="0"/>
              <w:autoSpaceDE w:val="0"/>
              <w:autoSpaceDN w:val="0"/>
              <w:adjustRightInd w:val="0"/>
              <w:snapToGrid w:val="0"/>
              <w:spacing w:before="163" w:beforeLines="50"/>
              <w:jc w:val="left"/>
              <w:rPr>
                <w:rFonts w:eastAsia="黑体"/>
                <w:b/>
                <w:bCs/>
              </w:rPr>
            </w:pPr>
            <w:r>
              <w:rPr>
                <w:rFonts w:eastAsia="黑体"/>
                <w:b/>
                <w:bCs/>
              </w:rPr>
              <w:t>2.8</w:t>
            </w:r>
            <w:r>
              <w:rPr>
                <w:rFonts w:hint="eastAsia" w:eastAsia="黑体"/>
                <w:b/>
                <w:bCs/>
              </w:rPr>
              <w:t>主要设备及构筑物</w:t>
            </w:r>
          </w:p>
          <w:p>
            <w:pPr>
              <w:widowControl w:val="0"/>
              <w:ind w:firstLine="480" w:firstLineChars="200"/>
              <w:jc w:val="both"/>
              <w:rPr>
                <w:kern w:val="24"/>
              </w:rPr>
            </w:pPr>
            <w:r>
              <w:rPr>
                <w:kern w:val="24"/>
              </w:rPr>
              <w:t>本项目主要</w:t>
            </w:r>
            <w:r>
              <w:rPr>
                <w:rFonts w:hint="eastAsia"/>
                <w:kern w:val="24"/>
              </w:rPr>
              <w:t>建筑物</w:t>
            </w:r>
            <w:r>
              <w:rPr>
                <w:kern w:val="24"/>
              </w:rPr>
              <w:t>见下表。</w:t>
            </w:r>
          </w:p>
          <w:p>
            <w:pPr>
              <w:pStyle w:val="161"/>
              <w:numPr>
                <w:ilvl w:val="0"/>
                <w:numId w:val="5"/>
              </w:numPr>
              <w:spacing w:line="276" w:lineRule="auto"/>
              <w:ind w:firstLineChars="0"/>
              <w:jc w:val="center"/>
              <w:rPr>
                <w:rFonts w:eastAsia="黑体"/>
                <w:szCs w:val="21"/>
              </w:rPr>
            </w:pPr>
            <w:r>
              <w:rPr>
                <w:rFonts w:hint="eastAsia" w:eastAsia="黑体"/>
                <w:szCs w:val="21"/>
              </w:rPr>
              <w:t>建筑物一览表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2181"/>
              <w:gridCol w:w="1854"/>
              <w:gridCol w:w="1219"/>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18" w:type="dxa"/>
                  <w:vAlign w:val="center"/>
                </w:tcPr>
                <w:p>
                  <w:pPr>
                    <w:adjustRightInd w:val="0"/>
                    <w:snapToGrid w:val="0"/>
                    <w:jc w:val="center"/>
                    <w:rPr>
                      <w:rFonts w:ascii="Times New Roman" w:hAnsi="Times New Roman" w:cs="Times New Roman"/>
                      <w:b/>
                      <w:bCs/>
                      <w:sz w:val="21"/>
                      <w:szCs w:val="21"/>
                    </w:rPr>
                  </w:pPr>
                  <w:r>
                    <w:rPr>
                      <w:rFonts w:hint="eastAsia" w:ascii="Times New Roman" w:hAnsi="Times New Roman" w:cs="Times New Roman"/>
                      <w:b/>
                      <w:bCs/>
                      <w:sz w:val="21"/>
                      <w:szCs w:val="21"/>
                    </w:rPr>
                    <w:t>序号</w:t>
                  </w:r>
                </w:p>
              </w:tc>
              <w:tc>
                <w:tcPr>
                  <w:tcW w:w="2181" w:type="dxa"/>
                  <w:vAlign w:val="center"/>
                </w:tcPr>
                <w:p>
                  <w:pPr>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建筑物</w:t>
                  </w:r>
                </w:p>
              </w:tc>
              <w:tc>
                <w:tcPr>
                  <w:tcW w:w="1854" w:type="dxa"/>
                  <w:vAlign w:val="center"/>
                </w:tcPr>
                <w:p>
                  <w:pPr>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建筑面积</w:t>
                  </w:r>
                </w:p>
              </w:tc>
              <w:tc>
                <w:tcPr>
                  <w:tcW w:w="1219" w:type="dxa"/>
                  <w:vAlign w:val="center"/>
                </w:tcPr>
                <w:p>
                  <w:pPr>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结构形式</w:t>
                  </w:r>
                </w:p>
              </w:tc>
              <w:tc>
                <w:tcPr>
                  <w:tcW w:w="1408" w:type="dxa"/>
                  <w:vAlign w:val="center"/>
                </w:tcPr>
                <w:p>
                  <w:pPr>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18" w:type="dxa"/>
                  <w:vAlign w:val="center"/>
                </w:tcPr>
                <w:p>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1</w:t>
                  </w:r>
                </w:p>
              </w:tc>
              <w:tc>
                <w:tcPr>
                  <w:tcW w:w="2181"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综合用房</w:t>
                  </w:r>
                </w:p>
              </w:tc>
              <w:tc>
                <w:tcPr>
                  <w:tcW w:w="1854"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637.20m</w:t>
                  </w:r>
                  <w:r>
                    <w:rPr>
                      <w:rFonts w:ascii="Times New Roman" w:hAnsi="Times New Roman" w:cs="Times New Roman"/>
                      <w:sz w:val="21"/>
                      <w:szCs w:val="21"/>
                      <w:vertAlign w:val="superscript"/>
                    </w:rPr>
                    <w:t>2</w:t>
                  </w:r>
                </w:p>
              </w:tc>
              <w:tc>
                <w:tcPr>
                  <w:tcW w:w="1219"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框架</w:t>
                  </w:r>
                </w:p>
              </w:tc>
              <w:tc>
                <w:tcPr>
                  <w:tcW w:w="140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18" w:type="dxa"/>
                  <w:vAlign w:val="center"/>
                </w:tcPr>
                <w:p>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2</w:t>
                  </w:r>
                </w:p>
              </w:tc>
              <w:tc>
                <w:tcPr>
                  <w:tcW w:w="2181"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污泥脱水车间</w:t>
                  </w:r>
                </w:p>
              </w:tc>
              <w:tc>
                <w:tcPr>
                  <w:tcW w:w="1854"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739.08m</w:t>
                  </w:r>
                  <w:r>
                    <w:rPr>
                      <w:rFonts w:ascii="Times New Roman" w:hAnsi="Times New Roman" w:cs="Times New Roman"/>
                      <w:sz w:val="21"/>
                      <w:szCs w:val="21"/>
                      <w:vertAlign w:val="superscript"/>
                    </w:rPr>
                    <w:t>2</w:t>
                  </w:r>
                </w:p>
              </w:tc>
              <w:tc>
                <w:tcPr>
                  <w:tcW w:w="1219"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框架</w:t>
                  </w:r>
                </w:p>
              </w:tc>
              <w:tc>
                <w:tcPr>
                  <w:tcW w:w="140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18" w:type="dxa"/>
                  <w:vAlign w:val="center"/>
                </w:tcPr>
                <w:p>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3</w:t>
                  </w:r>
                </w:p>
              </w:tc>
              <w:tc>
                <w:tcPr>
                  <w:tcW w:w="2181"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鼓风机房/配电室</w:t>
                  </w:r>
                </w:p>
              </w:tc>
              <w:tc>
                <w:tcPr>
                  <w:tcW w:w="1854"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288.55 m</w:t>
                  </w:r>
                  <w:r>
                    <w:rPr>
                      <w:rFonts w:ascii="Times New Roman" w:hAnsi="Times New Roman" w:cs="Times New Roman"/>
                      <w:sz w:val="21"/>
                      <w:szCs w:val="21"/>
                      <w:vertAlign w:val="superscript"/>
                    </w:rPr>
                    <w:t>2</w:t>
                  </w:r>
                </w:p>
              </w:tc>
              <w:tc>
                <w:tcPr>
                  <w:tcW w:w="1219"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框架</w:t>
                  </w:r>
                </w:p>
              </w:tc>
              <w:tc>
                <w:tcPr>
                  <w:tcW w:w="140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18" w:type="dxa"/>
                  <w:vAlign w:val="center"/>
                </w:tcPr>
                <w:p>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4</w:t>
                  </w:r>
                </w:p>
              </w:tc>
              <w:tc>
                <w:tcPr>
                  <w:tcW w:w="2181"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加氯加药间</w:t>
                  </w:r>
                </w:p>
              </w:tc>
              <w:tc>
                <w:tcPr>
                  <w:tcW w:w="1854"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182.52 m</w:t>
                  </w:r>
                  <w:r>
                    <w:rPr>
                      <w:rFonts w:ascii="Times New Roman" w:hAnsi="Times New Roman" w:cs="Times New Roman"/>
                      <w:sz w:val="21"/>
                      <w:szCs w:val="21"/>
                      <w:vertAlign w:val="superscript"/>
                    </w:rPr>
                    <w:t>2</w:t>
                  </w:r>
                </w:p>
              </w:tc>
              <w:tc>
                <w:tcPr>
                  <w:tcW w:w="1219"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框架</w:t>
                  </w:r>
                </w:p>
              </w:tc>
              <w:tc>
                <w:tcPr>
                  <w:tcW w:w="140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1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2181"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在线监测室</w:t>
                  </w:r>
                </w:p>
              </w:tc>
              <w:tc>
                <w:tcPr>
                  <w:tcW w:w="1854"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47.08m</w:t>
                  </w:r>
                  <w:r>
                    <w:rPr>
                      <w:rFonts w:ascii="Times New Roman" w:hAnsi="Times New Roman" w:cs="Times New Roman"/>
                      <w:sz w:val="21"/>
                      <w:szCs w:val="21"/>
                      <w:vertAlign w:val="superscript"/>
                    </w:rPr>
                    <w:t>2</w:t>
                  </w:r>
                </w:p>
              </w:tc>
              <w:tc>
                <w:tcPr>
                  <w:tcW w:w="1219"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框架</w:t>
                  </w:r>
                </w:p>
              </w:tc>
              <w:tc>
                <w:tcPr>
                  <w:tcW w:w="140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418" w:type="dxa"/>
                  <w:vAlign w:val="center"/>
                </w:tcPr>
                <w:p>
                  <w:pPr>
                    <w:adjustRightInd w:val="0"/>
                    <w:snapToGrid w:val="0"/>
                    <w:jc w:val="center"/>
                    <w:rPr>
                      <w:rFonts w:ascii="Times New Roman" w:hAnsi="Times New Roman" w:cs="Times New Roman"/>
                      <w:sz w:val="21"/>
                      <w:szCs w:val="21"/>
                    </w:rPr>
                  </w:pPr>
                  <w:r>
                    <w:rPr>
                      <w:rFonts w:hint="eastAsia" w:ascii="Times New Roman" w:hAnsi="Times New Roman" w:cs="Times New Roman"/>
                      <w:sz w:val="21"/>
                      <w:szCs w:val="21"/>
                    </w:rPr>
                    <w:t>6</w:t>
                  </w:r>
                </w:p>
              </w:tc>
              <w:tc>
                <w:tcPr>
                  <w:tcW w:w="2181"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门卫室</w:t>
                  </w:r>
                </w:p>
              </w:tc>
              <w:tc>
                <w:tcPr>
                  <w:tcW w:w="1854"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35.15 m</w:t>
                  </w:r>
                  <w:r>
                    <w:rPr>
                      <w:rFonts w:ascii="Times New Roman" w:hAnsi="Times New Roman" w:cs="Times New Roman"/>
                      <w:sz w:val="21"/>
                      <w:szCs w:val="21"/>
                      <w:vertAlign w:val="superscript"/>
                    </w:rPr>
                    <w:t>2</w:t>
                  </w:r>
                </w:p>
              </w:tc>
              <w:tc>
                <w:tcPr>
                  <w:tcW w:w="1219"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框架</w:t>
                  </w:r>
                </w:p>
              </w:tc>
              <w:tc>
                <w:tcPr>
                  <w:tcW w:w="1408" w:type="dxa"/>
                  <w:vAlign w:val="center"/>
                </w:tcPr>
                <w:p>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r>
          </w:tbl>
          <w:p>
            <w:pPr>
              <w:pStyle w:val="161"/>
              <w:numPr>
                <w:ilvl w:val="0"/>
                <w:numId w:val="5"/>
              </w:numPr>
              <w:spacing w:line="276" w:lineRule="auto"/>
              <w:ind w:firstLineChars="0"/>
              <w:jc w:val="center"/>
              <w:rPr>
                <w:rFonts w:eastAsia="黑体"/>
              </w:rPr>
            </w:pPr>
            <w:r>
              <w:rPr>
                <w:rFonts w:hint="eastAsia" w:eastAsia="黑体"/>
              </w:rPr>
              <w:t>污水处理厂</w:t>
            </w:r>
            <w:r>
              <w:rPr>
                <w:rFonts w:eastAsia="黑体"/>
              </w:rPr>
              <w:t>主要设备一览表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296"/>
              <w:gridCol w:w="3456"/>
              <w:gridCol w:w="992"/>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70" w:type="dxa"/>
                  <w:vAlign w:val="center"/>
                </w:tcPr>
                <w:p>
                  <w:pPr>
                    <w:spacing w:line="240" w:lineRule="auto"/>
                    <w:jc w:val="center"/>
                    <w:textAlignment w:val="center"/>
                    <w:rPr>
                      <w:rFonts w:ascii="Times New Roman" w:hAnsi="Times New Roman" w:eastAsia="宋体" w:cs="Times New Roman"/>
                      <w:b/>
                      <w:bCs/>
                      <w:sz w:val="21"/>
                      <w:szCs w:val="21"/>
                    </w:rPr>
                  </w:pPr>
                  <w:r>
                    <w:rPr>
                      <w:rFonts w:ascii="Times New Roman" w:hAnsi="Times New Roman" w:eastAsia="宋体" w:cs="Times New Roman"/>
                      <w:b/>
                      <w:bCs/>
                      <w:kern w:val="0"/>
                      <w:sz w:val="21"/>
                      <w:szCs w:val="21"/>
                    </w:rPr>
                    <w:t>序号</w:t>
                  </w:r>
                </w:p>
              </w:tc>
              <w:tc>
                <w:tcPr>
                  <w:tcW w:w="1296" w:type="dxa"/>
                  <w:vAlign w:val="center"/>
                </w:tcPr>
                <w:p>
                  <w:pPr>
                    <w:spacing w:line="240" w:lineRule="auto"/>
                    <w:jc w:val="center"/>
                    <w:textAlignment w:val="center"/>
                    <w:rPr>
                      <w:rFonts w:ascii="Times New Roman" w:hAnsi="Times New Roman" w:eastAsia="宋体" w:cs="Times New Roman"/>
                      <w:b/>
                      <w:bCs/>
                      <w:sz w:val="21"/>
                      <w:szCs w:val="21"/>
                    </w:rPr>
                  </w:pPr>
                  <w:r>
                    <w:rPr>
                      <w:rFonts w:ascii="Times New Roman" w:hAnsi="Times New Roman" w:eastAsia="宋体" w:cs="Times New Roman"/>
                      <w:b/>
                      <w:bCs/>
                      <w:kern w:val="0"/>
                      <w:sz w:val="21"/>
                      <w:szCs w:val="21"/>
                    </w:rPr>
                    <w:t>名称</w:t>
                  </w:r>
                </w:p>
              </w:tc>
              <w:tc>
                <w:tcPr>
                  <w:tcW w:w="3456" w:type="dxa"/>
                  <w:vAlign w:val="center"/>
                </w:tcPr>
                <w:p>
                  <w:pPr>
                    <w:spacing w:line="240" w:lineRule="auto"/>
                    <w:jc w:val="center"/>
                    <w:textAlignment w:val="center"/>
                    <w:rPr>
                      <w:rFonts w:ascii="Times New Roman" w:hAnsi="Times New Roman" w:eastAsia="宋体" w:cs="Times New Roman"/>
                      <w:b/>
                      <w:bCs/>
                      <w:sz w:val="21"/>
                      <w:szCs w:val="21"/>
                    </w:rPr>
                  </w:pPr>
                  <w:r>
                    <w:rPr>
                      <w:rFonts w:ascii="Times New Roman" w:hAnsi="Times New Roman" w:eastAsia="宋体" w:cs="Times New Roman"/>
                      <w:b/>
                      <w:bCs/>
                      <w:kern w:val="0"/>
                      <w:sz w:val="21"/>
                      <w:szCs w:val="21"/>
                    </w:rPr>
                    <w:t>规格型号</w:t>
                  </w:r>
                </w:p>
              </w:tc>
              <w:tc>
                <w:tcPr>
                  <w:tcW w:w="992" w:type="dxa"/>
                  <w:vAlign w:val="center"/>
                </w:tcPr>
                <w:p>
                  <w:pPr>
                    <w:spacing w:line="240" w:lineRule="auto"/>
                    <w:jc w:val="center"/>
                    <w:textAlignment w:val="center"/>
                    <w:rPr>
                      <w:rFonts w:ascii="Times New Roman" w:hAnsi="Times New Roman" w:eastAsia="宋体" w:cs="Times New Roman"/>
                      <w:b/>
                      <w:bCs/>
                      <w:sz w:val="21"/>
                      <w:szCs w:val="21"/>
                    </w:rPr>
                  </w:pPr>
                  <w:r>
                    <w:rPr>
                      <w:rFonts w:ascii="Times New Roman" w:hAnsi="Times New Roman" w:eastAsia="宋体" w:cs="Times New Roman"/>
                      <w:b/>
                      <w:bCs/>
                      <w:kern w:val="0"/>
                      <w:sz w:val="21"/>
                      <w:szCs w:val="21"/>
                    </w:rPr>
                    <w:t>数量</w:t>
                  </w:r>
                </w:p>
              </w:tc>
              <w:tc>
                <w:tcPr>
                  <w:tcW w:w="1640" w:type="dxa"/>
                  <w:vAlign w:val="center"/>
                </w:tcPr>
                <w:p>
                  <w:pPr>
                    <w:spacing w:line="240" w:lineRule="auto"/>
                    <w:jc w:val="center"/>
                    <w:textAlignment w:val="center"/>
                    <w:rPr>
                      <w:rFonts w:ascii="Times New Roman" w:hAnsi="Times New Roman" w:eastAsia="宋体" w:cs="Times New Roman"/>
                      <w:b/>
                      <w:bCs/>
                      <w:sz w:val="21"/>
                      <w:szCs w:val="21"/>
                    </w:rPr>
                  </w:pPr>
                  <w:r>
                    <w:rPr>
                      <w:rFonts w:ascii="Times New Roman" w:hAnsi="Times New Roman" w:eastAsia="宋体" w:cs="Times New Roman"/>
                      <w:b/>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0" w:hRule="atLeast"/>
                <w:jc w:val="center"/>
              </w:trPr>
              <w:tc>
                <w:tcPr>
                  <w:tcW w:w="770" w:type="dxa"/>
                  <w:vAlign w:val="center"/>
                </w:tcPr>
                <w:p>
                  <w:pPr>
                    <w:spacing w:line="240" w:lineRule="auto"/>
                    <w:jc w:val="center"/>
                    <w:textAlignment w:val="center"/>
                    <w:rPr>
                      <w:rFonts w:ascii="黑体" w:hAnsi="黑体" w:eastAsia="黑体" w:cs="Times New Roman"/>
                      <w:b/>
                      <w:bCs/>
                      <w:kern w:val="0"/>
                      <w:sz w:val="21"/>
                      <w:szCs w:val="21"/>
                    </w:rPr>
                  </w:pPr>
                  <w:r>
                    <w:rPr>
                      <w:rFonts w:hint="eastAsia" w:ascii="黑体" w:hAnsi="黑体" w:eastAsia="黑体" w:cs="Times New Roman"/>
                      <w:b/>
                      <w:bCs/>
                      <w:kern w:val="0"/>
                      <w:sz w:val="21"/>
                      <w:szCs w:val="21"/>
                    </w:rPr>
                    <w:t>一</w:t>
                  </w:r>
                </w:p>
              </w:tc>
              <w:tc>
                <w:tcPr>
                  <w:tcW w:w="7384" w:type="dxa"/>
                  <w:gridSpan w:val="4"/>
                  <w:vAlign w:val="center"/>
                </w:tcPr>
                <w:p>
                  <w:pPr>
                    <w:spacing w:line="240" w:lineRule="auto"/>
                    <w:textAlignment w:val="center"/>
                    <w:rPr>
                      <w:rFonts w:ascii="黑体" w:hAnsi="黑体" w:eastAsia="黑体" w:cs="Times New Roman"/>
                      <w:b/>
                      <w:bCs/>
                      <w:kern w:val="0"/>
                      <w:sz w:val="21"/>
                      <w:szCs w:val="21"/>
                    </w:rPr>
                  </w:pPr>
                  <w:r>
                    <w:rPr>
                      <w:rFonts w:hint="eastAsia" w:ascii="黑体" w:hAnsi="黑体" w:eastAsia="黑体" w:cs="Times New Roman"/>
                      <w:b/>
                      <w:bCs/>
                      <w:kern w:val="0"/>
                      <w:sz w:val="21"/>
                      <w:szCs w:val="21"/>
                    </w:rPr>
                    <w:t>粗格栅及调节池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潜污泵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Q=210m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/h</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H =15.5m</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N=15kW</w:t>
                  </w:r>
                </w:p>
              </w:tc>
              <w:tc>
                <w:tcPr>
                  <w:tcW w:w="992" w:type="dxa"/>
                  <w:vAlign w:val="center"/>
                </w:tcPr>
                <w:p>
                  <w:pPr>
                    <w:adjustRightInd w:val="0"/>
                    <w:snapToGrid w:val="0"/>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一期3用</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二期换泵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格栅清污机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栅宽600mm，栅隙20mm，安装角度75°N=0.55kw，排渣高度1.5m，渠高7.15m</w:t>
                  </w:r>
                </w:p>
              </w:tc>
              <w:tc>
                <w:tcPr>
                  <w:tcW w:w="992" w:type="dxa"/>
                  <w:vAlign w:val="center"/>
                </w:tcPr>
                <w:p>
                  <w:pPr>
                    <w:adjustRightInd w:val="0"/>
                    <w:snapToGrid w:val="0"/>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皮带输送机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CB650，N=1.5kw，长4m 皮带宽650mm</w:t>
                  </w:r>
                </w:p>
              </w:tc>
              <w:tc>
                <w:tcPr>
                  <w:tcW w:w="992" w:type="dxa"/>
                  <w:vAlign w:val="center"/>
                </w:tcPr>
                <w:p>
                  <w:pPr>
                    <w:adjustRightInd w:val="0"/>
                    <w:snapToGrid w:val="0"/>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w:t>
                  </w:r>
                </w:p>
              </w:tc>
              <w:tc>
                <w:tcPr>
                  <w:tcW w:w="1296"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镶铜铸铁方闸门</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B×H=500mm×500mm</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 xml:space="preserve"> H=6.65m</w:t>
                  </w:r>
                </w:p>
              </w:tc>
              <w:tc>
                <w:tcPr>
                  <w:tcW w:w="992" w:type="dxa"/>
                  <w:vAlign w:val="center"/>
                </w:tcPr>
                <w:p>
                  <w:pPr>
                    <w:adjustRightInd w:val="0"/>
                    <w:snapToGrid w:val="0"/>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1296"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镶铜铸铁方闸门</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B×H=500mm×500mm</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H=6.90m</w:t>
                  </w:r>
                </w:p>
              </w:tc>
              <w:tc>
                <w:tcPr>
                  <w:tcW w:w="992" w:type="dxa"/>
                  <w:vAlign w:val="center"/>
                </w:tcPr>
                <w:p>
                  <w:pPr>
                    <w:adjustRightInd w:val="0"/>
                    <w:snapToGrid w:val="0"/>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6</w:t>
                  </w:r>
                </w:p>
              </w:tc>
              <w:tc>
                <w:tcPr>
                  <w:tcW w:w="1296"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镶铜铸铁方闸门</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B×H=1200mm×1200mm</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H=6.55m 配电动启闭机</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N=1.5KW</w:t>
                  </w:r>
                </w:p>
              </w:tc>
              <w:tc>
                <w:tcPr>
                  <w:tcW w:w="992" w:type="dxa"/>
                  <w:vAlign w:val="center"/>
                </w:tcPr>
                <w:p>
                  <w:pPr>
                    <w:adjustRightInd w:val="0"/>
                    <w:snapToGrid w:val="0"/>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7</w:t>
                  </w:r>
                </w:p>
              </w:tc>
              <w:tc>
                <w:tcPr>
                  <w:tcW w:w="1296"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镶铜铸铁圆闸门</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B×H=1200mm×1200mm</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H=6.55m 配电动启闭机</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N=1.5KW</w:t>
                  </w:r>
                </w:p>
              </w:tc>
              <w:tc>
                <w:tcPr>
                  <w:tcW w:w="992" w:type="dxa"/>
                  <w:vAlign w:val="center"/>
                </w:tcPr>
                <w:p>
                  <w:pPr>
                    <w:adjustRightInd w:val="0"/>
                    <w:snapToGrid w:val="0"/>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运渣小车</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V=0.5m</w:t>
                  </w:r>
                  <w:r>
                    <w:rPr>
                      <w:rFonts w:ascii="Times New Roman" w:hAnsi="Times New Roman" w:eastAsia="宋体" w:cs="Times New Roman"/>
                      <w:kern w:val="0"/>
                      <w:sz w:val="21"/>
                      <w:szCs w:val="21"/>
                      <w:vertAlign w:val="superscript"/>
                    </w:rPr>
                    <w:t>3</w:t>
                  </w:r>
                </w:p>
              </w:tc>
              <w:tc>
                <w:tcPr>
                  <w:tcW w:w="992" w:type="dxa"/>
                  <w:vAlign w:val="center"/>
                </w:tcPr>
                <w:p>
                  <w:pPr>
                    <w:adjustRightInd w:val="0"/>
                    <w:snapToGrid w:val="0"/>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辆</w:t>
                  </w:r>
                </w:p>
              </w:tc>
              <w:tc>
                <w:tcPr>
                  <w:tcW w:w="1640" w:type="dxa"/>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皮带输送机配套轮换使用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超声波液位计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量程：0～15m </w:t>
                  </w:r>
                </w:p>
              </w:tc>
              <w:tc>
                <w:tcPr>
                  <w:tcW w:w="992" w:type="dxa"/>
                  <w:vAlign w:val="center"/>
                </w:tcPr>
                <w:p>
                  <w:pPr>
                    <w:adjustRightInd w:val="0"/>
                    <w:snapToGrid w:val="0"/>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10</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超声波液位差计</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 xml:space="preserve">量程：0～0.5m </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H</w:t>
                  </w:r>
                  <w:r>
                    <w:rPr>
                      <w:rFonts w:ascii="Times New Roman" w:hAnsi="Times New Roman" w:eastAsia="宋体" w:cs="Times New Roman"/>
                      <w:kern w:val="0"/>
                      <w:sz w:val="21"/>
                      <w:szCs w:val="21"/>
                      <w:vertAlign w:val="subscript"/>
                    </w:rPr>
                    <w:t>2</w:t>
                  </w:r>
                  <w:r>
                    <w:rPr>
                      <w:rFonts w:ascii="Times New Roman" w:hAnsi="Times New Roman" w:eastAsia="宋体" w:cs="Times New Roman"/>
                      <w:kern w:val="0"/>
                      <w:sz w:val="21"/>
                      <w:szCs w:val="21"/>
                    </w:rPr>
                    <w:t>S检测仪</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0～50ppm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其他管阀</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防水套管、法兰盘、镀锌盖板、球阀、给水管、防腐、管件等</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批</w:t>
                  </w:r>
                </w:p>
              </w:tc>
              <w:tc>
                <w:tcPr>
                  <w:tcW w:w="1640" w:type="dxa"/>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黑体" w:hAnsi="黑体" w:eastAsia="黑体" w:cs="Times New Roman"/>
                      <w:b/>
                      <w:bCs/>
                      <w:kern w:val="0"/>
                      <w:sz w:val="21"/>
                      <w:szCs w:val="21"/>
                    </w:rPr>
                  </w:pPr>
                  <w:r>
                    <w:rPr>
                      <w:rFonts w:ascii="黑体" w:hAnsi="黑体" w:eastAsia="黑体" w:cs="Times New Roman"/>
                      <w:b/>
                      <w:bCs/>
                      <w:kern w:val="0"/>
                      <w:sz w:val="21"/>
                      <w:szCs w:val="21"/>
                    </w:rPr>
                    <w:t>二</w:t>
                  </w:r>
                </w:p>
              </w:tc>
              <w:tc>
                <w:tcPr>
                  <w:tcW w:w="7384" w:type="dxa"/>
                  <w:gridSpan w:val="4"/>
                  <w:vAlign w:val="center"/>
                </w:tcPr>
                <w:p>
                  <w:pPr>
                    <w:spacing w:line="240" w:lineRule="auto"/>
                    <w:rPr>
                      <w:rFonts w:ascii="黑体" w:hAnsi="黑体" w:eastAsia="黑体" w:cs="Times New Roman"/>
                      <w:sz w:val="21"/>
                      <w:szCs w:val="21"/>
                    </w:rPr>
                  </w:pPr>
                  <w:r>
                    <w:rPr>
                      <w:rFonts w:hint="eastAsia" w:ascii="黑体" w:hAnsi="黑体" w:eastAsia="黑体" w:cs="宋体"/>
                      <w:b/>
                      <w:bCs/>
                      <w:kern w:val="0"/>
                      <w:sz w:val="21"/>
                      <w:szCs w:val="21"/>
                    </w:rPr>
                    <w:t>细格栅及旋流沉砂池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旋转式细格栅</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b=5mm，渠宽B=1.0m，H=1.50m α=60°， N=0.75Kw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螺旋输送机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hint="eastAsia" w:ascii="MS Mincho" w:hAnsi="MS Mincho" w:eastAsia="MS Mincho" w:cs="MS Mincho"/>
                      <w:kern w:val="0"/>
                      <w:sz w:val="21"/>
                      <w:szCs w:val="21"/>
                    </w:rPr>
                    <w:t>∅</w:t>
                  </w:r>
                  <w:r>
                    <w:rPr>
                      <w:rFonts w:ascii="Times New Roman" w:hAnsi="Times New Roman" w:eastAsia="宋体" w:cs="Times New Roman"/>
                      <w:kern w:val="0"/>
                      <w:sz w:val="21"/>
                      <w:szCs w:val="21"/>
                    </w:rPr>
                    <w:t>260，L=2.5m，a=0°，N=1.1Kw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带2个受料筒，带压榨功能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螺旋式砂水分离器</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Q=5-12L/s,转速5r/min,Pe=0.37kW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配套各种附件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旋流沉砂器</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处理污水能力417m3/h，</w:t>
                  </w:r>
                  <w:r>
                    <w:rPr>
                      <w:rFonts w:hint="eastAsia" w:ascii="MS Mincho" w:hAnsi="MS Mincho" w:eastAsia="MS Mincho" w:cs="MS Mincho"/>
                      <w:kern w:val="0"/>
                      <w:sz w:val="21"/>
                      <w:szCs w:val="21"/>
                    </w:rPr>
                    <w:t>∅</w:t>
                  </w:r>
                  <w:r>
                    <w:rPr>
                      <w:rFonts w:ascii="Times New Roman" w:hAnsi="Times New Roman" w:eastAsia="宋体" w:cs="Times New Roman"/>
                      <w:kern w:val="0"/>
                      <w:sz w:val="21"/>
                      <w:szCs w:val="21"/>
                    </w:rPr>
                    <w:t>=2430mm,N=1.1kW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含提砂设备及各种附件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5</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罗茨鼓风机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Q=2.0m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/min，P=0.0392MPa，N＝2.2Kw，含：出口柔性接头、弹簧管压力表、自动卸荷式启动阀、止回阀、出口消声过滤器等</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与沉砂池配套并配隔音罩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6</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插板闸门</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BxH=1000x1000mm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带手轮启闭机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7</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插板闸门</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BxH=450x900mm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带手轮启闭机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8</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插板闸门</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BxH=450x800mm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带手轮启闭机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9</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运渣小车</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V=0.5m</w:t>
                  </w:r>
                  <w:r>
                    <w:rPr>
                      <w:rFonts w:ascii="Times New Roman" w:hAnsi="Times New Roman" w:eastAsia="宋体" w:cs="Times New Roman"/>
                      <w:kern w:val="0"/>
                      <w:sz w:val="21"/>
                      <w:szCs w:val="21"/>
                      <w:vertAlign w:val="superscript"/>
                    </w:rPr>
                    <w:t>3</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轮换使用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10</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超声波液位差计</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0~0.5m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PH/T计</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0~14PH,0~50°C</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固体悬浮物浓度计</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0~300mg/L</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电磁流量计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DN350 含485接口MODBUS协议</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个</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14</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电磁流量计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DN500 含485接口MODBUS协议</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个</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15</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其他管阀</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防水套管、法兰盘、镀锌盖板、球阀、给水管、防腐、管件、预埋件等</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个</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黑体" w:hAnsi="黑体" w:eastAsia="黑体" w:cs="Times New Roman"/>
                      <w:kern w:val="0"/>
                      <w:sz w:val="21"/>
                      <w:szCs w:val="21"/>
                    </w:rPr>
                  </w:pPr>
                  <w:r>
                    <w:rPr>
                      <w:rFonts w:ascii="黑体" w:hAnsi="黑体" w:eastAsia="黑体" w:cs="Times New Roman"/>
                      <w:kern w:val="0"/>
                      <w:sz w:val="21"/>
                      <w:szCs w:val="21"/>
                    </w:rPr>
                    <w:t>三</w:t>
                  </w:r>
                </w:p>
              </w:tc>
              <w:tc>
                <w:tcPr>
                  <w:tcW w:w="7384" w:type="dxa"/>
                  <w:gridSpan w:val="4"/>
                  <w:vAlign w:val="center"/>
                </w:tcPr>
                <w:p>
                  <w:pPr>
                    <w:spacing w:line="240" w:lineRule="auto"/>
                    <w:textAlignment w:val="center"/>
                    <w:rPr>
                      <w:rFonts w:ascii="黑体" w:hAnsi="黑体" w:eastAsia="黑体" w:cs="Times New Roman"/>
                      <w:sz w:val="21"/>
                      <w:szCs w:val="21"/>
                    </w:rPr>
                  </w:pPr>
                  <w:r>
                    <w:rPr>
                      <w:rFonts w:hint="eastAsia" w:ascii="黑体" w:hAnsi="黑体" w:eastAsia="黑体" w:cs="宋体"/>
                      <w:kern w:val="0"/>
                      <w:sz w:val="21"/>
                      <w:szCs w:val="21"/>
                    </w:rPr>
                    <w:t>一期AAO生化池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厌氧池潜水搅拌机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hint="eastAsia" w:ascii="MS Mincho" w:hAnsi="MS Mincho" w:eastAsia="MS Mincho" w:cs="MS Mincho"/>
                      <w:kern w:val="0"/>
                      <w:sz w:val="21"/>
                      <w:szCs w:val="21"/>
                    </w:rPr>
                    <w:t>∅</w:t>
                  </w:r>
                  <w:r>
                    <w:rPr>
                      <w:rFonts w:ascii="Times New Roman" w:hAnsi="Times New Roman" w:eastAsia="宋体" w:cs="Times New Roman"/>
                      <w:kern w:val="0"/>
                      <w:sz w:val="21"/>
                      <w:szCs w:val="21"/>
                    </w:rPr>
                    <w:t>710,转速264r/min，Pe=2.0kW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2用1冷备，自带电控柜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缺氧池潜水推流器</w:t>
                  </w:r>
                </w:p>
              </w:tc>
              <w:tc>
                <w:tcPr>
                  <w:tcW w:w="3456" w:type="dxa"/>
                  <w:vAlign w:val="center"/>
                </w:tcPr>
                <w:p>
                  <w:pPr>
                    <w:spacing w:line="240" w:lineRule="auto"/>
                    <w:textAlignment w:val="center"/>
                    <w:rPr>
                      <w:rFonts w:ascii="Times New Roman" w:hAnsi="Times New Roman" w:eastAsia="宋体" w:cs="Times New Roman"/>
                      <w:sz w:val="21"/>
                      <w:szCs w:val="21"/>
                    </w:rPr>
                  </w:pPr>
                  <w:r>
                    <w:rPr>
                      <w:rFonts w:hint="eastAsia" w:ascii="MS Mincho" w:hAnsi="MS Mincho" w:eastAsia="MS Mincho" w:cs="MS Mincho"/>
                      <w:kern w:val="0"/>
                      <w:sz w:val="21"/>
                      <w:szCs w:val="21"/>
                    </w:rPr>
                    <w:t>∅</w:t>
                  </w:r>
                  <w:r>
                    <w:rPr>
                      <w:rFonts w:ascii="Times New Roman" w:hAnsi="Times New Roman" w:eastAsia="宋体" w:cs="Times New Roman"/>
                      <w:kern w:val="0"/>
                      <w:sz w:val="21"/>
                      <w:szCs w:val="21"/>
                    </w:rPr>
                    <w:t>2300,Pe=4.0kW，转速43r/min</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5</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4用1冷备，自带电控柜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内回流泵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Q=160m3/h, H=0.7m,N=1.5kW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5</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4用1冷备，带变频，自带电控柜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管式微孔曝气器</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Q=5.0m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/h，L=1000mm 膜片EPDM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368</w:t>
                  </w:r>
                  <w:r>
                    <w:rPr>
                      <w:rFonts w:hint="eastAsia" w:ascii="Times New Roman" w:hAnsi="Times New Roman" w:eastAsia="宋体" w:cs="Times New Roman"/>
                      <w:kern w:val="0"/>
                      <w:sz w:val="21"/>
                      <w:szCs w:val="21"/>
                    </w:rPr>
                    <w:t>根</w:t>
                  </w:r>
                </w:p>
              </w:tc>
              <w:tc>
                <w:tcPr>
                  <w:tcW w:w="1640" w:type="dxa"/>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5</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MBBR填料</w:t>
                  </w:r>
                </w:p>
              </w:tc>
              <w:tc>
                <w:tcPr>
                  <w:tcW w:w="3456" w:type="dxa"/>
                  <w:vAlign w:val="center"/>
                </w:tcPr>
                <w:p>
                  <w:pPr>
                    <w:spacing w:line="240" w:lineRule="auto"/>
                    <w:rPr>
                      <w:rFonts w:ascii="Times New Roman" w:hAnsi="Times New Roman" w:eastAsia="宋体" w:cs="Times New Roman"/>
                      <w:sz w:val="21"/>
                      <w:szCs w:val="21"/>
                    </w:rPr>
                  </w:pP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970</w:t>
                  </w:r>
                  <w:r>
                    <w:rPr>
                      <w:rFonts w:hint="eastAsia" w:ascii="Times New Roman" w:hAnsi="Times New Roman" w:eastAsia="宋体" w:cs="Times New Roman"/>
                      <w:kern w:val="0"/>
                      <w:sz w:val="21"/>
                      <w:szCs w:val="21"/>
                    </w:rPr>
                    <w:t>立方米</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用于好氧池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6</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在线溶解氧分析仪</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测量范围0-20000ppm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7</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在线污泥浓度分析仪</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测量范围0.1-20000ppm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8</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在线氨氮/硝氮分析仪</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测量范围0.01-100ppm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9</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在线ORP析仪</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测量范围-1000-1000mV</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10</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PH/T计</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0~14PH,0~50°C</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sz w:val="21"/>
                      <w:szCs w:val="21"/>
                    </w:rPr>
                    <w:t>电磁流量计</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sz w:val="21"/>
                      <w:szCs w:val="21"/>
                    </w:rPr>
                    <w:t>DN300</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黑体" w:hAnsi="黑体" w:eastAsia="黑体" w:cs="Times New Roman"/>
                      <w:b/>
                      <w:bCs/>
                      <w:kern w:val="0"/>
                      <w:sz w:val="21"/>
                      <w:szCs w:val="21"/>
                    </w:rPr>
                  </w:pPr>
                  <w:r>
                    <w:rPr>
                      <w:rFonts w:hint="eastAsia" w:ascii="黑体" w:hAnsi="黑体" w:eastAsia="黑体" w:cs="Times New Roman"/>
                      <w:b/>
                      <w:bCs/>
                      <w:kern w:val="0"/>
                      <w:sz w:val="21"/>
                      <w:szCs w:val="21"/>
                    </w:rPr>
                    <w:t>四</w:t>
                  </w:r>
                </w:p>
              </w:tc>
              <w:tc>
                <w:tcPr>
                  <w:tcW w:w="7384" w:type="dxa"/>
                  <w:gridSpan w:val="4"/>
                  <w:vAlign w:val="center"/>
                </w:tcPr>
                <w:p>
                  <w:pPr>
                    <w:spacing w:line="240" w:lineRule="auto"/>
                    <w:rPr>
                      <w:rFonts w:ascii="黑体" w:hAnsi="黑体" w:eastAsia="黑体" w:cs="Times New Roman"/>
                      <w:b/>
                      <w:bCs/>
                      <w:sz w:val="21"/>
                      <w:szCs w:val="21"/>
                    </w:rPr>
                  </w:pPr>
                  <w:r>
                    <w:rPr>
                      <w:rFonts w:hint="eastAsia" w:ascii="黑体" w:hAnsi="黑体" w:eastAsia="黑体" w:cs="Times New Roman"/>
                      <w:b/>
                      <w:bCs/>
                      <w:sz w:val="21"/>
                      <w:szCs w:val="21"/>
                    </w:rPr>
                    <w:t>一期二沉池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周边传动单管刮泥机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hint="eastAsia" w:ascii="MS Mincho" w:hAnsi="MS Mincho" w:eastAsia="MS Mincho" w:cs="MS Mincho"/>
                      <w:kern w:val="0"/>
                      <w:sz w:val="21"/>
                      <w:szCs w:val="21"/>
                    </w:rPr>
                    <w:t>∅</w:t>
                  </w:r>
                  <w:r>
                    <w:rPr>
                      <w:rFonts w:ascii="Times New Roman" w:hAnsi="Times New Roman" w:eastAsia="宋体" w:cs="Times New Roman"/>
                      <w:kern w:val="0"/>
                      <w:sz w:val="21"/>
                      <w:szCs w:val="21"/>
                    </w:rPr>
                    <w:t>14m,P=1.5kW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Merge w:val="restart"/>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设备成套供应，其中工作桥碳钢防腐,设备自带控制柜。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出水堰</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H=250  L=2868  δ=4</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34</w:t>
                  </w:r>
                  <w:r>
                    <w:rPr>
                      <w:rFonts w:hint="eastAsia" w:ascii="Times New Roman" w:hAnsi="Times New Roman" w:eastAsia="宋体" w:cs="Times New Roman"/>
                      <w:kern w:val="0"/>
                      <w:sz w:val="21"/>
                      <w:szCs w:val="21"/>
                    </w:rPr>
                    <w:t>个</w:t>
                  </w:r>
                </w:p>
              </w:tc>
              <w:tc>
                <w:tcPr>
                  <w:tcW w:w="1640" w:type="dxa"/>
                  <w:vMerge w:val="continue"/>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浮渣挡板</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3160X300,δ=3</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30</w:t>
                  </w:r>
                  <w:r>
                    <w:rPr>
                      <w:rFonts w:hint="eastAsia" w:ascii="Times New Roman" w:hAnsi="Times New Roman" w:eastAsia="宋体" w:cs="Times New Roman"/>
                      <w:kern w:val="0"/>
                      <w:sz w:val="21"/>
                      <w:szCs w:val="21"/>
                    </w:rPr>
                    <w:t>个</w:t>
                  </w:r>
                </w:p>
              </w:tc>
              <w:tc>
                <w:tcPr>
                  <w:tcW w:w="1640" w:type="dxa"/>
                  <w:vMerge w:val="continue"/>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浮渣斗</w:t>
                  </w:r>
                </w:p>
              </w:tc>
              <w:tc>
                <w:tcPr>
                  <w:tcW w:w="3456" w:type="dxa"/>
                  <w:vAlign w:val="center"/>
                </w:tcPr>
                <w:p>
                  <w:pPr>
                    <w:spacing w:line="240" w:lineRule="auto"/>
                    <w:rPr>
                      <w:rFonts w:ascii="Times New Roman" w:hAnsi="Times New Roman" w:eastAsia="宋体" w:cs="Times New Roman"/>
                      <w:sz w:val="21"/>
                      <w:szCs w:val="21"/>
                    </w:rPr>
                  </w:pP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个</w:t>
                  </w:r>
                </w:p>
              </w:tc>
              <w:tc>
                <w:tcPr>
                  <w:tcW w:w="1640" w:type="dxa"/>
                  <w:vMerge w:val="continue"/>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5</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稳流筒</w:t>
                  </w:r>
                </w:p>
              </w:tc>
              <w:tc>
                <w:tcPr>
                  <w:tcW w:w="3456" w:type="dxa"/>
                  <w:vAlign w:val="center"/>
                </w:tcPr>
                <w:p>
                  <w:pPr>
                    <w:spacing w:line="240" w:lineRule="auto"/>
                    <w:rPr>
                      <w:rFonts w:ascii="Times New Roman" w:hAnsi="Times New Roman" w:eastAsia="宋体" w:cs="Times New Roman"/>
                      <w:sz w:val="21"/>
                      <w:szCs w:val="21"/>
                    </w:rPr>
                  </w:pP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个</w:t>
                  </w:r>
                </w:p>
              </w:tc>
              <w:tc>
                <w:tcPr>
                  <w:tcW w:w="1640" w:type="dxa"/>
                  <w:vMerge w:val="continue"/>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6</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工作桥</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固定式半桥</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Merge w:val="continue"/>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7</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渣桶</w:t>
                  </w:r>
                </w:p>
              </w:tc>
              <w:tc>
                <w:tcPr>
                  <w:tcW w:w="3456" w:type="dxa"/>
                  <w:vAlign w:val="center"/>
                </w:tcPr>
                <w:p>
                  <w:pPr>
                    <w:spacing w:line="240" w:lineRule="auto"/>
                    <w:textAlignment w:val="center"/>
                    <w:rPr>
                      <w:rFonts w:ascii="Times New Roman" w:hAnsi="Times New Roman" w:eastAsia="宋体" w:cs="Times New Roman"/>
                      <w:sz w:val="21"/>
                      <w:szCs w:val="21"/>
                    </w:rPr>
                  </w:pPr>
                  <w:r>
                    <w:rPr>
                      <w:rFonts w:hint="eastAsia" w:ascii="MS Mincho" w:hAnsi="MS Mincho" w:eastAsia="MS Mincho" w:cs="MS Mincho"/>
                      <w:kern w:val="0"/>
                      <w:sz w:val="21"/>
                      <w:szCs w:val="21"/>
                    </w:rPr>
                    <w:t>∅</w:t>
                  </w:r>
                  <w:r>
                    <w:rPr>
                      <w:rFonts w:ascii="Times New Roman" w:hAnsi="Times New Roman" w:eastAsia="宋体" w:cs="Times New Roman"/>
                      <w:kern w:val="0"/>
                      <w:sz w:val="21"/>
                      <w:szCs w:val="21"/>
                    </w:rPr>
                    <w:t>700x650,δ =3</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个</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轮换使用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8</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其他管阀</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 xml:space="preserve">防水套管、法兰盘、防腐、管件、预埋件等 </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批</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黑体" w:hAnsi="黑体" w:eastAsia="黑体" w:cs="Times New Roman"/>
                      <w:b/>
                      <w:bCs/>
                      <w:kern w:val="0"/>
                      <w:sz w:val="21"/>
                      <w:szCs w:val="21"/>
                    </w:rPr>
                  </w:pPr>
                  <w:r>
                    <w:rPr>
                      <w:rFonts w:ascii="黑体" w:hAnsi="黑体" w:eastAsia="黑体" w:cs="Times New Roman"/>
                      <w:b/>
                      <w:bCs/>
                      <w:kern w:val="0"/>
                      <w:sz w:val="21"/>
                      <w:szCs w:val="21"/>
                    </w:rPr>
                    <w:t>五</w:t>
                  </w:r>
                </w:p>
              </w:tc>
              <w:tc>
                <w:tcPr>
                  <w:tcW w:w="7384" w:type="dxa"/>
                  <w:gridSpan w:val="4"/>
                  <w:vAlign w:val="center"/>
                </w:tcPr>
                <w:p>
                  <w:pPr>
                    <w:spacing w:line="240" w:lineRule="auto"/>
                    <w:rPr>
                      <w:rFonts w:ascii="黑体" w:hAnsi="黑体" w:eastAsia="黑体" w:cs="Times New Roman"/>
                      <w:sz w:val="21"/>
                      <w:szCs w:val="21"/>
                    </w:rPr>
                  </w:pPr>
                  <w:r>
                    <w:rPr>
                      <w:rFonts w:ascii="黑体" w:hAnsi="黑体" w:eastAsia="黑体" w:cs="Times New Roman"/>
                      <w:b/>
                      <w:bCs/>
                      <w:kern w:val="0"/>
                      <w:sz w:val="21"/>
                      <w:szCs w:val="21"/>
                    </w:rPr>
                    <w:t>一期污泥泵池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潜污泵（污泥回流泵）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Q=210m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/h H=7m N=15kW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两用一备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潜污泵（污泥剩余泵）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Q=12.5m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/h H=18m N=2.2kW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电磁流量计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DN100</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个</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其他管阀</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 xml:space="preserve">防水套管、法兰盘、防腐、管件、预埋件等 </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个</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黑体" w:hAnsi="黑体" w:eastAsia="黑体" w:cs="Times New Roman"/>
                      <w:b/>
                      <w:bCs/>
                      <w:kern w:val="0"/>
                      <w:sz w:val="21"/>
                      <w:szCs w:val="21"/>
                    </w:rPr>
                  </w:pPr>
                  <w:r>
                    <w:rPr>
                      <w:rFonts w:hint="eastAsia" w:ascii="黑体" w:hAnsi="黑体" w:eastAsia="黑体" w:cs="Times New Roman"/>
                      <w:b/>
                      <w:bCs/>
                      <w:kern w:val="0"/>
                      <w:sz w:val="21"/>
                      <w:szCs w:val="21"/>
                    </w:rPr>
                    <w:t>六</w:t>
                  </w:r>
                </w:p>
              </w:tc>
              <w:tc>
                <w:tcPr>
                  <w:tcW w:w="7384" w:type="dxa"/>
                  <w:gridSpan w:val="4"/>
                  <w:vAlign w:val="center"/>
                </w:tcPr>
                <w:p>
                  <w:pPr>
                    <w:spacing w:line="240" w:lineRule="auto"/>
                    <w:rPr>
                      <w:rFonts w:ascii="黑体" w:hAnsi="黑体" w:eastAsia="黑体" w:cs="Times New Roman"/>
                      <w:b/>
                      <w:bCs/>
                      <w:sz w:val="21"/>
                      <w:szCs w:val="21"/>
                    </w:rPr>
                  </w:pPr>
                  <w:r>
                    <w:rPr>
                      <w:rFonts w:hint="eastAsia" w:ascii="黑体" w:hAnsi="黑体" w:eastAsia="黑体" w:cs="宋体"/>
                      <w:b/>
                      <w:bCs/>
                      <w:kern w:val="0"/>
                      <w:sz w:val="21"/>
                      <w:szCs w:val="21"/>
                    </w:rPr>
                    <w:t>一期高效沉淀池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混合搅拌机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Pe=3kW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絮凝搅拌机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Pe=5.5kW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污泥螺杆泵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Q=8m3/h  H=20m Pe=5.5kW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6</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浓缩刮泥机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刮臂直径6m，Pe=0.75kW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5</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撇渣启闭机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Pe=0.55kW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6</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絮凝反应装置</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D=1000mm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7</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集水槽</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2.50mx0.2mx0.50m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12</w:t>
                  </w:r>
                  <w:r>
                    <w:rPr>
                      <w:rFonts w:hint="eastAsia" w:ascii="Times New Roman" w:hAnsi="Times New Roman" w:eastAsia="宋体" w:cs="Times New Roman"/>
                      <w:kern w:val="0"/>
                      <w:sz w:val="21"/>
                      <w:szCs w:val="21"/>
                    </w:rPr>
                    <w:t>副</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8</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贴壁闸门</w:t>
                  </w:r>
                </w:p>
              </w:tc>
              <w:tc>
                <w:tcPr>
                  <w:tcW w:w="3456" w:type="dxa"/>
                  <w:vAlign w:val="center"/>
                </w:tcPr>
                <w:p>
                  <w:pPr>
                    <w:spacing w:line="240" w:lineRule="auto"/>
                    <w:textAlignment w:val="center"/>
                    <w:rPr>
                      <w:rFonts w:ascii="Times New Roman" w:hAnsi="Times New Roman" w:eastAsia="宋体" w:cs="Times New Roman"/>
                      <w:sz w:val="21"/>
                      <w:szCs w:val="21"/>
                    </w:rPr>
                  </w:pPr>
                  <w:r>
                    <w:rPr>
                      <w:rFonts w:hint="eastAsia" w:ascii="MS Mincho" w:hAnsi="MS Mincho" w:eastAsia="MS Mincho" w:cs="MS Mincho"/>
                      <w:kern w:val="0"/>
                      <w:sz w:val="21"/>
                      <w:szCs w:val="21"/>
                    </w:rPr>
                    <w:t>∅</w:t>
                  </w:r>
                  <w:r>
                    <w:rPr>
                      <w:rFonts w:ascii="Times New Roman" w:hAnsi="Times New Roman" w:eastAsia="宋体" w:cs="Times New Roman"/>
                      <w:kern w:val="0"/>
                      <w:sz w:val="21"/>
                      <w:szCs w:val="21"/>
                    </w:rPr>
                    <w:t>300mm，池顶距闸孔中心1.35m，Pe=1.1kW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带手电两用动启闭机，自带就地控制按钮箱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9</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水下图像采集装置</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相机像素：200万</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防护等级：IP68</w:t>
                  </w:r>
                </w:p>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带供电模块，现场弱电箱及安装支架</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10</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智慧集成控制柜</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包含搭载核心智能算法服务器、数据传输模块、数据通信模块以及触摸工控屏</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进水流量计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DN350,测量范围：0-500m3/h；</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测量精度：±0.5%</w:t>
                  </w:r>
                </w:p>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含现场仪表柜。</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进水pH/T计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pH测量范围0.00~14.00；</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温度测量范围0-100℃</w:t>
                  </w:r>
                </w:p>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含现场仪表柜。</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13</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进水电导率计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哈希、E+H等优质品牌</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检测范围0~2000 mS/cm；</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测量精度：±1%</w:t>
                  </w:r>
                </w:p>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含现场仪表柜。</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14</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进水TP在线分析仪</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哈希、E+H等优质品牌</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测量范围0.05~10.00 mg/L；</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测量精度：±0.5%</w:t>
                  </w:r>
                </w:p>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含现场仪表柜。</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进水悬浮物在线分析仪</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哈希、E+H等优质品牌</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测量范围0~50mg/L；</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测量精度：±1%</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含现场仪表柜。</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16</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出水悬浮物在线分析仪</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哈希、E+H等优质品牌</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测量范围0~50mg/L；</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测量精度：±1%</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含现场仪表柜。</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17</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PAM加药管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de32</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18</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PAC加药管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de25</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19</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管件等</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防水套管、法兰盘、镀锌盖板、球阀、给水管、防腐、管件、预埋件等</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批</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黑体" w:hAnsi="黑体" w:eastAsia="黑体" w:cs="Times New Roman"/>
                      <w:kern w:val="0"/>
                      <w:sz w:val="21"/>
                      <w:szCs w:val="21"/>
                    </w:rPr>
                  </w:pPr>
                  <w:r>
                    <w:rPr>
                      <w:rFonts w:ascii="黑体" w:hAnsi="黑体" w:eastAsia="黑体" w:cs="Times New Roman"/>
                      <w:kern w:val="0"/>
                      <w:sz w:val="21"/>
                      <w:szCs w:val="21"/>
                    </w:rPr>
                    <w:t>七</w:t>
                  </w:r>
                </w:p>
              </w:tc>
              <w:tc>
                <w:tcPr>
                  <w:tcW w:w="7384" w:type="dxa"/>
                  <w:gridSpan w:val="4"/>
                  <w:vAlign w:val="center"/>
                </w:tcPr>
                <w:p>
                  <w:pPr>
                    <w:spacing w:line="240" w:lineRule="auto"/>
                    <w:textAlignment w:val="center"/>
                    <w:rPr>
                      <w:rFonts w:ascii="黑体" w:hAnsi="黑体" w:eastAsia="黑体" w:cs="Times New Roman"/>
                      <w:kern w:val="0"/>
                      <w:sz w:val="21"/>
                      <w:szCs w:val="21"/>
                    </w:rPr>
                  </w:pPr>
                  <w:r>
                    <w:rPr>
                      <w:rFonts w:hint="eastAsia" w:ascii="黑体" w:hAnsi="黑体" w:eastAsia="黑体" w:cs="宋体"/>
                      <w:kern w:val="0"/>
                      <w:sz w:val="21"/>
                      <w:szCs w:val="21"/>
                    </w:rPr>
                    <w:t>在线监测室及接触消毒池、计量渠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COD在线分析仪</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环境温度+5～40摄氏度</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NH</w:t>
                  </w:r>
                  <w:r>
                    <w:rPr>
                      <w:rFonts w:ascii="Times New Roman" w:hAnsi="Times New Roman" w:eastAsia="宋体" w:cs="Times New Roman"/>
                      <w:kern w:val="0"/>
                      <w:sz w:val="21"/>
                      <w:szCs w:val="21"/>
                      <w:vertAlign w:val="subscript"/>
                    </w:rPr>
                    <w:t>3</w:t>
                  </w:r>
                  <w:r>
                    <w:rPr>
                      <w:rFonts w:ascii="Times New Roman" w:hAnsi="Times New Roman" w:eastAsia="宋体" w:cs="Times New Roman"/>
                      <w:kern w:val="0"/>
                      <w:sz w:val="21"/>
                      <w:szCs w:val="21"/>
                    </w:rPr>
                    <w:t>-N在线分析仪</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环境温度+5～40摄氏度</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TN在线分析仪</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环境温度+5～40摄氏度</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TP在线分析仪</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环境温度+5～40摄氏度</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5</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明渠流量计</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Q=Q=12～2268m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/h</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6</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回流泵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Q=10m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/h  H =19m  N=1.5kW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一用一冷备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配套其他管阀</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防水套管、取样管、管件等</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黑体" w:hAnsi="黑体" w:eastAsia="黑体" w:cs="Times New Roman"/>
                      <w:b/>
                      <w:bCs/>
                      <w:kern w:val="0"/>
                      <w:sz w:val="21"/>
                      <w:szCs w:val="21"/>
                    </w:rPr>
                  </w:pPr>
                  <w:r>
                    <w:rPr>
                      <w:rFonts w:ascii="黑体" w:hAnsi="黑体" w:eastAsia="黑体" w:cs="Times New Roman"/>
                      <w:b/>
                      <w:bCs/>
                      <w:kern w:val="0"/>
                      <w:sz w:val="21"/>
                      <w:szCs w:val="21"/>
                    </w:rPr>
                    <w:t>八</w:t>
                  </w:r>
                </w:p>
              </w:tc>
              <w:tc>
                <w:tcPr>
                  <w:tcW w:w="7384" w:type="dxa"/>
                  <w:gridSpan w:val="4"/>
                  <w:vAlign w:val="center"/>
                </w:tcPr>
                <w:p>
                  <w:pPr>
                    <w:spacing w:line="240" w:lineRule="auto"/>
                    <w:textAlignment w:val="center"/>
                    <w:rPr>
                      <w:rFonts w:ascii="黑体" w:hAnsi="黑体" w:eastAsia="黑体" w:cs="Times New Roman"/>
                      <w:b/>
                      <w:bCs/>
                      <w:kern w:val="0"/>
                      <w:sz w:val="21"/>
                      <w:szCs w:val="21"/>
                    </w:rPr>
                  </w:pPr>
                  <w:r>
                    <w:rPr>
                      <w:rFonts w:hint="eastAsia" w:ascii="黑体" w:hAnsi="黑体" w:eastAsia="黑体" w:cs="Times New Roman"/>
                      <w:b/>
                      <w:bCs/>
                      <w:kern w:val="0"/>
                      <w:sz w:val="21"/>
                      <w:szCs w:val="21"/>
                    </w:rPr>
                    <w:t>污泥储池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双曲面搅拌机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叶轮直径1000，30rpm，N=3kW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手动阀门</w:t>
                  </w:r>
                </w:p>
              </w:tc>
              <w:tc>
                <w:tcPr>
                  <w:tcW w:w="3456" w:type="dxa"/>
                  <w:vAlign w:val="center"/>
                </w:tcPr>
                <w:p>
                  <w:pPr>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DN150 PN1.0MPa</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个</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黑体" w:hAnsi="黑体" w:eastAsia="黑体" w:cs="Times New Roman"/>
                      <w:b/>
                      <w:bCs/>
                      <w:kern w:val="0"/>
                      <w:sz w:val="21"/>
                      <w:szCs w:val="21"/>
                    </w:rPr>
                  </w:pPr>
                  <w:r>
                    <w:rPr>
                      <w:rFonts w:ascii="黑体" w:hAnsi="黑体" w:eastAsia="黑体" w:cs="Times New Roman"/>
                      <w:b/>
                      <w:bCs/>
                      <w:kern w:val="0"/>
                      <w:sz w:val="21"/>
                      <w:szCs w:val="21"/>
                    </w:rPr>
                    <w:t>九</w:t>
                  </w:r>
                </w:p>
              </w:tc>
              <w:tc>
                <w:tcPr>
                  <w:tcW w:w="7384" w:type="dxa"/>
                  <w:gridSpan w:val="4"/>
                  <w:vAlign w:val="center"/>
                </w:tcPr>
                <w:p>
                  <w:pPr>
                    <w:spacing w:line="240" w:lineRule="auto"/>
                    <w:rPr>
                      <w:rFonts w:ascii="黑体" w:hAnsi="黑体" w:eastAsia="黑体" w:cs="Times New Roman"/>
                      <w:b/>
                      <w:bCs/>
                      <w:sz w:val="21"/>
                      <w:szCs w:val="21"/>
                    </w:rPr>
                  </w:pPr>
                  <w:r>
                    <w:rPr>
                      <w:rFonts w:hint="eastAsia" w:ascii="黑体" w:hAnsi="黑体" w:eastAsia="黑体" w:cs="Times New Roman"/>
                      <w:b/>
                      <w:bCs/>
                      <w:kern w:val="0"/>
                      <w:sz w:val="21"/>
                      <w:szCs w:val="21"/>
                    </w:rPr>
                    <w:t>加氯加药间及调节池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潜污泵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Q=210m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/h  H =17.5m  N=18.5kW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1期1用2备,2期换泵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反应搅拌机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D=1.0，H=0.7kw，N=0.18KW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机械隔膜计量泵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sz w:val="21"/>
                      <w:szCs w:val="21"/>
                    </w:rPr>
                    <w:t>Q=80L/h ,H=0.8MPa,N=0.25KW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1期2用1冷备,投加PAC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机械隔膜计量泵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Q=176L/h ,H=0.3MPa,N=0.37KW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2期1用1冷备,投加PAC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5</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机械隔膜计量泵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Q=265L/h ,H=0.3MPa,N=0.55KW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1期2用1冷备,投加PAM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机械隔膜计量泵</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Q=530L/h ,H=0.3MPar,N=0.55KW</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2期1用1冷备,投加PAM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轴流风机</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D=325mm Q=2273m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/h</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P=74Pa</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 xml:space="preserve">N=0.09KW </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8</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磷酸铵盐干粉灭火器</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MF/ABC4</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9</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次氯酸钠发生器</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Q=2kg/h,N=11kw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1期1用1备</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2期2用1备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10</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溶盐罐</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1000kg,带进口阀及沙滤层</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1期1套</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2期2套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 xml:space="preserve">软水制冷加热一体机 </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Q=300L/h</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N=6KW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1期2套</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2期3套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次氯酸钠储罐</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V=2m</w:t>
                  </w:r>
                  <w:r>
                    <w:rPr>
                      <w:rFonts w:ascii="Times New Roman" w:hAnsi="Times New Roman" w:eastAsia="宋体" w:cs="Times New Roman"/>
                      <w:kern w:val="0"/>
                      <w:sz w:val="21"/>
                      <w:szCs w:val="21"/>
                      <w:vertAlign w:val="superscript"/>
                    </w:rPr>
                    <w:t>3</w:t>
                  </w:r>
                  <w:r>
                    <w:rPr>
                      <w:rFonts w:hint="eastAsia" w:ascii="Times New Roman" w:hAnsi="Times New Roman" w:eastAsia="宋体" w:cs="Times New Roman"/>
                      <w:kern w:val="0"/>
                      <w:sz w:val="21"/>
                      <w:szCs w:val="21"/>
                    </w:rPr>
                    <w:t>，有效容积1</w:t>
                  </w:r>
                  <w:r>
                    <w:rPr>
                      <w:rFonts w:ascii="Times New Roman" w:hAnsi="Times New Roman" w:eastAsia="宋体" w:cs="Times New Roman"/>
                      <w:kern w:val="0"/>
                      <w:sz w:val="21"/>
                      <w:szCs w:val="21"/>
                    </w:rPr>
                    <w:t>.5 m</w:t>
                  </w:r>
                  <w:r>
                    <w:rPr>
                      <w:rFonts w:ascii="Times New Roman" w:hAnsi="Times New Roman" w:eastAsia="宋体" w:cs="Times New Roman"/>
                      <w:kern w:val="0"/>
                      <w:sz w:val="21"/>
                      <w:szCs w:val="21"/>
                      <w:vertAlign w:val="superscript"/>
                    </w:rPr>
                    <w:t>3</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1期2套</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2期3套</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2用1备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13</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投加数字计量泵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 xml:space="preserve">Q=265L/h,P=03MPa,N=0.55kw     </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1期2用1备，投加次氯酸钠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14</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投加数字计量泵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 xml:space="preserve">Q=530L/h ,H=0.3MPar,N=0.55KW    </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2期1用1备，投加次氯酸钠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碳源稀释设备</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V=1.5m3，配套搅拌机1.5kw</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1期1套</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2期2套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16</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碳源投加计量泵</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Q=80L/h ,H=0.8MPa,N=0.25KW</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1用1备，2期2用2备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17</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超声波液位计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量程：0～15m </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计入自控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黑体" w:hAnsi="黑体" w:eastAsia="黑体" w:cs="Times New Roman"/>
                      <w:b/>
                      <w:bCs/>
                      <w:kern w:val="0"/>
                      <w:sz w:val="21"/>
                      <w:szCs w:val="21"/>
                    </w:rPr>
                  </w:pPr>
                  <w:r>
                    <w:rPr>
                      <w:rFonts w:ascii="黑体" w:hAnsi="黑体" w:eastAsia="黑体" w:cs="Times New Roman"/>
                      <w:b/>
                      <w:bCs/>
                      <w:kern w:val="0"/>
                      <w:sz w:val="21"/>
                      <w:szCs w:val="21"/>
                    </w:rPr>
                    <w:t>十</w:t>
                  </w:r>
                </w:p>
              </w:tc>
              <w:tc>
                <w:tcPr>
                  <w:tcW w:w="7384" w:type="dxa"/>
                  <w:gridSpan w:val="4"/>
                  <w:vAlign w:val="center"/>
                </w:tcPr>
                <w:p>
                  <w:pPr>
                    <w:spacing w:line="240" w:lineRule="auto"/>
                    <w:textAlignment w:val="center"/>
                    <w:rPr>
                      <w:rFonts w:ascii="黑体" w:hAnsi="黑体" w:eastAsia="黑体" w:cs="Times New Roman"/>
                      <w:b/>
                      <w:bCs/>
                      <w:kern w:val="0"/>
                      <w:sz w:val="21"/>
                      <w:szCs w:val="21"/>
                    </w:rPr>
                  </w:pPr>
                  <w:r>
                    <w:rPr>
                      <w:rFonts w:hint="eastAsia" w:ascii="黑体" w:hAnsi="黑体" w:eastAsia="黑体" w:cs="宋体"/>
                      <w:b/>
                      <w:bCs/>
                      <w:kern w:val="0"/>
                      <w:sz w:val="21"/>
                      <w:szCs w:val="21"/>
                    </w:rPr>
                    <w:t>鼓风机房及配电间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螺杆鼓风机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Q=17.25m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/min</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P=0.08MPa  Pe=26kw(配套隔音罩，安全阀，压力表，弹性接头，有降噪功能的吸入口，排出消声器，单向阀等,变频器等)</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一期2用1备（雨季流量全用）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螺杆鼓风机</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Q=34.5m3/min,P=0.08MPa  Pe=37kw(配套隔音罩，安全阀，压力表，弹性接头，有降噪功能的吸入口，排出消声器，单向阀等,变频器等)</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二期1用1备（雨季流量全用）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轴流风机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3.55型,n=1450r/min</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 xml:space="preserve">风量:2737m3/h N=0.09kW  </w:t>
                  </w:r>
                  <w:r>
                    <w:rPr>
                      <w:rFonts w:hint="eastAsia" w:ascii="MS Mincho" w:hAnsi="MS Mincho" w:eastAsia="MS Mincho" w:cs="MS Mincho"/>
                      <w:kern w:val="0"/>
                      <w:sz w:val="21"/>
                      <w:szCs w:val="21"/>
                    </w:rPr>
                    <w:t>∅</w:t>
                  </w:r>
                  <w:r>
                    <w:rPr>
                      <w:rFonts w:ascii="Times New Roman" w:hAnsi="Times New Roman" w:eastAsia="宋体" w:cs="Times New Roman"/>
                      <w:kern w:val="0"/>
                      <w:sz w:val="21"/>
                      <w:szCs w:val="21"/>
                    </w:rPr>
                    <w:t>365mm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全压70pa,噪音</w:t>
                  </w:r>
                  <w:r>
                    <w:rPr>
                      <w:rFonts w:hint="eastAsia" w:ascii="Times New Roman" w:hAnsi="Times New Roman" w:eastAsia="宋体" w:cs="Times New Roman"/>
                      <w:sz w:val="21"/>
                      <w:szCs w:val="21"/>
                    </w:rPr>
                    <w:t>6</w:t>
                  </w:r>
                  <w:r>
                    <w:rPr>
                      <w:rFonts w:ascii="Times New Roman" w:hAnsi="Times New Roman" w:eastAsia="宋体" w:cs="Times New Roman"/>
                      <w:sz w:val="21"/>
                      <w:szCs w:val="21"/>
                    </w:rPr>
                    <w:t>5dB</w:t>
                  </w:r>
                  <w:r>
                    <w:rPr>
                      <w:rFonts w:hint="eastAsia" w:ascii="Times New Roman" w:hAnsi="Times New Roman" w:eastAsia="宋体" w:cs="Times New Roman"/>
                      <w:sz w:val="21"/>
                      <w:szCs w:val="21"/>
                    </w:rPr>
                    <w:t>（A）</w:t>
                  </w:r>
                  <w:r>
                    <w:rPr>
                      <w:rFonts w:ascii="Times New Roman" w:hAnsi="Times New Roman" w:eastAsia="宋体" w:cs="Times New Roman"/>
                      <w:sz w:val="21"/>
                      <w:szCs w:val="21"/>
                    </w:rPr>
                    <w:t>，鼓风机房用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轴流风机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2.8型,n=1450r/min</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 xml:space="preserve">风量:1086m3/h N=0.025kW  </w:t>
                  </w:r>
                  <w:r>
                    <w:rPr>
                      <w:rFonts w:hint="eastAsia" w:ascii="MS Mincho" w:hAnsi="MS Mincho" w:eastAsia="MS Mincho" w:cs="MS Mincho"/>
                      <w:kern w:val="0"/>
                      <w:sz w:val="21"/>
                      <w:szCs w:val="21"/>
                    </w:rPr>
                    <w:t>∅</w:t>
                  </w:r>
                  <w:r>
                    <w:rPr>
                      <w:rFonts w:ascii="Times New Roman" w:hAnsi="Times New Roman" w:eastAsia="宋体" w:cs="Times New Roman"/>
                      <w:kern w:val="0"/>
                      <w:sz w:val="21"/>
                      <w:szCs w:val="21"/>
                    </w:rPr>
                    <w:t>280mm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全压43pa</w:t>
                  </w:r>
                  <w:r>
                    <w:rPr>
                      <w:rFonts w:hint="eastAsia" w:ascii="Times New Roman" w:hAnsi="Times New Roman" w:eastAsia="宋体" w:cs="Times New Roman"/>
                      <w:sz w:val="21"/>
                      <w:szCs w:val="21"/>
                    </w:rPr>
                    <w:t>，</w:t>
                  </w:r>
                  <w:r>
                    <w:rPr>
                      <w:rFonts w:ascii="Times New Roman" w:hAnsi="Times New Roman" w:eastAsia="宋体" w:cs="Times New Roman"/>
                      <w:sz w:val="21"/>
                      <w:szCs w:val="21"/>
                    </w:rPr>
                    <w:t>噪音57dB</w:t>
                  </w:r>
                  <w:r>
                    <w:rPr>
                      <w:rFonts w:hint="eastAsia" w:ascii="Times New Roman" w:hAnsi="Times New Roman" w:eastAsia="宋体" w:cs="Times New Roman"/>
                      <w:sz w:val="21"/>
                      <w:szCs w:val="21"/>
                    </w:rPr>
                    <w:t>（A）</w:t>
                  </w:r>
                  <w:r>
                    <w:rPr>
                      <w:rFonts w:ascii="Times New Roman" w:hAnsi="Times New Roman" w:eastAsia="宋体" w:cs="Times New Roman"/>
                      <w:sz w:val="21"/>
                      <w:szCs w:val="21"/>
                    </w:rPr>
                    <w:t>，自控室用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轴流风机</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4型,n=1450r/min</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 xml:space="preserve">风量:2406m3/h N=0.09kW  </w:t>
                  </w:r>
                  <w:r>
                    <w:rPr>
                      <w:rFonts w:hint="eastAsia" w:ascii="MS Mincho" w:hAnsi="MS Mincho" w:eastAsia="MS Mincho" w:cs="MS Mincho"/>
                      <w:kern w:val="0"/>
                      <w:sz w:val="21"/>
                      <w:szCs w:val="21"/>
                    </w:rPr>
                    <w:t>∅</w:t>
                  </w:r>
                  <w:r>
                    <w:rPr>
                      <w:rFonts w:ascii="Times New Roman" w:hAnsi="Times New Roman" w:eastAsia="宋体" w:cs="Times New Roman"/>
                      <w:kern w:val="0"/>
                      <w:sz w:val="21"/>
                      <w:szCs w:val="21"/>
                    </w:rPr>
                    <w:t>410mm</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sz w:val="21"/>
                      <w:szCs w:val="21"/>
                    </w:rPr>
                    <w:t>全压77pa,噪音65dB</w:t>
                  </w:r>
                  <w:r>
                    <w:rPr>
                      <w:rFonts w:hint="eastAsia" w:ascii="Times New Roman" w:hAnsi="Times New Roman" w:eastAsia="宋体" w:cs="Times New Roman"/>
                      <w:sz w:val="21"/>
                      <w:szCs w:val="21"/>
                    </w:rPr>
                    <w:t>（A），</w:t>
                  </w:r>
                  <w:r>
                    <w:rPr>
                      <w:rFonts w:ascii="Times New Roman" w:hAnsi="Times New Roman" w:eastAsia="宋体" w:cs="Times New Roman"/>
                      <w:sz w:val="21"/>
                      <w:szCs w:val="21"/>
                    </w:rPr>
                    <w:t>配电间用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磷酸铵盐干粉灭火器</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MF/ABC4</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w:t>
                  </w:r>
                  <w:r>
                    <w:rPr>
                      <w:rFonts w:hint="eastAsia" w:ascii="Times New Roman" w:hAnsi="Times New Roman" w:eastAsia="宋体" w:cs="Times New Roman"/>
                      <w:kern w:val="0"/>
                      <w:sz w:val="21"/>
                      <w:szCs w:val="21"/>
                    </w:rPr>
                    <w:t>具</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7</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手推式磷酸铵盐干粉灭火器</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MFT/ABC20</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4</w:t>
                  </w:r>
                  <w:r>
                    <w:rPr>
                      <w:rFonts w:hint="eastAsia" w:ascii="Times New Roman" w:hAnsi="Times New Roman" w:eastAsia="宋体" w:cs="Times New Roman"/>
                      <w:kern w:val="0"/>
                      <w:sz w:val="21"/>
                      <w:szCs w:val="21"/>
                    </w:rPr>
                    <w:t>具</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砂箱</w:t>
                  </w:r>
                </w:p>
              </w:tc>
              <w:tc>
                <w:tcPr>
                  <w:tcW w:w="3456" w:type="dxa"/>
                  <w:vAlign w:val="center"/>
                </w:tcPr>
                <w:p>
                  <w:pPr>
                    <w:spacing w:line="240" w:lineRule="auto"/>
                    <w:textAlignment w:val="center"/>
                    <w:rPr>
                      <w:rFonts w:ascii="Times New Roman" w:hAnsi="Times New Roman" w:eastAsia="宋体" w:cs="Times New Roman"/>
                      <w:kern w:val="0"/>
                      <w:sz w:val="21"/>
                      <w:szCs w:val="21"/>
                    </w:rPr>
                  </w:pP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个</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9</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管件等</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镀锌盖板、管件等</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批</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黑体" w:hAnsi="黑体" w:eastAsia="黑体" w:cs="Times New Roman"/>
                      <w:b/>
                      <w:bCs/>
                      <w:sz w:val="21"/>
                      <w:szCs w:val="21"/>
                    </w:rPr>
                  </w:pPr>
                  <w:r>
                    <w:rPr>
                      <w:rFonts w:ascii="黑体" w:hAnsi="黑体" w:eastAsia="黑体" w:cs="Times New Roman"/>
                      <w:b/>
                      <w:bCs/>
                      <w:kern w:val="0"/>
                      <w:sz w:val="21"/>
                      <w:szCs w:val="21"/>
                    </w:rPr>
                    <w:t>十一</w:t>
                  </w:r>
                </w:p>
              </w:tc>
              <w:tc>
                <w:tcPr>
                  <w:tcW w:w="7384" w:type="dxa"/>
                  <w:gridSpan w:val="4"/>
                  <w:vAlign w:val="center"/>
                </w:tcPr>
                <w:p>
                  <w:pPr>
                    <w:spacing w:line="240" w:lineRule="auto"/>
                    <w:rPr>
                      <w:rFonts w:ascii="黑体" w:hAnsi="黑体" w:eastAsia="黑体" w:cs="Times New Roman"/>
                      <w:b/>
                      <w:bCs/>
                      <w:sz w:val="21"/>
                      <w:szCs w:val="21"/>
                    </w:rPr>
                  </w:pPr>
                  <w:r>
                    <w:rPr>
                      <w:rFonts w:hint="eastAsia" w:ascii="黑体" w:hAnsi="黑体" w:eastAsia="黑体" w:cs="Times New Roman"/>
                      <w:b/>
                      <w:bCs/>
                      <w:sz w:val="21"/>
                      <w:szCs w:val="21"/>
                    </w:rPr>
                    <w:t>污泥脱水机房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11.1</w:t>
                  </w:r>
                </w:p>
              </w:tc>
              <w:tc>
                <w:tcPr>
                  <w:tcW w:w="7384" w:type="dxa"/>
                  <w:gridSpan w:val="4"/>
                  <w:vAlign w:val="center"/>
                </w:tcPr>
                <w:p>
                  <w:pPr>
                    <w:spacing w:line="240" w:lineRule="auto"/>
                    <w:rPr>
                      <w:rFonts w:ascii="Times New Roman" w:hAnsi="Times New Roman" w:eastAsia="宋体" w:cs="Times New Roman"/>
                      <w:sz w:val="21"/>
                      <w:szCs w:val="21"/>
                    </w:rPr>
                  </w:pPr>
                  <w:r>
                    <w:rPr>
                      <w:rFonts w:ascii="Times New Roman" w:hAnsi="Times New Roman" w:eastAsia="宋体" w:cs="Times New Roman"/>
                      <w:kern w:val="0"/>
                      <w:sz w:val="21"/>
                      <w:szCs w:val="21"/>
                    </w:rPr>
                    <w:t>隔膜压滤机部分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高压隔膜压滤机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型号：XAZGFQ150/1250-U，过滤面积：150m2，过滤压力：≤1.2MPa，压榨压力：≤2.0MPa，滤板尺寸：1250x1250mm，总功率：15.8kW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11.2</w:t>
                  </w:r>
                </w:p>
              </w:tc>
              <w:tc>
                <w:tcPr>
                  <w:tcW w:w="7384" w:type="dxa"/>
                  <w:gridSpan w:val="4"/>
                  <w:vAlign w:val="center"/>
                </w:tcPr>
                <w:p>
                  <w:pPr>
                    <w:spacing w:line="240" w:lineRule="auto"/>
                    <w:rPr>
                      <w:rFonts w:ascii="Times New Roman" w:hAnsi="Times New Roman" w:eastAsia="宋体" w:cs="Times New Roman"/>
                      <w:sz w:val="21"/>
                      <w:szCs w:val="21"/>
                    </w:rPr>
                  </w:pPr>
                  <w:r>
                    <w:rPr>
                      <w:rFonts w:ascii="Times New Roman" w:hAnsi="Times New Roman" w:eastAsia="宋体" w:cs="Times New Roman"/>
                      <w:kern w:val="0"/>
                      <w:sz w:val="21"/>
                      <w:szCs w:val="21"/>
                    </w:rPr>
                    <w:t>污泥浓缩部分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叠螺浓缩机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型号：DLN301处理量：75-125kg/h</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功率：1.65kw</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进泥含水率99.2%，出泥含水率约95-97%</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浓缩机进泥泵（变频螺杆泵）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型号：NM063BY01L06B</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流量：15m³/h</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扬程：20m</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功率：3kw</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说明：从电机端看，进料口向左旋转90度</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进出口：DN100</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1、变频控制，带干运行保护器、强冷风扇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浓缩机冲洗泵（立式多级离心泵）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型号：CDM5-16</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流量5.0m³/h</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扬程：99m</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功率2.2KW</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进出口：DN32 PN25</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过流介质：自来水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11.3</w:t>
                  </w:r>
                </w:p>
              </w:tc>
              <w:tc>
                <w:tcPr>
                  <w:tcW w:w="7384" w:type="dxa"/>
                  <w:gridSpan w:val="4"/>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污泥调理及进料部分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污泥调理池</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容积：64m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尺寸：4x4x4m</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个</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现场做混凝土结构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污泥调理池搅拌器</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搅拌器功率：7.5kw</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电机带防雨罩</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材质：搅拌轴和桨叶材质碳钢衬胶防腐</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高压进料泵（变频螺杆泵）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型号：NM076SY03S18V</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流量：20m³/h</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扬程：120m</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功率：18.5kw</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说明：从电机端看，进料口向左旋转90度</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进出口：DN125</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1、变频控制，带干运行保护器、强冷风扇</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2、定子材质：丁晴橡胶，转子材质：304电镀</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密封形式：机械密封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11.4</w:t>
                  </w:r>
                </w:p>
              </w:tc>
              <w:tc>
                <w:tcPr>
                  <w:tcW w:w="7384" w:type="dxa"/>
                  <w:gridSpan w:val="4"/>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压滤机压榨部分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压榨泵（立式多级离心泵）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型号：CDM5-30</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流量：5m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/h</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扬程：186m</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功率：5.5kw</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最高扬程达216m</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过流部件和泵壳为SS304</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接口：DN32PN25</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640"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1、变频控制</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2、过流介质：自来水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压榨水箱</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容积：5m3</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尺寸：φ1880x2200mm</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材质：PE</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过流介质：自来水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11.5</w:t>
                  </w:r>
                </w:p>
              </w:tc>
              <w:tc>
                <w:tcPr>
                  <w:tcW w:w="7384" w:type="dxa"/>
                  <w:gridSpan w:val="4"/>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压滤机洗布部分（洗布管道材质采用304不锈钢）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洗布泵（立式多级离心泵组）</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型号：CDMF15-18+CMH15-18SSC</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流量：15m³/h</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扬程：424m</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功率：30kw（15+15kw）</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最高扬程498m</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注：由泵厂家配带泵进出口及两泵间卡套接头</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过流介质：自来水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洗布水箱</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容积：5m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尺寸：φ1880x2200mm</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材质：PE</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个</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过流介质：自来水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11.6</w:t>
                  </w:r>
                </w:p>
              </w:tc>
              <w:tc>
                <w:tcPr>
                  <w:tcW w:w="7384" w:type="dxa"/>
                  <w:gridSpan w:val="4"/>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压缩空气部分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空压机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型号：SA-22A</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排气量：3.5m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/min</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排气压力：0.8MPa</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功率：22kw</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螺杆式空压机，风冷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11.7</w:t>
                  </w:r>
                </w:p>
              </w:tc>
              <w:tc>
                <w:tcPr>
                  <w:tcW w:w="7384" w:type="dxa"/>
                  <w:gridSpan w:val="4"/>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PAC投加部分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PAC储罐</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容积：10m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尺寸：</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材质：PE</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内部储存浓度10%的PAC溶液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PAC投加泵（化工泵）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型号：IMD40-25-160F</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流量：6m³/h</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扬程：30m</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功率：3kw</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进出口：DN40/DN25</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耐酸防腐设计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PAC卸料泵（化工泵）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型号：IMD65-50-120F</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流量：30m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/h</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扬程：15m</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功率：5.5kw</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进出口：DN65/DN50</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耐酸防腐设计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11.8</w:t>
                  </w:r>
                </w:p>
              </w:tc>
              <w:tc>
                <w:tcPr>
                  <w:tcW w:w="7384" w:type="dxa"/>
                  <w:gridSpan w:val="4"/>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PAM投加部分（污泥浓缩机和调理池投加）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三厢PAM制备装置</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型号：J3PAM2</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制备量：2m³/h</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功率：~2.4kw</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材质：ss304</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供水要求：＞4000L/h</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&gt;3bar</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出料口：DN65</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含步梯和操作平台</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制备浓度0.1-0.5%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7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PAM投加泵（变频螺杆泵）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型号：NM021BY01L06B</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流量：1.0m³/h</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扬程：30m</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功率：0.75kw</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进出口：G1 1/4"</w:t>
                  </w:r>
                </w:p>
              </w:tc>
              <w:tc>
                <w:tcPr>
                  <w:tcW w:w="992"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1、变频控制，带干运行保护器、强冷风扇</w:t>
                  </w:r>
                  <w:r>
                    <w:rPr>
                      <w:rFonts w:ascii="Times New Roman" w:hAnsi="Times New Roman" w:eastAsia="宋体" w:cs="Times New Roman"/>
                      <w:kern w:val="0"/>
                      <w:sz w:val="21"/>
                      <w:szCs w:val="21"/>
                    </w:rPr>
                    <w:br w:type="textWrapping"/>
                  </w:r>
                  <w:r>
                    <w:rPr>
                      <w:rFonts w:ascii="Times New Roman" w:hAnsi="Times New Roman" w:eastAsia="宋体" w:cs="Times New Roman"/>
                      <w:kern w:val="0"/>
                      <w:sz w:val="21"/>
                      <w:szCs w:val="21"/>
                    </w:rPr>
                    <w:t>2、污泥浓缩机投加用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11.9</w:t>
                  </w:r>
                </w:p>
              </w:tc>
              <w:tc>
                <w:tcPr>
                  <w:tcW w:w="7384" w:type="dxa"/>
                  <w:gridSpan w:val="4"/>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污泥储存部分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液压储泥斗</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1250型配套</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材质：碳钢焊接</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数量：2个/台</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配套液压泵站功率：2.2kw</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反吹回流缓冲箱</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1250型配套</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用于反吹回流管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70" w:type="dxa"/>
                  <w:vAlign w:val="center"/>
                </w:tcPr>
                <w:p>
                  <w:pPr>
                    <w:spacing w:line="240" w:lineRule="auto"/>
                    <w:jc w:val="center"/>
                    <w:textAlignment w:val="center"/>
                    <w:rPr>
                      <w:rFonts w:ascii="黑体" w:hAnsi="黑体" w:eastAsia="黑体" w:cs="Times New Roman"/>
                      <w:b/>
                      <w:bCs/>
                      <w:kern w:val="0"/>
                      <w:sz w:val="21"/>
                      <w:szCs w:val="21"/>
                    </w:rPr>
                  </w:pPr>
                  <w:r>
                    <w:rPr>
                      <w:rFonts w:ascii="黑体" w:hAnsi="黑体" w:eastAsia="黑体" w:cs="Times New Roman"/>
                      <w:b/>
                      <w:bCs/>
                      <w:kern w:val="0"/>
                      <w:sz w:val="21"/>
                      <w:szCs w:val="21"/>
                    </w:rPr>
                    <w:t>十二</w:t>
                  </w:r>
                </w:p>
              </w:tc>
              <w:tc>
                <w:tcPr>
                  <w:tcW w:w="7384" w:type="dxa"/>
                  <w:gridSpan w:val="4"/>
                  <w:vAlign w:val="center"/>
                </w:tcPr>
                <w:p>
                  <w:pPr>
                    <w:spacing w:line="240" w:lineRule="auto"/>
                    <w:textAlignment w:val="center"/>
                    <w:rPr>
                      <w:rFonts w:ascii="黑体" w:hAnsi="黑体" w:eastAsia="黑体" w:cs="Times New Roman"/>
                      <w:b/>
                      <w:bCs/>
                      <w:sz w:val="21"/>
                      <w:szCs w:val="21"/>
                    </w:rPr>
                  </w:pPr>
                  <w:r>
                    <w:rPr>
                      <w:rFonts w:ascii="黑体" w:hAnsi="黑体" w:eastAsia="黑体" w:cs="Times New Roman"/>
                      <w:b/>
                      <w:bCs/>
                      <w:kern w:val="0"/>
                      <w:sz w:val="21"/>
                      <w:szCs w:val="21"/>
                    </w:rPr>
                    <w:t>二期AAO生化池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厌氧池潜水搅拌机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hint="eastAsia" w:ascii="MS Mincho" w:hAnsi="MS Mincho" w:eastAsia="MS Mincho" w:cs="MS Mincho"/>
                      <w:kern w:val="0"/>
                      <w:sz w:val="21"/>
                      <w:szCs w:val="21"/>
                    </w:rPr>
                    <w:t>∅</w:t>
                  </w:r>
                  <w:r>
                    <w:rPr>
                      <w:rFonts w:ascii="Times New Roman" w:hAnsi="Times New Roman" w:eastAsia="宋体" w:cs="Times New Roman"/>
                      <w:kern w:val="0"/>
                      <w:sz w:val="21"/>
                      <w:szCs w:val="21"/>
                    </w:rPr>
                    <w:t>580,转速480r/min，N=5.5kW</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1用1冷备，自带电控柜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缺氧池潜水推流器</w:t>
                  </w:r>
                </w:p>
              </w:tc>
              <w:tc>
                <w:tcPr>
                  <w:tcW w:w="3456" w:type="dxa"/>
                  <w:vAlign w:val="center"/>
                </w:tcPr>
                <w:p>
                  <w:pPr>
                    <w:spacing w:line="240" w:lineRule="auto"/>
                    <w:textAlignment w:val="center"/>
                    <w:rPr>
                      <w:rFonts w:ascii="Times New Roman" w:hAnsi="Times New Roman" w:eastAsia="宋体" w:cs="Times New Roman"/>
                      <w:sz w:val="21"/>
                      <w:szCs w:val="21"/>
                    </w:rPr>
                  </w:pPr>
                  <w:r>
                    <w:rPr>
                      <w:rFonts w:hint="eastAsia" w:ascii="MS Mincho" w:hAnsi="MS Mincho" w:eastAsia="MS Mincho" w:cs="MS Mincho"/>
                      <w:kern w:val="0"/>
                      <w:sz w:val="21"/>
                      <w:szCs w:val="21"/>
                    </w:rPr>
                    <w:t>∅</w:t>
                  </w:r>
                  <w:r>
                    <w:rPr>
                      <w:rFonts w:ascii="Times New Roman" w:hAnsi="Times New Roman" w:eastAsia="宋体" w:cs="Times New Roman"/>
                      <w:kern w:val="0"/>
                      <w:sz w:val="21"/>
                      <w:szCs w:val="21"/>
                    </w:rPr>
                    <w:t>2500,Pe=5.5kW，转速43r/min</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2用1冷备，自带电控柜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内回流泵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Q=600m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/h, H=0.7m,N=3.0kW</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2用1冷备，带变频，自带电控柜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管式微孔曝气器</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Q=5.0m</w:t>
                  </w:r>
                  <w:r>
                    <w:rPr>
                      <w:rFonts w:ascii="Times New Roman" w:hAnsi="Times New Roman" w:eastAsia="宋体" w:cs="Times New Roman"/>
                      <w:kern w:val="0"/>
                      <w:sz w:val="21"/>
                      <w:szCs w:val="21"/>
                      <w:vertAlign w:val="superscript"/>
                    </w:rPr>
                    <w:t>3</w:t>
                  </w:r>
                  <w:r>
                    <w:rPr>
                      <w:rFonts w:ascii="Times New Roman" w:hAnsi="Times New Roman" w:eastAsia="宋体" w:cs="Times New Roman"/>
                      <w:kern w:val="0"/>
                      <w:sz w:val="21"/>
                      <w:szCs w:val="21"/>
                    </w:rPr>
                    <w:t>/h，L=1000mm 膜片EPDM</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370</w:t>
                  </w:r>
                  <w:r>
                    <w:rPr>
                      <w:rFonts w:hint="eastAsia" w:ascii="Times New Roman" w:hAnsi="Times New Roman" w:eastAsia="宋体" w:cs="Times New Roman"/>
                      <w:kern w:val="0"/>
                      <w:sz w:val="21"/>
                      <w:szCs w:val="21"/>
                    </w:rPr>
                    <w:t>根</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以曝气器以上1m为界，以下为设备商成套供应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MBBR填料</w:t>
                  </w:r>
                </w:p>
              </w:tc>
              <w:tc>
                <w:tcPr>
                  <w:tcW w:w="3456" w:type="dxa"/>
                  <w:vAlign w:val="center"/>
                </w:tcPr>
                <w:p>
                  <w:pPr>
                    <w:spacing w:line="240" w:lineRule="auto"/>
                    <w:rPr>
                      <w:rFonts w:ascii="Times New Roman" w:hAnsi="Times New Roman" w:eastAsia="宋体" w:cs="Times New Roman"/>
                      <w:sz w:val="21"/>
                      <w:szCs w:val="21"/>
                    </w:rPr>
                  </w:pP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970</w:t>
                  </w:r>
                  <w:r>
                    <w:rPr>
                      <w:rFonts w:hint="eastAsia" w:ascii="Times New Roman" w:hAnsi="Times New Roman" w:eastAsia="宋体" w:cs="Times New Roman"/>
                      <w:kern w:val="0"/>
                      <w:sz w:val="21"/>
                      <w:szCs w:val="21"/>
                    </w:rPr>
                    <w:t>立方米</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用于好氧池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在线溶解氧分析仪</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测量范围0-20000ppm</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套</w:t>
                  </w:r>
                </w:p>
              </w:tc>
              <w:tc>
                <w:tcPr>
                  <w:tcW w:w="1640" w:type="dxa"/>
                  <w:vAlign w:val="center"/>
                </w:tcPr>
                <w:p>
                  <w:pPr>
                    <w:spacing w:line="240" w:lineRule="auto"/>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在线污泥浓度分析仪</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测量范围0.1-20000ppm</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在线氨氮/硝氮分析仪</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测量范围0.01-100ppm</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在线ORP析仪</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测量范围-1000-1000mV</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12</w:t>
                  </w:r>
                  <w:r>
                    <w:rPr>
                      <w:rFonts w:hint="eastAsia" w:ascii="Times New Roman" w:hAnsi="Times New Roman" w:eastAsia="宋体" w:cs="Times New Roman"/>
                      <w:kern w:val="0"/>
                      <w:sz w:val="21"/>
                      <w:szCs w:val="21"/>
                    </w:rPr>
                    <w:t>套</w:t>
                  </w:r>
                </w:p>
              </w:tc>
              <w:tc>
                <w:tcPr>
                  <w:tcW w:w="1640" w:type="dxa"/>
                  <w:vAlign w:val="center"/>
                </w:tcPr>
                <w:p>
                  <w:pPr>
                    <w:spacing w:line="240" w:lineRule="auto"/>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PH/T计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0~14PH,0~50°C</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sz w:val="21"/>
                      <w:szCs w:val="21"/>
                    </w:rPr>
                    <w:t>电磁流量计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sz w:val="21"/>
                      <w:szCs w:val="21"/>
                    </w:rPr>
                    <w:t>DN400</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12</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sz w:val="21"/>
                      <w:szCs w:val="21"/>
                    </w:rPr>
                    <w:t>插入式电磁流量计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sz w:val="21"/>
                      <w:szCs w:val="21"/>
                    </w:rPr>
                    <w:t>DN300</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黑体" w:hAnsi="黑体" w:eastAsia="黑体" w:cs="Times New Roman"/>
                      <w:b/>
                      <w:bCs/>
                      <w:kern w:val="0"/>
                      <w:sz w:val="21"/>
                      <w:szCs w:val="21"/>
                    </w:rPr>
                  </w:pPr>
                  <w:r>
                    <w:rPr>
                      <w:rFonts w:ascii="黑体" w:hAnsi="黑体" w:eastAsia="黑体" w:cs="Times New Roman"/>
                      <w:b/>
                      <w:bCs/>
                      <w:kern w:val="0"/>
                      <w:sz w:val="21"/>
                      <w:szCs w:val="21"/>
                    </w:rPr>
                    <w:t>十三</w:t>
                  </w:r>
                </w:p>
              </w:tc>
              <w:tc>
                <w:tcPr>
                  <w:tcW w:w="7384" w:type="dxa"/>
                  <w:gridSpan w:val="4"/>
                  <w:vAlign w:val="center"/>
                </w:tcPr>
                <w:p>
                  <w:pPr>
                    <w:spacing w:line="240" w:lineRule="auto"/>
                    <w:rPr>
                      <w:rFonts w:ascii="黑体" w:hAnsi="黑体" w:eastAsia="黑体" w:cs="Times New Roman"/>
                      <w:b/>
                      <w:bCs/>
                      <w:sz w:val="21"/>
                      <w:szCs w:val="21"/>
                    </w:rPr>
                  </w:pPr>
                  <w:r>
                    <w:rPr>
                      <w:rFonts w:ascii="黑体" w:hAnsi="黑体" w:eastAsia="黑体" w:cs="Times New Roman"/>
                      <w:b/>
                      <w:bCs/>
                      <w:kern w:val="0"/>
                      <w:sz w:val="21"/>
                      <w:szCs w:val="21"/>
                    </w:rPr>
                    <w:t>二期二沉池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周边传动单管刮泥机</w:t>
                  </w:r>
                </w:p>
              </w:tc>
              <w:tc>
                <w:tcPr>
                  <w:tcW w:w="3456" w:type="dxa"/>
                  <w:vAlign w:val="center"/>
                </w:tcPr>
                <w:p>
                  <w:pPr>
                    <w:spacing w:line="240" w:lineRule="auto"/>
                    <w:textAlignment w:val="center"/>
                    <w:rPr>
                      <w:rFonts w:ascii="Times New Roman" w:hAnsi="Times New Roman" w:eastAsia="宋体" w:cs="Times New Roman"/>
                      <w:sz w:val="21"/>
                      <w:szCs w:val="21"/>
                    </w:rPr>
                  </w:pPr>
                  <w:r>
                    <w:rPr>
                      <w:rFonts w:hint="eastAsia" w:ascii="MS Mincho" w:hAnsi="MS Mincho" w:eastAsia="MS Mincho" w:cs="MS Mincho"/>
                      <w:kern w:val="0"/>
                      <w:sz w:val="21"/>
                      <w:szCs w:val="21"/>
                    </w:rPr>
                    <w:t>∅</w:t>
                  </w:r>
                  <w:r>
                    <w:rPr>
                      <w:rFonts w:ascii="Times New Roman" w:hAnsi="Times New Roman" w:eastAsia="宋体" w:cs="Times New Roman"/>
                      <w:kern w:val="0"/>
                      <w:sz w:val="21"/>
                      <w:szCs w:val="21"/>
                    </w:rPr>
                    <w:t>20m</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P=0.75kW</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设备成套供应，其中工作桥碳钢防腐</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设备自带控制柜。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黑体" w:hAnsi="黑体" w:eastAsia="黑体" w:cs="Times New Roman"/>
                      <w:b/>
                      <w:bCs/>
                      <w:kern w:val="0"/>
                      <w:sz w:val="21"/>
                      <w:szCs w:val="21"/>
                    </w:rPr>
                  </w:pPr>
                  <w:r>
                    <w:rPr>
                      <w:rFonts w:ascii="黑体" w:hAnsi="黑体" w:eastAsia="黑体" w:cs="Times New Roman"/>
                      <w:b/>
                      <w:bCs/>
                      <w:kern w:val="0"/>
                      <w:sz w:val="21"/>
                      <w:szCs w:val="21"/>
                    </w:rPr>
                    <w:t>十四</w:t>
                  </w:r>
                </w:p>
              </w:tc>
              <w:tc>
                <w:tcPr>
                  <w:tcW w:w="7384" w:type="dxa"/>
                  <w:gridSpan w:val="4"/>
                  <w:vAlign w:val="center"/>
                </w:tcPr>
                <w:p>
                  <w:pPr>
                    <w:spacing w:line="240" w:lineRule="auto"/>
                    <w:rPr>
                      <w:rFonts w:ascii="黑体" w:hAnsi="黑体" w:eastAsia="黑体" w:cs="Times New Roman"/>
                      <w:b/>
                      <w:bCs/>
                      <w:sz w:val="21"/>
                      <w:szCs w:val="21"/>
                    </w:rPr>
                  </w:pPr>
                  <w:r>
                    <w:rPr>
                      <w:rFonts w:ascii="黑体" w:hAnsi="黑体" w:eastAsia="黑体" w:cs="Times New Roman"/>
                      <w:b/>
                      <w:bCs/>
                      <w:kern w:val="0"/>
                      <w:sz w:val="21"/>
                      <w:szCs w:val="21"/>
                    </w:rPr>
                    <w:t>二期污泥泵池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潜污泵（污泥回流泵）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Q=210m3/h H=7m N=15kW</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两用一备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潜污泵（污泥剩余泵）</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Q=12.5m3/h H=18m N=2.2kW</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一用一备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黑体" w:hAnsi="黑体" w:eastAsia="黑体" w:cs="Times New Roman"/>
                      <w:b/>
                      <w:bCs/>
                      <w:kern w:val="0"/>
                      <w:sz w:val="21"/>
                      <w:szCs w:val="21"/>
                    </w:rPr>
                  </w:pPr>
                  <w:r>
                    <w:rPr>
                      <w:rFonts w:ascii="黑体" w:hAnsi="黑体" w:eastAsia="黑体" w:cs="Times New Roman"/>
                      <w:b/>
                      <w:bCs/>
                      <w:kern w:val="0"/>
                      <w:sz w:val="21"/>
                      <w:szCs w:val="21"/>
                    </w:rPr>
                    <w:t>十五</w:t>
                  </w:r>
                </w:p>
              </w:tc>
              <w:tc>
                <w:tcPr>
                  <w:tcW w:w="7384" w:type="dxa"/>
                  <w:gridSpan w:val="4"/>
                  <w:vAlign w:val="center"/>
                </w:tcPr>
                <w:p>
                  <w:pPr>
                    <w:spacing w:line="240" w:lineRule="auto"/>
                    <w:rPr>
                      <w:rFonts w:ascii="黑体" w:hAnsi="黑体" w:eastAsia="黑体" w:cs="Times New Roman"/>
                      <w:b/>
                      <w:bCs/>
                      <w:sz w:val="21"/>
                      <w:szCs w:val="21"/>
                    </w:rPr>
                  </w:pPr>
                  <w:r>
                    <w:rPr>
                      <w:rFonts w:ascii="黑体" w:hAnsi="黑体" w:eastAsia="黑体" w:cs="Times New Roman"/>
                      <w:b/>
                      <w:bCs/>
                      <w:kern w:val="0"/>
                      <w:sz w:val="21"/>
                      <w:szCs w:val="21"/>
                    </w:rPr>
                    <w:t>二期高效沉淀池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混合器搅拌器</w:t>
                  </w:r>
                </w:p>
              </w:tc>
              <w:tc>
                <w:tcPr>
                  <w:tcW w:w="3456" w:type="dxa"/>
                  <w:vAlign w:val="center"/>
                </w:tcPr>
                <w:p>
                  <w:pPr>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N=5.5Kw,84rpm</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絮凝搅拌器</w:t>
                  </w:r>
                </w:p>
              </w:tc>
              <w:tc>
                <w:tcPr>
                  <w:tcW w:w="3456" w:type="dxa"/>
                  <w:vAlign w:val="center"/>
                </w:tcPr>
                <w:p>
                  <w:pPr>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D=1200,H=5700,N=7.5KW,25rpm</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刮泥机</w:t>
                  </w:r>
                </w:p>
              </w:tc>
              <w:tc>
                <w:tcPr>
                  <w:tcW w:w="3456" w:type="dxa"/>
                  <w:vAlign w:val="center"/>
                </w:tcPr>
                <w:p>
                  <w:pPr>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D=8400,H=6250，N=0.75Kw,0.02-0.1rpm</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斜管</w:t>
                  </w:r>
                </w:p>
              </w:tc>
              <w:tc>
                <w:tcPr>
                  <w:tcW w:w="3456" w:type="dxa"/>
                  <w:vAlign w:val="center"/>
                </w:tcPr>
                <w:p>
                  <w:pPr>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L=1000,</w:t>
                  </w:r>
                  <w:r>
                    <w:rPr>
                      <w:rFonts w:hint="eastAsia" w:ascii="MS Mincho" w:hAnsi="MS Mincho" w:eastAsia="MS Mincho" w:cs="MS Mincho"/>
                      <w:sz w:val="21"/>
                      <w:szCs w:val="21"/>
                    </w:rPr>
                    <w:t>∅</w:t>
                  </w:r>
                  <w:r>
                    <w:rPr>
                      <w:rFonts w:ascii="Times New Roman" w:hAnsi="Times New Roman" w:eastAsia="宋体" w:cs="Times New Roman"/>
                      <w:sz w:val="21"/>
                      <w:szCs w:val="21"/>
                    </w:rPr>
                    <w:t>80,a=60°</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46</w:t>
                  </w:r>
                  <w:r>
                    <w:t xml:space="preserve"> </w:t>
                  </w:r>
                  <w:r>
                    <w:rPr>
                      <w:rFonts w:ascii="Times New Roman" w:hAnsi="Times New Roman" w:eastAsia="宋体" w:cs="Times New Roman"/>
                      <w:kern w:val="0"/>
                      <w:sz w:val="21"/>
                      <w:szCs w:val="21"/>
                    </w:rPr>
                    <w:t>m</w:t>
                  </w:r>
                  <w:r>
                    <w:rPr>
                      <w:rFonts w:ascii="Times New Roman" w:hAnsi="Times New Roman" w:eastAsia="宋体" w:cs="Times New Roman"/>
                      <w:kern w:val="0"/>
                      <w:sz w:val="21"/>
                      <w:szCs w:val="21"/>
                      <w:vertAlign w:val="superscript"/>
                    </w:rPr>
                    <w:t>2</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污泥螺杆泵</w:t>
                  </w:r>
                </w:p>
              </w:tc>
              <w:tc>
                <w:tcPr>
                  <w:tcW w:w="3456" w:type="dxa"/>
                  <w:vAlign w:val="center"/>
                </w:tcPr>
                <w:p>
                  <w:pPr>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Q=12.8m3/h,P=0.2MPa,N=3Kw</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2台回流泵变频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不锈钢集水槽</w:t>
                  </w:r>
                </w:p>
              </w:tc>
              <w:tc>
                <w:tcPr>
                  <w:tcW w:w="3456" w:type="dxa"/>
                  <w:vAlign w:val="center"/>
                </w:tcPr>
                <w:p>
                  <w:pPr>
                    <w:spacing w:line="240" w:lineRule="auto"/>
                    <w:rPr>
                      <w:rFonts w:ascii="Times New Roman" w:hAnsi="Times New Roman" w:eastAsia="宋体" w:cs="Times New Roman"/>
                      <w:sz w:val="21"/>
                      <w:szCs w:val="21"/>
                    </w:rPr>
                  </w:pPr>
                  <w:r>
                    <w:rPr>
                      <w:rFonts w:ascii="Times New Roman" w:hAnsi="Times New Roman" w:eastAsia="宋体" w:cs="Times New Roman"/>
                      <w:sz w:val="21"/>
                      <w:szCs w:val="21"/>
                    </w:rPr>
                    <w:t>LxBxH=3700x260x320</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w:t>
                  </w:r>
                  <w:r>
                    <w:rPr>
                      <w:rFonts w:hint="eastAsia" w:ascii="Times New Roman" w:hAnsi="Times New Roman" w:eastAsia="宋体" w:cs="Times New Roman"/>
                      <w:kern w:val="0"/>
                      <w:sz w:val="21"/>
                      <w:szCs w:val="21"/>
                    </w:rPr>
                    <w:t>套</w:t>
                  </w:r>
                </w:p>
              </w:tc>
              <w:tc>
                <w:tcPr>
                  <w:tcW w:w="1640" w:type="dxa"/>
                  <w:vAlign w:val="center"/>
                </w:tcPr>
                <w:p>
                  <w:pPr>
                    <w:spacing w:line="240" w:lineRule="auto"/>
                    <w:jc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水下图像采集装置</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相机像素：200万</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防护等级：IP68</w:t>
                  </w:r>
                </w:p>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带供电模块，现场弱电箱及安装支架</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进水流量计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DN350,测量范围：0-500m3/h；</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测量精度：±0.5%</w:t>
                  </w:r>
                </w:p>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含现场仪表柜。</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进水pH/T计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pH测量范围0.00~14.00；</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温度测量范围0-100℃</w:t>
                  </w:r>
                </w:p>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含现场仪表柜。</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进水电导率计</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哈希、E+H等优质品牌</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检测范围0~2000 mS/cm；</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测量精度：±1%</w:t>
                  </w:r>
                </w:p>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含现场仪表柜。</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进水TP在线分析仪</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哈希、E+H等优质品牌</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测量范围0.05~10.00 mg/L；</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测量精度：±0.5%</w:t>
                  </w:r>
                </w:p>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含现场仪表柜。</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12</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进水悬浮物在线分析仪</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哈希、E+H等优质品牌</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测量范围0~50mg/L；</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测量精度：±1%</w:t>
                  </w:r>
                </w:p>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含现场仪表柜。</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r>
                    <w:rPr>
                      <w:rFonts w:hint="eastAsia" w:ascii="Times New Roman" w:hAnsi="Times New Roman" w:eastAsia="宋体" w:cs="Times New Roman"/>
                      <w:kern w:val="0"/>
                      <w:sz w:val="21"/>
                      <w:szCs w:val="21"/>
                    </w:rPr>
                    <w:t>台</w:t>
                  </w:r>
                </w:p>
              </w:tc>
              <w:tc>
                <w:tcPr>
                  <w:tcW w:w="1640" w:type="dxa"/>
                  <w:vAlign w:val="center"/>
                </w:tcPr>
                <w:p>
                  <w:pPr>
                    <w:spacing w:line="240" w:lineRule="auto"/>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出水悬浮物在线分析仪</w:t>
                  </w:r>
                </w:p>
              </w:tc>
              <w:tc>
                <w:tcPr>
                  <w:tcW w:w="345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哈希、E+H等优质品牌</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测量范围0~50mg/L；</w:t>
                  </w:r>
                </w:p>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测量精度：±1%</w:t>
                  </w:r>
                </w:p>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含现场仪表柜。</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r>
                    <w:rPr>
                      <w:rFonts w:hint="eastAsia" w:ascii="Times New Roman" w:hAnsi="Times New Roman" w:eastAsia="宋体" w:cs="Times New Roman"/>
                      <w:kern w:val="0"/>
                      <w:sz w:val="21"/>
                      <w:szCs w:val="21"/>
                    </w:rPr>
                    <w:t>台</w:t>
                  </w:r>
                </w:p>
              </w:tc>
              <w:tc>
                <w:tcPr>
                  <w:tcW w:w="1640" w:type="dxa"/>
                  <w:vAlign w:val="center"/>
                </w:tcPr>
                <w:p>
                  <w:pPr>
                    <w:spacing w:line="240" w:lineRule="auto"/>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14</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PAM加药管</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de32</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w:t>
                  </w:r>
                  <w:r>
                    <w:rPr>
                      <w:rFonts w:hint="eastAsia" w:ascii="Times New Roman" w:hAnsi="Times New Roman" w:eastAsia="宋体" w:cs="Times New Roman"/>
                      <w:kern w:val="0"/>
                      <w:sz w:val="21"/>
                      <w:szCs w:val="21"/>
                    </w:rPr>
                    <w:t>台</w:t>
                  </w:r>
                </w:p>
              </w:tc>
              <w:tc>
                <w:tcPr>
                  <w:tcW w:w="1640" w:type="dxa"/>
                  <w:vAlign w:val="center"/>
                </w:tcPr>
                <w:p>
                  <w:pPr>
                    <w:spacing w:line="240" w:lineRule="auto"/>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0"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w:t>
                  </w:r>
                </w:p>
              </w:tc>
              <w:tc>
                <w:tcPr>
                  <w:tcW w:w="1296" w:type="dxa"/>
                  <w:vAlign w:val="center"/>
                </w:tcPr>
                <w:p>
                  <w:pPr>
                    <w:spacing w:line="240" w:lineRule="auto"/>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PAC加药管</w:t>
                  </w:r>
                </w:p>
              </w:tc>
              <w:tc>
                <w:tcPr>
                  <w:tcW w:w="3456" w:type="dxa"/>
                  <w:vAlign w:val="center"/>
                </w:tcPr>
                <w:p>
                  <w:pPr>
                    <w:spacing w:line="240" w:lineRule="auto"/>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de25</w:t>
                  </w:r>
                </w:p>
              </w:tc>
              <w:tc>
                <w:tcPr>
                  <w:tcW w:w="992" w:type="dxa"/>
                  <w:vAlign w:val="center"/>
                </w:tcPr>
                <w:p>
                  <w:pPr>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w:t>
                  </w:r>
                  <w:r>
                    <w:rPr>
                      <w:rFonts w:hint="eastAsia" w:ascii="Times New Roman" w:hAnsi="Times New Roman" w:eastAsia="宋体" w:cs="Times New Roman"/>
                      <w:kern w:val="0"/>
                      <w:sz w:val="21"/>
                      <w:szCs w:val="21"/>
                    </w:rPr>
                    <w:t>台</w:t>
                  </w:r>
                </w:p>
              </w:tc>
              <w:tc>
                <w:tcPr>
                  <w:tcW w:w="1640" w:type="dxa"/>
                  <w:vAlign w:val="center"/>
                </w:tcPr>
                <w:p>
                  <w:pPr>
                    <w:spacing w:line="240" w:lineRule="auto"/>
                    <w:textAlignment w:val="center"/>
                    <w:rPr>
                      <w:rFonts w:ascii="Times New Roman" w:hAnsi="Times New Roman" w:eastAsia="宋体" w:cs="Times New Roman"/>
                      <w:sz w:val="21"/>
                      <w:szCs w:val="21"/>
                    </w:rPr>
                  </w:pPr>
                </w:p>
              </w:tc>
            </w:tr>
          </w:tbl>
          <w:p>
            <w:pPr>
              <w:widowControl w:val="0"/>
              <w:autoSpaceDE w:val="0"/>
              <w:autoSpaceDN w:val="0"/>
              <w:adjustRightInd w:val="0"/>
              <w:snapToGrid w:val="0"/>
              <w:spacing w:before="163" w:beforeLines="50"/>
              <w:jc w:val="left"/>
              <w:rPr>
                <w:rFonts w:eastAsia="黑体"/>
                <w:b w:val="0"/>
                <w:bCs w:val="0"/>
              </w:rPr>
            </w:pPr>
            <w:r>
              <w:rPr>
                <w:rFonts w:eastAsia="黑体"/>
                <w:b/>
                <w:bCs/>
              </w:rPr>
              <w:t>2.9</w:t>
            </w:r>
            <w:r>
              <w:rPr>
                <w:rFonts w:hint="eastAsia" w:eastAsia="黑体"/>
                <w:b/>
                <w:bCs/>
              </w:rPr>
              <w:t>主要原辅材料</w:t>
            </w:r>
          </w:p>
          <w:p>
            <w:pPr>
              <w:pStyle w:val="161"/>
              <w:numPr>
                <w:ilvl w:val="0"/>
                <w:numId w:val="5"/>
              </w:numPr>
              <w:ind w:firstLineChars="0"/>
              <w:jc w:val="center"/>
              <w:rPr>
                <w:rFonts w:eastAsia="黑体"/>
                <w:b w:val="0"/>
                <w:bCs w:val="0"/>
              </w:rPr>
            </w:pPr>
            <w:r>
              <w:rPr>
                <w:rFonts w:hint="eastAsia" w:eastAsia="黑体"/>
                <w:b w:val="0"/>
                <w:bCs w:val="0"/>
              </w:rPr>
              <w:t>本项目主要原辅材料</w:t>
            </w:r>
          </w:p>
          <w:tbl>
            <w:tblPr>
              <w:tblStyle w:val="44"/>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1276"/>
              <w:gridCol w:w="1141"/>
              <w:gridCol w:w="1565"/>
              <w:gridCol w:w="1166"/>
              <w:gridCol w:w="873"/>
              <w:gridCol w:w="1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1333" w:type="pct"/>
                  <w:gridSpan w:val="2"/>
                  <w:vAlign w:val="center"/>
                </w:tcPr>
                <w:p>
                  <w:pPr>
                    <w:pStyle w:val="189"/>
                    <w:spacing w:line="360" w:lineRule="exact"/>
                    <w:contextualSpacing/>
                    <w:rPr>
                      <w:rFonts w:eastAsia="Helv" w:cs="Times New Roman"/>
                      <w:b/>
                      <w:bCs w:val="0"/>
                      <w:szCs w:val="21"/>
                    </w:rPr>
                  </w:pPr>
                  <w:r>
                    <w:rPr>
                      <w:rFonts w:cs="Times New Roman"/>
                      <w:b/>
                      <w:bCs w:val="0"/>
                      <w:szCs w:val="21"/>
                    </w:rPr>
                    <w:t>名称</w:t>
                  </w:r>
                </w:p>
              </w:tc>
              <w:tc>
                <w:tcPr>
                  <w:tcW w:w="684" w:type="pct"/>
                  <w:vAlign w:val="center"/>
                </w:tcPr>
                <w:p>
                  <w:pPr>
                    <w:pStyle w:val="189"/>
                    <w:spacing w:line="360" w:lineRule="exact"/>
                    <w:contextualSpacing/>
                    <w:rPr>
                      <w:rFonts w:eastAsia="Helv" w:cs="Times New Roman"/>
                      <w:b/>
                      <w:bCs w:val="0"/>
                      <w:szCs w:val="21"/>
                    </w:rPr>
                  </w:pPr>
                  <w:r>
                    <w:rPr>
                      <w:rFonts w:cs="Times New Roman"/>
                      <w:b/>
                      <w:bCs w:val="0"/>
                      <w:szCs w:val="21"/>
                    </w:rPr>
                    <w:t>单位</w:t>
                  </w:r>
                </w:p>
              </w:tc>
              <w:tc>
                <w:tcPr>
                  <w:tcW w:w="938" w:type="pct"/>
                  <w:vAlign w:val="center"/>
                </w:tcPr>
                <w:p>
                  <w:pPr>
                    <w:pStyle w:val="189"/>
                    <w:spacing w:line="360" w:lineRule="exact"/>
                    <w:contextualSpacing/>
                    <w:rPr>
                      <w:rFonts w:cs="Times New Roman"/>
                      <w:b/>
                      <w:bCs w:val="0"/>
                      <w:szCs w:val="21"/>
                    </w:rPr>
                  </w:pPr>
                  <w:r>
                    <w:rPr>
                      <w:rFonts w:hint="eastAsia" w:cs="Times New Roman"/>
                      <w:b/>
                      <w:bCs w:val="0"/>
                      <w:szCs w:val="21"/>
                    </w:rPr>
                    <w:t>一期、二期</w:t>
                  </w:r>
                </w:p>
                <w:p>
                  <w:pPr>
                    <w:pStyle w:val="189"/>
                    <w:spacing w:line="360" w:lineRule="exact"/>
                    <w:contextualSpacing/>
                    <w:rPr>
                      <w:rFonts w:eastAsia="Helv" w:cs="Times New Roman"/>
                      <w:b/>
                      <w:bCs w:val="0"/>
                      <w:szCs w:val="21"/>
                    </w:rPr>
                  </w:pPr>
                  <w:r>
                    <w:rPr>
                      <w:rFonts w:cs="Times New Roman"/>
                      <w:b/>
                      <w:bCs w:val="0"/>
                      <w:szCs w:val="21"/>
                    </w:rPr>
                    <w:t>项目用量</w:t>
                  </w:r>
                </w:p>
              </w:tc>
              <w:tc>
                <w:tcPr>
                  <w:tcW w:w="699" w:type="pct"/>
                  <w:vAlign w:val="center"/>
                </w:tcPr>
                <w:p>
                  <w:pPr>
                    <w:pStyle w:val="108"/>
                    <w:spacing w:line="360" w:lineRule="exact"/>
                    <w:contextualSpacing/>
                    <w:rPr>
                      <w:rFonts w:ascii="Times New Roman" w:hAnsi="Times New Roman"/>
                      <w:b/>
                      <w:bCs w:val="0"/>
                      <w:szCs w:val="21"/>
                    </w:rPr>
                  </w:pPr>
                  <w:r>
                    <w:rPr>
                      <w:rFonts w:ascii="Times New Roman" w:hAnsi="Times New Roman"/>
                      <w:b/>
                      <w:bCs w:val="0"/>
                      <w:szCs w:val="21"/>
                    </w:rPr>
                    <w:t>储存形式</w:t>
                  </w:r>
                </w:p>
              </w:tc>
              <w:tc>
                <w:tcPr>
                  <w:tcW w:w="523" w:type="pct"/>
                  <w:vAlign w:val="center"/>
                </w:tcPr>
                <w:p>
                  <w:pPr>
                    <w:pStyle w:val="189"/>
                    <w:spacing w:line="360" w:lineRule="exact"/>
                    <w:contextualSpacing/>
                    <w:rPr>
                      <w:rFonts w:eastAsia="Helv" w:cs="Times New Roman"/>
                      <w:b/>
                      <w:bCs w:val="0"/>
                      <w:szCs w:val="21"/>
                    </w:rPr>
                  </w:pPr>
                  <w:r>
                    <w:rPr>
                      <w:rFonts w:cs="Times New Roman"/>
                      <w:b/>
                      <w:bCs w:val="0"/>
                      <w:szCs w:val="21"/>
                    </w:rPr>
                    <w:t>来源</w:t>
                  </w:r>
                </w:p>
              </w:tc>
              <w:tc>
                <w:tcPr>
                  <w:tcW w:w="822" w:type="pct"/>
                  <w:vAlign w:val="center"/>
                </w:tcPr>
                <w:p>
                  <w:pPr>
                    <w:pStyle w:val="189"/>
                    <w:spacing w:line="360" w:lineRule="exact"/>
                    <w:contextualSpacing/>
                    <w:rPr>
                      <w:rFonts w:eastAsia="Helv" w:cs="Times New Roman"/>
                      <w:b/>
                      <w:bCs w:val="0"/>
                      <w:szCs w:val="21"/>
                    </w:rPr>
                  </w:pPr>
                  <w:r>
                    <w:rPr>
                      <w:rFonts w:hint="eastAsia" w:cs="Times New Roman"/>
                      <w:b/>
                      <w:bCs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vMerge w:val="restar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药剂</w:t>
                  </w:r>
                </w:p>
              </w:tc>
              <w:tc>
                <w:tcPr>
                  <w:tcW w:w="765"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PAC</w:t>
                  </w:r>
                </w:p>
              </w:tc>
              <w:tc>
                <w:tcPr>
                  <w:tcW w:w="684"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t/a</w:t>
                  </w:r>
                </w:p>
              </w:tc>
              <w:tc>
                <w:tcPr>
                  <w:tcW w:w="938"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500</w:t>
                  </w:r>
                </w:p>
              </w:tc>
              <w:tc>
                <w:tcPr>
                  <w:tcW w:w="699"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桶装</w:t>
                  </w:r>
                </w:p>
              </w:tc>
              <w:tc>
                <w:tcPr>
                  <w:tcW w:w="523" w:type="pct"/>
                  <w:vMerge w:val="restar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外购</w:t>
                  </w:r>
                </w:p>
              </w:tc>
              <w:tc>
                <w:tcPr>
                  <w:tcW w:w="822"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聚合氯化铝</w:t>
                  </w:r>
                  <w:r>
                    <w:rPr>
                      <w:rFonts w:hint="eastAsia" w:ascii="Times New Roman" w:hAnsi="Times New Roman"/>
                      <w:b w:val="0"/>
                      <w:szCs w:val="21"/>
                    </w:rPr>
                    <w:t>，絮凝剂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vMerge w:val="continue"/>
                  <w:vAlign w:val="center"/>
                </w:tcPr>
                <w:p>
                  <w:pPr>
                    <w:pStyle w:val="108"/>
                    <w:spacing w:line="360" w:lineRule="exact"/>
                    <w:contextualSpacing/>
                    <w:rPr>
                      <w:rFonts w:ascii="Times New Roman" w:hAnsi="Times New Roman"/>
                      <w:b w:val="0"/>
                      <w:szCs w:val="21"/>
                    </w:rPr>
                  </w:pPr>
                </w:p>
              </w:tc>
              <w:tc>
                <w:tcPr>
                  <w:tcW w:w="765" w:type="pct"/>
                  <w:vAlign w:val="center"/>
                </w:tcPr>
                <w:p>
                  <w:pPr>
                    <w:pStyle w:val="108"/>
                    <w:spacing w:line="360" w:lineRule="exact"/>
                    <w:contextualSpacing/>
                    <w:rPr>
                      <w:rFonts w:ascii="Times New Roman" w:hAnsi="Times New Roman" w:eastAsia="Times New Roman"/>
                      <w:b w:val="0"/>
                      <w:szCs w:val="21"/>
                    </w:rPr>
                  </w:pPr>
                  <w:r>
                    <w:rPr>
                      <w:rFonts w:ascii="Times New Roman" w:hAnsi="Times New Roman"/>
                      <w:b w:val="0"/>
                      <w:szCs w:val="21"/>
                    </w:rPr>
                    <w:t>PAM</w:t>
                  </w:r>
                </w:p>
              </w:tc>
              <w:tc>
                <w:tcPr>
                  <w:tcW w:w="684" w:type="pct"/>
                  <w:vAlign w:val="center"/>
                </w:tcPr>
                <w:p>
                  <w:pPr>
                    <w:pStyle w:val="108"/>
                    <w:spacing w:line="360" w:lineRule="exact"/>
                    <w:contextualSpacing/>
                    <w:rPr>
                      <w:rFonts w:ascii="Times New Roman" w:hAnsi="Times New Roman" w:eastAsia="Times New Roman"/>
                      <w:b w:val="0"/>
                      <w:szCs w:val="21"/>
                    </w:rPr>
                  </w:pPr>
                  <w:r>
                    <w:rPr>
                      <w:rFonts w:ascii="Times New Roman" w:hAnsi="Times New Roman"/>
                      <w:b w:val="0"/>
                      <w:szCs w:val="21"/>
                    </w:rPr>
                    <w:t>t/a</w:t>
                  </w:r>
                </w:p>
              </w:tc>
              <w:tc>
                <w:tcPr>
                  <w:tcW w:w="938"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15.8</w:t>
                  </w:r>
                </w:p>
              </w:tc>
              <w:tc>
                <w:tcPr>
                  <w:tcW w:w="699" w:type="pct"/>
                  <w:vAlign w:val="center"/>
                </w:tcPr>
                <w:p>
                  <w:pPr>
                    <w:pStyle w:val="108"/>
                    <w:spacing w:line="360" w:lineRule="exact"/>
                    <w:contextualSpacing/>
                    <w:rPr>
                      <w:rFonts w:ascii="Times New Roman" w:hAnsi="Times New Roman" w:eastAsia="Times New Roman"/>
                      <w:b w:val="0"/>
                      <w:szCs w:val="21"/>
                    </w:rPr>
                  </w:pPr>
                  <w:r>
                    <w:rPr>
                      <w:rFonts w:ascii="Times New Roman" w:hAnsi="Times New Roman"/>
                      <w:b w:val="0"/>
                      <w:szCs w:val="21"/>
                    </w:rPr>
                    <w:t>桶装</w:t>
                  </w:r>
                </w:p>
              </w:tc>
              <w:tc>
                <w:tcPr>
                  <w:tcW w:w="523" w:type="pct"/>
                  <w:vMerge w:val="continue"/>
                  <w:vAlign w:val="center"/>
                </w:tcPr>
                <w:p>
                  <w:pPr>
                    <w:pStyle w:val="108"/>
                    <w:spacing w:line="360" w:lineRule="exact"/>
                    <w:contextualSpacing/>
                    <w:rPr>
                      <w:rFonts w:ascii="Times New Roman" w:hAnsi="Times New Roman"/>
                      <w:b w:val="0"/>
                      <w:szCs w:val="21"/>
                    </w:rPr>
                  </w:pPr>
                </w:p>
              </w:tc>
              <w:tc>
                <w:tcPr>
                  <w:tcW w:w="822"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聚丙烯酰胺</w:t>
                  </w:r>
                  <w:r>
                    <w:rPr>
                      <w:rFonts w:hint="eastAsia" w:ascii="Times New Roman" w:hAnsi="Times New Roman"/>
                      <w:b w:val="0"/>
                      <w:szCs w:val="21"/>
                    </w:rPr>
                    <w:t>，絮凝剂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vMerge w:val="continue"/>
                  <w:vAlign w:val="center"/>
                </w:tcPr>
                <w:p>
                  <w:pPr>
                    <w:pStyle w:val="108"/>
                    <w:spacing w:line="360" w:lineRule="exact"/>
                    <w:contextualSpacing/>
                    <w:rPr>
                      <w:rFonts w:ascii="Times New Roman" w:hAnsi="Times New Roman"/>
                      <w:b w:val="0"/>
                      <w:szCs w:val="21"/>
                    </w:rPr>
                  </w:pPr>
                </w:p>
              </w:tc>
              <w:tc>
                <w:tcPr>
                  <w:tcW w:w="765" w:type="pct"/>
                  <w:vAlign w:val="center"/>
                </w:tcPr>
                <w:p>
                  <w:pPr>
                    <w:pStyle w:val="108"/>
                    <w:spacing w:line="360" w:lineRule="exact"/>
                    <w:contextualSpacing/>
                    <w:rPr>
                      <w:rFonts w:ascii="Times New Roman" w:hAnsi="Times New Roman"/>
                      <w:b w:val="0"/>
                      <w:szCs w:val="21"/>
                    </w:rPr>
                  </w:pPr>
                  <w:r>
                    <w:rPr>
                      <w:rFonts w:hint="eastAsia" w:ascii="Times New Roman" w:hAnsi="Times New Roman"/>
                      <w:b w:val="0"/>
                      <w:szCs w:val="21"/>
                    </w:rPr>
                    <w:t>乙酸钠</w:t>
                  </w:r>
                </w:p>
              </w:tc>
              <w:tc>
                <w:tcPr>
                  <w:tcW w:w="684"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t/a</w:t>
                  </w:r>
                </w:p>
              </w:tc>
              <w:tc>
                <w:tcPr>
                  <w:tcW w:w="938"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322</w:t>
                  </w:r>
                </w:p>
              </w:tc>
              <w:tc>
                <w:tcPr>
                  <w:tcW w:w="699"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桶装</w:t>
                  </w:r>
                </w:p>
              </w:tc>
              <w:tc>
                <w:tcPr>
                  <w:tcW w:w="523" w:type="pct"/>
                  <w:vMerge w:val="continue"/>
                  <w:vAlign w:val="center"/>
                </w:tcPr>
                <w:p>
                  <w:pPr>
                    <w:pStyle w:val="108"/>
                    <w:spacing w:line="360" w:lineRule="exact"/>
                    <w:contextualSpacing/>
                    <w:rPr>
                      <w:rFonts w:ascii="Times New Roman" w:hAnsi="Times New Roman"/>
                      <w:b w:val="0"/>
                      <w:szCs w:val="21"/>
                    </w:rPr>
                  </w:pPr>
                </w:p>
              </w:tc>
              <w:tc>
                <w:tcPr>
                  <w:tcW w:w="822" w:type="pct"/>
                  <w:vAlign w:val="center"/>
                </w:tcPr>
                <w:p>
                  <w:pPr>
                    <w:pStyle w:val="108"/>
                    <w:spacing w:line="360" w:lineRule="exact"/>
                    <w:contextualSpacing/>
                    <w:rPr>
                      <w:rFonts w:ascii="Times New Roman" w:hAnsi="Times New Roman"/>
                      <w:b w:val="0"/>
                      <w:szCs w:val="21"/>
                    </w:rPr>
                  </w:pPr>
                  <w:r>
                    <w:rPr>
                      <w:rFonts w:hint="eastAsia" w:ascii="Times New Roman" w:hAnsi="Times New Roman"/>
                      <w:b w:val="0"/>
                      <w:szCs w:val="21"/>
                    </w:rPr>
                    <w:t>用作碳源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69" w:type="pct"/>
                  <w:vMerge w:val="continue"/>
                  <w:vAlign w:val="center"/>
                </w:tcPr>
                <w:p>
                  <w:pPr>
                    <w:pStyle w:val="108"/>
                    <w:spacing w:line="360" w:lineRule="exact"/>
                    <w:contextualSpacing/>
                    <w:rPr>
                      <w:rFonts w:ascii="Times New Roman" w:hAnsi="Times New Roman"/>
                      <w:b w:val="0"/>
                      <w:szCs w:val="21"/>
                    </w:rPr>
                  </w:pPr>
                </w:p>
              </w:tc>
              <w:tc>
                <w:tcPr>
                  <w:tcW w:w="765" w:type="pct"/>
                  <w:vAlign w:val="center"/>
                </w:tcPr>
                <w:p>
                  <w:pPr>
                    <w:pStyle w:val="108"/>
                    <w:spacing w:line="360" w:lineRule="exact"/>
                    <w:contextualSpacing/>
                    <w:rPr>
                      <w:rFonts w:ascii="Times New Roman" w:hAnsi="Times New Roman"/>
                      <w:b w:val="0"/>
                      <w:szCs w:val="21"/>
                    </w:rPr>
                  </w:pPr>
                  <w:r>
                    <w:rPr>
                      <w:rFonts w:hint="eastAsia" w:ascii="Times New Roman" w:hAnsi="Times New Roman"/>
                      <w:b w:val="0"/>
                      <w:szCs w:val="21"/>
                    </w:rPr>
                    <w:t>氯化钠</w:t>
                  </w:r>
                </w:p>
              </w:tc>
              <w:tc>
                <w:tcPr>
                  <w:tcW w:w="684"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t/a</w:t>
                  </w:r>
                </w:p>
              </w:tc>
              <w:tc>
                <w:tcPr>
                  <w:tcW w:w="938"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131.4</w:t>
                  </w:r>
                </w:p>
              </w:tc>
              <w:tc>
                <w:tcPr>
                  <w:tcW w:w="699"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桶装</w:t>
                  </w:r>
                </w:p>
              </w:tc>
              <w:tc>
                <w:tcPr>
                  <w:tcW w:w="523" w:type="pct"/>
                  <w:vMerge w:val="continue"/>
                  <w:vAlign w:val="center"/>
                </w:tcPr>
                <w:p>
                  <w:pPr>
                    <w:pStyle w:val="108"/>
                    <w:spacing w:line="360" w:lineRule="exact"/>
                    <w:contextualSpacing/>
                    <w:rPr>
                      <w:rFonts w:ascii="Times New Roman" w:hAnsi="Times New Roman"/>
                      <w:b w:val="0"/>
                      <w:szCs w:val="21"/>
                    </w:rPr>
                  </w:pPr>
                </w:p>
              </w:tc>
              <w:tc>
                <w:tcPr>
                  <w:tcW w:w="822" w:type="pct"/>
                  <w:vAlign w:val="center"/>
                </w:tcPr>
                <w:p>
                  <w:pPr>
                    <w:pStyle w:val="108"/>
                    <w:spacing w:line="360" w:lineRule="exact"/>
                    <w:contextualSpacing/>
                    <w:rPr>
                      <w:rFonts w:ascii="Times New Roman" w:hAnsi="Times New Roman"/>
                      <w:b w:val="0"/>
                      <w:szCs w:val="21"/>
                    </w:rPr>
                  </w:pPr>
                  <w:r>
                    <w:rPr>
                      <w:rFonts w:hint="eastAsia" w:ascii="Times New Roman" w:hAnsi="Times New Roman"/>
                      <w:b w:val="0"/>
                      <w:szCs w:val="21"/>
                    </w:rPr>
                    <w:t>用于制备次氯酸钠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能源</w:t>
                  </w:r>
                </w:p>
              </w:tc>
              <w:tc>
                <w:tcPr>
                  <w:tcW w:w="765"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电</w:t>
                  </w:r>
                </w:p>
              </w:tc>
              <w:tc>
                <w:tcPr>
                  <w:tcW w:w="684"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万kw.h/a</w:t>
                  </w:r>
                </w:p>
              </w:tc>
              <w:tc>
                <w:tcPr>
                  <w:tcW w:w="938"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312.5</w:t>
                  </w:r>
                </w:p>
              </w:tc>
              <w:tc>
                <w:tcPr>
                  <w:tcW w:w="699"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w:t>
                  </w:r>
                </w:p>
              </w:tc>
              <w:tc>
                <w:tcPr>
                  <w:tcW w:w="523"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市政</w:t>
                  </w:r>
                </w:p>
                <w:p>
                  <w:pPr>
                    <w:pStyle w:val="108"/>
                    <w:spacing w:line="360" w:lineRule="exact"/>
                    <w:contextualSpacing/>
                    <w:rPr>
                      <w:rFonts w:ascii="Times New Roman" w:hAnsi="Times New Roman"/>
                      <w:b w:val="0"/>
                      <w:szCs w:val="21"/>
                    </w:rPr>
                  </w:pPr>
                  <w:r>
                    <w:rPr>
                      <w:rFonts w:ascii="Times New Roman" w:hAnsi="Times New Roman"/>
                      <w:b w:val="0"/>
                      <w:szCs w:val="21"/>
                    </w:rPr>
                    <w:t>电网</w:t>
                  </w:r>
                </w:p>
              </w:tc>
              <w:tc>
                <w:tcPr>
                  <w:tcW w:w="822"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9"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水量</w:t>
                  </w:r>
                </w:p>
              </w:tc>
              <w:tc>
                <w:tcPr>
                  <w:tcW w:w="765"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水</w:t>
                  </w:r>
                </w:p>
              </w:tc>
              <w:tc>
                <w:tcPr>
                  <w:tcW w:w="684"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t/a</w:t>
                  </w:r>
                </w:p>
              </w:tc>
              <w:tc>
                <w:tcPr>
                  <w:tcW w:w="938" w:type="pct"/>
                  <w:vAlign w:val="center"/>
                </w:tcPr>
                <w:p>
                  <w:pPr>
                    <w:pStyle w:val="108"/>
                    <w:spacing w:line="360" w:lineRule="exact"/>
                    <w:contextualSpacing/>
                    <w:rPr>
                      <w:rFonts w:ascii="Times New Roman" w:hAnsi="Times New Roman"/>
                      <w:b w:val="0"/>
                      <w:szCs w:val="21"/>
                    </w:rPr>
                  </w:pPr>
                  <w:r>
                    <w:rPr>
                      <w:rFonts w:hint="eastAsia" w:ascii="Times New Roman" w:hAnsi="Times New Roman"/>
                      <w:b w:val="0"/>
                      <w:szCs w:val="21"/>
                    </w:rPr>
                    <w:t>600</w:t>
                  </w:r>
                </w:p>
              </w:tc>
              <w:tc>
                <w:tcPr>
                  <w:tcW w:w="699"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w:t>
                  </w:r>
                </w:p>
              </w:tc>
              <w:tc>
                <w:tcPr>
                  <w:tcW w:w="523"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市政自来水管网</w:t>
                  </w:r>
                </w:p>
              </w:tc>
              <w:tc>
                <w:tcPr>
                  <w:tcW w:w="822" w:type="pct"/>
                  <w:vAlign w:val="center"/>
                </w:tcPr>
                <w:p>
                  <w:pPr>
                    <w:pStyle w:val="108"/>
                    <w:spacing w:line="360" w:lineRule="exact"/>
                    <w:contextualSpacing/>
                    <w:rPr>
                      <w:rFonts w:ascii="Times New Roman" w:hAnsi="Times New Roman"/>
                      <w:b w:val="0"/>
                      <w:szCs w:val="21"/>
                    </w:rPr>
                  </w:pPr>
                  <w:r>
                    <w:rPr>
                      <w:rFonts w:ascii="Times New Roman" w:hAnsi="Times New Roman"/>
                      <w:b w:val="0"/>
                      <w:szCs w:val="21"/>
                    </w:rPr>
                    <w:t>H</w:t>
                  </w:r>
                  <w:r>
                    <w:rPr>
                      <w:rFonts w:ascii="Times New Roman" w:hAnsi="Times New Roman"/>
                      <w:b w:val="0"/>
                      <w:szCs w:val="21"/>
                      <w:vertAlign w:val="subscript"/>
                    </w:rPr>
                    <w:t>2</w:t>
                  </w:r>
                  <w:r>
                    <w:rPr>
                      <w:rFonts w:ascii="Times New Roman" w:hAnsi="Times New Roman"/>
                      <w:b w:val="0"/>
                      <w:szCs w:val="21"/>
                    </w:rPr>
                    <w:t>O</w:t>
                  </w:r>
                  <w:r>
                    <w:rPr>
                      <w:rFonts w:hint="eastAsia" w:ascii="Times New Roman" w:hAnsi="Times New Roman"/>
                      <w:b w:val="0"/>
                      <w:szCs w:val="21"/>
                    </w:rPr>
                    <w:t>，主要用于办公生活以及化验室</w:t>
                  </w:r>
                </w:p>
              </w:tc>
            </w:tr>
          </w:tbl>
          <w:p>
            <w:pPr>
              <w:widowControl w:val="0"/>
              <w:ind w:firstLine="482" w:firstLineChars="200"/>
              <w:jc w:val="both"/>
              <w:rPr>
                <w:rFonts w:ascii="Times New Roman" w:hAnsi="Times New Roman" w:cs="Times New Roman"/>
                <w:b/>
              </w:rPr>
            </w:pPr>
            <w:r>
              <w:rPr>
                <w:rFonts w:ascii="Times New Roman" w:hAnsi="Times New Roman" w:cs="Times New Roman"/>
                <w:b/>
              </w:rPr>
              <w:t>主要原辅材料理化性质：</w:t>
            </w:r>
          </w:p>
          <w:p>
            <w:pPr>
              <w:widowControl w:val="0"/>
              <w:ind w:firstLine="482" w:firstLineChars="200"/>
              <w:jc w:val="both"/>
              <w:rPr>
                <w:rFonts w:ascii="Times New Roman" w:hAnsi="Times New Roman" w:cs="Times New Roman"/>
                <w:szCs w:val="28"/>
              </w:rPr>
            </w:pPr>
            <w:r>
              <w:rPr>
                <w:rFonts w:ascii="Times New Roman" w:hAnsi="Times New Roman" w:cs="Times New Roman"/>
                <w:b/>
                <w:szCs w:val="28"/>
              </w:rPr>
              <w:t>聚合氯化铝（PAC）</w:t>
            </w:r>
            <w:r>
              <w:rPr>
                <w:rFonts w:ascii="Times New Roman" w:hAnsi="Times New Roman" w:cs="Times New Roman"/>
                <w:szCs w:val="28"/>
              </w:rPr>
              <w:t>：聚合氯化铝也称碱式氯化铝代号PAC，通常也称作净水剂或混凝剂，它是介于AlCl</w:t>
            </w:r>
            <w:r>
              <w:rPr>
                <w:rFonts w:ascii="Times New Roman" w:hAnsi="Times New Roman" w:cs="Times New Roman"/>
                <w:szCs w:val="28"/>
                <w:vertAlign w:val="subscript"/>
              </w:rPr>
              <w:t>3</w:t>
            </w:r>
            <w:r>
              <w:rPr>
                <w:rFonts w:ascii="Times New Roman" w:hAnsi="Times New Roman" w:cs="Times New Roman"/>
                <w:szCs w:val="28"/>
              </w:rPr>
              <w:t>和Al(OH)</w:t>
            </w:r>
            <w:r>
              <w:rPr>
                <w:rFonts w:ascii="Times New Roman" w:hAnsi="Times New Roman" w:cs="Times New Roman"/>
                <w:szCs w:val="28"/>
                <w:vertAlign w:val="subscript"/>
              </w:rPr>
              <w:t>3</w:t>
            </w:r>
            <w:r>
              <w:rPr>
                <w:rFonts w:ascii="Times New Roman" w:hAnsi="Times New Roman" w:cs="Times New Roman"/>
                <w:szCs w:val="28"/>
              </w:rPr>
              <w:t>之间的一种水溶性无机高分子聚合物，化学通式为【Al</w:t>
            </w:r>
            <w:r>
              <w:rPr>
                <w:rFonts w:ascii="Times New Roman" w:hAnsi="Times New Roman" w:cs="Times New Roman"/>
                <w:szCs w:val="28"/>
                <w:vertAlign w:val="subscript"/>
              </w:rPr>
              <w:t>2</w:t>
            </w:r>
            <w:r>
              <w:rPr>
                <w:rFonts w:ascii="Times New Roman" w:hAnsi="Times New Roman" w:cs="Times New Roman"/>
                <w:szCs w:val="28"/>
              </w:rPr>
              <w:t>(OH)nCl</w:t>
            </w:r>
            <w:r>
              <w:rPr>
                <w:rFonts w:ascii="Times New Roman" w:hAnsi="Times New Roman" w:cs="Times New Roman"/>
                <w:szCs w:val="28"/>
                <w:vertAlign w:val="subscript"/>
              </w:rPr>
              <w:t>6-n</w:t>
            </w:r>
            <w:r>
              <w:rPr>
                <w:rFonts w:ascii="Times New Roman" w:hAnsi="Times New Roman" w:cs="Times New Roman"/>
                <w:szCs w:val="28"/>
              </w:rPr>
              <w:t>】</w:t>
            </w:r>
            <w:r>
              <w:rPr>
                <w:rFonts w:ascii="Times New Roman" w:hAnsi="Times New Roman" w:cs="Times New Roman"/>
                <w:szCs w:val="28"/>
                <w:vertAlign w:val="subscript"/>
              </w:rPr>
              <w:t>m</w:t>
            </w:r>
            <w:r>
              <w:rPr>
                <w:rFonts w:ascii="Times New Roman" w:hAnsi="Times New Roman" w:cs="Times New Roman"/>
                <w:szCs w:val="28"/>
              </w:rPr>
              <w:t>其中m代表聚合程度，n表示PAC产品的中性程度。该产品广泛用于饮用水、工业用水和污水处理领域。</w:t>
            </w:r>
          </w:p>
          <w:p>
            <w:pPr>
              <w:widowControl w:val="0"/>
              <w:ind w:firstLine="482" w:firstLineChars="200"/>
              <w:jc w:val="both"/>
              <w:rPr>
                <w:rFonts w:ascii="Times New Roman" w:hAnsi="Times New Roman" w:cs="Times New Roman"/>
                <w:szCs w:val="28"/>
              </w:rPr>
            </w:pPr>
            <w:r>
              <w:rPr>
                <w:rFonts w:ascii="Times New Roman" w:hAnsi="Times New Roman" w:cs="Times New Roman"/>
                <w:b/>
                <w:szCs w:val="28"/>
              </w:rPr>
              <w:t>聚丙烯酰胺（PAM）</w:t>
            </w:r>
            <w:r>
              <w:rPr>
                <w:rFonts w:ascii="Times New Roman" w:hAnsi="Times New Roman" w:cs="Times New Roman"/>
                <w:szCs w:val="28"/>
              </w:rPr>
              <w:t>：通常被称为三号凝聚剂，为白色粉末或者小颗粒状物，密度为1.32g/cm</w:t>
            </w:r>
            <w:r>
              <w:rPr>
                <w:rFonts w:ascii="Times New Roman" w:hAnsi="Times New Roman" w:cs="Times New Roman"/>
                <w:szCs w:val="28"/>
                <w:vertAlign w:val="superscript"/>
              </w:rPr>
              <w:t>3</w:t>
            </w:r>
            <w:r>
              <w:rPr>
                <w:rFonts w:ascii="Times New Roman" w:hAnsi="Times New Roman" w:cs="Times New Roman"/>
                <w:szCs w:val="28"/>
              </w:rPr>
              <w:t>(23℃），玻璃化温度为188℃，软化温度近于210℃，一般方法干燥时含有少量的水，干时又会很快从环境中吸取水分，用冷冻干燥法分离的均聚物是白色松软的非结晶固体，但是当从溶液中沉淀并干燥后则为玻璃状部分透明的固体，完全干燥的聚丙烯酰胺（PAM）是脆性的白色固体，商品聚丙烯酰胺干燥通常是在适度的条件下干燥的，一般含水量为百分之五至百分之十五，浇铸在玻璃板上制备的高分子膜，则是透明、坚硬、易碎的固体。</w:t>
            </w:r>
          </w:p>
          <w:p>
            <w:pPr>
              <w:widowControl w:val="0"/>
              <w:ind w:firstLine="482" w:firstLineChars="200"/>
              <w:jc w:val="both"/>
              <w:rPr>
                <w:rFonts w:ascii="Times New Roman" w:hAnsi="Times New Roman" w:cs="Times New Roman"/>
                <w:szCs w:val="28"/>
              </w:rPr>
            </w:pPr>
            <w:r>
              <w:rPr>
                <w:rFonts w:hint="eastAsia" w:ascii="Times New Roman" w:hAnsi="Times New Roman" w:cs="Times New Roman"/>
                <w:b/>
                <w:bCs/>
                <w:szCs w:val="28"/>
              </w:rPr>
              <w:t>次氯酸钠：</w:t>
            </w:r>
            <w:r>
              <w:rPr>
                <w:rFonts w:hint="eastAsia" w:ascii="Times New Roman" w:hAnsi="Times New Roman" w:cs="Times New Roman"/>
                <w:szCs w:val="28"/>
              </w:rPr>
              <w:t>次氯酸钠（Sodium Hypochlorite），化学式 NaClO，微黄色溶液，有似氯气的气味，与有机物、日光接触发出有毒的氯气。对大多数金属有轻微的腐蚀。与酸接触时散出具有强刺激性和腐蚀性气体。</w:t>
            </w:r>
          </w:p>
          <w:p>
            <w:pPr>
              <w:widowControl w:val="0"/>
              <w:autoSpaceDE w:val="0"/>
              <w:autoSpaceDN w:val="0"/>
              <w:adjustRightInd w:val="0"/>
              <w:snapToGrid w:val="0"/>
              <w:spacing w:before="163" w:beforeLines="50"/>
              <w:jc w:val="left"/>
              <w:rPr>
                <w:rFonts w:eastAsia="黑体"/>
                <w:b/>
                <w:bCs/>
              </w:rPr>
            </w:pPr>
            <w:r>
              <w:rPr>
                <w:rFonts w:eastAsia="黑体"/>
                <w:b/>
                <w:bCs/>
              </w:rPr>
              <w:t>2.10水平衡分析</w:t>
            </w:r>
          </w:p>
          <w:p>
            <w:pPr>
              <w:widowControl w:val="0"/>
              <w:ind w:firstLine="482" w:firstLineChars="200"/>
              <w:jc w:val="both"/>
              <w:rPr>
                <w:b/>
                <w:bCs/>
              </w:rPr>
            </w:pPr>
            <w:r>
              <w:rPr>
                <w:b/>
                <w:bCs/>
              </w:rPr>
              <w:t>（1）</w:t>
            </w:r>
            <w:r>
              <w:rPr>
                <w:rFonts w:hint="eastAsia"/>
                <w:b/>
                <w:bCs/>
              </w:rPr>
              <w:t>给水</w:t>
            </w:r>
          </w:p>
          <w:p>
            <w:pPr>
              <w:widowControl w:val="0"/>
              <w:ind w:firstLine="480" w:firstLineChars="200"/>
              <w:jc w:val="both"/>
            </w:pPr>
            <w:r>
              <w:rPr>
                <w:rFonts w:hint="eastAsia"/>
              </w:rPr>
              <w:t>污水处理厂给水均由当地市政管网提供。市政给水干管接至污水处理厂供厂区生活和生产使用。</w:t>
            </w:r>
          </w:p>
          <w:p>
            <w:pPr>
              <w:widowControl w:val="0"/>
              <w:autoSpaceDE w:val="0"/>
              <w:autoSpaceDN w:val="0"/>
              <w:adjustRightInd w:val="0"/>
              <w:ind w:firstLine="482" w:firstLineChars="200"/>
              <w:jc w:val="left"/>
              <w:rPr>
                <w:rFonts w:ascii="宋体" w:hAnsi="宋体"/>
                <w:b/>
                <w:bCs/>
                <w:kern w:val="0"/>
              </w:rPr>
            </w:pPr>
            <w:r>
              <w:rPr>
                <w:rFonts w:hint="eastAsia" w:ascii="宋体" w:hAnsi="宋体"/>
                <w:b/>
                <w:bCs/>
                <w:kern w:val="0"/>
              </w:rPr>
              <w:t>（2）排水</w:t>
            </w:r>
          </w:p>
          <w:p>
            <w:pPr>
              <w:widowControl w:val="0"/>
              <w:ind w:firstLine="480" w:firstLineChars="200"/>
              <w:jc w:val="both"/>
              <w:rPr>
                <w:rFonts w:hint="default" w:ascii="Times New Roman" w:hAnsi="Times New Roman" w:cs="Times New Roman"/>
              </w:rPr>
            </w:pPr>
            <w:r>
              <w:rPr>
                <w:rFonts w:hint="default" w:ascii="Times New Roman" w:hAnsi="Times New Roman" w:cs="Times New Roman"/>
                <w:kern w:val="0"/>
              </w:rPr>
              <w:t>厂区排水实行雨污分流制。</w:t>
            </w:r>
            <w:r>
              <w:rPr>
                <w:rFonts w:hint="default" w:ascii="Times New Roman" w:hAnsi="Times New Roman" w:cs="Times New Roman"/>
              </w:rPr>
              <w:t>在厂区挡墙外侧设截水沟，用于收集山坡来水。在厂区车行道下敷设d1500排水管用于排出现有冲沟的雨水，排水管起点在厂区大门附近，接上游1.5×1.5m排水箱涵。厂区的雨水通过雨水管道汇集后排入排水管。</w:t>
            </w:r>
          </w:p>
          <w:p>
            <w:pPr>
              <w:widowControl w:val="0"/>
              <w:autoSpaceDE w:val="0"/>
              <w:autoSpaceDN w:val="0"/>
              <w:adjustRightInd w:val="0"/>
              <w:ind w:firstLine="480" w:firstLineChars="200"/>
              <w:jc w:val="left"/>
              <w:rPr>
                <w:rFonts w:hint="default" w:ascii="Times New Roman" w:hAnsi="Times New Roman" w:cs="Times New Roman"/>
                <w:kern w:val="0"/>
              </w:rPr>
            </w:pPr>
            <w:r>
              <w:rPr>
                <w:rFonts w:hint="default" w:ascii="Times New Roman" w:hAnsi="Times New Roman" w:cs="Times New Roman"/>
              </w:rPr>
              <w:t>污水处理厂生活污水、生产废水由厂内污水管收集送往格栅渠，与明月新城来的污水共同处理，</w:t>
            </w:r>
            <w:r>
              <w:rPr>
                <w:rFonts w:hint="default" w:ascii="Times New Roman" w:hAnsi="Times New Roman" w:cs="Times New Roman"/>
                <w:kern w:val="0"/>
              </w:rPr>
              <w:t>处理达到《城镇污水处理厂污染物排放标准》（GB18918-2002）一级A标后，排入州河。</w:t>
            </w:r>
          </w:p>
          <w:p>
            <w:pPr>
              <w:widowControl w:val="0"/>
              <w:autoSpaceDE w:val="0"/>
              <w:autoSpaceDN w:val="0"/>
              <w:adjustRightInd w:val="0"/>
              <w:ind w:firstLine="482" w:firstLineChars="200"/>
              <w:jc w:val="left"/>
              <w:rPr>
                <w:rFonts w:ascii="宋体" w:hAnsi="宋体"/>
                <w:b/>
                <w:bCs/>
                <w:kern w:val="0"/>
              </w:rPr>
            </w:pPr>
            <w:r>
              <w:rPr>
                <w:rFonts w:hint="eastAsia" w:ascii="宋体" w:hAnsi="宋体"/>
                <w:b/>
                <w:bCs/>
                <w:kern w:val="0"/>
              </w:rPr>
              <w:t>本项目水平衡图见下图。</w:t>
            </w:r>
          </w:p>
          <w:p>
            <w:pPr>
              <w:widowControl w:val="0"/>
              <w:autoSpaceDE w:val="0"/>
              <w:autoSpaceDN w:val="0"/>
              <w:adjustRightInd w:val="0"/>
              <w:jc w:val="center"/>
            </w:pPr>
            <w:r>
              <w:object>
                <v:shape id="_x0000_i1025" o:spt="75" type="#_x0000_t75" style="height:294pt;width:412.5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p>
          <w:p>
            <w:pPr>
              <w:pStyle w:val="161"/>
              <w:numPr>
                <w:ilvl w:val="0"/>
                <w:numId w:val="4"/>
              </w:numPr>
              <w:autoSpaceDE w:val="0"/>
              <w:autoSpaceDN w:val="0"/>
              <w:adjustRightInd w:val="0"/>
              <w:ind w:firstLineChars="0"/>
              <w:jc w:val="center"/>
              <w:rPr>
                <w:rFonts w:hint="default" w:ascii="Times New Roman" w:hAnsi="Times New Roman" w:eastAsia="黑体" w:cs="Times New Roman"/>
                <w:kern w:val="0"/>
              </w:rPr>
            </w:pPr>
            <w:r>
              <w:rPr>
                <w:rFonts w:hint="default" w:ascii="Times New Roman" w:hAnsi="Times New Roman" w:eastAsia="黑体" w:cs="Times New Roman"/>
                <w:kern w:val="0"/>
              </w:rPr>
              <w:t>项目水平衡图（单位：t/d）</w:t>
            </w:r>
          </w:p>
          <w:p>
            <w:pPr>
              <w:widowControl w:val="0"/>
              <w:autoSpaceDE w:val="0"/>
              <w:autoSpaceDN w:val="0"/>
              <w:adjustRightInd w:val="0"/>
              <w:snapToGrid w:val="0"/>
              <w:spacing w:before="163" w:beforeLines="50" w:after="163" w:afterLines="50"/>
              <w:jc w:val="left"/>
              <w:rPr>
                <w:rFonts w:eastAsia="黑体"/>
                <w:b/>
                <w:bCs/>
              </w:rPr>
            </w:pPr>
            <w:r>
              <w:rPr>
                <w:rFonts w:eastAsia="黑体"/>
                <w:b/>
                <w:bCs/>
              </w:rPr>
              <w:t>2.11劳动定员及工作制度</w:t>
            </w:r>
          </w:p>
          <w:p>
            <w:pPr>
              <w:keepNext/>
              <w:widowControl w:val="0"/>
              <w:overflowPunct w:val="0"/>
              <w:snapToGrid w:val="0"/>
              <w:spacing w:before="163" w:beforeLines="50"/>
              <w:ind w:firstLine="567"/>
              <w:jc w:val="both"/>
            </w:pPr>
            <w:r>
              <w:rPr>
                <w:b/>
                <w:bCs/>
              </w:rPr>
              <w:t>工作制度：</w:t>
            </w:r>
            <w:r>
              <w:t>项目年工作日为365天，</w:t>
            </w:r>
            <w:r>
              <w:rPr>
                <w:rFonts w:hint="eastAsia" w:cs="Times New Roman" w:asciiTheme="majorHAnsi" w:hAnsiTheme="majorHAnsi"/>
                <w:kern w:val="0"/>
                <w:szCs w:val="20"/>
              </w:rPr>
              <w:t>工作时间</w:t>
            </w:r>
            <w:r>
              <w:rPr>
                <w:rFonts w:cs="Times New Roman" w:asciiTheme="majorHAnsi" w:hAnsiTheme="majorHAnsi"/>
                <w:kern w:val="0"/>
                <w:szCs w:val="20"/>
              </w:rPr>
              <w:t>24</w:t>
            </w:r>
            <w:r>
              <w:rPr>
                <w:rFonts w:hint="eastAsia" w:cs="Times New Roman" w:asciiTheme="majorHAnsi" w:hAnsiTheme="majorHAnsi"/>
                <w:kern w:val="0"/>
                <w:szCs w:val="20"/>
              </w:rPr>
              <w:t>h</w:t>
            </w:r>
            <w:r>
              <w:t>。</w:t>
            </w:r>
          </w:p>
          <w:p>
            <w:pPr>
              <w:keepNext/>
              <w:widowControl w:val="0"/>
              <w:overflowPunct w:val="0"/>
              <w:snapToGrid w:val="0"/>
              <w:ind w:firstLine="567"/>
              <w:jc w:val="both"/>
            </w:pPr>
            <w:r>
              <w:rPr>
                <w:b/>
                <w:bCs/>
              </w:rPr>
              <w:t>劳动定员：</w:t>
            </w:r>
            <w:r>
              <w:t>项目建成后劳动定员为10人，</w:t>
            </w:r>
            <w:r>
              <w:rPr>
                <w:rFonts w:hint="eastAsia" w:cs="Times New Roman" w:asciiTheme="majorHAnsi" w:hAnsiTheme="majorHAnsi"/>
                <w:kern w:val="0"/>
                <w:szCs w:val="20"/>
              </w:rPr>
              <w:t>提供住宿和食堂。</w:t>
            </w:r>
          </w:p>
          <w:p>
            <w:pPr>
              <w:widowControl w:val="0"/>
              <w:autoSpaceDE w:val="0"/>
              <w:autoSpaceDN w:val="0"/>
              <w:adjustRightInd w:val="0"/>
              <w:snapToGrid w:val="0"/>
              <w:spacing w:before="163" w:beforeLines="50"/>
              <w:jc w:val="left"/>
              <w:rPr>
                <w:rFonts w:eastAsia="黑体"/>
                <w:b/>
                <w:bCs/>
              </w:rPr>
            </w:pPr>
            <w:bookmarkStart w:id="11" w:name="_Toc68860270"/>
            <w:r>
              <w:rPr>
                <w:rFonts w:eastAsia="黑体"/>
                <w:b/>
                <w:bCs/>
              </w:rPr>
              <w:t>2.12平面布置</w:t>
            </w:r>
            <w:bookmarkEnd w:id="11"/>
          </w:p>
          <w:p>
            <w:pPr>
              <w:widowControl/>
              <w:ind w:firstLine="482" w:firstLineChars="200"/>
              <w:jc w:val="left"/>
              <w:rPr>
                <w:b/>
                <w:bCs/>
                <w:kern w:val="0"/>
              </w:rPr>
            </w:pPr>
            <w:r>
              <w:rPr>
                <w:rFonts w:hint="eastAsia"/>
                <w:b/>
                <w:bCs/>
                <w:kern w:val="0"/>
              </w:rPr>
              <w:t>（</w:t>
            </w:r>
            <w:r>
              <w:rPr>
                <w:b/>
                <w:bCs/>
                <w:kern w:val="0"/>
              </w:rPr>
              <w:t>1</w:t>
            </w:r>
            <w:r>
              <w:rPr>
                <w:rFonts w:hint="eastAsia"/>
                <w:b/>
                <w:bCs/>
                <w:kern w:val="0"/>
              </w:rPr>
              <w:t>）平面布置</w:t>
            </w:r>
          </w:p>
          <w:p>
            <w:pPr>
              <w:widowControl w:val="0"/>
              <w:ind w:firstLine="480" w:firstLineChars="200"/>
              <w:jc w:val="both"/>
              <w:rPr>
                <w:rFonts w:ascii="Times New Roman" w:hAnsi="Times New Roman" w:cs="Times New Roman"/>
                <w:kern w:val="0"/>
              </w:rPr>
            </w:pPr>
            <w:r>
              <w:rPr>
                <w:rFonts w:ascii="Times New Roman" w:cs="Times New Roman"/>
                <w:kern w:val="0"/>
              </w:rPr>
              <w:t>本项目根据生产工艺的要求进行功能分区</w:t>
            </w:r>
            <w:r>
              <w:rPr>
                <w:rFonts w:ascii="Times New Roman" w:hAnsi="宋体" w:cs="Times New Roman"/>
              </w:rPr>
              <w:t>，将整个厂区的分为运行管理区以及污水处理区。管理部门的综合用房设在厂区的东北侧，综合用房内设值班室、中控室、化验室、分析室、餐厅、厨房、厕所等，满足使用要求。污水处理区从厂区的东北侧至西南侧，成一字型分布，各生产主要构筑物依据生产工艺的要求依次布置有二沉池、污泥泵房、</w:t>
            </w:r>
            <w:r>
              <w:rPr>
                <w:rFonts w:ascii="Times New Roman" w:hAnsi="Times New Roman" w:cs="Times New Roman"/>
              </w:rPr>
              <w:t>AAO-MBBR</w:t>
            </w:r>
            <w:r>
              <w:rPr>
                <w:rFonts w:ascii="Times New Roman" w:hAnsi="宋体" w:cs="Times New Roman"/>
              </w:rPr>
              <w:t>生化池、细格栅及旋流沉砂池、加氯加药间、粗格栅井及调节池、鼓风机房及配电间、污泥脱水车间、污泥调理池、污泥储池、高密度沉淀池、在线监测室，二期</w:t>
            </w:r>
            <w:r>
              <w:rPr>
                <w:rFonts w:ascii="Times New Roman" w:hAnsi="Times New Roman" w:cs="Times New Roman"/>
              </w:rPr>
              <w:t>AAO</w:t>
            </w:r>
            <w:r>
              <w:rPr>
                <w:rFonts w:ascii="Times New Roman" w:hAnsi="宋体" w:cs="Times New Roman"/>
              </w:rPr>
              <w:t>生化池、二期高效沉淀池、二期沉淀池、二期污泥泵房，便于生产和管理。</w:t>
            </w:r>
          </w:p>
          <w:p>
            <w:pPr>
              <w:widowControl w:val="0"/>
              <w:ind w:firstLine="480" w:firstLineChars="200"/>
              <w:jc w:val="both"/>
              <w:rPr>
                <w:rFonts w:ascii="Times New Roman" w:hAnsi="Times New Roman" w:cs="Times New Roman"/>
                <w:kern w:val="0"/>
              </w:rPr>
            </w:pPr>
            <w:r>
              <w:rPr>
                <w:rFonts w:ascii="Times New Roman" w:hAnsi="宋体" w:cs="Times New Roman"/>
              </w:rPr>
              <w:t>厂区东北侧设主大门入口一处，</w:t>
            </w:r>
            <w:r>
              <w:rPr>
                <w:rFonts w:ascii="Times New Roman" w:cs="Times New Roman"/>
                <w:kern w:val="0"/>
              </w:rPr>
              <w:t>场内设运输通道兼消防使用，并设人行通道，以节约投资，也能满足消防要求，道路宽度为</w:t>
            </w:r>
            <w:r>
              <w:rPr>
                <w:rFonts w:ascii="Times New Roman" w:hAnsi="Times New Roman" w:cs="Times New Roman"/>
                <w:kern w:val="0"/>
              </w:rPr>
              <w:t>4.0m</w:t>
            </w:r>
            <w:r>
              <w:rPr>
                <w:rFonts w:ascii="Times New Roman" w:cs="Times New Roman"/>
                <w:kern w:val="0"/>
              </w:rPr>
              <w:t>，成尽端式道路，自东北侧进入，采用</w:t>
            </w:r>
            <w:r>
              <w:rPr>
                <w:rFonts w:ascii="Times New Roman" w:hAnsi="Times New Roman" w:cs="Times New Roman"/>
                <w:kern w:val="0"/>
              </w:rPr>
              <w:t>“T”</w:t>
            </w:r>
            <w:r>
              <w:rPr>
                <w:rFonts w:ascii="Times New Roman" w:cs="Times New Roman"/>
                <w:kern w:val="0"/>
              </w:rPr>
              <w:t>型布置，并设消防回车场，交通便利，满足使用和消防要求，污泥脱水机房靠近道路，便于往外运输干污泥。</w:t>
            </w:r>
          </w:p>
          <w:p>
            <w:pPr>
              <w:widowControl w:val="0"/>
              <w:ind w:firstLine="480" w:firstLineChars="200"/>
              <w:jc w:val="both"/>
              <w:rPr>
                <w:kern w:val="0"/>
              </w:rPr>
            </w:pPr>
            <w:r>
              <w:rPr>
                <w:rFonts w:hint="eastAsia"/>
                <w:kern w:val="24"/>
              </w:rPr>
              <w:t>项目产生的主要大气污染物为</w:t>
            </w:r>
            <w:r>
              <w:rPr>
                <w:kern w:val="0"/>
              </w:rPr>
              <w:t>NH</w:t>
            </w:r>
            <w:r>
              <w:rPr>
                <w:kern w:val="0"/>
                <w:vertAlign w:val="subscript"/>
              </w:rPr>
              <w:t>3</w:t>
            </w:r>
            <w:r>
              <w:rPr>
                <w:kern w:val="0"/>
              </w:rPr>
              <w:t>和的H</w:t>
            </w:r>
            <w:r>
              <w:rPr>
                <w:kern w:val="0"/>
                <w:vertAlign w:val="subscript"/>
              </w:rPr>
              <w:t>2</w:t>
            </w:r>
            <w:r>
              <w:rPr>
                <w:kern w:val="0"/>
              </w:rPr>
              <w:t>S</w:t>
            </w:r>
            <w:r>
              <w:rPr>
                <w:rFonts w:hint="eastAsia"/>
                <w:kern w:val="0"/>
              </w:rPr>
              <w:t>，项目一期和二期产生的恶臭气体，分别经1套生物除臭装置+1根15m高排气筒排放，</w:t>
            </w:r>
            <w:r>
              <w:rPr>
                <w:rFonts w:hint="eastAsia"/>
                <w:bCs/>
                <w:kern w:val="0"/>
              </w:rPr>
              <w:t>项目所在地常年主导风向为东北风，拟建污水处理厂不在明月新城规划的居民集中区常年主导风向的上风向</w:t>
            </w:r>
            <w:r>
              <w:rPr>
                <w:rFonts w:hint="eastAsia"/>
                <w:kern w:val="0"/>
              </w:rPr>
              <w:t>。</w:t>
            </w:r>
          </w:p>
          <w:p>
            <w:pPr>
              <w:widowControl w:val="0"/>
              <w:ind w:firstLine="480" w:firstLineChars="200"/>
              <w:jc w:val="both"/>
            </w:pPr>
            <w:r>
              <w:rPr>
                <w:rFonts w:hAnsi="宋体"/>
              </w:rPr>
              <w:t>在污水处理厂出厂界设置了巴氏计量槽和检查井，在线监测出水水质。</w:t>
            </w:r>
            <w:r>
              <w:rPr>
                <w:rFonts w:hint="eastAsia"/>
              </w:rPr>
              <w:t>尾水输送管线长约1</w:t>
            </w:r>
            <w:r>
              <w:t>800</w:t>
            </w:r>
            <w:r>
              <w:rPr>
                <w:rFonts w:hint="eastAsia"/>
              </w:rPr>
              <w:t>m，管径为DN450焊接钢管；过河桥梁管桥长约3</w:t>
            </w:r>
            <w:r>
              <w:t>15</w:t>
            </w:r>
            <w:r>
              <w:rPr>
                <w:rFonts w:hint="eastAsia"/>
              </w:rPr>
              <w:t>m。（项目尾水输送管线及管桥，另行环评）。</w:t>
            </w:r>
          </w:p>
          <w:p>
            <w:pPr>
              <w:widowControl w:val="0"/>
              <w:ind w:firstLine="480" w:firstLineChars="200"/>
              <w:jc w:val="both"/>
            </w:pPr>
            <w:r>
              <w:t>处理达标后</w:t>
            </w:r>
            <w:r>
              <w:rPr>
                <w:rFonts w:hint="eastAsia"/>
              </w:rPr>
              <w:t>的尾水经污水处理厂提升泵提升后，沿现有宣开大道输送，后与宣开大道的前河大桥平行输送过河，过河后沿宣南路向西输送，最后在江口大桥附近排放至州河（大坝下游）。</w:t>
            </w:r>
          </w:p>
          <w:p>
            <w:pPr>
              <w:widowControl w:val="0"/>
              <w:ind w:firstLine="480" w:firstLineChars="200"/>
              <w:jc w:val="both"/>
              <w:rPr>
                <w:kern w:val="0"/>
              </w:rPr>
            </w:pPr>
            <w:r>
              <w:rPr>
                <w:rFonts w:hint="eastAsia"/>
                <w:kern w:val="0"/>
              </w:rPr>
              <w:t>厂区污水处理厂选址地带标高在332.5m左右，根据建设方提供的文件资料，污水处理厂选址应满足防洪要求。污水处理厂厂址标高应考虑与现有道路衔接及场地排水要求，控制在332.5~333.8m左右。厂区东北侧接现有道路，场地标高控制在333.8m。</w:t>
            </w:r>
          </w:p>
          <w:p>
            <w:pPr>
              <w:widowControl w:val="0"/>
              <w:ind w:firstLine="480" w:firstLineChars="200"/>
              <w:jc w:val="both"/>
              <w:rPr>
                <w:kern w:val="24"/>
              </w:rPr>
            </w:pPr>
            <w:r>
              <w:rPr>
                <w:kern w:val="24"/>
              </w:rPr>
              <w:t>综上，项目总平面布置</w:t>
            </w:r>
            <w:r>
              <w:rPr>
                <w:rFonts w:hint="eastAsia"/>
                <w:kern w:val="24"/>
              </w:rPr>
              <w:t>各功能区</w:t>
            </w:r>
            <w:r>
              <w:rPr>
                <w:kern w:val="24"/>
              </w:rPr>
              <w:t>分区明确</w:t>
            </w:r>
            <w:r>
              <w:rPr>
                <w:rFonts w:hint="eastAsia"/>
                <w:kern w:val="24"/>
              </w:rPr>
              <w:t>，相互独立、互不干扰，平面布置</w:t>
            </w:r>
            <w:r>
              <w:rPr>
                <w:kern w:val="24"/>
              </w:rPr>
              <w:t>合理。项目总平面布置见附图5</w:t>
            </w:r>
            <w:r>
              <w:rPr>
                <w:kern w:val="24"/>
                <w:szCs w:val="21"/>
              </w:rPr>
              <w:t>。</w:t>
            </w:r>
          </w:p>
          <w:p>
            <w:pPr>
              <w:widowControl w:val="0"/>
              <w:ind w:firstLine="482" w:firstLineChars="200"/>
              <w:jc w:val="both"/>
              <w:rPr>
                <w:b/>
              </w:rPr>
            </w:pPr>
            <w:r>
              <w:rPr>
                <w:rFonts w:hint="eastAsia"/>
                <w:b/>
                <w:bCs/>
                <w:kern w:val="0"/>
              </w:rPr>
              <w:t>（2）</w:t>
            </w:r>
            <w:r>
              <w:rPr>
                <w:rFonts w:hint="eastAsia"/>
                <w:b/>
              </w:rPr>
              <w:t>施工平面布置</w:t>
            </w:r>
          </w:p>
          <w:p>
            <w:pPr>
              <w:widowControl w:val="0"/>
              <w:ind w:firstLine="480" w:firstLineChars="200"/>
              <w:jc w:val="both"/>
              <w:rPr>
                <w:kern w:val="24"/>
              </w:rPr>
            </w:pPr>
            <w:r>
              <w:rPr>
                <w:rFonts w:hint="eastAsia"/>
                <w:kern w:val="24"/>
              </w:rPr>
              <w:t>本项目位于明月新城待开发区域，利用周边现有道路，施工期不设取（弃）土场、施工便道等施工临时设施。项目在污水处理厂永久用地范围内设1处施工营房，用于</w:t>
            </w:r>
            <w:r>
              <w:rPr>
                <w:kern w:val="24"/>
              </w:rPr>
              <w:t>施工人员办公，不设食宿</w:t>
            </w:r>
            <w:r>
              <w:rPr>
                <w:rFonts w:hint="eastAsia"/>
                <w:kern w:val="24"/>
              </w:rPr>
              <w:t>。施工营地占地面积约5</w:t>
            </w:r>
            <w:r>
              <w:rPr>
                <w:kern w:val="24"/>
              </w:rPr>
              <w:t>00m</w:t>
            </w:r>
            <w:r>
              <w:rPr>
                <w:kern w:val="24"/>
                <w:vertAlign w:val="superscript"/>
              </w:rPr>
              <w:t>2</w:t>
            </w:r>
            <w:r>
              <w:rPr>
                <w:kern w:val="24"/>
              </w:rPr>
              <w:t>，</w:t>
            </w:r>
            <w:r>
              <w:rPr>
                <w:rFonts w:hint="eastAsia"/>
                <w:kern w:val="24"/>
              </w:rPr>
              <w:t>施工场地严格控制占地范围，不得超出用地红线，以减轻生态环境影响。</w:t>
            </w:r>
          </w:p>
          <w:p>
            <w:pPr>
              <w:widowControl w:val="0"/>
              <w:ind w:firstLine="480" w:firstLineChars="200"/>
              <w:jc w:val="both"/>
              <w:rPr>
                <w:kern w:val="24"/>
              </w:rPr>
            </w:pPr>
            <w:r>
              <w:rPr>
                <w:rFonts w:hint="eastAsia"/>
                <w:kern w:val="24"/>
              </w:rPr>
              <w:t>工程在施工布置上，遵循因地、因时制宜、有利生产、方便生活、易于管理、安全可靠、经济合理的原则，控制占地和减少开挖扰动破坏面。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Align w:val="center"/>
          </w:tcPr>
          <w:p>
            <w:pPr>
              <w:widowControl w:val="0"/>
              <w:jc w:val="center"/>
              <w:rPr>
                <w:rFonts w:cs="Times New Roman" w:asciiTheme="majorHAnsi" w:hAnsiTheme="majorHAnsi"/>
                <w:kern w:val="0"/>
                <w:szCs w:val="20"/>
              </w:rPr>
            </w:pPr>
            <w:r>
              <w:rPr>
                <w:rFonts w:hint="eastAsia" w:cs="Times New Roman" w:asciiTheme="majorHAnsi" w:hAnsiTheme="majorHAnsi"/>
                <w:kern w:val="0"/>
                <w:szCs w:val="20"/>
              </w:rPr>
              <w:t>工艺流程和产排污环节</w:t>
            </w:r>
          </w:p>
        </w:tc>
        <w:tc>
          <w:tcPr>
            <w:tcW w:w="8381" w:type="dxa"/>
            <w:vAlign w:val="center"/>
          </w:tcPr>
          <w:p>
            <w:pPr>
              <w:widowControl w:val="0"/>
              <w:autoSpaceDE w:val="0"/>
              <w:autoSpaceDN w:val="0"/>
              <w:adjustRightInd w:val="0"/>
              <w:snapToGrid w:val="0"/>
              <w:spacing w:before="163" w:beforeLines="50"/>
              <w:jc w:val="left"/>
              <w:rPr>
                <w:rFonts w:eastAsia="黑体"/>
              </w:rPr>
            </w:pPr>
            <w:r>
              <w:rPr>
                <w:rFonts w:eastAsia="黑体"/>
              </w:rPr>
              <w:t>1</w:t>
            </w:r>
            <w:r>
              <w:rPr>
                <w:rFonts w:hint="eastAsia" w:eastAsia="黑体"/>
              </w:rPr>
              <w:t>、</w:t>
            </w:r>
            <w:r>
              <w:rPr>
                <w:rFonts w:eastAsia="黑体"/>
              </w:rPr>
              <w:t>施工期工艺流程及产污分析</w:t>
            </w:r>
          </w:p>
          <w:p>
            <w:pPr>
              <w:widowControl w:val="0"/>
              <w:ind w:firstLine="480"/>
              <w:jc w:val="both"/>
            </w:pPr>
            <w:r>
              <w:rPr>
                <w:rFonts w:hint="eastAsia"/>
              </w:rPr>
              <w:t>施工期基础工程、主体工程、装饰工程、设备安装等建设阶段将产生噪声、扬尘、固体废物、少量污水和废气等污染物，其排放量随工期和施工强度不同而有所变化，施工期工艺流程及产污环节如下图所示。</w:t>
            </w:r>
          </w:p>
          <w:p>
            <w:pPr>
              <w:widowControl w:val="0"/>
              <w:ind w:firstLine="480"/>
              <w:jc w:val="both"/>
              <w:rPr>
                <w:b/>
                <w:bCs/>
              </w:rPr>
            </w:pPr>
            <w:r>
              <w:rPr>
                <w:rFonts w:hint="eastAsia"/>
                <w:b/>
                <w:bCs/>
              </w:rPr>
              <w:t>（</w:t>
            </w:r>
            <w:r>
              <w:rPr>
                <w:b/>
                <w:bCs/>
              </w:rPr>
              <w:t>1</w:t>
            </w:r>
            <w:r>
              <w:rPr>
                <w:rFonts w:hint="eastAsia"/>
                <w:b/>
                <w:bCs/>
              </w:rPr>
              <w:t>）污水收集管网施工工艺</w:t>
            </w:r>
          </w:p>
          <w:p>
            <w:pPr>
              <w:widowControl w:val="0"/>
              <w:ind w:firstLine="480" w:firstLineChars="200"/>
              <w:jc w:val="both"/>
              <w:rPr>
                <w:rFonts w:cs="Times New Roman"/>
              </w:rPr>
            </w:pPr>
            <w:r>
              <w:rPr>
                <w:rFonts w:hint="eastAsia" w:cs="Times New Roman"/>
              </w:rPr>
              <w:t>本项目将配套建设污水收集点至污水处理厂的截污管网，总长度约为1</w:t>
            </w:r>
            <w:r>
              <w:rPr>
                <w:rFonts w:cs="Times New Roman"/>
              </w:rPr>
              <w:t>.7</w:t>
            </w:r>
            <w:r>
              <w:rPr>
                <w:rFonts w:hint="eastAsia" w:cs="Times New Roman"/>
              </w:rPr>
              <w:t>km。规划的明月新城的污水支管及接户由另一工程实施，本项目不涉及污水支管及接户管建设。</w:t>
            </w:r>
          </w:p>
          <w:p>
            <w:pPr>
              <w:widowControl w:val="0"/>
              <w:ind w:firstLine="480" w:firstLineChars="200"/>
              <w:jc w:val="both"/>
              <w:rPr>
                <w:rFonts w:cs="Times New Roman"/>
              </w:rPr>
            </w:pPr>
            <w:r>
              <w:rPr>
                <w:rFonts w:hint="eastAsia" w:cs="Times New Roman"/>
              </w:rPr>
              <w:t>污水管网起于上游污水收集主管（管内底标高3</w:t>
            </w:r>
            <w:r>
              <w:rPr>
                <w:rFonts w:cs="Times New Roman"/>
              </w:rPr>
              <w:t>32.279</w:t>
            </w:r>
            <w:r>
              <w:rPr>
                <w:rFonts w:hint="eastAsia" w:cs="Times New Roman"/>
              </w:rPr>
              <w:t>），由西向东至污水处理厂（管内底标高3</w:t>
            </w:r>
            <w:r>
              <w:rPr>
                <w:rFonts w:cs="Times New Roman"/>
              </w:rPr>
              <w:t>27.211</w:t>
            </w:r>
            <w:r>
              <w:rPr>
                <w:rFonts w:hint="eastAsia" w:cs="Times New Roman"/>
              </w:rPr>
              <w:t>）敷设，管线距后河较近，根据沿线路况，共分为7段施工，其中，DN</w:t>
            </w:r>
            <w:r>
              <w:rPr>
                <w:rFonts w:cs="Times New Roman"/>
              </w:rPr>
              <w:t>1200</w:t>
            </w:r>
            <w:r>
              <w:rPr>
                <w:rFonts w:hint="eastAsia" w:cs="Times New Roman"/>
              </w:rPr>
              <w:t>架空施工，共1段，长度为2</w:t>
            </w:r>
            <w:r>
              <w:rPr>
                <w:rFonts w:cs="Times New Roman"/>
              </w:rPr>
              <w:t>98</w:t>
            </w:r>
            <w:r>
              <w:rPr>
                <w:rFonts w:hint="eastAsia" w:cs="Times New Roman"/>
              </w:rPr>
              <w:t>m；DN</w:t>
            </w:r>
            <w:r>
              <w:rPr>
                <w:rFonts w:cs="Times New Roman"/>
              </w:rPr>
              <w:t>1200</w:t>
            </w:r>
            <w:r>
              <w:rPr>
                <w:rFonts w:hint="eastAsia" w:cs="Times New Roman"/>
              </w:rPr>
              <w:t>地埋施工，共3段，长约</w:t>
            </w:r>
            <w:r>
              <w:rPr>
                <w:rFonts w:cs="Times New Roman"/>
              </w:rPr>
              <w:t>291</w:t>
            </w:r>
            <w:r>
              <w:rPr>
                <w:rFonts w:hint="eastAsia" w:cs="Times New Roman"/>
              </w:rPr>
              <w:t>m；DN</w:t>
            </w:r>
            <w:r>
              <w:rPr>
                <w:rFonts w:cs="Times New Roman"/>
              </w:rPr>
              <w:t>1200</w:t>
            </w:r>
            <w:r>
              <w:rPr>
                <w:rFonts w:hint="eastAsia" w:cs="Times New Roman"/>
              </w:rPr>
              <w:t>顶管施工，共3段，长约</w:t>
            </w:r>
            <w:r>
              <w:rPr>
                <w:rFonts w:cs="Times New Roman"/>
              </w:rPr>
              <w:t>1121</w:t>
            </w:r>
            <w:r>
              <w:rPr>
                <w:rFonts w:hint="eastAsia" w:cs="Times New Roman"/>
              </w:rPr>
              <w:t>m。</w:t>
            </w:r>
          </w:p>
          <w:p>
            <w:pPr>
              <w:widowControl w:val="0"/>
              <w:ind w:firstLine="480" w:firstLineChars="200"/>
              <w:jc w:val="both"/>
              <w:rPr>
                <w:rFonts w:cs="Times New Roman"/>
              </w:rPr>
            </w:pPr>
            <w:r>
              <w:rPr>
                <w:rFonts w:hint="eastAsia" w:cs="Times New Roman"/>
              </w:rPr>
              <w:t>地埋施工就是采用开槽方式，明挖土方、敷设管道、回填土方；在有开阔工作面，且开挖深度不大时用埋管；顶管施工无需挖槽，不破坏现有道路/建筑设施，进行施工。</w:t>
            </w:r>
          </w:p>
          <w:p>
            <w:pPr>
              <w:pStyle w:val="245"/>
              <w:widowControl w:val="0"/>
              <w:spacing w:line="360" w:lineRule="auto"/>
              <w:ind w:left="0" w:firstLine="480" w:firstLineChars="200"/>
              <w:rPr>
                <w:rFonts w:hAnsiTheme="minorEastAsia" w:eastAsiaTheme="minorEastAsia"/>
                <w:b w:val="0"/>
                <w:kern w:val="0"/>
                <w:sz w:val="24"/>
                <w:szCs w:val="20"/>
              </w:rPr>
            </w:pPr>
            <w:bookmarkStart w:id="12" w:name="OLE_LINK4"/>
            <w:bookmarkStart w:id="13" w:name="OLE_LINK7"/>
            <w:r>
              <w:rPr>
                <w:rFonts w:hint="eastAsia" w:hAnsiTheme="minorEastAsia" w:eastAsiaTheme="minorEastAsia"/>
                <w:b w:val="0"/>
                <w:kern w:val="0"/>
                <w:sz w:val="24"/>
                <w:szCs w:val="20"/>
              </w:rPr>
              <w:t>截污管道施工的基本参数见下表：</w:t>
            </w:r>
          </w:p>
          <w:bookmarkEnd w:id="12"/>
          <w:bookmarkEnd w:id="13"/>
          <w:p>
            <w:pPr>
              <w:pStyle w:val="161"/>
              <w:numPr>
                <w:ilvl w:val="0"/>
                <w:numId w:val="5"/>
              </w:numPr>
              <w:ind w:firstLineChars="0"/>
              <w:jc w:val="center"/>
              <w:rPr>
                <w:rFonts w:eastAsia="黑体"/>
              </w:rPr>
            </w:pPr>
            <w:r>
              <w:rPr>
                <w:rFonts w:hint="eastAsia" w:eastAsia="黑体"/>
              </w:rPr>
              <w:t>截污管道施工基本参数</w:t>
            </w:r>
          </w:p>
          <w:tbl>
            <w:tblPr>
              <w:tblStyle w:val="44"/>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7"/>
              <w:gridCol w:w="1484"/>
              <w:gridCol w:w="2078"/>
              <w:gridCol w:w="1447"/>
              <w:gridCol w:w="1261"/>
              <w:gridCol w:w="1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660"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Style w:val="177"/>
                      <w:rFonts w:ascii="Times New Roman" w:hAnsi="Times New Roman" w:cs="Times New Roman"/>
                      <w:b/>
                      <w:bCs w:val="0"/>
                      <w:kern w:val="0"/>
                      <w:sz w:val="21"/>
                      <w:szCs w:val="21"/>
                    </w:rPr>
                  </w:pPr>
                  <w:r>
                    <w:rPr>
                      <w:rStyle w:val="177"/>
                      <w:rFonts w:ascii="Times New Roman" w:hAnsi="Times New Roman" w:cs="Times New Roman"/>
                      <w:b/>
                      <w:bCs w:val="0"/>
                      <w:kern w:val="0"/>
                      <w:sz w:val="21"/>
                      <w:szCs w:val="21"/>
                    </w:rPr>
                    <w:t>管道编号</w:t>
                  </w:r>
                </w:p>
              </w:tc>
              <w:tc>
                <w:tcPr>
                  <w:tcW w:w="885"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Style w:val="177"/>
                      <w:rFonts w:ascii="Times New Roman" w:hAnsi="Times New Roman" w:cs="Times New Roman"/>
                      <w:b/>
                      <w:bCs w:val="0"/>
                      <w:kern w:val="0"/>
                      <w:sz w:val="21"/>
                      <w:szCs w:val="21"/>
                    </w:rPr>
                  </w:pPr>
                  <w:r>
                    <w:rPr>
                      <w:rStyle w:val="177"/>
                      <w:rFonts w:ascii="Times New Roman" w:hAnsi="Times New Roman" w:cs="Times New Roman"/>
                      <w:b/>
                      <w:bCs w:val="0"/>
                      <w:kern w:val="0"/>
                      <w:sz w:val="21"/>
                      <w:szCs w:val="21"/>
                    </w:rPr>
                    <w:t>施工工艺</w:t>
                  </w:r>
                </w:p>
              </w:tc>
              <w:tc>
                <w:tcPr>
                  <w:tcW w:w="1239"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Style w:val="177"/>
                      <w:rFonts w:ascii="Times New Roman" w:hAnsi="Times New Roman" w:cs="Times New Roman"/>
                      <w:b/>
                      <w:bCs w:val="0"/>
                      <w:kern w:val="0"/>
                      <w:sz w:val="21"/>
                      <w:szCs w:val="21"/>
                    </w:rPr>
                  </w:pPr>
                  <w:r>
                    <w:rPr>
                      <w:rStyle w:val="177"/>
                      <w:rFonts w:ascii="Times New Roman" w:hAnsi="Times New Roman" w:cs="Times New Roman"/>
                      <w:b/>
                      <w:bCs w:val="0"/>
                      <w:kern w:val="0"/>
                      <w:sz w:val="21"/>
                      <w:szCs w:val="21"/>
                    </w:rPr>
                    <w:t>材质</w:t>
                  </w:r>
                </w:p>
              </w:tc>
              <w:tc>
                <w:tcPr>
                  <w:tcW w:w="863" w:type="pct"/>
                  <w:tcBorders>
                    <w:top w:val="single" w:color="000000" w:sz="4" w:space="0"/>
                    <w:left w:val="single" w:color="auto" w:sz="4" w:space="0"/>
                    <w:bottom w:val="single" w:color="000000" w:sz="4" w:space="0"/>
                    <w:right w:val="single" w:color="000000" w:sz="4" w:space="0"/>
                  </w:tcBorders>
                  <w:vAlign w:val="center"/>
                </w:tcPr>
                <w:p>
                  <w:pPr>
                    <w:adjustRightInd w:val="0"/>
                    <w:snapToGrid w:val="0"/>
                    <w:spacing w:line="360" w:lineRule="exact"/>
                    <w:jc w:val="center"/>
                    <w:rPr>
                      <w:rStyle w:val="177"/>
                      <w:rFonts w:ascii="Times New Roman" w:hAnsi="Times New Roman" w:cs="Times New Roman"/>
                      <w:b/>
                      <w:bCs w:val="0"/>
                      <w:kern w:val="0"/>
                      <w:sz w:val="21"/>
                      <w:szCs w:val="21"/>
                    </w:rPr>
                  </w:pPr>
                  <w:r>
                    <w:rPr>
                      <w:rStyle w:val="177"/>
                      <w:rFonts w:ascii="Times New Roman" w:hAnsi="Times New Roman" w:cs="Times New Roman"/>
                      <w:b/>
                      <w:bCs w:val="0"/>
                      <w:kern w:val="0"/>
                      <w:sz w:val="21"/>
                      <w:szCs w:val="21"/>
                    </w:rPr>
                    <w:t>管径</w:t>
                  </w:r>
                </w:p>
              </w:tc>
              <w:tc>
                <w:tcPr>
                  <w:tcW w:w="752" w:type="pct"/>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60" w:lineRule="exact"/>
                    <w:jc w:val="center"/>
                    <w:rPr>
                      <w:rStyle w:val="177"/>
                      <w:rFonts w:ascii="Times New Roman" w:hAnsi="Times New Roman" w:cs="Times New Roman"/>
                      <w:b/>
                      <w:bCs w:val="0"/>
                      <w:kern w:val="0"/>
                      <w:sz w:val="21"/>
                      <w:szCs w:val="21"/>
                    </w:rPr>
                  </w:pPr>
                  <w:r>
                    <w:rPr>
                      <w:rStyle w:val="177"/>
                      <w:rFonts w:ascii="Times New Roman" w:hAnsi="Times New Roman" w:cs="Times New Roman"/>
                      <w:b/>
                      <w:bCs w:val="0"/>
                      <w:kern w:val="0"/>
                      <w:sz w:val="21"/>
                      <w:szCs w:val="21"/>
                    </w:rPr>
                    <w:t>长度</w:t>
                  </w:r>
                </w:p>
              </w:tc>
              <w:tc>
                <w:tcPr>
                  <w:tcW w:w="597" w:type="pc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rStyle w:val="177"/>
                      <w:rFonts w:ascii="Times New Roman" w:hAnsi="Times New Roman" w:cs="Times New Roman"/>
                      <w:b/>
                      <w:bCs w:val="0"/>
                      <w:kern w:val="0"/>
                      <w:sz w:val="21"/>
                      <w:szCs w:val="21"/>
                    </w:rPr>
                  </w:pPr>
                  <w:r>
                    <w:rPr>
                      <w:rStyle w:val="177"/>
                      <w:rFonts w:ascii="Times New Roman" w:hAnsi="Times New Roman" w:cs="Times New Roman"/>
                      <w:b/>
                      <w:bCs w:val="0"/>
                      <w:kern w:val="0"/>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660"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1</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Style w:val="177"/>
                      <w:rFonts w:ascii="Times New Roman" w:hAnsi="Times New Roman" w:cs="Times New Roman" w:eastAsiaTheme="minorEastAsia"/>
                      <w:bCs/>
                      <w:sz w:val="21"/>
                      <w:szCs w:val="21"/>
                    </w:rPr>
                    <w:t>架空施工</w:t>
                  </w:r>
                </w:p>
              </w:tc>
              <w:tc>
                <w:tcPr>
                  <w:tcW w:w="1239"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涂塑钢管</w:t>
                  </w:r>
                </w:p>
              </w:tc>
              <w:tc>
                <w:tcPr>
                  <w:tcW w:w="863" w:type="pct"/>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Style w:val="177"/>
                      <w:rFonts w:ascii="Times New Roman" w:hAnsi="Times New Roman" w:cs="Times New Roman"/>
                      <w:bCs/>
                      <w:kern w:val="0"/>
                      <w:sz w:val="21"/>
                      <w:szCs w:val="21"/>
                    </w:rPr>
                  </w:pPr>
                  <w:r>
                    <w:rPr>
                      <w:rStyle w:val="177"/>
                      <w:rFonts w:ascii="Times New Roman" w:hAnsi="Times New Roman" w:cs="Times New Roman"/>
                      <w:bCs/>
                      <w:kern w:val="0"/>
                      <w:sz w:val="21"/>
                      <w:szCs w:val="21"/>
                    </w:rPr>
                    <w:t>1200mm</w:t>
                  </w:r>
                </w:p>
              </w:tc>
              <w:tc>
                <w:tcPr>
                  <w:tcW w:w="752" w:type="pct"/>
                  <w:tcBorders>
                    <w:top w:val="single" w:color="000000" w:sz="4" w:space="0"/>
                    <w:left w:val="single" w:color="000000" w:sz="4" w:space="0"/>
                    <w:bottom w:val="single" w:color="000000" w:sz="4" w:space="0"/>
                    <w:right w:val="single" w:color="auto" w:sz="4" w:space="0"/>
                  </w:tcBorders>
                  <w:vAlign w:val="center"/>
                </w:tcPr>
                <w:p>
                  <w:pPr>
                    <w:spacing w:line="360" w:lineRule="exact"/>
                    <w:jc w:val="center"/>
                    <w:rPr>
                      <w:rStyle w:val="177"/>
                      <w:rFonts w:ascii="Times New Roman" w:hAnsi="Times New Roman" w:cs="Times New Roman"/>
                      <w:bCs/>
                      <w:kern w:val="0"/>
                      <w:sz w:val="21"/>
                      <w:szCs w:val="21"/>
                    </w:rPr>
                  </w:pPr>
                  <w:r>
                    <w:rPr>
                      <w:rStyle w:val="177"/>
                      <w:rFonts w:ascii="Times New Roman" w:hAnsi="Times New Roman" w:cs="Times New Roman"/>
                      <w:bCs/>
                      <w:kern w:val="0"/>
                      <w:sz w:val="21"/>
                      <w:szCs w:val="21"/>
                    </w:rPr>
                    <w:t>298m</w:t>
                  </w:r>
                </w:p>
              </w:tc>
              <w:tc>
                <w:tcPr>
                  <w:tcW w:w="597" w:type="pct"/>
                  <w:vMerge w:val="restart"/>
                  <w:tcBorders>
                    <w:top w:val="single" w:color="000000" w:sz="4" w:space="0"/>
                    <w:left w:val="single" w:color="000000" w:sz="4" w:space="0"/>
                    <w:right w:val="single" w:color="000000" w:sz="4" w:space="0"/>
                  </w:tcBorders>
                  <w:vAlign w:val="center"/>
                </w:tcPr>
                <w:p>
                  <w:pPr>
                    <w:spacing w:line="360" w:lineRule="exact"/>
                    <w:jc w:val="center"/>
                    <w:rPr>
                      <w:rStyle w:val="177"/>
                      <w:rFonts w:ascii="Times New Roman" w:hAnsi="Times New Roman" w:cs="Times New Roman"/>
                      <w:bCs/>
                      <w:kern w:val="0"/>
                      <w:sz w:val="21"/>
                      <w:szCs w:val="21"/>
                    </w:rPr>
                  </w:pPr>
                  <w:r>
                    <w:rPr>
                      <w:rStyle w:val="177"/>
                      <w:rFonts w:ascii="Times New Roman" w:hAnsi="Times New Roman" w:cs="Times New Roman"/>
                      <w:bCs/>
                      <w:kern w:val="0"/>
                      <w:sz w:val="21"/>
                      <w:szCs w:val="21"/>
                    </w:rPr>
                    <w:t>主管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660"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2</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Style w:val="177"/>
                      <w:rFonts w:ascii="Times New Roman" w:hAnsi="Times New Roman" w:cs="Times New Roman" w:eastAsiaTheme="minorEastAsia"/>
                      <w:bCs/>
                      <w:sz w:val="21"/>
                      <w:szCs w:val="21"/>
                    </w:rPr>
                    <w:t>地埋施工</w:t>
                  </w:r>
                </w:p>
              </w:tc>
              <w:tc>
                <w:tcPr>
                  <w:tcW w:w="1239"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sz w:val="21"/>
                      <w:szCs w:val="21"/>
                    </w:rPr>
                    <w:t>聚乙烯钢带缠绕管</w:t>
                  </w:r>
                </w:p>
              </w:tc>
              <w:tc>
                <w:tcPr>
                  <w:tcW w:w="863" w:type="pct"/>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Style w:val="177"/>
                      <w:rFonts w:ascii="Times New Roman" w:hAnsi="Times New Roman" w:cs="Times New Roman"/>
                      <w:bCs/>
                      <w:kern w:val="0"/>
                      <w:sz w:val="21"/>
                      <w:szCs w:val="21"/>
                    </w:rPr>
                  </w:pPr>
                  <w:r>
                    <w:rPr>
                      <w:rStyle w:val="177"/>
                      <w:rFonts w:ascii="Times New Roman" w:hAnsi="Times New Roman" w:cs="Times New Roman"/>
                      <w:bCs/>
                      <w:kern w:val="0"/>
                      <w:sz w:val="21"/>
                      <w:szCs w:val="21"/>
                    </w:rPr>
                    <w:t>1200mm</w:t>
                  </w:r>
                </w:p>
              </w:tc>
              <w:tc>
                <w:tcPr>
                  <w:tcW w:w="752" w:type="pct"/>
                  <w:tcBorders>
                    <w:top w:val="single" w:color="000000" w:sz="4" w:space="0"/>
                    <w:left w:val="single" w:color="000000" w:sz="4" w:space="0"/>
                    <w:bottom w:val="single" w:color="000000" w:sz="4" w:space="0"/>
                    <w:right w:val="single" w:color="auto" w:sz="4" w:space="0"/>
                  </w:tcBorders>
                  <w:vAlign w:val="center"/>
                </w:tcPr>
                <w:p>
                  <w:pPr>
                    <w:spacing w:line="360" w:lineRule="exact"/>
                    <w:jc w:val="center"/>
                    <w:rPr>
                      <w:rStyle w:val="177"/>
                      <w:rFonts w:ascii="Times New Roman" w:hAnsi="Times New Roman" w:cs="Times New Roman"/>
                      <w:bCs/>
                      <w:kern w:val="0"/>
                      <w:sz w:val="21"/>
                      <w:szCs w:val="21"/>
                    </w:rPr>
                  </w:pPr>
                  <w:r>
                    <w:rPr>
                      <w:rStyle w:val="177"/>
                      <w:rFonts w:ascii="Times New Roman" w:hAnsi="Times New Roman" w:cs="Times New Roman"/>
                      <w:bCs/>
                      <w:kern w:val="0"/>
                      <w:sz w:val="21"/>
                      <w:szCs w:val="21"/>
                    </w:rPr>
                    <w:t>41m</w:t>
                  </w:r>
                </w:p>
              </w:tc>
              <w:tc>
                <w:tcPr>
                  <w:tcW w:w="597" w:type="pct"/>
                  <w:vMerge w:val="continue"/>
                  <w:tcBorders>
                    <w:left w:val="single" w:color="000000" w:sz="4" w:space="0"/>
                    <w:right w:val="single" w:color="000000" w:sz="4" w:space="0"/>
                  </w:tcBorders>
                  <w:vAlign w:val="center"/>
                </w:tcPr>
                <w:p>
                  <w:pPr>
                    <w:spacing w:line="360" w:lineRule="exact"/>
                    <w:jc w:val="center"/>
                    <w:rPr>
                      <w:rStyle w:val="177"/>
                      <w:rFonts w:ascii="Times New Roman" w:hAnsi="Times New Roman"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660"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3</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顶管施工</w:t>
                  </w:r>
                </w:p>
              </w:tc>
              <w:tc>
                <w:tcPr>
                  <w:tcW w:w="1239"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Ⅲ级钢筋混凝土圆管</w:t>
                  </w:r>
                </w:p>
              </w:tc>
              <w:tc>
                <w:tcPr>
                  <w:tcW w:w="863" w:type="pct"/>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Fonts w:ascii="Times New Roman" w:hAnsi="Times New Roman" w:cs="Times New Roman"/>
                      <w:bCs/>
                      <w:kern w:val="0"/>
                      <w:sz w:val="21"/>
                      <w:szCs w:val="21"/>
                    </w:rPr>
                  </w:pPr>
                  <w:r>
                    <w:rPr>
                      <w:rStyle w:val="177"/>
                      <w:rFonts w:ascii="Times New Roman" w:hAnsi="Times New Roman" w:cs="Times New Roman"/>
                      <w:bCs/>
                      <w:kern w:val="0"/>
                      <w:sz w:val="21"/>
                      <w:szCs w:val="21"/>
                    </w:rPr>
                    <w:t>1200mm</w:t>
                  </w:r>
                </w:p>
              </w:tc>
              <w:tc>
                <w:tcPr>
                  <w:tcW w:w="752" w:type="pct"/>
                  <w:tcBorders>
                    <w:top w:val="single" w:color="000000" w:sz="4" w:space="0"/>
                    <w:left w:val="single" w:color="000000" w:sz="4" w:space="0"/>
                    <w:bottom w:val="single" w:color="000000" w:sz="4" w:space="0"/>
                    <w:right w:val="single" w:color="auto" w:sz="4" w:space="0"/>
                  </w:tcBorders>
                  <w:vAlign w:val="center"/>
                </w:tcPr>
                <w:p>
                  <w:pPr>
                    <w:spacing w:line="360" w:lineRule="exact"/>
                    <w:jc w:val="center"/>
                    <w:rPr>
                      <w:rFonts w:ascii="Times New Roman" w:hAnsi="Times New Roman" w:cs="Times New Roman"/>
                      <w:bCs/>
                      <w:kern w:val="0"/>
                      <w:sz w:val="21"/>
                      <w:szCs w:val="21"/>
                    </w:rPr>
                  </w:pPr>
                  <w:r>
                    <w:rPr>
                      <w:rStyle w:val="177"/>
                      <w:rFonts w:ascii="Times New Roman" w:hAnsi="Times New Roman" w:cs="Times New Roman"/>
                      <w:bCs/>
                      <w:kern w:val="0"/>
                      <w:sz w:val="21"/>
                      <w:szCs w:val="21"/>
                    </w:rPr>
                    <w:t>92m</w:t>
                  </w:r>
                </w:p>
              </w:tc>
              <w:tc>
                <w:tcPr>
                  <w:tcW w:w="597" w:type="pct"/>
                  <w:vMerge w:val="continue"/>
                  <w:tcBorders>
                    <w:left w:val="single" w:color="000000" w:sz="4" w:space="0"/>
                    <w:right w:val="single" w:color="000000" w:sz="4" w:space="0"/>
                  </w:tcBorders>
                  <w:vAlign w:val="center"/>
                </w:tcPr>
                <w:p>
                  <w:pPr>
                    <w:spacing w:line="360" w:lineRule="exact"/>
                    <w:jc w:val="center"/>
                    <w:rPr>
                      <w:rFonts w:ascii="Times New Roman" w:hAnsi="Times New Roman"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660"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4</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Style w:val="177"/>
                      <w:rFonts w:ascii="Times New Roman" w:hAnsi="Times New Roman" w:cs="Times New Roman" w:eastAsiaTheme="minorEastAsia"/>
                      <w:bCs/>
                      <w:sz w:val="21"/>
                      <w:szCs w:val="21"/>
                    </w:rPr>
                    <w:t>地埋施工</w:t>
                  </w:r>
                </w:p>
              </w:tc>
              <w:tc>
                <w:tcPr>
                  <w:tcW w:w="1239"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sz w:val="21"/>
                      <w:szCs w:val="21"/>
                    </w:rPr>
                    <w:t>聚乙烯钢带缠绕管</w:t>
                  </w:r>
                </w:p>
              </w:tc>
              <w:tc>
                <w:tcPr>
                  <w:tcW w:w="863" w:type="pct"/>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Style w:val="177"/>
                      <w:rFonts w:ascii="Times New Roman" w:hAnsi="Times New Roman" w:cs="Times New Roman"/>
                      <w:bCs/>
                      <w:kern w:val="0"/>
                      <w:sz w:val="21"/>
                      <w:szCs w:val="21"/>
                    </w:rPr>
                  </w:pPr>
                  <w:r>
                    <w:rPr>
                      <w:rStyle w:val="177"/>
                      <w:rFonts w:ascii="Times New Roman" w:hAnsi="Times New Roman" w:cs="Times New Roman"/>
                      <w:bCs/>
                      <w:kern w:val="0"/>
                      <w:sz w:val="21"/>
                      <w:szCs w:val="21"/>
                    </w:rPr>
                    <w:t>1200mm</w:t>
                  </w:r>
                </w:p>
              </w:tc>
              <w:tc>
                <w:tcPr>
                  <w:tcW w:w="752" w:type="pct"/>
                  <w:tcBorders>
                    <w:top w:val="single" w:color="000000" w:sz="4" w:space="0"/>
                    <w:left w:val="single" w:color="000000" w:sz="4" w:space="0"/>
                    <w:bottom w:val="single" w:color="000000" w:sz="4" w:space="0"/>
                    <w:right w:val="single" w:color="auto" w:sz="4" w:space="0"/>
                  </w:tcBorders>
                  <w:vAlign w:val="center"/>
                </w:tcPr>
                <w:p>
                  <w:pPr>
                    <w:spacing w:line="360" w:lineRule="exact"/>
                    <w:jc w:val="center"/>
                    <w:rPr>
                      <w:rStyle w:val="177"/>
                      <w:rFonts w:ascii="Times New Roman" w:hAnsi="Times New Roman" w:cs="Times New Roman"/>
                      <w:bCs/>
                      <w:kern w:val="0"/>
                      <w:sz w:val="21"/>
                      <w:szCs w:val="21"/>
                    </w:rPr>
                  </w:pPr>
                  <w:r>
                    <w:rPr>
                      <w:rStyle w:val="177"/>
                      <w:rFonts w:ascii="Times New Roman" w:hAnsi="Times New Roman" w:cs="Times New Roman"/>
                      <w:bCs/>
                      <w:kern w:val="0"/>
                      <w:sz w:val="21"/>
                      <w:szCs w:val="21"/>
                    </w:rPr>
                    <w:t>207m</w:t>
                  </w:r>
                </w:p>
              </w:tc>
              <w:tc>
                <w:tcPr>
                  <w:tcW w:w="597" w:type="pct"/>
                  <w:vMerge w:val="continue"/>
                  <w:tcBorders>
                    <w:left w:val="single" w:color="000000" w:sz="4" w:space="0"/>
                    <w:right w:val="single" w:color="000000" w:sz="4" w:space="0"/>
                  </w:tcBorders>
                  <w:vAlign w:val="center"/>
                </w:tcPr>
                <w:p>
                  <w:pPr>
                    <w:spacing w:line="360" w:lineRule="exact"/>
                    <w:jc w:val="center"/>
                    <w:rPr>
                      <w:rStyle w:val="177"/>
                      <w:rFonts w:ascii="Times New Roman" w:hAnsi="Times New Roman"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660"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5</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顶管施工</w:t>
                  </w:r>
                </w:p>
              </w:tc>
              <w:tc>
                <w:tcPr>
                  <w:tcW w:w="1239"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Ⅲ级钢筋混凝土圆管</w:t>
                  </w:r>
                </w:p>
              </w:tc>
              <w:tc>
                <w:tcPr>
                  <w:tcW w:w="863" w:type="pct"/>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Style w:val="177"/>
                      <w:rFonts w:ascii="Times New Roman" w:hAnsi="Times New Roman" w:cs="Times New Roman"/>
                      <w:bCs/>
                      <w:kern w:val="0"/>
                      <w:sz w:val="21"/>
                      <w:szCs w:val="21"/>
                    </w:rPr>
                  </w:pPr>
                  <w:r>
                    <w:rPr>
                      <w:rStyle w:val="177"/>
                      <w:rFonts w:ascii="Times New Roman" w:hAnsi="Times New Roman" w:cs="Times New Roman"/>
                      <w:bCs/>
                      <w:kern w:val="0"/>
                      <w:sz w:val="21"/>
                      <w:szCs w:val="21"/>
                    </w:rPr>
                    <w:t>1200mm</w:t>
                  </w:r>
                </w:p>
              </w:tc>
              <w:tc>
                <w:tcPr>
                  <w:tcW w:w="752" w:type="pct"/>
                  <w:tcBorders>
                    <w:top w:val="single" w:color="000000" w:sz="4" w:space="0"/>
                    <w:left w:val="single" w:color="000000" w:sz="4" w:space="0"/>
                    <w:bottom w:val="single" w:color="000000" w:sz="4" w:space="0"/>
                    <w:right w:val="single" w:color="auto" w:sz="4" w:space="0"/>
                  </w:tcBorders>
                  <w:vAlign w:val="center"/>
                </w:tcPr>
                <w:p>
                  <w:pPr>
                    <w:spacing w:line="360" w:lineRule="exact"/>
                    <w:jc w:val="center"/>
                    <w:rPr>
                      <w:rStyle w:val="177"/>
                      <w:rFonts w:ascii="Times New Roman" w:hAnsi="Times New Roman" w:cs="Times New Roman"/>
                      <w:bCs/>
                      <w:kern w:val="0"/>
                      <w:sz w:val="21"/>
                      <w:szCs w:val="21"/>
                    </w:rPr>
                  </w:pPr>
                  <w:r>
                    <w:rPr>
                      <w:rStyle w:val="177"/>
                      <w:rFonts w:ascii="Times New Roman" w:hAnsi="Times New Roman" w:cs="Times New Roman"/>
                      <w:bCs/>
                      <w:kern w:val="0"/>
                      <w:sz w:val="21"/>
                      <w:szCs w:val="21"/>
                    </w:rPr>
                    <w:t>204m</w:t>
                  </w:r>
                </w:p>
              </w:tc>
              <w:tc>
                <w:tcPr>
                  <w:tcW w:w="597" w:type="pct"/>
                  <w:vMerge w:val="continue"/>
                  <w:tcBorders>
                    <w:left w:val="single" w:color="000000" w:sz="4" w:space="0"/>
                    <w:right w:val="single" w:color="000000" w:sz="4" w:space="0"/>
                  </w:tcBorders>
                  <w:vAlign w:val="center"/>
                </w:tcPr>
                <w:p>
                  <w:pPr>
                    <w:spacing w:line="360" w:lineRule="exact"/>
                    <w:jc w:val="center"/>
                    <w:rPr>
                      <w:rStyle w:val="177"/>
                      <w:rFonts w:ascii="Times New Roman" w:hAnsi="Times New Roman"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660"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6</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Style w:val="177"/>
                      <w:rFonts w:ascii="Times New Roman" w:hAnsi="Times New Roman" w:cs="Times New Roman" w:eastAsiaTheme="minorEastAsia"/>
                      <w:bCs/>
                      <w:sz w:val="21"/>
                      <w:szCs w:val="21"/>
                    </w:rPr>
                    <w:t>地埋施工</w:t>
                  </w:r>
                </w:p>
              </w:tc>
              <w:tc>
                <w:tcPr>
                  <w:tcW w:w="1239"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sz w:val="21"/>
                      <w:szCs w:val="21"/>
                    </w:rPr>
                    <w:t>聚乙烯钢带缠绕管</w:t>
                  </w:r>
                </w:p>
              </w:tc>
              <w:tc>
                <w:tcPr>
                  <w:tcW w:w="863" w:type="pct"/>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Style w:val="177"/>
                      <w:rFonts w:ascii="Times New Roman" w:hAnsi="Times New Roman" w:cs="Times New Roman"/>
                      <w:bCs/>
                      <w:kern w:val="0"/>
                      <w:sz w:val="21"/>
                      <w:szCs w:val="21"/>
                    </w:rPr>
                  </w:pPr>
                  <w:r>
                    <w:rPr>
                      <w:rStyle w:val="177"/>
                      <w:rFonts w:ascii="Times New Roman" w:hAnsi="Times New Roman" w:cs="Times New Roman"/>
                      <w:bCs/>
                      <w:kern w:val="0"/>
                      <w:sz w:val="21"/>
                      <w:szCs w:val="21"/>
                    </w:rPr>
                    <w:t>1200mm</w:t>
                  </w:r>
                </w:p>
              </w:tc>
              <w:tc>
                <w:tcPr>
                  <w:tcW w:w="752" w:type="pct"/>
                  <w:tcBorders>
                    <w:top w:val="single" w:color="000000" w:sz="4" w:space="0"/>
                    <w:left w:val="single" w:color="000000" w:sz="4" w:space="0"/>
                    <w:bottom w:val="single" w:color="000000" w:sz="4" w:space="0"/>
                    <w:right w:val="single" w:color="auto" w:sz="4" w:space="0"/>
                  </w:tcBorders>
                  <w:vAlign w:val="center"/>
                </w:tcPr>
                <w:p>
                  <w:pPr>
                    <w:spacing w:line="360" w:lineRule="exact"/>
                    <w:jc w:val="center"/>
                    <w:rPr>
                      <w:rStyle w:val="177"/>
                      <w:rFonts w:ascii="Times New Roman" w:hAnsi="Times New Roman" w:cs="Times New Roman"/>
                      <w:bCs/>
                      <w:kern w:val="0"/>
                      <w:sz w:val="21"/>
                      <w:szCs w:val="21"/>
                    </w:rPr>
                  </w:pPr>
                  <w:r>
                    <w:rPr>
                      <w:rStyle w:val="177"/>
                      <w:rFonts w:ascii="Times New Roman" w:hAnsi="Times New Roman" w:cs="Times New Roman"/>
                      <w:bCs/>
                      <w:kern w:val="0"/>
                      <w:sz w:val="21"/>
                      <w:szCs w:val="21"/>
                    </w:rPr>
                    <w:t>43m</w:t>
                  </w:r>
                </w:p>
              </w:tc>
              <w:tc>
                <w:tcPr>
                  <w:tcW w:w="597" w:type="pct"/>
                  <w:vMerge w:val="continue"/>
                  <w:tcBorders>
                    <w:left w:val="single" w:color="000000" w:sz="4" w:space="0"/>
                    <w:right w:val="single" w:color="000000" w:sz="4" w:space="0"/>
                  </w:tcBorders>
                  <w:vAlign w:val="center"/>
                </w:tcPr>
                <w:p>
                  <w:pPr>
                    <w:spacing w:line="360" w:lineRule="exact"/>
                    <w:jc w:val="center"/>
                    <w:rPr>
                      <w:rStyle w:val="177"/>
                      <w:rFonts w:ascii="Times New Roman" w:hAnsi="Times New Roman" w:cs="Times New Roman"/>
                      <w:bCs/>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6" w:hRule="atLeast"/>
                <w:jc w:val="center"/>
              </w:trPr>
              <w:tc>
                <w:tcPr>
                  <w:tcW w:w="660"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7</w:t>
                  </w:r>
                </w:p>
              </w:tc>
              <w:tc>
                <w:tcPr>
                  <w:tcW w:w="885"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顶管施工</w:t>
                  </w:r>
                </w:p>
              </w:tc>
              <w:tc>
                <w:tcPr>
                  <w:tcW w:w="1239" w:type="pct"/>
                  <w:tcBorders>
                    <w:top w:val="single" w:color="000000" w:sz="4" w:space="0"/>
                    <w:left w:val="single" w:color="000000" w:sz="4" w:space="0"/>
                    <w:bottom w:val="single" w:color="000000" w:sz="4" w:space="0"/>
                    <w:right w:val="single" w:color="000000" w:sz="4" w:space="0"/>
                  </w:tcBorders>
                  <w:vAlign w:val="center"/>
                </w:tcPr>
                <w:p>
                  <w:pPr>
                    <w:pStyle w:val="246"/>
                    <w:spacing w:line="360" w:lineRule="exact"/>
                    <w:ind w:firstLine="0" w:firstLineChars="0"/>
                    <w:jc w:val="center"/>
                    <w:rPr>
                      <w:rFonts w:ascii="Times New Roman" w:hAnsi="Times New Roman" w:cs="Times New Roman" w:eastAsiaTheme="minorEastAsia"/>
                      <w:bCs/>
                      <w:sz w:val="21"/>
                      <w:szCs w:val="21"/>
                    </w:rPr>
                  </w:pPr>
                  <w:r>
                    <w:rPr>
                      <w:rFonts w:ascii="Times New Roman" w:hAnsi="Times New Roman" w:cs="Times New Roman" w:eastAsiaTheme="minorEastAsia"/>
                      <w:bCs/>
                      <w:sz w:val="21"/>
                      <w:szCs w:val="21"/>
                    </w:rPr>
                    <w:t>Ⅲ级钢筋混凝土圆管</w:t>
                  </w:r>
                </w:p>
              </w:tc>
              <w:tc>
                <w:tcPr>
                  <w:tcW w:w="863" w:type="pct"/>
                  <w:tcBorders>
                    <w:top w:val="single" w:color="000000" w:sz="4" w:space="0"/>
                    <w:left w:val="single" w:color="auto" w:sz="4" w:space="0"/>
                    <w:bottom w:val="single" w:color="000000" w:sz="4" w:space="0"/>
                    <w:right w:val="single" w:color="000000" w:sz="4" w:space="0"/>
                  </w:tcBorders>
                  <w:vAlign w:val="center"/>
                </w:tcPr>
                <w:p>
                  <w:pPr>
                    <w:spacing w:line="360" w:lineRule="exact"/>
                    <w:jc w:val="center"/>
                    <w:rPr>
                      <w:rStyle w:val="177"/>
                      <w:rFonts w:ascii="Times New Roman" w:hAnsi="Times New Roman" w:cs="Times New Roman"/>
                      <w:bCs/>
                      <w:kern w:val="0"/>
                      <w:sz w:val="21"/>
                      <w:szCs w:val="21"/>
                    </w:rPr>
                  </w:pPr>
                  <w:r>
                    <w:rPr>
                      <w:rStyle w:val="177"/>
                      <w:rFonts w:ascii="Times New Roman" w:hAnsi="Times New Roman" w:cs="Times New Roman"/>
                      <w:bCs/>
                      <w:kern w:val="0"/>
                      <w:sz w:val="21"/>
                      <w:szCs w:val="21"/>
                    </w:rPr>
                    <w:t>1200mm</w:t>
                  </w:r>
                </w:p>
              </w:tc>
              <w:tc>
                <w:tcPr>
                  <w:tcW w:w="752" w:type="pct"/>
                  <w:tcBorders>
                    <w:top w:val="single" w:color="000000" w:sz="4" w:space="0"/>
                    <w:left w:val="single" w:color="000000" w:sz="4" w:space="0"/>
                    <w:bottom w:val="single" w:color="000000" w:sz="4" w:space="0"/>
                    <w:right w:val="single" w:color="auto" w:sz="4" w:space="0"/>
                  </w:tcBorders>
                  <w:vAlign w:val="center"/>
                </w:tcPr>
                <w:p>
                  <w:pPr>
                    <w:spacing w:line="360" w:lineRule="exact"/>
                    <w:jc w:val="center"/>
                    <w:rPr>
                      <w:rStyle w:val="177"/>
                      <w:rFonts w:ascii="Times New Roman" w:hAnsi="Times New Roman" w:cs="Times New Roman"/>
                      <w:bCs/>
                      <w:kern w:val="0"/>
                      <w:sz w:val="21"/>
                      <w:szCs w:val="21"/>
                    </w:rPr>
                  </w:pPr>
                  <w:r>
                    <w:rPr>
                      <w:rStyle w:val="177"/>
                      <w:rFonts w:ascii="Times New Roman" w:hAnsi="Times New Roman" w:cs="Times New Roman"/>
                      <w:bCs/>
                      <w:kern w:val="0"/>
                      <w:sz w:val="21"/>
                      <w:szCs w:val="21"/>
                    </w:rPr>
                    <w:t>825m</w:t>
                  </w:r>
                </w:p>
              </w:tc>
              <w:tc>
                <w:tcPr>
                  <w:tcW w:w="597" w:type="pct"/>
                  <w:vMerge w:val="continue"/>
                  <w:tcBorders>
                    <w:left w:val="single" w:color="000000" w:sz="4" w:space="0"/>
                    <w:bottom w:val="single" w:color="000000" w:sz="4" w:space="0"/>
                    <w:right w:val="single" w:color="000000" w:sz="4" w:space="0"/>
                  </w:tcBorders>
                  <w:vAlign w:val="center"/>
                </w:tcPr>
                <w:p>
                  <w:pPr>
                    <w:spacing w:line="360" w:lineRule="exact"/>
                    <w:jc w:val="center"/>
                    <w:rPr>
                      <w:rStyle w:val="177"/>
                      <w:rFonts w:ascii="Times New Roman" w:hAnsi="Times New Roman" w:cs="Times New Roman"/>
                      <w:bCs/>
                      <w:kern w:val="0"/>
                      <w:sz w:val="21"/>
                      <w:szCs w:val="21"/>
                    </w:rPr>
                  </w:pPr>
                </w:p>
              </w:tc>
            </w:tr>
          </w:tbl>
          <w:p>
            <w:pPr>
              <w:widowControl w:val="0"/>
              <w:ind w:firstLine="480"/>
              <w:jc w:val="both"/>
            </w:pPr>
            <w:r>
              <w:rPr>
                <w:rFonts w:hint="eastAsia"/>
              </w:rPr>
              <w:t>施工期工艺流程如图2-3所示。</w:t>
            </w:r>
          </w:p>
          <w:p>
            <w:pPr>
              <w:pStyle w:val="18"/>
              <w:widowControl w:val="0"/>
              <w:jc w:val="center"/>
            </w:pPr>
            <w:r>
              <w:object>
                <v:shape id="_x0000_i1026" o:spt="75" type="#_x0000_t75" style="height:127.5pt;width:336.75pt;" o:ole="t" filled="f" o:preferrelative="t" stroked="f" coordsize="21600,21600">
                  <v:path/>
                  <v:fill on="f" focussize="0,0"/>
                  <v:stroke on="f" joinstyle="miter"/>
                  <v:imagedata r:id="rId16" o:title=""/>
                  <o:lock v:ext="edit" aspectratio="t"/>
                  <w10:wrap type="none"/>
                  <w10:anchorlock/>
                </v:shape>
                <o:OLEObject Type="Embed" ProgID="Visio.Drawing.15" ShapeID="_x0000_i1026" DrawAspect="Content" ObjectID="_1468075726" r:id="rId15">
                  <o:LockedField>false</o:LockedField>
                </o:OLEObject>
              </w:object>
            </w:r>
          </w:p>
          <w:p>
            <w:pPr>
              <w:pStyle w:val="161"/>
              <w:numPr>
                <w:ilvl w:val="0"/>
                <w:numId w:val="4"/>
              </w:numPr>
              <w:autoSpaceDE w:val="0"/>
              <w:autoSpaceDN w:val="0"/>
              <w:adjustRightInd w:val="0"/>
              <w:ind w:firstLineChars="0"/>
              <w:jc w:val="center"/>
              <w:rPr>
                <w:rFonts w:ascii="黑体" w:hAnsi="黑体" w:eastAsia="黑体"/>
                <w:kern w:val="0"/>
              </w:rPr>
            </w:pPr>
            <w:r>
              <w:rPr>
                <w:rFonts w:hint="eastAsia" w:ascii="黑体" w:hAnsi="黑体" w:eastAsia="黑体"/>
                <w:kern w:val="0"/>
              </w:rPr>
              <w:t>污水收集管网</w:t>
            </w:r>
            <w:r>
              <w:rPr>
                <w:rFonts w:ascii="黑体" w:hAnsi="黑体" w:eastAsia="黑体"/>
                <w:kern w:val="0"/>
              </w:rPr>
              <w:t>施工工艺及产污环节图</w:t>
            </w:r>
          </w:p>
          <w:p>
            <w:pPr>
              <w:widowControl w:val="0"/>
              <w:ind w:firstLine="480"/>
              <w:jc w:val="both"/>
              <w:rPr>
                <w:b/>
                <w:bCs/>
              </w:rPr>
            </w:pPr>
            <w:r>
              <w:rPr>
                <w:rFonts w:hint="eastAsia"/>
                <w:b/>
                <w:bCs/>
              </w:rPr>
              <w:t>主要工序简述：</w:t>
            </w:r>
          </w:p>
          <w:p>
            <w:pPr>
              <w:widowControl w:val="0"/>
              <w:ind w:firstLine="480"/>
              <w:jc w:val="both"/>
              <w:rPr>
                <w:b/>
                <w:bCs/>
              </w:rPr>
            </w:pPr>
            <w:r>
              <w:rPr>
                <w:rFonts w:hint="eastAsia"/>
                <w:b/>
                <w:bCs/>
              </w:rPr>
              <w:t>①地表清理</w:t>
            </w:r>
          </w:p>
          <w:p>
            <w:pPr>
              <w:widowControl w:val="0"/>
              <w:ind w:firstLine="480"/>
              <w:jc w:val="both"/>
              <w:rPr>
                <w:bCs/>
              </w:rPr>
            </w:pPr>
            <w:r>
              <w:rPr>
                <w:rFonts w:hint="eastAsia"/>
                <w:bCs/>
              </w:rPr>
              <w:t>工程施工前需对施工沿线路面进行清理，待施工完毕后进行恢复。</w:t>
            </w:r>
          </w:p>
          <w:p>
            <w:pPr>
              <w:widowControl w:val="0"/>
              <w:ind w:firstLine="480"/>
              <w:jc w:val="both"/>
              <w:rPr>
                <w:b/>
                <w:bCs/>
              </w:rPr>
            </w:pPr>
            <w:r>
              <w:rPr>
                <w:rFonts w:hint="eastAsia"/>
                <w:b/>
                <w:bCs/>
              </w:rPr>
              <w:t>②沟槽开挖</w:t>
            </w:r>
          </w:p>
          <w:p>
            <w:pPr>
              <w:widowControl w:val="0"/>
              <w:ind w:firstLine="480"/>
              <w:jc w:val="both"/>
              <w:rPr>
                <w:bCs/>
              </w:rPr>
            </w:pPr>
            <w:r>
              <w:rPr>
                <w:rFonts w:hint="eastAsia"/>
                <w:bCs/>
              </w:rPr>
              <w:t>管道采用开槽法施工。当土（石）方用机械开挖时，应保留0.2m应用人工清槽，不得超挖，如果超挖应进行地基处理。沟槽开挖的宽度、边坡坡度、分层开挖每层深度应根据《给水排水管道工程施工及验收规范》并结合实际清况确定。沟槽临时开挖边坡坡率、开挖宽度应根据《给水排水管道工程施工及验收规范》（GB50268-2008）有关规定执行。</w:t>
            </w:r>
          </w:p>
          <w:p>
            <w:pPr>
              <w:widowControl w:val="0"/>
              <w:ind w:firstLine="480"/>
              <w:jc w:val="both"/>
              <w:rPr>
                <w:b/>
                <w:bCs/>
              </w:rPr>
            </w:pPr>
            <w:r>
              <w:rPr>
                <w:rFonts w:hint="eastAsia"/>
                <w:b/>
                <w:bCs/>
              </w:rPr>
              <w:t>③管道安装</w:t>
            </w:r>
          </w:p>
          <w:p>
            <w:pPr>
              <w:widowControl w:val="0"/>
              <w:ind w:firstLine="480"/>
              <w:jc w:val="both"/>
            </w:pPr>
            <w:r>
              <w:t>管材进场</w:t>
            </w:r>
            <w:r>
              <w:rPr>
                <w:rFonts w:hint="eastAsia"/>
              </w:rPr>
              <w:t>时</w:t>
            </w:r>
            <w:r>
              <w:t>应进行检查，管材应具有物理性能检验及压力试验合格的报告，外表面应有标记、出厂合格证、管材型号等，并检查防腐层是否脱落，管道承口、插口尺寸、内外径</w:t>
            </w:r>
            <w:r>
              <w:rPr>
                <w:rFonts w:hint="eastAsia"/>
              </w:rPr>
              <w:t>是否</w:t>
            </w:r>
            <w:r>
              <w:t>符合要求。</w:t>
            </w:r>
          </w:p>
          <w:p>
            <w:pPr>
              <w:widowControl w:val="0"/>
              <w:ind w:firstLine="480"/>
              <w:jc w:val="both"/>
            </w:pPr>
            <w:r>
              <w:t>管道检查合格后开始下管安装，管道接口采用橡胶圈接口，胶圈采用耐酸碱腐蚀、耐老化的专用详见材料制成。管节对口时，应将承插口内的所有杂物予以清除，并擦洗干净，插口上套的密封圈应平顺、无扭曲。安管时应均匀滚动到位，放松外力后，回弹不得大于</w:t>
            </w:r>
            <w:r>
              <w:rPr>
                <w:rFonts w:hint="eastAsia"/>
              </w:rPr>
              <w:t>1</w:t>
            </w:r>
            <w:r>
              <w:t>0mm，把胶圈装入承插口槽内，并用手按压确保均匀一致卡在槽内。</w:t>
            </w:r>
          </w:p>
          <w:p>
            <w:pPr>
              <w:widowControl w:val="0"/>
              <w:ind w:firstLine="480"/>
              <w:jc w:val="both"/>
              <w:rPr>
                <w:b/>
                <w:bCs/>
              </w:rPr>
            </w:pPr>
            <w:r>
              <w:rPr>
                <w:rFonts w:hint="eastAsia"/>
                <w:b/>
                <w:bCs/>
              </w:rPr>
              <w:t>④管道试压</w:t>
            </w:r>
          </w:p>
          <w:p>
            <w:pPr>
              <w:widowControl w:val="0"/>
              <w:ind w:firstLine="480"/>
              <w:jc w:val="both"/>
            </w:pPr>
            <w:r>
              <w:t>管道安装完成后应进行管道的水压试验，试压长度一般在</w:t>
            </w:r>
            <w:r>
              <w:rPr>
                <w:rFonts w:hint="eastAsia"/>
              </w:rPr>
              <w:t>5</w:t>
            </w:r>
            <w:r>
              <w:t>00~100m之间，具体长度根据实际情况而定</w:t>
            </w:r>
            <w:r>
              <w:rPr>
                <w:rFonts w:hint="eastAsia"/>
              </w:rPr>
              <w:t>，压力试验均应符合《给水排水管道工程施工及验收规范》（GB50268-2008）。</w:t>
            </w:r>
          </w:p>
          <w:p>
            <w:pPr>
              <w:widowControl w:val="0"/>
              <w:ind w:firstLine="480"/>
              <w:jc w:val="both"/>
              <w:rPr>
                <w:b/>
                <w:bCs/>
              </w:rPr>
            </w:pPr>
            <w:r>
              <w:rPr>
                <w:rFonts w:hint="eastAsia"/>
                <w:b/>
                <w:bCs/>
              </w:rPr>
              <w:t>⑤管道清洗</w:t>
            </w:r>
          </w:p>
          <w:p>
            <w:pPr>
              <w:widowControl w:val="0"/>
              <w:ind w:firstLine="480"/>
              <w:jc w:val="both"/>
            </w:pPr>
            <w:r>
              <w:t>管道试压合格后应进行清洗</w:t>
            </w:r>
            <w:r>
              <w:rPr>
                <w:rFonts w:hint="eastAsia"/>
              </w:rPr>
              <w:t>。</w:t>
            </w:r>
            <w:r>
              <w:t>管道清洗前应制定清洗方案，清洗时流量不应小于设计流量，并采用自来水连续反复冲洗，直至管道内无</w:t>
            </w:r>
            <w:r>
              <w:rPr>
                <w:rFonts w:hint="eastAsia"/>
              </w:rPr>
              <w:t>杂物</w:t>
            </w:r>
            <w:r>
              <w:t>、水浊现象。</w:t>
            </w:r>
          </w:p>
          <w:p>
            <w:pPr>
              <w:widowControl w:val="0"/>
              <w:ind w:firstLine="480"/>
              <w:jc w:val="both"/>
              <w:rPr>
                <w:rFonts w:ascii="宋体" w:hAnsi="宋体"/>
                <w:b/>
                <w:bCs/>
              </w:rPr>
            </w:pPr>
            <w:r>
              <w:rPr>
                <w:rFonts w:hint="eastAsia"/>
                <w:b/>
                <w:bCs/>
              </w:rPr>
              <w:t>特殊管渠施工——</w:t>
            </w:r>
            <w:r>
              <w:rPr>
                <w:rFonts w:hint="eastAsia" w:ascii="宋体" w:hAnsi="宋体"/>
                <w:b/>
                <w:bCs/>
              </w:rPr>
              <w:t>顶管施工工艺</w:t>
            </w:r>
            <w:r>
              <w:rPr>
                <w:rFonts w:ascii="宋体" w:hAnsi="宋体"/>
                <w:b/>
                <w:bCs/>
              </w:rPr>
              <w:t>流程</w:t>
            </w:r>
            <w:r>
              <w:rPr>
                <w:rFonts w:hint="eastAsia" w:ascii="宋体" w:hAnsi="宋体"/>
                <w:b/>
                <w:bCs/>
              </w:rPr>
              <w:t>：</w:t>
            </w:r>
          </w:p>
          <w:p>
            <w:pPr>
              <w:widowControl w:val="0"/>
              <w:autoSpaceDE w:val="0"/>
              <w:autoSpaceDN w:val="0"/>
              <w:adjustRightInd w:val="0"/>
              <w:snapToGrid w:val="0"/>
              <w:spacing w:before="163" w:beforeLines="50" w:after="163" w:afterLines="50"/>
              <w:jc w:val="center"/>
            </w:pPr>
            <w:r>
              <w:object>
                <v:shape id="_x0000_i1027" o:spt="75" type="#_x0000_t75" style="height:303pt;width:217.5pt;" o:ole="t" filled="f" o:preferrelative="t" stroked="f" coordsize="21600,21600">
                  <v:path/>
                  <v:fill on="f" focussize="0,0"/>
                  <v:stroke on="f"/>
                  <v:imagedata r:id="rId18" o:title=""/>
                  <o:lock v:ext="edit" aspectratio="t"/>
                  <w10:wrap type="none"/>
                  <w10:anchorlock/>
                </v:shape>
                <o:OLEObject Type="Embed" ProgID="Visio.Drawing.11" ShapeID="_x0000_i1027" DrawAspect="Content" ObjectID="_1468075727" r:id="rId17">
                  <o:LockedField>false</o:LockedField>
                </o:OLEObject>
              </w:object>
            </w:r>
          </w:p>
          <w:p>
            <w:pPr>
              <w:pStyle w:val="161"/>
              <w:numPr>
                <w:ilvl w:val="0"/>
                <w:numId w:val="4"/>
              </w:numPr>
              <w:autoSpaceDE w:val="0"/>
              <w:autoSpaceDN w:val="0"/>
              <w:adjustRightInd w:val="0"/>
              <w:ind w:firstLineChars="0"/>
              <w:jc w:val="center"/>
              <w:rPr>
                <w:rFonts w:ascii="黑体" w:hAnsi="黑体" w:eastAsia="黑体"/>
                <w:kern w:val="0"/>
              </w:rPr>
            </w:pPr>
            <w:r>
              <w:rPr>
                <w:rFonts w:hint="eastAsia" w:ascii="黑体" w:hAnsi="黑体" w:eastAsia="黑体"/>
                <w:kern w:val="0"/>
              </w:rPr>
              <w:t>顶管工程施工工艺流程图</w:t>
            </w:r>
          </w:p>
          <w:p>
            <w:pPr>
              <w:widowControl w:val="0"/>
              <w:ind w:firstLine="480"/>
              <w:jc w:val="both"/>
              <w:rPr>
                <w:b/>
                <w:bCs/>
              </w:rPr>
            </w:pPr>
            <w:r>
              <w:rPr>
                <w:rFonts w:hint="eastAsia"/>
                <w:b/>
                <w:bCs/>
              </w:rPr>
              <w:t>（2）污水处理厂施工工艺</w:t>
            </w:r>
          </w:p>
          <w:p>
            <w:pPr>
              <w:widowControl w:val="0"/>
              <w:ind w:firstLine="480"/>
              <w:jc w:val="both"/>
            </w:pPr>
            <w:r>
              <w:rPr>
                <w:rFonts w:hint="eastAsia"/>
              </w:rPr>
              <w:t>项目污水处理厂施工期工艺流程如图2-</w:t>
            </w:r>
            <w:r>
              <w:t>6</w:t>
            </w:r>
            <w:r>
              <w:rPr>
                <w:rFonts w:hint="eastAsia"/>
              </w:rPr>
              <w:t>所示。</w:t>
            </w:r>
          </w:p>
          <w:p>
            <w:pPr>
              <w:widowControl w:val="0"/>
              <w:jc w:val="center"/>
            </w:pPr>
            <w:r>
              <w:object>
                <v:shape id="_x0000_i1028" o:spt="75" type="#_x0000_t75" style="height:126.75pt;width:383.25pt;" o:ole="t" filled="f" o:preferrelative="t" stroked="f" coordsize="21600,21600">
                  <v:path/>
                  <v:fill on="f" focussize="0,0"/>
                  <v:stroke on="f" joinstyle="miter"/>
                  <v:imagedata r:id="rId20" o:title=""/>
                  <o:lock v:ext="edit" aspectratio="t"/>
                  <w10:wrap type="none"/>
                  <w10:anchorlock/>
                </v:shape>
                <o:OLEObject Type="Embed" ProgID="Visio.Drawing.15" ShapeID="_x0000_i1028" DrawAspect="Content" ObjectID="_1468075728" r:id="rId19">
                  <o:LockedField>false</o:LockedField>
                </o:OLEObject>
              </w:object>
            </w:r>
          </w:p>
          <w:p>
            <w:pPr>
              <w:pStyle w:val="161"/>
              <w:numPr>
                <w:ilvl w:val="0"/>
                <w:numId w:val="4"/>
              </w:numPr>
              <w:autoSpaceDE w:val="0"/>
              <w:autoSpaceDN w:val="0"/>
              <w:adjustRightInd w:val="0"/>
              <w:ind w:firstLineChars="0"/>
              <w:jc w:val="center"/>
              <w:rPr>
                <w:rFonts w:eastAsia="黑体"/>
                <w:szCs w:val="21"/>
              </w:rPr>
            </w:pPr>
            <w:r>
              <w:rPr>
                <w:rFonts w:hint="eastAsia" w:ascii="黑体" w:hAnsi="黑体" w:eastAsia="黑体"/>
                <w:kern w:val="0"/>
              </w:rPr>
              <w:t>污水处理厂</w:t>
            </w:r>
            <w:r>
              <w:rPr>
                <w:rFonts w:ascii="黑体" w:hAnsi="黑体" w:eastAsia="黑体"/>
                <w:kern w:val="0"/>
              </w:rPr>
              <w:t>施工工艺</w:t>
            </w:r>
            <w:r>
              <w:rPr>
                <w:rFonts w:hint="eastAsia" w:ascii="黑体" w:hAnsi="黑体" w:eastAsia="黑体"/>
                <w:kern w:val="0"/>
              </w:rPr>
              <w:t>及</w:t>
            </w:r>
            <w:r>
              <w:rPr>
                <w:rFonts w:ascii="黑体" w:hAnsi="黑体" w:eastAsia="黑体"/>
                <w:kern w:val="0"/>
              </w:rPr>
              <w:t>产污环节</w:t>
            </w:r>
            <w:r>
              <w:rPr>
                <w:rFonts w:hint="eastAsia" w:ascii="黑体" w:hAnsi="黑体" w:eastAsia="黑体"/>
                <w:kern w:val="0"/>
              </w:rPr>
              <w:t>图</w:t>
            </w:r>
          </w:p>
          <w:p>
            <w:pPr>
              <w:widowControl w:val="0"/>
              <w:ind w:firstLine="480"/>
              <w:jc w:val="both"/>
              <w:rPr>
                <w:b/>
                <w:bCs/>
              </w:rPr>
            </w:pPr>
            <w:r>
              <w:rPr>
                <w:rFonts w:hint="eastAsia"/>
                <w:b/>
                <w:bCs/>
              </w:rPr>
              <w:t>主要工序简述：</w:t>
            </w:r>
          </w:p>
          <w:p>
            <w:pPr>
              <w:widowControl w:val="0"/>
              <w:ind w:firstLine="480"/>
              <w:jc w:val="both"/>
              <w:rPr>
                <w:b/>
                <w:bCs/>
              </w:rPr>
            </w:pPr>
            <w:r>
              <w:rPr>
                <w:rFonts w:hint="eastAsia"/>
                <w:b/>
                <w:bCs/>
              </w:rPr>
              <w:t>①基础工程</w:t>
            </w:r>
          </w:p>
          <w:p>
            <w:pPr>
              <w:widowControl w:val="0"/>
              <w:ind w:firstLine="480"/>
              <w:jc w:val="both"/>
            </w:pPr>
            <w:r>
              <w:rPr>
                <w:rFonts w:hint="eastAsia"/>
              </w:rPr>
              <w:t>在基础开挖、地基处理（岩土工程）与基础施工时，由于挖土机、运土卡车等施工机械的运行，将产生一定的噪声；同时产生扬尘和工人生活废水；基础开挖引起原有土地利用类型的改变，会造成生态变化并引起一定程度的水土流失。</w:t>
            </w:r>
          </w:p>
          <w:p>
            <w:pPr>
              <w:widowControl w:val="0"/>
              <w:ind w:firstLine="480"/>
              <w:jc w:val="both"/>
              <w:rPr>
                <w:b/>
                <w:bCs/>
              </w:rPr>
            </w:pPr>
            <w:r>
              <w:rPr>
                <w:rFonts w:hint="eastAsia"/>
                <w:b/>
                <w:bCs/>
              </w:rPr>
              <w:t>②主体工程</w:t>
            </w:r>
          </w:p>
          <w:p>
            <w:pPr>
              <w:widowControl w:val="0"/>
              <w:ind w:firstLine="480"/>
              <w:jc w:val="both"/>
            </w:pPr>
            <w:r>
              <w:rPr>
                <w:rFonts w:hint="eastAsia"/>
              </w:rPr>
              <w:t>主体施工时，挖掘机、打夯机、装载汽车等运行时会产生噪声，同时产生扬尘。此外，还有一些原材料废弃料以及生产和生活污水产生。</w:t>
            </w:r>
          </w:p>
          <w:p>
            <w:pPr>
              <w:widowControl w:val="0"/>
              <w:ind w:firstLine="480"/>
              <w:jc w:val="both"/>
              <w:rPr>
                <w:b/>
              </w:rPr>
            </w:pPr>
            <w:r>
              <w:rPr>
                <w:rFonts w:hint="eastAsia"/>
                <w:b/>
              </w:rPr>
              <w:t>③装饰工程</w:t>
            </w:r>
          </w:p>
          <w:p>
            <w:pPr>
              <w:widowControl w:val="0"/>
              <w:ind w:firstLine="480"/>
              <w:jc w:val="both"/>
            </w:pPr>
            <w:r>
              <w:rPr>
                <w:rFonts w:hint="eastAsia"/>
              </w:rPr>
              <w:t>在对构筑物的室内外进行装修时（如表面粉刷、喷涂、裱糊等），钻机、电锤等产生噪声，涂料产生废气、废弃物料及污水。</w:t>
            </w:r>
          </w:p>
          <w:p>
            <w:pPr>
              <w:widowControl w:val="0"/>
              <w:ind w:firstLine="480"/>
              <w:jc w:val="both"/>
              <w:rPr>
                <w:b/>
                <w:bCs/>
              </w:rPr>
            </w:pPr>
            <w:r>
              <w:rPr>
                <w:rFonts w:hint="eastAsia"/>
                <w:b/>
                <w:bCs/>
              </w:rPr>
              <w:t>④设备安装</w:t>
            </w:r>
          </w:p>
          <w:p>
            <w:pPr>
              <w:widowControl w:val="0"/>
              <w:ind w:firstLine="480"/>
              <w:jc w:val="both"/>
            </w:pPr>
            <w:r>
              <w:rPr>
                <w:rFonts w:hint="eastAsia"/>
              </w:rPr>
              <w:t>主要包括生产设施设备的安装。</w:t>
            </w:r>
          </w:p>
          <w:p>
            <w:pPr>
              <w:widowControl w:val="0"/>
              <w:autoSpaceDE w:val="0"/>
              <w:autoSpaceDN w:val="0"/>
              <w:adjustRightInd w:val="0"/>
              <w:snapToGrid w:val="0"/>
              <w:spacing w:before="163" w:beforeLines="50"/>
              <w:jc w:val="left"/>
              <w:rPr>
                <w:rFonts w:eastAsia="黑体"/>
              </w:rPr>
            </w:pPr>
            <w:r>
              <w:rPr>
                <w:rFonts w:eastAsia="黑体"/>
              </w:rPr>
              <w:t>2</w:t>
            </w:r>
            <w:r>
              <w:rPr>
                <w:rFonts w:hint="eastAsia" w:eastAsia="黑体"/>
              </w:rPr>
              <w:t>、营运</w:t>
            </w:r>
            <w:r>
              <w:rPr>
                <w:rFonts w:eastAsia="黑体"/>
              </w:rPr>
              <w:t>期</w:t>
            </w:r>
            <w:r>
              <w:rPr>
                <w:rFonts w:hint="eastAsia" w:eastAsia="黑体"/>
              </w:rPr>
              <w:t>污水处理厂工艺方案比选、可行性分析、工艺流程和产污环节</w:t>
            </w:r>
          </w:p>
          <w:p>
            <w:pPr>
              <w:widowControl w:val="0"/>
              <w:ind w:firstLine="361" w:firstLineChars="150"/>
              <w:jc w:val="both"/>
              <w:rPr>
                <w:rFonts w:ascii="Times New Roman" w:hAnsi="Times New Roman"/>
                <w:b/>
              </w:rPr>
            </w:pPr>
            <w:r>
              <w:rPr>
                <w:rFonts w:ascii="Times New Roman" w:hAnsi="Times New Roman"/>
                <w:b/>
              </w:rPr>
              <w:t>（1）</w:t>
            </w:r>
            <w:r>
              <w:rPr>
                <w:rFonts w:hint="eastAsia" w:ascii="Times New Roman" w:hAnsi="Times New Roman"/>
                <w:b/>
              </w:rPr>
              <w:t>污水可生化性分析</w:t>
            </w:r>
          </w:p>
          <w:p>
            <w:pPr>
              <w:widowControl w:val="0"/>
              <w:ind w:firstLine="361" w:firstLineChars="150"/>
              <w:jc w:val="both"/>
              <w:rPr>
                <w:rFonts w:ascii="Times New Roman" w:hAnsi="Times New Roman"/>
                <w:b/>
              </w:rPr>
            </w:pPr>
            <w:r>
              <w:rPr>
                <w:rFonts w:hint="eastAsia" w:ascii="Times New Roman" w:hAnsi="Times New Roman"/>
                <w:b/>
              </w:rPr>
              <w:t>1）可生化分析</w:t>
            </w:r>
          </w:p>
          <w:p>
            <w:pPr>
              <w:widowControl w:val="0"/>
              <w:ind w:firstLine="480"/>
              <w:jc w:val="both"/>
            </w:pPr>
            <w:r>
              <w:rPr>
                <w:rFonts w:hint="eastAsia"/>
              </w:rPr>
              <w:t>污水BOD</w:t>
            </w:r>
            <w:r>
              <w:rPr>
                <w:rFonts w:hint="eastAsia"/>
                <w:vertAlign w:val="subscript"/>
              </w:rPr>
              <w:t>5</w:t>
            </w:r>
            <w:r>
              <w:rPr>
                <w:rFonts w:hint="eastAsia"/>
              </w:rPr>
              <w:t>/COD值是判定污水可生化性的重要指标。一般认为BOD</w:t>
            </w:r>
            <w:r>
              <w:rPr>
                <w:rFonts w:hint="eastAsia"/>
                <w:vertAlign w:val="subscript"/>
              </w:rPr>
              <w:t>5</w:t>
            </w:r>
            <w:r>
              <w:rPr>
                <w:rFonts w:hint="eastAsia"/>
              </w:rPr>
              <w:t>/COD＞0.4可生化性较好，BOD</w:t>
            </w:r>
            <w:r>
              <w:rPr>
                <w:rFonts w:hint="eastAsia"/>
                <w:vertAlign w:val="subscript"/>
              </w:rPr>
              <w:t>5</w:t>
            </w:r>
            <w:r>
              <w:rPr>
                <w:rFonts w:hint="eastAsia"/>
              </w:rPr>
              <w:t>/COD＞0.3可生化，BOD</w:t>
            </w:r>
            <w:r>
              <w:rPr>
                <w:rFonts w:hint="eastAsia"/>
                <w:vertAlign w:val="subscript"/>
              </w:rPr>
              <w:t>5</w:t>
            </w:r>
            <w:r>
              <w:rPr>
                <w:rFonts w:hint="eastAsia"/>
              </w:rPr>
              <w:t>/COD＜0.3较难生化，BOD</w:t>
            </w:r>
            <w:r>
              <w:rPr>
                <w:rFonts w:hint="eastAsia"/>
                <w:vertAlign w:val="subscript"/>
              </w:rPr>
              <w:t>5</w:t>
            </w:r>
            <w:r>
              <w:rPr>
                <w:rFonts w:hint="eastAsia"/>
              </w:rPr>
              <w:t>/COD＜0.25不易生化。由此可知该污水可生化好，可以采用生化处理工艺。</w:t>
            </w:r>
          </w:p>
          <w:p>
            <w:pPr>
              <w:widowControl w:val="0"/>
              <w:ind w:firstLine="361" w:firstLineChars="150"/>
              <w:jc w:val="both"/>
              <w:rPr>
                <w:rFonts w:ascii="Times New Roman" w:hAnsi="Times New Roman"/>
                <w:b/>
              </w:rPr>
            </w:pPr>
            <w:r>
              <w:rPr>
                <w:rFonts w:hint="eastAsia" w:ascii="Times New Roman" w:hAnsi="Times New Roman"/>
                <w:b/>
              </w:rPr>
              <w:t>2）脱氮分析</w:t>
            </w:r>
          </w:p>
          <w:p>
            <w:pPr>
              <w:pStyle w:val="193"/>
              <w:spacing w:afterLines="0" w:line="360" w:lineRule="auto"/>
              <w:ind w:firstLine="480"/>
              <w:rPr>
                <w:sz w:val="24"/>
                <w:szCs w:val="24"/>
              </w:rPr>
            </w:pPr>
            <w:r>
              <w:rPr>
                <w:rFonts w:hint="eastAsia"/>
                <w:sz w:val="24"/>
                <w:szCs w:val="24"/>
              </w:rPr>
              <w:t>BOD</w:t>
            </w:r>
            <w:r>
              <w:rPr>
                <w:rFonts w:hint="eastAsia"/>
                <w:sz w:val="24"/>
                <w:szCs w:val="24"/>
                <w:vertAlign w:val="subscript"/>
              </w:rPr>
              <w:t>5</w:t>
            </w:r>
            <w:r>
              <w:rPr>
                <w:rFonts w:hint="eastAsia"/>
                <w:sz w:val="24"/>
                <w:szCs w:val="24"/>
              </w:rPr>
              <w:t>/TN(即C/N)比值是判别能否有效脱氮的重要指标。从理论上讲，C/N≥2.86就能进行脱氮，但一般认为，C/N≥3.5才能进行有效脱氮。本工程进水水质C/N=3.56，满足生物脱氮的要求。</w:t>
            </w:r>
          </w:p>
          <w:p>
            <w:pPr>
              <w:widowControl w:val="0"/>
              <w:ind w:firstLine="361" w:firstLineChars="150"/>
              <w:jc w:val="both"/>
              <w:rPr>
                <w:rFonts w:ascii="Times New Roman" w:hAnsi="Times New Roman"/>
                <w:b/>
              </w:rPr>
            </w:pPr>
            <w:r>
              <w:rPr>
                <w:rFonts w:hint="eastAsia" w:ascii="Times New Roman" w:hAnsi="Times New Roman"/>
                <w:b/>
              </w:rPr>
              <w:t>3）除磷性分析</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/TP是衡量能否采用生物除磷的重要指标。一般认为该值大于20就能进行生物除磷，比值愈大，除磷效果愈好。</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本工程进水水质BOD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/TP=35.56，生物除磷效果好。</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当实际生物除磷不能满足出水总磷的要求时，可以辅以化学除磷。化学除磷主要是向污水中投加药剂，使药剂与水中溶解性盐形成不溶性磷酸盐沉淀物，然后通过固液分离使磷从污水中除去。固液分离可单独进行，也可在二沉池内进行。按工艺流程中化学药剂投加点的不同，磷酸盐沉淀工艺可分成前置沉淀、协同沉淀和后置沉淀三种类型。前置沉淀的投加点在原污水进水处，形成的沉淀物与初沉污泥一起排除，协同沉淀的药剂投加点在曝气池进水或出水位置，形成的沉淀物与剩余污泥一起在二沉池排除，后置沉淀的药剂投加点是二级生物处理（二沉池）之后，形成的沉淀物在固液分离装置进行分离，包括澄清池或滤池。</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化学除磷的主要药剂有石灰、铁盐和铝盐，本次污水处理厂设计选用处理效果相对较好的铝盐进行处理，同时为了保证处理效果考虑投加PAM一起处理。由于出水总磷水质要求较高，设计时需要考虑深度除磷措施。</w:t>
            </w:r>
          </w:p>
          <w:p>
            <w:pPr>
              <w:widowControl w:val="0"/>
              <w:ind w:firstLine="361" w:firstLineChars="150"/>
              <w:jc w:val="both"/>
              <w:rPr>
                <w:rFonts w:ascii="Times New Roman" w:hAnsi="Times New Roman"/>
                <w:b/>
              </w:rPr>
            </w:pPr>
            <w:r>
              <w:rPr>
                <w:rFonts w:ascii="Times New Roman" w:hAnsi="Times New Roman"/>
                <w:b/>
              </w:rPr>
              <w:t>（2）</w:t>
            </w:r>
            <w:r>
              <w:rPr>
                <w:rFonts w:hint="eastAsia" w:ascii="Times New Roman" w:hAnsi="Times New Roman"/>
                <w:b/>
              </w:rPr>
              <w:t>污水处理工艺比选</w:t>
            </w:r>
          </w:p>
          <w:p>
            <w:pPr>
              <w:pStyle w:val="193"/>
              <w:spacing w:afterLines="0" w:line="360" w:lineRule="auto"/>
              <w:ind w:firstLine="482"/>
              <w:rPr>
                <w:rFonts w:ascii="宋体" w:hAnsi="宋体"/>
                <w:b/>
                <w:bCs/>
                <w:sz w:val="24"/>
                <w:szCs w:val="24"/>
              </w:rPr>
            </w:pPr>
            <w:r>
              <w:rPr>
                <w:rFonts w:hint="eastAsia" w:ascii="宋体" w:hAnsi="宋体"/>
                <w:b/>
                <w:bCs/>
                <w:sz w:val="24"/>
                <w:szCs w:val="24"/>
              </w:rPr>
              <w:t>1）二级处理工艺比选</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污水处理工艺流程应选择先进成熟可靠、处理效率高、操作管理简单方便灵活、自动化程度高的工艺，并尽可能地节省占地面积和能耗、降低运行费用。根据污水可生化性分析，本工程污水处理厂污水属于可生化污水，有基本适宜的碳氮比、碳磷比，可采用生物脱氮除磷。</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生物脱氮除磷工艺方案很多，目前大多采用活性污泥处理工艺，结合宣汉县污水特点以及周边类似项目污水处理工艺，选择“A/A/O”工艺和CAST工艺进行比较。</w:t>
            </w:r>
          </w:p>
          <w:p>
            <w:pPr>
              <w:pStyle w:val="193"/>
              <w:spacing w:afterLines="0" w:line="360" w:lineRule="auto"/>
              <w:ind w:firstLine="482"/>
              <w:rPr>
                <w:rFonts w:hint="default" w:ascii="Times New Roman" w:hAnsi="Times New Roman" w:cs="Times New Roman"/>
                <w:b/>
                <w:bCs/>
                <w:sz w:val="24"/>
                <w:szCs w:val="24"/>
              </w:rPr>
            </w:pPr>
            <w:r>
              <w:rPr>
                <w:rFonts w:hint="default" w:ascii="Times New Roman" w:hAnsi="Times New Roman" w:cs="Times New Roman"/>
                <w:b/>
                <w:bCs/>
                <w:sz w:val="24"/>
                <w:szCs w:val="24"/>
              </w:rPr>
              <w:t>①A</w:t>
            </w:r>
            <w:r>
              <w:rPr>
                <w:rFonts w:hint="default" w:ascii="Times New Roman" w:hAnsi="Times New Roman" w:cs="Times New Roman"/>
                <w:b/>
                <w:bCs/>
                <w:sz w:val="24"/>
                <w:szCs w:val="24"/>
                <w:vertAlign w:val="superscript"/>
              </w:rPr>
              <w:t>2</w:t>
            </w:r>
            <w:r>
              <w:rPr>
                <w:rFonts w:hint="default" w:ascii="Times New Roman" w:hAnsi="Times New Roman" w:cs="Times New Roman"/>
                <w:b/>
                <w:bCs/>
                <w:sz w:val="24"/>
                <w:szCs w:val="24"/>
              </w:rPr>
              <w:t>/O-MBBR工艺</w:t>
            </w:r>
          </w:p>
          <w:p>
            <w:pPr>
              <w:pStyle w:val="193"/>
              <w:adjustRightInd w:val="0"/>
              <w:snapToGrid w:val="0"/>
              <w:spacing w:afterLines="0" w:line="360" w:lineRule="auto"/>
              <w:ind w:firstLine="480"/>
              <w:rPr>
                <w:rFonts w:ascii="宋体" w:hAnsi="宋体"/>
                <w:sz w:val="24"/>
                <w:szCs w:val="24"/>
              </w:rPr>
            </w:pPr>
            <w:r>
              <w:rPr>
                <w:rFonts w:hint="default" w:ascii="Times New Roman" w:hAnsi="Times New Roman" w:cs="Times New Roman"/>
                <w:sz w:val="24"/>
                <w:szCs w:val="24"/>
              </w:rPr>
              <w:t>A</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/O-MBBR法即厌氧–缺氧–好氧MBBR活性污泥法。A</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O-MBBR工艺是通过厌氧和好氧、缺氧和好氧交替变化的环境完成除磷脱氮反应。在厌氧条件下，回流污泥中的聚磷菌受到抑制，只能释放体内的磷酸盐获取能量，以吸收污水中的可快速生化降解的溶解性有机物来维持生存，并在细胞内将有机物转化成聚β羟丁酸（PHB）贮存起来。在这个过程中完成了磷的厌氧释放；在缺氧条件下，反硝化菌利用污水中的有机碳作为电子供体，以硝酸盐作为电子受体进行“无氧呼吸”，将回流液中硝态氮还原成氮气释放出来，完成反硝化过程；而在好氧条件下，一方面聚磷菌将体内的PHB进行好氧分解，释放的能量用于细胞合成、增殖和吸收污水中的磷合成聚磷酸盐，随剩余污泥排出系统，从而实现污水的除磷，另一方面硝化菌把污水中的氨氮氧化成硝酸盐；再向缺氧池回流，为脱氮作好必要的准备。同时在好氧池中投加一定数量的悬浮载体，提高反应器中的生物量及生物种类，从而提高反应器的处理效率。由于填料密度接近于水，所以在曝气的时候，与水呈完全混合状态，微生物生长的环境为气、液、固三相。载体在水中的碰撞和剪切作用，使空气气泡更加细小，增加了氧气的利用率。另外，每个载体内外均具有不同的生物种类，内部生长一些厌氧菌或兼氧菌，外部为好养菌，这样每个载体都为一个微型反应器，使硝化反应和反硝化反应同时存在，从而提高了处理效果。</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A</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O-MBBR工艺的特点是把除磷、脱氮和降解有机物三个生化过程结合起来，在厌氧和缺氧段为除磷和脱氮提供各自不同的反应条件，在最后的好氧段为有机物及氨氮的处理提供了共同的反应条件。这就能够用简单的流程，尽量少的构筑物，完成复杂的处理过程，给工程实施创造方便条件。</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本工艺在系统上是最简单的同步除磷脱氮工艺，总水力停留时间小于其它同类工艺，在厌氧（缺氧）、好氧交替运行的条件下可抑制丝状菌繁殖，克服污泥膨胀，SVI值一般小于100，有利于处理后污水与污泥的分离，运行中在厌氧和缺氧段内只需轻缓搅拌，运行费用低。由于厌氧、缺氧和好氧三个区严格分开，有利于不同微生物菌群的繁殖生长，因此脱氮除磷效果非常好。目前，该法在国内外使用较为广泛。</w:t>
            </w:r>
          </w:p>
          <w:p>
            <w:pPr>
              <w:pStyle w:val="193"/>
              <w:adjustRightInd w:val="0"/>
              <w:snapToGrid w:val="0"/>
              <w:spacing w:afterLines="0" w:line="360" w:lineRule="auto"/>
              <w:ind w:firstLine="482"/>
              <w:rPr>
                <w:rFonts w:hint="default" w:ascii="Times New Roman" w:hAnsi="Times New Roman" w:cs="Times New Roman"/>
                <w:b/>
                <w:bCs/>
                <w:sz w:val="24"/>
                <w:szCs w:val="24"/>
              </w:rPr>
            </w:pPr>
            <w:r>
              <w:rPr>
                <w:rFonts w:hint="default" w:ascii="Times New Roman" w:hAnsi="Times New Roman" w:cs="Times New Roman"/>
                <w:b/>
                <w:bCs/>
                <w:sz w:val="24"/>
                <w:szCs w:val="24"/>
              </w:rPr>
              <w:t>②CAST工艺</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CAST工艺是间歇式活性污泥法的一种先进变型，是目前国际上较多地应用于污水处理厂的间歇运行的活性污泥法工艺。CAST工艺已在城市污水和工业废水处理等方面得到广泛的应用，在美国、加拿大、澳洲、欧洲、亚洲等许多国家和地区都有大量的推广和应用。与传统序批式SBR工艺不同，在循环式活性污泥法中有生物选择器。</w:t>
            </w:r>
          </w:p>
          <w:p>
            <w:pPr>
              <w:pStyle w:val="193"/>
              <w:adjustRightInd w:val="0"/>
              <w:snapToGrid w:val="0"/>
              <w:spacing w:afterLines="0" w:line="360" w:lineRule="auto"/>
              <w:ind w:firstLine="480"/>
              <w:rPr>
                <w:rFonts w:cs="Times New Roman"/>
                <w:sz w:val="24"/>
                <w:szCs w:val="24"/>
              </w:rPr>
            </w:pPr>
            <w:r>
              <w:rPr>
                <w:rFonts w:hint="default" w:ascii="Times New Roman" w:hAnsi="Times New Roman" w:cs="Times New Roman"/>
                <w:sz w:val="24"/>
                <w:szCs w:val="24"/>
              </w:rPr>
              <w:t>CAST生物反应池分二个区域，容积较小的第一区域作为生物选择器，第二区为主反应区，第一区和第二区在水力上是相通的。用泵将主反应区的活性污泥回流到选择器中。生物选择器呈缺氧-厌氧状态，在选择器中基质浓度梯度较大，污泥负荷较高，可有效避免污泥膨胀，提高系统运行的稳定性。另外，通过穿孔管间歇曝气方式，可使活性污泥周期性地经历好氧和厌氧阶段，生物选择器的设置可以促进和强化系统的生物除磷效果而无需在系统中设置独立的厌氧搅拌阶段，系统即可具有良好的生物除磷功能。通过严格控制溶解氧浓度可以实现同步硝化反硝化，故无需设置缺氧搅拌阶段。因此，循环式活性污泥法系统无需设置独立的厌氧搅拌阶段、缺氧搅拌阶段以及进水贮水池等，从而可以大大简化工艺过程，节省工程投资（无需搅拌装置）和能耗。</w:t>
            </w:r>
          </w:p>
          <w:p>
            <w:pPr>
              <w:pStyle w:val="193"/>
              <w:adjustRightInd w:val="0"/>
              <w:snapToGrid w:val="0"/>
              <w:spacing w:afterLines="0" w:line="360" w:lineRule="auto"/>
              <w:ind w:firstLine="480"/>
              <w:rPr>
                <w:rFonts w:cs="Times New Roman"/>
                <w:sz w:val="24"/>
                <w:szCs w:val="24"/>
              </w:rPr>
            </w:pPr>
            <w:r>
              <w:rPr>
                <w:rFonts w:cs="Times New Roman"/>
                <w:sz w:val="24"/>
                <w:szCs w:val="24"/>
              </w:rPr>
              <w:t>CAST工艺较之传统序批式SBR法其工艺设置和操作得到很大程度的简化，为在大中型污水处理厂的应用创造了良好的条件。CAST工艺是在一个（或多个平行运行）反应容积可变的池子中，完成生物降解过程和泥水分离过程，因此在该工艺中无需设置单独的二沉池。在CAST工艺中，活性污泥法过程按曝气和非曝气阶段不断重复进行。在曝气阶段完成生物降解过程，在非曝气阶段主要是完成泥水分离过程和撇水过程。</w:t>
            </w:r>
          </w:p>
          <w:p>
            <w:pPr>
              <w:pStyle w:val="193"/>
              <w:adjustRightInd w:val="0"/>
              <w:snapToGrid w:val="0"/>
              <w:spacing w:afterLines="0" w:line="360" w:lineRule="auto"/>
              <w:ind w:firstLine="480"/>
              <w:rPr>
                <w:rFonts w:cs="Times New Roman"/>
                <w:sz w:val="24"/>
                <w:szCs w:val="24"/>
              </w:rPr>
            </w:pPr>
            <w:r>
              <w:rPr>
                <w:rFonts w:cs="Times New Roman"/>
                <w:sz w:val="24"/>
                <w:szCs w:val="24"/>
              </w:rPr>
              <w:t>以下是这两种处理方案的比较，通过技术经济比较分析：</w:t>
            </w:r>
          </w:p>
          <w:p>
            <w:pPr>
              <w:pStyle w:val="161"/>
              <w:numPr>
                <w:ilvl w:val="0"/>
                <w:numId w:val="5"/>
              </w:numPr>
              <w:ind w:firstLineChars="0"/>
              <w:jc w:val="center"/>
              <w:rPr>
                <w:rFonts w:eastAsia="黑体"/>
              </w:rPr>
            </w:pPr>
            <w:r>
              <w:rPr>
                <w:rFonts w:hint="eastAsia" w:eastAsia="黑体"/>
              </w:rPr>
              <w:t>两种生化处理方案的比较</w:t>
            </w:r>
          </w:p>
          <w:tbl>
            <w:tblPr>
              <w:tblStyle w:val="44"/>
              <w:tblW w:w="0" w:type="auto"/>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1272"/>
              <w:gridCol w:w="2264"/>
              <w:gridCol w:w="2695"/>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663" w:hRule="atLeast"/>
                <w:tblHeader/>
              </w:trPr>
              <w:tc>
                <w:tcPr>
                  <w:tcW w:w="2120" w:type="dxa"/>
                  <w:tcBorders>
                    <w:top w:val="single" w:color="auto" w:sz="4" w:space="0"/>
                    <w:left w:val="single" w:color="auto" w:sz="4" w:space="0"/>
                    <w:bottom w:val="single" w:color="auto" w:sz="4" w:space="0"/>
                    <w:tl2br w:val="single" w:color="auto" w:sz="12" w:space="0"/>
                  </w:tcBorders>
                  <w:vAlign w:val="center"/>
                </w:tcPr>
                <w:p>
                  <w:pPr>
                    <w:spacing w:line="240" w:lineRule="auto"/>
                    <w:ind w:right="630" w:firstLine="422" w:firstLineChars="200"/>
                    <w:jc w:val="right"/>
                    <w:rPr>
                      <w:rFonts w:hint="default" w:ascii="Times New Roman" w:hAnsi="Times New Roman" w:cs="Times New Roman"/>
                      <w:b/>
                      <w:bCs/>
                      <w:sz w:val="21"/>
                      <w:szCs w:val="21"/>
                    </w:rPr>
                  </w:pPr>
                  <w:r>
                    <w:rPr>
                      <w:rFonts w:hint="default" w:ascii="Times New Roman" w:hAnsi="Times New Roman" w:cs="Times New Roman"/>
                      <w:b/>
                      <w:bCs/>
                      <w:sz w:val="21"/>
                      <w:szCs w:val="21"/>
                    </w:rPr>
                    <w:t>方案</w:t>
                  </w:r>
                </w:p>
                <w:p>
                  <w:pPr>
                    <w:spacing w:line="240" w:lineRule="auto"/>
                    <w:ind w:firstLine="422" w:firstLineChars="200"/>
                    <w:rPr>
                      <w:rFonts w:hint="default" w:ascii="Times New Roman" w:hAnsi="Times New Roman" w:cs="Times New Roman"/>
                      <w:b/>
                      <w:bCs/>
                      <w:sz w:val="21"/>
                      <w:szCs w:val="21"/>
                    </w:rPr>
                  </w:pPr>
                  <w:r>
                    <w:rPr>
                      <w:rFonts w:hint="default" w:ascii="Times New Roman" w:hAnsi="Times New Roman" w:cs="Times New Roman"/>
                      <w:b/>
                      <w:bCs/>
                      <w:sz w:val="21"/>
                      <w:szCs w:val="21"/>
                    </w:rPr>
                    <w:t>项目</w:t>
                  </w:r>
                </w:p>
              </w:tc>
              <w:tc>
                <w:tcPr>
                  <w:tcW w:w="127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比较</w:t>
                  </w:r>
                </w:p>
              </w:tc>
              <w:tc>
                <w:tcPr>
                  <w:tcW w:w="2268"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方案一：CAST工艺</w:t>
                  </w:r>
                </w:p>
              </w:tc>
              <w:tc>
                <w:tcPr>
                  <w:tcW w:w="2700" w:type="dxa"/>
                  <w:tcBorders>
                    <w:top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方案二：A</w:t>
                  </w:r>
                  <w:r>
                    <w:rPr>
                      <w:rFonts w:hint="default" w:ascii="Times New Roman" w:hAnsi="Times New Roman" w:cs="Times New Roman"/>
                      <w:b/>
                      <w:bCs/>
                      <w:sz w:val="21"/>
                      <w:szCs w:val="21"/>
                      <w:vertAlign w:val="superscript"/>
                    </w:rPr>
                    <w:t>2</w:t>
                  </w:r>
                  <w:r>
                    <w:rPr>
                      <w:rFonts w:hint="default" w:ascii="Times New Roman" w:hAnsi="Times New Roman" w:cs="Times New Roman"/>
                      <w:b/>
                      <w:bCs/>
                      <w:sz w:val="21"/>
                      <w:szCs w:val="21"/>
                    </w:rPr>
                    <w:t>/O-MBBR工艺</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污水处理厂占地</w:t>
                  </w:r>
                </w:p>
              </w:tc>
              <w:tc>
                <w:tcPr>
                  <w:tcW w:w="127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基本相当</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占地约1.8</w:t>
                  </w:r>
                  <w:r>
                    <w:rPr>
                      <w:rFonts w:hint="eastAsia" w:ascii="Times New Roman" w:hAnsi="Times New Roman" w:cs="Times New Roman"/>
                      <w:sz w:val="21"/>
                      <w:szCs w:val="21"/>
                      <w:lang w:val="en-US" w:eastAsia="zh-CN"/>
                    </w:rPr>
                    <w:t>m</w:t>
                  </w:r>
                  <w:r>
                    <w:rPr>
                      <w:rFonts w:hint="eastAsia" w:ascii="Times New Roman" w:hAnsi="Times New Roman" w:cs="Times New Roman"/>
                      <w:sz w:val="21"/>
                      <w:szCs w:val="21"/>
                      <w:vertAlign w:val="superscript"/>
                      <w:lang w:val="en-US" w:eastAsia="zh-CN"/>
                    </w:rPr>
                    <w:t>2</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占地约2.0m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总投资（含管网）</w:t>
                  </w:r>
                </w:p>
              </w:tc>
              <w:tc>
                <w:tcPr>
                  <w:tcW w:w="127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方案二优</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约7000元/m</w:t>
                  </w:r>
                  <w:r>
                    <w:rPr>
                      <w:rFonts w:hint="default" w:ascii="Times New Roman" w:hAnsi="Times New Roman" w:cs="Times New Roman"/>
                      <w:sz w:val="21"/>
                      <w:szCs w:val="21"/>
                      <w:vertAlign w:val="superscript"/>
                    </w:rPr>
                    <w:t>3</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约6000元/m</w:t>
                  </w:r>
                  <w:r>
                    <w:rPr>
                      <w:rFonts w:hint="default" w:ascii="Times New Roman" w:hAnsi="Times New Roman" w:cs="Times New Roman"/>
                      <w:sz w:val="21"/>
                      <w:szCs w:val="21"/>
                      <w:vertAlign w:val="superscript"/>
                    </w:rPr>
                    <w:t>3</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主要建构筑物</w:t>
                  </w:r>
                </w:p>
              </w:tc>
              <w:tc>
                <w:tcPr>
                  <w:tcW w:w="127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基本相当</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格栅/调节池、CAST池、消毒池、污泥池、综合用房、脱水机房</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格栅/调节池、A</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/O-MBBR池、二沉池、消毒池、污泥池、综合用房、脱水机房</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电耗</w:t>
                  </w:r>
                </w:p>
              </w:tc>
              <w:tc>
                <w:tcPr>
                  <w:tcW w:w="127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基本相当</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主要耗电设备为鼓风机、水泵</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主要耗电设备为鼓风机、水泵</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出水水质</w:t>
                  </w:r>
                </w:p>
              </w:tc>
              <w:tc>
                <w:tcPr>
                  <w:tcW w:w="127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基本相当</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达标</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达标</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营养物去除能力</w:t>
                  </w:r>
                </w:p>
              </w:tc>
              <w:tc>
                <w:tcPr>
                  <w:tcW w:w="127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基本相当</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优</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优</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耐冲击负荷能力</w:t>
                  </w:r>
                </w:p>
              </w:tc>
              <w:tc>
                <w:tcPr>
                  <w:tcW w:w="127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方案一优</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优</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较优</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污泥处理</w:t>
                  </w:r>
                </w:p>
              </w:tc>
              <w:tc>
                <w:tcPr>
                  <w:tcW w:w="127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方案一优</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剩余污泥量较少</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剩余污泥量较多</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工艺流程</w:t>
                  </w:r>
                </w:p>
              </w:tc>
              <w:tc>
                <w:tcPr>
                  <w:tcW w:w="127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基本相当</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简洁</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简洁</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污水厂定员（人）</w:t>
                  </w:r>
                </w:p>
              </w:tc>
              <w:tc>
                <w:tcPr>
                  <w:tcW w:w="127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相同</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5</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自控水平</w:t>
                  </w:r>
                </w:p>
              </w:tc>
              <w:tc>
                <w:tcPr>
                  <w:tcW w:w="1275" w:type="dxa"/>
                  <w:tcBorders>
                    <w:top w:val="single" w:color="auto" w:sz="4" w:space="0"/>
                    <w:bottom w:val="single" w:color="auto" w:sz="4" w:space="0"/>
                  </w:tcBorders>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方案二优</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自控要求高</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常规控制，要求一般</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对操作人员技术要求</w:t>
                  </w:r>
                </w:p>
              </w:tc>
              <w:tc>
                <w:tcPr>
                  <w:tcW w:w="1275"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方案二优</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对运行管理要求较高</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对运行管理要求较低</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运行管理</w:t>
                  </w:r>
                </w:p>
              </w:tc>
              <w:tc>
                <w:tcPr>
                  <w:tcW w:w="1275"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方案二优</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较复杂</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较简单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运行稳定性</w:t>
                  </w:r>
                </w:p>
              </w:tc>
              <w:tc>
                <w:tcPr>
                  <w:tcW w:w="1275"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方案二优</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较稳定</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稳定</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构筑物及机械设备</w:t>
                  </w:r>
                </w:p>
              </w:tc>
              <w:tc>
                <w:tcPr>
                  <w:tcW w:w="1275"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方案二优</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较多</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较少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维护管理</w:t>
                  </w:r>
                </w:p>
              </w:tc>
              <w:tc>
                <w:tcPr>
                  <w:tcW w:w="1275"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方案二优</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设备较多、自动控制程度要求高，设备维护较复杂</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工艺流程简单、设备较少、维护方便</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进厂道路</w:t>
                  </w:r>
                </w:p>
              </w:tc>
              <w:tc>
                <w:tcPr>
                  <w:tcW w:w="1275"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基本相当</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长10m</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长10m</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挡土墙</w:t>
                  </w:r>
                </w:p>
              </w:tc>
              <w:tc>
                <w:tcPr>
                  <w:tcW w:w="1275"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基本相当</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无</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无</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运行稳定</w:t>
                  </w:r>
                </w:p>
              </w:tc>
              <w:tc>
                <w:tcPr>
                  <w:tcW w:w="1275"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方案二优</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较差</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好</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120" w:type="dxa"/>
                  <w:tcBorders>
                    <w:top w:val="single" w:color="auto" w:sz="4" w:space="0"/>
                    <w:left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综合评价</w:t>
                  </w:r>
                </w:p>
              </w:tc>
              <w:tc>
                <w:tcPr>
                  <w:tcW w:w="1275"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方案二优</w:t>
                  </w:r>
                </w:p>
              </w:tc>
              <w:tc>
                <w:tcPr>
                  <w:tcW w:w="2268" w:type="dxa"/>
                  <w:tcBorders>
                    <w:top w:val="single" w:color="auto" w:sz="4" w:space="0"/>
                    <w:bottom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良</w:t>
                  </w:r>
                </w:p>
              </w:tc>
              <w:tc>
                <w:tcPr>
                  <w:tcW w:w="2700" w:type="dxa"/>
                  <w:tcBorders>
                    <w:top w:val="single" w:color="auto" w:sz="4" w:space="0"/>
                    <w:bottom w:val="single" w:color="auto" w:sz="4" w:space="0"/>
                    <w:right w:val="single" w:color="auto" w:sz="4" w:space="0"/>
                  </w:tcBorders>
                  <w:vAlign w:val="center"/>
                </w:tcPr>
                <w:p>
                  <w:pPr>
                    <w:spacing w:line="240" w:lineRule="auto"/>
                    <w:rPr>
                      <w:rFonts w:hint="default" w:ascii="Times New Roman" w:hAnsi="Times New Roman" w:cs="Times New Roman"/>
                      <w:sz w:val="21"/>
                      <w:szCs w:val="21"/>
                    </w:rPr>
                  </w:pPr>
                  <w:r>
                    <w:rPr>
                      <w:rFonts w:hint="default" w:ascii="Times New Roman" w:hAnsi="Times New Roman" w:cs="Times New Roman"/>
                      <w:sz w:val="21"/>
                      <w:szCs w:val="21"/>
                    </w:rPr>
                    <w:t>优</w:t>
                  </w:r>
                </w:p>
              </w:tc>
            </w:tr>
          </w:tbl>
          <w:p>
            <w:pPr>
              <w:pStyle w:val="193"/>
              <w:spacing w:afterLines="0" w:line="360" w:lineRule="auto"/>
              <w:ind w:firstLine="480"/>
              <w:rPr>
                <w:rFonts w:hint="default" w:ascii="Times New Roman" w:hAnsi="Times New Roman" w:cs="Times New Roman"/>
              </w:rPr>
            </w:pPr>
            <w:r>
              <w:rPr>
                <w:rFonts w:hint="default" w:ascii="Times New Roman" w:hAnsi="Times New Roman" w:cs="Times New Roman"/>
                <w:sz w:val="24"/>
                <w:szCs w:val="24"/>
              </w:rPr>
              <w:t>根据上述分析比较可知，在生化处理工艺方面，相比较CAST方案，A</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/O-MBBR方案在运行维护、占地、投资、运行稳定等方面有优势，且A</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/O-MBBR工艺当地污水处理厂应用较广，而CAST工艺应用则较少，因此，经综合比较分析确定</w:t>
            </w:r>
            <w:r>
              <w:rPr>
                <w:rFonts w:hint="default" w:ascii="Times New Roman" w:hAnsi="Times New Roman" w:cs="Times New Roman"/>
                <w:b/>
                <w:sz w:val="24"/>
                <w:szCs w:val="24"/>
              </w:rPr>
              <w:t>本次方案推荐A</w:t>
            </w:r>
            <w:r>
              <w:rPr>
                <w:rFonts w:hint="default" w:ascii="Times New Roman" w:hAnsi="Times New Roman" w:cs="Times New Roman"/>
                <w:b/>
                <w:sz w:val="24"/>
                <w:szCs w:val="24"/>
                <w:vertAlign w:val="superscript"/>
              </w:rPr>
              <w:t>2</w:t>
            </w:r>
            <w:r>
              <w:rPr>
                <w:rFonts w:hint="default" w:ascii="Times New Roman" w:hAnsi="Times New Roman" w:cs="Times New Roman"/>
                <w:b/>
                <w:sz w:val="24"/>
                <w:szCs w:val="24"/>
              </w:rPr>
              <w:t>/O-MBBR处理工艺。</w:t>
            </w:r>
          </w:p>
          <w:p>
            <w:pPr>
              <w:pStyle w:val="193"/>
              <w:spacing w:afterLines="0" w:line="360" w:lineRule="auto"/>
              <w:ind w:firstLine="482"/>
              <w:rPr>
                <w:rFonts w:ascii="宋体" w:hAnsi="宋体"/>
                <w:b/>
                <w:bCs/>
                <w:sz w:val="24"/>
                <w:szCs w:val="24"/>
              </w:rPr>
            </w:pPr>
            <w:r>
              <w:rPr>
                <w:rFonts w:ascii="宋体" w:hAnsi="宋体"/>
                <w:b/>
                <w:bCs/>
                <w:sz w:val="24"/>
                <w:szCs w:val="24"/>
              </w:rPr>
              <w:t>2</w:t>
            </w:r>
            <w:r>
              <w:rPr>
                <w:rFonts w:hint="eastAsia" w:ascii="宋体" w:hAnsi="宋体"/>
                <w:b/>
                <w:bCs/>
                <w:sz w:val="24"/>
                <w:szCs w:val="24"/>
              </w:rPr>
              <w:t>）深度处理工艺确定</w:t>
            </w:r>
          </w:p>
          <w:p>
            <w:pPr>
              <w:pStyle w:val="193"/>
              <w:spacing w:afterLines="0" w:line="360" w:lineRule="auto"/>
              <w:ind w:firstLine="482"/>
              <w:rPr>
                <w:rFonts w:ascii="宋体" w:hAnsi="宋体"/>
                <w:b/>
                <w:bCs/>
                <w:sz w:val="24"/>
                <w:szCs w:val="24"/>
              </w:rPr>
            </w:pPr>
            <w:r>
              <w:rPr>
                <w:rFonts w:hint="eastAsia" w:ascii="宋体" w:hAnsi="宋体"/>
                <w:b/>
                <w:bCs/>
                <w:sz w:val="24"/>
                <w:szCs w:val="24"/>
              </w:rPr>
              <w:t>①高效沉淀池工艺</w:t>
            </w:r>
          </w:p>
          <w:p>
            <w:pPr>
              <w:pStyle w:val="193"/>
              <w:adjustRightInd w:val="0"/>
              <w:snapToGrid w:val="0"/>
              <w:spacing w:afterLines="0" w:line="360" w:lineRule="auto"/>
              <w:ind w:firstLine="480"/>
              <w:rPr>
                <w:rFonts w:ascii="宋体" w:hAnsi="宋体"/>
                <w:sz w:val="24"/>
                <w:szCs w:val="24"/>
              </w:rPr>
            </w:pPr>
            <w:r>
              <w:rPr>
                <w:rFonts w:ascii="宋体" w:hAnsi="宋体"/>
                <w:sz w:val="24"/>
                <w:szCs w:val="24"/>
              </w:rPr>
              <w:t>高效沉淀池工艺是将混合、絮凝、沉淀高度集成一体，由混合区、絮凝区、沉淀区和浓缩区及泥渣回流系统和剩余泥渣排放系统组成。投加混凝剂后的原水经快速混合后进入絮凝池，并与沉淀池浓缩区的部分沉淀污泥混合，在絮凝区中投加助凝剂，并采用特制的搅拌器，透过集中但缓慢的搅拌动作与污水混合完成絮凝反应。</w:t>
            </w:r>
          </w:p>
          <w:p>
            <w:pPr>
              <w:pStyle w:val="193"/>
              <w:adjustRightInd w:val="0"/>
              <w:snapToGrid w:val="0"/>
              <w:spacing w:afterLines="0" w:line="360" w:lineRule="auto"/>
              <w:ind w:firstLine="480"/>
              <w:rPr>
                <w:rFonts w:ascii="宋体" w:hAnsi="宋体"/>
                <w:sz w:val="24"/>
                <w:szCs w:val="24"/>
              </w:rPr>
            </w:pPr>
            <w:r>
              <w:rPr>
                <w:rFonts w:ascii="宋体" w:hAnsi="宋体"/>
                <w:sz w:val="24"/>
                <w:szCs w:val="24"/>
              </w:rPr>
              <w:t>经搅拌混合反应后的水以推流方式进入沉淀区。在沉淀区中，泥水分离，澄清水进一步经斜管分离后由集水槽收集出水。沉降的泥渣在沉淀池下部浓缩，浓缩泥渣的上层用螺杆泵回流，以维持最佳的固体浓度，底部多余的泥渣由螺杆泵排除。</w:t>
            </w:r>
          </w:p>
          <w:p>
            <w:pPr>
              <w:pStyle w:val="193"/>
              <w:adjustRightInd w:val="0"/>
              <w:snapToGrid w:val="0"/>
              <w:spacing w:afterLines="0" w:line="360" w:lineRule="auto"/>
              <w:ind w:firstLine="0" w:firstLineChars="0"/>
              <w:jc w:val="center"/>
              <w:rPr>
                <w:rFonts w:ascii="宋体" w:hAnsi="宋体"/>
                <w:sz w:val="24"/>
                <w:szCs w:val="24"/>
              </w:rPr>
            </w:pPr>
            <w:r>
              <w:rPr>
                <w:rFonts w:ascii="宋体" w:hAnsi="宋体"/>
                <w:sz w:val="24"/>
                <w:szCs w:val="24"/>
              </w:rPr>
              <w:drawing>
                <wp:inline distT="0" distB="0" distL="0" distR="0">
                  <wp:extent cx="4114800" cy="23888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118257" cy="2390998"/>
                          </a:xfrm>
                          <a:prstGeom prst="rect">
                            <a:avLst/>
                          </a:prstGeom>
                          <a:noFill/>
                        </pic:spPr>
                      </pic:pic>
                    </a:graphicData>
                  </a:graphic>
                </wp:inline>
              </w:drawing>
            </w:r>
          </w:p>
          <w:p>
            <w:pPr>
              <w:pStyle w:val="161"/>
              <w:numPr>
                <w:ilvl w:val="0"/>
                <w:numId w:val="4"/>
              </w:numPr>
              <w:autoSpaceDE w:val="0"/>
              <w:autoSpaceDN w:val="0"/>
              <w:adjustRightInd w:val="0"/>
              <w:ind w:firstLineChars="0"/>
              <w:jc w:val="center"/>
              <w:rPr>
                <w:rFonts w:ascii="黑体" w:hAnsi="黑体" w:eastAsia="黑体"/>
                <w:kern w:val="0"/>
              </w:rPr>
            </w:pPr>
            <w:r>
              <w:rPr>
                <w:rFonts w:ascii="黑体" w:hAnsi="黑体" w:eastAsia="黑体"/>
                <w:kern w:val="0"/>
              </w:rPr>
              <w:t>高效沉淀池工艺流程示意图</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由于混合、絮凝与斜管沉淀合理组合，使新的高效沉淀池具有如下优点：</w:t>
            </w:r>
          </w:p>
          <w:p>
            <w:pPr>
              <w:pStyle w:val="193"/>
              <w:adjustRightInd w:val="0"/>
              <w:snapToGrid w:val="0"/>
              <w:spacing w:afterLines="0"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A、水力负荷高，沉淀表面负荷约为6～13m</w:t>
            </w:r>
            <w:r>
              <w:rPr>
                <w:rFonts w:hint="default" w:ascii="Times New Roman" w:hAnsi="Times New Roman" w:cs="Times New Roman" w:eastAsiaTheme="minorEastAsia"/>
                <w:sz w:val="24"/>
                <w:szCs w:val="24"/>
                <w:vertAlign w:val="superscript"/>
              </w:rPr>
              <w:t>3</w:t>
            </w:r>
            <w:r>
              <w:rPr>
                <w:rFonts w:hint="default" w:ascii="Times New Roman" w:hAnsi="Times New Roman" w:cs="Times New Roman" w:eastAsiaTheme="minorEastAsia"/>
                <w:sz w:val="24"/>
                <w:szCs w:val="24"/>
              </w:rPr>
              <w:t>/m</w:t>
            </w:r>
            <w:r>
              <w:rPr>
                <w:rFonts w:hint="default" w:ascii="Times New Roman" w:hAnsi="Times New Roman" w:cs="Times New Roman" w:eastAsiaTheme="minorEastAsia"/>
                <w:sz w:val="24"/>
                <w:szCs w:val="24"/>
                <w:vertAlign w:val="superscript"/>
              </w:rPr>
              <w:t>2</w:t>
            </w:r>
            <w:r>
              <w:rPr>
                <w:rFonts w:hint="default" w:ascii="Times New Roman" w:hAnsi="Times New Roman" w:cs="Times New Roman" w:eastAsiaTheme="minorEastAsia"/>
                <w:sz w:val="24"/>
                <w:szCs w:val="24"/>
              </w:rPr>
              <w:t>·h，大大超过常规沉淀池的表面负荷；</w:t>
            </w:r>
          </w:p>
          <w:p>
            <w:pPr>
              <w:pStyle w:val="193"/>
              <w:adjustRightInd w:val="0"/>
              <w:snapToGrid w:val="0"/>
              <w:spacing w:afterLines="0"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B、污染物去除率高，CODcr、BOD</w:t>
            </w:r>
            <w:r>
              <w:rPr>
                <w:rFonts w:hint="default" w:ascii="Times New Roman" w:hAnsi="Times New Roman" w:cs="Times New Roman" w:eastAsiaTheme="minorEastAsia"/>
                <w:sz w:val="24"/>
                <w:szCs w:val="24"/>
                <w:vertAlign w:val="subscript"/>
              </w:rPr>
              <w:t>5</w:t>
            </w:r>
            <w:r>
              <w:rPr>
                <w:rFonts w:hint="default" w:ascii="Times New Roman" w:hAnsi="Times New Roman" w:cs="Times New Roman" w:eastAsiaTheme="minorEastAsia"/>
                <w:sz w:val="24"/>
                <w:szCs w:val="24"/>
              </w:rPr>
              <w:t>和 SS 的去除率分别可达到60%、60%和 85%；</w:t>
            </w:r>
          </w:p>
          <w:p>
            <w:pPr>
              <w:pStyle w:val="193"/>
              <w:adjustRightInd w:val="0"/>
              <w:snapToGrid w:val="0"/>
              <w:spacing w:afterLines="0"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C、由于常用小比例的回流，加强反应池内部循环并且增加了外部污泥循环，提高了分子间相互接触的几率，使絮凝剂在循环中得到充分利用，减少药剂投加量，降低运行成本；</w:t>
            </w:r>
          </w:p>
          <w:p>
            <w:pPr>
              <w:pStyle w:val="193"/>
              <w:adjustRightInd w:val="0"/>
              <w:snapToGrid w:val="0"/>
              <w:spacing w:afterLines="0"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D、在沉淀区分离出的污泥在浓缩区进行浓缩，提高污泥含水率，使污泥含水率达到95%以上。</w:t>
            </w:r>
          </w:p>
          <w:p>
            <w:pPr>
              <w:pStyle w:val="193"/>
              <w:adjustRightInd w:val="0"/>
              <w:snapToGrid w:val="0"/>
              <w:spacing w:afterLines="0"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高效沉淀池包括五个重要因素：</w:t>
            </w:r>
          </w:p>
          <w:p>
            <w:pPr>
              <w:pStyle w:val="193"/>
              <w:adjustRightInd w:val="0"/>
              <w:snapToGrid w:val="0"/>
              <w:spacing w:afterLines="0"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a.均质絮凝体及高密度矾花</w:t>
            </w:r>
          </w:p>
          <w:p>
            <w:pPr>
              <w:pStyle w:val="193"/>
              <w:adjustRightInd w:val="0"/>
              <w:snapToGrid w:val="0"/>
              <w:spacing w:afterLines="0" w:line="360" w:lineRule="auto"/>
              <w:ind w:firstLine="480"/>
              <w:rPr>
                <w:rFonts w:cs="Times New Roman" w:eastAsiaTheme="minorEastAsia"/>
                <w:sz w:val="24"/>
                <w:szCs w:val="24"/>
              </w:rPr>
            </w:pPr>
            <w:r>
              <w:rPr>
                <w:rFonts w:hint="default" w:ascii="Times New Roman" w:hAnsi="Times New Roman" w:cs="Times New Roman" w:eastAsiaTheme="minorEastAsia"/>
                <w:sz w:val="24"/>
                <w:szCs w:val="24"/>
              </w:rPr>
              <w:t>b.采用密集型设计，由于沉淀速度快；</w:t>
            </w:r>
          </w:p>
          <w:p>
            <w:pPr>
              <w:pStyle w:val="193"/>
              <w:adjustRightInd w:val="0"/>
              <w:snapToGrid w:val="0"/>
              <w:spacing w:afterLines="0"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c.有效地完成污泥浓缩</w:t>
            </w:r>
          </w:p>
          <w:p>
            <w:pPr>
              <w:pStyle w:val="193"/>
              <w:adjustRightInd w:val="0"/>
              <w:snapToGrid w:val="0"/>
              <w:spacing w:afterLines="0"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d.沉淀后出水质量较高，一般在10NTU以内。</w:t>
            </w:r>
          </w:p>
          <w:p>
            <w:pPr>
              <w:pStyle w:val="193"/>
              <w:adjustRightInd w:val="0"/>
              <w:snapToGrid w:val="0"/>
              <w:spacing w:afterLines="0"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e.抗冲击负荷能力强，不易受突发冲击负荷的变化而变化。</w:t>
            </w:r>
          </w:p>
          <w:p>
            <w:pPr>
              <w:pStyle w:val="193"/>
              <w:adjustRightInd w:val="0"/>
              <w:snapToGrid w:val="0"/>
              <w:spacing w:afterLines="0"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此外，该池可在流速波动范围大的情况下工作。</w:t>
            </w:r>
          </w:p>
          <w:p>
            <w:pPr>
              <w:pStyle w:val="193"/>
              <w:adjustRightInd w:val="0"/>
              <w:snapToGrid w:val="0"/>
              <w:spacing w:afterLines="0" w:line="360" w:lineRule="auto"/>
              <w:ind w:firstLine="480"/>
              <w:rPr>
                <w:rFonts w:hint="default" w:ascii="Times New Roman" w:hAnsi="Times New Roman" w:cs="Times New Roman"/>
              </w:rPr>
            </w:pPr>
            <w:r>
              <w:rPr>
                <w:rFonts w:hint="default" w:ascii="Times New Roman" w:hAnsi="Times New Roman" w:cs="Times New Roman" w:eastAsiaTheme="minorEastAsia"/>
                <w:sz w:val="24"/>
                <w:szCs w:val="24"/>
              </w:rPr>
              <w:t>高效沉淀池由三个主要部分组成：一个“反应池”、一个“预沉池”、“ 浓缩池”以及一个“斜管分离池”。</w:t>
            </w:r>
          </w:p>
          <w:p>
            <w:pPr>
              <w:pStyle w:val="193"/>
              <w:adjustRightInd w:val="0"/>
              <w:snapToGrid w:val="0"/>
              <w:spacing w:afterLines="0" w:line="360" w:lineRule="auto"/>
              <w:ind w:firstLine="48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工作原理：在混合反应区内靠搅拌器的提升作用完成泥渣、药剂、原水的快速凝聚反应，然后经叶轮提升至推流反应区进行慢速絮凝反应，以结成较大的絮凝体，再进入斜管沉淀区进行分离。澄清水通过集水槽收集进入后续处理构筑物，沉淀物通过刮泥机刮到泥斗中，经容积式循环泵提升将部分污泥送至反应池进水管，剩余污泥排放。</w:t>
            </w:r>
          </w:p>
          <w:p>
            <w:pPr>
              <w:pStyle w:val="193"/>
              <w:spacing w:afterLines="0" w:line="360" w:lineRule="auto"/>
              <w:ind w:firstLine="482"/>
              <w:rPr>
                <w:rFonts w:hint="default" w:ascii="Times New Roman" w:hAnsi="Times New Roman" w:cs="Times New Roman"/>
                <w:b/>
                <w:bCs/>
                <w:sz w:val="24"/>
                <w:szCs w:val="24"/>
              </w:rPr>
            </w:pPr>
            <w:r>
              <w:rPr>
                <w:rFonts w:hint="default" w:ascii="Times New Roman" w:hAnsi="Times New Roman" w:cs="Times New Roman"/>
                <w:b/>
                <w:bCs/>
                <w:sz w:val="24"/>
                <w:szCs w:val="24"/>
              </w:rPr>
              <w:t>②</w:t>
            </w:r>
            <w:r>
              <w:rPr>
                <w:rFonts w:hint="default" w:ascii="Times New Roman" w:hAnsi="Times New Roman" w:cs="Times New Roman"/>
                <w:b/>
                <w:sz w:val="24"/>
                <w:szCs w:val="24"/>
              </w:rPr>
              <w:t>V型滤池工艺</w:t>
            </w:r>
          </w:p>
          <w:p>
            <w:pPr>
              <w:pStyle w:val="193"/>
              <w:spacing w:afterLines="0" w:line="360" w:lineRule="auto"/>
              <w:ind w:firstLine="480"/>
              <w:rPr>
                <w:rFonts w:ascii="宋体" w:hAnsi="宋体"/>
                <w:sz w:val="24"/>
                <w:szCs w:val="24"/>
              </w:rPr>
            </w:pPr>
            <w:r>
              <w:rPr>
                <w:rFonts w:hint="default" w:ascii="Times New Roman" w:hAnsi="Times New Roman" w:cs="Times New Roman"/>
                <w:sz w:val="24"/>
                <w:szCs w:val="24"/>
              </w:rPr>
              <w:t>V型滤池是快滤池的一种形式，因为其进水槽形状呈V字形而得名，也叫均粒滤料滤池（其滤料采用均质滤料，即均粒径滤料）、六阀滤池（各种管路上有六个主要阀门），它是我国于20世纪80年代末从法国Degremont公司引进的技术。V型滤池滤速可达7～20m/h，一般为12.5～15.0m/h。采用单层加厚均粒滤料，粒径一般为0.95～1.35mm，允许扩大到0.7～2.0mm，不均匀系数1.2～1.6或1.8之间。对于滤速在7～20m/h之间的滤池，其滤层高度在0.95～1.5m之间选用，对于更高的滤速还可相应增加。底部采用带长柄滤头底板的排水系统，不设砾石承托层。滤头采用网状布置，约55个/m。反冲洗一般采用气冲、气水同时反冲和水冲三个过程，反冲洗效果好，大大节省反冲洗水量和电耗，气冲强度为50～60m/（h.m）（13～16L/s.m），清水冲洗强度为13～15m/（h.m）（3.6～4.1L/s.m），表面扫洗用原水，一般为5～8m/（h.m）（1.4～2.2L/s.m）。整个滤料层在深度方向的粒径分布基本均匀。在反冲洗过程中滤料层不膨胀，不发生水力分级现象，保证深层截污，滤层含污能力高。</w:t>
            </w:r>
          </w:p>
          <w:p>
            <w:pPr>
              <w:pStyle w:val="193"/>
              <w:spacing w:afterLines="0" w:line="360" w:lineRule="auto"/>
              <w:ind w:firstLine="482"/>
              <w:jc w:val="center"/>
              <w:rPr>
                <w:rFonts w:ascii="宋体" w:hAnsi="宋体"/>
                <w:b/>
                <w:bCs/>
                <w:sz w:val="24"/>
                <w:szCs w:val="24"/>
              </w:rPr>
            </w:pPr>
            <w:r>
              <w:rPr>
                <w:rFonts w:ascii="宋体" w:hAnsi="宋体"/>
                <w:b/>
                <w:bCs/>
                <w:sz w:val="24"/>
                <w:szCs w:val="24"/>
              </w:rPr>
              <w:drawing>
                <wp:inline distT="0" distB="0" distL="0" distR="0">
                  <wp:extent cx="2724150" cy="21005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29803" cy="2105554"/>
                          </a:xfrm>
                          <a:prstGeom prst="rect">
                            <a:avLst/>
                          </a:prstGeom>
                          <a:noFill/>
                        </pic:spPr>
                      </pic:pic>
                    </a:graphicData>
                  </a:graphic>
                </wp:inline>
              </w:drawing>
            </w:r>
          </w:p>
          <w:p>
            <w:pPr>
              <w:pStyle w:val="161"/>
              <w:numPr>
                <w:ilvl w:val="0"/>
                <w:numId w:val="4"/>
              </w:numPr>
              <w:autoSpaceDE w:val="0"/>
              <w:autoSpaceDN w:val="0"/>
              <w:adjustRightInd w:val="0"/>
              <w:ind w:firstLineChars="0"/>
              <w:jc w:val="center"/>
              <w:rPr>
                <w:rFonts w:ascii="黑体" w:hAnsi="黑体" w:eastAsia="黑体"/>
                <w:kern w:val="0"/>
              </w:rPr>
            </w:pPr>
            <w:r>
              <w:rPr>
                <w:rFonts w:ascii="黑体" w:hAnsi="黑体" w:eastAsia="黑体"/>
                <w:kern w:val="0"/>
              </w:rPr>
              <w:t>V</w:t>
            </w:r>
            <w:r>
              <w:rPr>
                <w:rFonts w:hint="eastAsia" w:ascii="黑体" w:hAnsi="黑体" w:eastAsia="黑体"/>
                <w:kern w:val="0"/>
              </w:rPr>
              <w:t>型滤池</w:t>
            </w:r>
            <w:r>
              <w:rPr>
                <w:rFonts w:ascii="黑体" w:hAnsi="黑体" w:eastAsia="黑体"/>
                <w:kern w:val="0"/>
              </w:rPr>
              <w:t>工艺流程图</w:t>
            </w:r>
          </w:p>
          <w:p>
            <w:pPr>
              <w:pStyle w:val="193"/>
              <w:spacing w:afterLines="0" w:line="360" w:lineRule="auto"/>
              <w:ind w:firstLine="482"/>
              <w:rPr>
                <w:rFonts w:ascii="宋体" w:hAnsi="宋体"/>
                <w:b/>
                <w:bCs/>
                <w:sz w:val="24"/>
                <w:szCs w:val="24"/>
              </w:rPr>
            </w:pPr>
            <w:r>
              <w:rPr>
                <w:rFonts w:hint="eastAsia" w:ascii="宋体" w:hAnsi="宋体"/>
                <w:b/>
                <w:bCs/>
                <w:sz w:val="24"/>
                <w:szCs w:val="24"/>
              </w:rPr>
              <w:t>③反硝化深床滤池</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反硝化深床滤池作为原有工艺出水的深度处理单元，可不对原有主体构筑物进行改扩建。</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DeepBedTM Filter（深床滤池）和Denite®DeepBed Filter（反硝化深床滤池）是独特的过滤处理工艺，两种滤池结构形式完全一样，可以互相切换运行，反硝化深床滤池时深床滤池的一种运行模式。</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反硝化深床滤池是集生物脱氮及过滤功能合二为一的处理单元，是独特领先的脱氮及过滤并举的先进处理工艺。</w:t>
            </w:r>
          </w:p>
          <w:p>
            <w:pPr>
              <w:pStyle w:val="193"/>
              <w:adjustRightInd w:val="0"/>
              <w:snapToGrid w:val="0"/>
              <w:spacing w:afterLines="0" w:line="360" w:lineRule="auto"/>
              <w:ind w:firstLine="480"/>
              <w:rPr>
                <w:rFonts w:ascii="宋体" w:hAnsi="宋体"/>
                <w:sz w:val="24"/>
                <w:szCs w:val="24"/>
              </w:rPr>
            </w:pPr>
            <w:r>
              <w:rPr>
                <w:rFonts w:hint="default" w:ascii="Times New Roman" w:hAnsi="Times New Roman" w:cs="Times New Roman"/>
                <w:sz w:val="24"/>
                <w:szCs w:val="24"/>
              </w:rPr>
              <w:t>反硝化深床滤池采用2～3mm石英砂介质滤料，滤床深度通常为1.83-2.44m，滤池可保证出水SS低于5mg/L以下。绝大多数滤池表层很容易堵塞或板结，很快失去水头，而独特的均质石英砂允许固体杂质透过滤床的表层，深入滤池的滤料中，达到整个滤池纵深截留固体物的优异效果。</w:t>
            </w:r>
          </w:p>
          <w:p>
            <w:pPr>
              <w:pStyle w:val="193"/>
              <w:adjustRightInd w:val="0"/>
              <w:snapToGrid w:val="0"/>
              <w:spacing w:afterLines="0" w:line="360" w:lineRule="auto"/>
              <w:ind w:firstLine="480"/>
              <w:rPr>
                <w:rFonts w:ascii="宋体" w:hAnsi="宋体"/>
                <w:sz w:val="24"/>
                <w:szCs w:val="24"/>
              </w:rPr>
            </w:pPr>
            <w:r>
              <w:rPr>
                <w:rFonts w:ascii="宋体" w:hAnsi="宋体"/>
                <w:sz w:val="24"/>
                <w:szCs w:val="24"/>
              </w:rPr>
              <w:t>深床滤池工艺流程：</w:t>
            </w:r>
          </w:p>
          <w:p>
            <w:pPr>
              <w:pStyle w:val="193"/>
              <w:spacing w:afterLines="0" w:line="360" w:lineRule="auto"/>
              <w:ind w:firstLine="482"/>
              <w:jc w:val="center"/>
              <w:rPr>
                <w:rFonts w:ascii="宋体" w:hAnsi="宋体"/>
                <w:b/>
                <w:bCs/>
                <w:sz w:val="24"/>
                <w:szCs w:val="24"/>
              </w:rPr>
            </w:pPr>
            <w:r>
              <w:rPr>
                <w:rFonts w:ascii="宋体" w:hAnsi="宋体"/>
                <w:b/>
                <w:bCs/>
                <w:sz w:val="24"/>
                <w:szCs w:val="24"/>
              </w:rPr>
              <w:drawing>
                <wp:inline distT="0" distB="0" distL="0" distR="0">
                  <wp:extent cx="4104640" cy="17938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105065" cy="1794294"/>
                          </a:xfrm>
                          <a:prstGeom prst="rect">
                            <a:avLst/>
                          </a:prstGeom>
                          <a:noFill/>
                        </pic:spPr>
                      </pic:pic>
                    </a:graphicData>
                  </a:graphic>
                </wp:inline>
              </w:drawing>
            </w:r>
          </w:p>
          <w:p>
            <w:pPr>
              <w:pStyle w:val="161"/>
              <w:numPr>
                <w:ilvl w:val="0"/>
                <w:numId w:val="4"/>
              </w:numPr>
              <w:autoSpaceDE w:val="0"/>
              <w:autoSpaceDN w:val="0"/>
              <w:adjustRightInd w:val="0"/>
              <w:ind w:firstLineChars="0"/>
              <w:jc w:val="center"/>
              <w:rPr>
                <w:rFonts w:ascii="黑体" w:hAnsi="黑体" w:eastAsia="黑体"/>
                <w:kern w:val="0"/>
              </w:rPr>
            </w:pPr>
            <w:r>
              <w:rPr>
                <w:rFonts w:ascii="黑体" w:hAnsi="黑体" w:eastAsia="黑体"/>
                <w:kern w:val="0"/>
              </w:rPr>
              <w:t>深床滤池工艺流程图</w:t>
            </w:r>
          </w:p>
          <w:p>
            <w:pPr>
              <w:pStyle w:val="193"/>
              <w:spacing w:afterLines="0" w:line="360" w:lineRule="auto"/>
              <w:ind w:firstLine="480"/>
              <w:rPr>
                <w:rFonts w:ascii="宋体" w:hAnsi="宋体"/>
                <w:sz w:val="24"/>
                <w:szCs w:val="24"/>
              </w:rPr>
            </w:pPr>
            <w:r>
              <w:rPr>
                <w:rFonts w:ascii="宋体" w:hAnsi="宋体"/>
                <w:sz w:val="24"/>
                <w:szCs w:val="24"/>
              </w:rPr>
              <w:t>反硝化深床滤池工艺流程：</w:t>
            </w:r>
          </w:p>
          <w:p>
            <w:pPr>
              <w:pStyle w:val="193"/>
              <w:spacing w:afterLines="0" w:line="360" w:lineRule="auto"/>
              <w:ind w:firstLine="482"/>
              <w:jc w:val="center"/>
              <w:rPr>
                <w:rFonts w:ascii="宋体" w:hAnsi="宋体"/>
                <w:b/>
                <w:bCs/>
                <w:sz w:val="24"/>
                <w:szCs w:val="24"/>
              </w:rPr>
            </w:pPr>
            <w:r>
              <w:rPr>
                <w:rFonts w:ascii="宋体" w:hAnsi="宋体"/>
                <w:b/>
                <w:bCs/>
                <w:sz w:val="24"/>
                <w:szCs w:val="24"/>
              </w:rPr>
              <w:drawing>
                <wp:inline distT="0" distB="0" distL="0" distR="0">
                  <wp:extent cx="2992755" cy="18307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993366" cy="1830836"/>
                          </a:xfrm>
                          <a:prstGeom prst="rect">
                            <a:avLst/>
                          </a:prstGeom>
                          <a:noFill/>
                        </pic:spPr>
                      </pic:pic>
                    </a:graphicData>
                  </a:graphic>
                </wp:inline>
              </w:drawing>
            </w:r>
          </w:p>
          <w:p>
            <w:pPr>
              <w:pStyle w:val="161"/>
              <w:numPr>
                <w:ilvl w:val="0"/>
                <w:numId w:val="4"/>
              </w:numPr>
              <w:autoSpaceDE w:val="0"/>
              <w:autoSpaceDN w:val="0"/>
              <w:adjustRightInd w:val="0"/>
              <w:ind w:firstLineChars="0"/>
              <w:jc w:val="center"/>
              <w:rPr>
                <w:rFonts w:ascii="黑体" w:hAnsi="黑体" w:eastAsia="黑体"/>
                <w:kern w:val="0"/>
              </w:rPr>
            </w:pPr>
            <w:r>
              <w:rPr>
                <w:rFonts w:ascii="黑体" w:hAnsi="黑体" w:eastAsia="黑体"/>
                <w:kern w:val="0"/>
              </w:rPr>
              <w:t>反硝化深床滤池工艺流程图</w:t>
            </w:r>
          </w:p>
          <w:p>
            <w:pPr>
              <w:pStyle w:val="193"/>
              <w:adjustRightInd w:val="0"/>
              <w:snapToGrid w:val="0"/>
              <w:spacing w:afterLines="0" w:line="360" w:lineRule="auto"/>
              <w:ind w:firstLine="482"/>
              <w:rPr>
                <w:rFonts w:cs="Times New Roman"/>
                <w:b/>
                <w:bCs/>
                <w:sz w:val="24"/>
                <w:szCs w:val="24"/>
              </w:rPr>
            </w:pPr>
            <w:r>
              <w:rPr>
                <w:rFonts w:cs="Times New Roman"/>
                <w:b/>
                <w:bCs/>
                <w:sz w:val="24"/>
                <w:szCs w:val="24"/>
              </w:rPr>
              <w:t>反冲洗流程</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无论在深床滤池模式还是在反硝化深床滤池运行模式，滤池均需反冲洗，将截留和生成的固体排出。反冲洗流程通常需要三个阶段：①气洗；②气水联合反洗；③水洗或漂洗。</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深床滤池的反冲洗模拟人的搓手模式，大量强有力的空气使滤料相互搓擦，使截留的SS全部清洗出池，清洗率达到100％，冲洗用水仅为总量2％。</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反硝化深床滤池结构简单实用，集多种污染物去除功能于一个处理单元，包括对悬浮物、TN和TP均有相当好的去除效果。现有的运行经验表明，在无需化学加药除磷的情况下，可以满足出水水质BOD&lt;5mg/L，SS&lt;5mg/L，TN&lt;3mg/L，TP&lt;1mg/L。在进行化学除磷的情况下，出水TP&lt;0.3mg/L。</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主要功能</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去除TN：利用适量优质碳源，附着生长在石英砂表面上的反硝化细菌把NOx-N转换成N</w:t>
            </w:r>
            <w:r>
              <w:rPr>
                <w:rFonts w:hint="default" w:ascii="Times New Roman" w:hAnsi="Times New Roman" w:cs="Times New Roman"/>
                <w:sz w:val="24"/>
                <w:szCs w:val="24"/>
                <w:vertAlign w:val="subscript"/>
              </w:rPr>
              <w:t>2</w:t>
            </w:r>
            <w:r>
              <w:rPr>
                <w:rFonts w:hint="default" w:ascii="Times New Roman" w:hAnsi="Times New Roman" w:cs="Times New Roman"/>
                <w:sz w:val="24"/>
                <w:szCs w:val="24"/>
              </w:rPr>
              <w:t>完成脱氮反应过程，作为后置反硝化滤池的世界发明者，经过无数的工程经验和长久的历史数据表明，在前端硝化反应较完全的情况下，DNWT/Tetra的技术可稳定做到出水TN≤3mg/l.。在反硝化过程中，由于硝酸氮不断被还原为氮气，深床滤池中会集聚大量的氮气，这些气体会使污水绕窜介质之间，这样增强了微生物与水流的接触，同时也提高了过滤效率。但是当池体内积聚过多的氮气气泡时，则会造成水头损失，这时就必须采用DNWT的Speed BumpTM技术驱散氮气，恢复水头，每次持续1～2分钟，每天进行数次，此过程为DNWT/Tetra的独特技术，其它脱氮滤池无此功能。</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去除SS：每毫克 SS 中含 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0.4~0.5毫克，因此去除出水中固体悬浮物的同时，也降低了出水中的BOD</w:t>
            </w:r>
            <w:r>
              <w:rPr>
                <w:rFonts w:hint="default" w:ascii="Times New Roman" w:hAnsi="Times New Roman" w:cs="Times New Roman"/>
                <w:sz w:val="24"/>
                <w:szCs w:val="24"/>
                <w:vertAlign w:val="subscript"/>
              </w:rPr>
              <w:t>5</w:t>
            </w:r>
            <w:r>
              <w:rPr>
                <w:rFonts w:hint="default" w:ascii="Times New Roman" w:hAnsi="Times New Roman" w:cs="Times New Roman"/>
                <w:sz w:val="24"/>
                <w:szCs w:val="24"/>
              </w:rPr>
              <w:t>。另外，出水中固体悬浮物含有氮、磷及其他重金属物质，去除固体悬浮物通常能降低1mg/L以上的上述杂质.配合适当的化学处理，能使出水总磷稳定降至0.3mg/L以下。反硝化滤池能轻松满足浊度&lt;2NTU或SS&lt;5mg/L（通常SS&lt;2mg/L）的要求。</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去除TP：微絮凝过滤充分体现了深层滤料中的接触凝聚或絮凝作用。它实际是在混凝、过滤作用机理深入研究的基础上，将混凝与过滤过程有机集成一体，形成了当今水处理的高新技术系统。在污水深度处理方面具有较高的推广价值。</w:t>
            </w:r>
          </w:p>
          <w:p>
            <w:pPr>
              <w:pStyle w:val="193"/>
              <w:adjustRightInd w:val="0"/>
              <w:snapToGrid w:val="0"/>
              <w:spacing w:afterLines="0" w:line="360" w:lineRule="auto"/>
              <w:ind w:firstLine="480"/>
              <w:rPr>
                <w:rFonts w:cs="Times New Roman"/>
                <w:sz w:val="24"/>
                <w:szCs w:val="24"/>
              </w:rPr>
            </w:pPr>
            <w:r>
              <w:rPr>
                <w:rFonts w:cs="Times New Roman"/>
                <w:sz w:val="24"/>
                <w:szCs w:val="24"/>
              </w:rPr>
              <w:t>这种直接过滤技术用于污水深度处理一般是指在二沉池后投加混凝剂，经机械混合后直接进入滤池，不仅可以进一步降低CODcr和BOD</w:t>
            </w:r>
            <w:r>
              <w:rPr>
                <w:rFonts w:cs="Times New Roman"/>
                <w:sz w:val="24"/>
                <w:szCs w:val="24"/>
                <w:vertAlign w:val="subscript"/>
              </w:rPr>
              <w:t>5</w:t>
            </w:r>
            <w:r>
              <w:rPr>
                <w:rFonts w:cs="Times New Roman"/>
                <w:sz w:val="24"/>
                <w:szCs w:val="24"/>
              </w:rPr>
              <w:t>，而且可以稳定保证SS、TP达标，不仅可简化污水厂处理流程，降低投资费用，减少运行费用，而且还可延长过滤周期，提高产水量及出水水质。</w:t>
            </w:r>
          </w:p>
          <w:p>
            <w:pPr>
              <w:pStyle w:val="193"/>
              <w:adjustRightInd w:val="0"/>
              <w:snapToGrid w:val="0"/>
              <w:spacing w:afterLines="0" w:line="360" w:lineRule="auto"/>
              <w:ind w:firstLine="480"/>
              <w:rPr>
                <w:rFonts w:cs="Times New Roman"/>
                <w:sz w:val="24"/>
                <w:szCs w:val="24"/>
              </w:rPr>
            </w:pPr>
            <w:r>
              <w:rPr>
                <w:rFonts w:cs="Times New Roman"/>
                <w:sz w:val="24"/>
                <w:szCs w:val="24"/>
              </w:rPr>
              <w:t>深床滤池结构简单，安装方便，滤池内无活动部件，滤料无流失，终身无需维护，基本结构形式见下图。</w:t>
            </w:r>
          </w:p>
          <w:p>
            <w:pPr>
              <w:pStyle w:val="193"/>
              <w:adjustRightInd w:val="0"/>
              <w:snapToGrid w:val="0"/>
              <w:spacing w:afterLines="0" w:line="360" w:lineRule="auto"/>
              <w:ind w:firstLine="480"/>
              <w:rPr>
                <w:rFonts w:cs="Times New Roman"/>
                <w:sz w:val="24"/>
                <w:szCs w:val="24"/>
              </w:rPr>
            </w:pPr>
            <w:r>
              <w:rPr>
                <w:rFonts w:hint="eastAsia" w:cs="Times New Roman"/>
                <w:sz w:val="24"/>
                <w:szCs w:val="24"/>
              </w:rPr>
              <w:t>深度处理方案比较：</w:t>
            </w:r>
          </w:p>
          <w:p>
            <w:pPr>
              <w:pStyle w:val="193"/>
              <w:numPr>
                <w:ilvl w:val="0"/>
                <w:numId w:val="5"/>
              </w:numPr>
              <w:spacing w:afterLines="0" w:line="360" w:lineRule="auto"/>
              <w:ind w:firstLineChars="0"/>
              <w:jc w:val="center"/>
              <w:rPr>
                <w:rFonts w:ascii="黑体" w:hAnsi="黑体" w:eastAsia="黑体"/>
                <w:bCs/>
                <w:sz w:val="24"/>
                <w:szCs w:val="24"/>
              </w:rPr>
            </w:pPr>
            <w:r>
              <w:rPr>
                <w:rFonts w:hint="eastAsia" w:ascii="黑体" w:hAnsi="黑体" w:eastAsia="黑体"/>
                <w:bCs/>
                <w:sz w:val="24"/>
                <w:szCs w:val="24"/>
              </w:rPr>
              <w:t>污水深度处理方案综合比较表</w:t>
            </w:r>
          </w:p>
          <w:tbl>
            <w:tblPr>
              <w:tblStyle w:val="44"/>
              <w:tblW w:w="0" w:type="auto"/>
              <w:jc w:val="center"/>
              <w:tblLayout w:type="autofit"/>
              <w:tblCellMar>
                <w:top w:w="0" w:type="dxa"/>
                <w:left w:w="108" w:type="dxa"/>
                <w:bottom w:w="0" w:type="dxa"/>
                <w:right w:w="108" w:type="dxa"/>
              </w:tblCellMar>
            </w:tblPr>
            <w:tblGrid>
              <w:gridCol w:w="1904"/>
              <w:gridCol w:w="2135"/>
              <w:gridCol w:w="2062"/>
              <w:gridCol w:w="2043"/>
            </w:tblGrid>
            <w:tr>
              <w:tblPrEx>
                <w:tblCellMar>
                  <w:top w:w="0" w:type="dxa"/>
                  <w:left w:w="108" w:type="dxa"/>
                  <w:bottom w:w="0" w:type="dxa"/>
                  <w:right w:w="108" w:type="dxa"/>
                </w:tblCellMar>
              </w:tblPrEx>
              <w:trPr>
                <w:trHeight w:val="753" w:hRule="atLeast"/>
                <w:tblHeader/>
                <w:jc w:val="center"/>
              </w:trPr>
              <w:tc>
                <w:tcPr>
                  <w:tcW w:w="1904" w:type="dxa"/>
                  <w:tcBorders>
                    <w:top w:val="single" w:color="auto" w:sz="8" w:space="0"/>
                    <w:left w:val="single" w:color="auto" w:sz="8" w:space="0"/>
                    <w:bottom w:val="single" w:color="auto" w:sz="4" w:space="0"/>
                    <w:right w:val="single" w:color="auto" w:sz="8" w:space="0"/>
                  </w:tcBorders>
                  <w:vAlign w:val="center"/>
                </w:tcPr>
                <w:p>
                  <w:pPr>
                    <w:pStyle w:val="193"/>
                    <w:spacing w:afterLines="0" w:line="240" w:lineRule="auto"/>
                    <w:ind w:firstLine="0" w:firstLineChars="0"/>
                    <w:jc w:val="center"/>
                    <w:rPr>
                      <w:rFonts w:cs="Times New Roman"/>
                      <w:b/>
                      <w:bCs/>
                      <w:sz w:val="21"/>
                      <w:szCs w:val="21"/>
                    </w:rPr>
                  </w:pPr>
                  <w:r>
                    <w:rPr>
                      <w:rFonts w:cs="Times New Roman"/>
                      <w:b/>
                      <w:bCs/>
                      <w:sz w:val="21"/>
                      <w:szCs w:val="21"/>
                    </w:rPr>
                    <w:t>比较内容</w:t>
                  </w:r>
                </w:p>
              </w:tc>
              <w:tc>
                <w:tcPr>
                  <w:tcW w:w="2135" w:type="dxa"/>
                  <w:tcBorders>
                    <w:top w:val="single" w:color="auto" w:sz="8" w:space="0"/>
                    <w:left w:val="nil"/>
                    <w:bottom w:val="single" w:color="auto" w:sz="4" w:space="0"/>
                    <w:right w:val="single" w:color="auto" w:sz="8" w:space="0"/>
                  </w:tcBorders>
                  <w:vAlign w:val="center"/>
                </w:tcPr>
                <w:p>
                  <w:pPr>
                    <w:pStyle w:val="193"/>
                    <w:spacing w:afterLines="0" w:line="240" w:lineRule="auto"/>
                    <w:ind w:firstLine="0" w:firstLineChars="0"/>
                    <w:jc w:val="center"/>
                    <w:rPr>
                      <w:rFonts w:cs="Times New Roman"/>
                      <w:b/>
                      <w:bCs/>
                      <w:sz w:val="21"/>
                      <w:szCs w:val="21"/>
                    </w:rPr>
                  </w:pPr>
                  <w:r>
                    <w:rPr>
                      <w:rFonts w:cs="Times New Roman"/>
                      <w:b/>
                      <w:bCs/>
                      <w:sz w:val="21"/>
                      <w:szCs w:val="21"/>
                    </w:rPr>
                    <w:t>方案一</w:t>
                  </w:r>
                </w:p>
                <w:p>
                  <w:pPr>
                    <w:pStyle w:val="193"/>
                    <w:spacing w:afterLines="0" w:line="240" w:lineRule="auto"/>
                    <w:ind w:firstLine="0" w:firstLineChars="0"/>
                    <w:jc w:val="center"/>
                    <w:rPr>
                      <w:rFonts w:cs="Times New Roman"/>
                      <w:b/>
                      <w:bCs/>
                      <w:sz w:val="21"/>
                      <w:szCs w:val="21"/>
                    </w:rPr>
                  </w:pPr>
                  <w:r>
                    <w:rPr>
                      <w:rFonts w:cs="Times New Roman"/>
                      <w:b/>
                      <w:bCs/>
                      <w:sz w:val="21"/>
                      <w:szCs w:val="21"/>
                    </w:rPr>
                    <w:t>（V型滤池接触过滤工艺）</w:t>
                  </w:r>
                </w:p>
              </w:tc>
              <w:tc>
                <w:tcPr>
                  <w:tcW w:w="2062" w:type="dxa"/>
                  <w:tcBorders>
                    <w:top w:val="single" w:color="auto" w:sz="8" w:space="0"/>
                    <w:left w:val="single" w:color="auto" w:sz="8" w:space="0"/>
                    <w:bottom w:val="single" w:color="auto" w:sz="4" w:space="0"/>
                    <w:right w:val="single" w:color="auto" w:sz="8" w:space="0"/>
                  </w:tcBorders>
                  <w:vAlign w:val="center"/>
                </w:tcPr>
                <w:p>
                  <w:pPr>
                    <w:pStyle w:val="193"/>
                    <w:spacing w:afterLines="0" w:line="240" w:lineRule="auto"/>
                    <w:ind w:firstLine="0" w:firstLineChars="0"/>
                    <w:jc w:val="center"/>
                    <w:rPr>
                      <w:rFonts w:cs="Times New Roman"/>
                      <w:b/>
                      <w:bCs/>
                      <w:sz w:val="21"/>
                      <w:szCs w:val="21"/>
                    </w:rPr>
                  </w:pPr>
                  <w:r>
                    <w:rPr>
                      <w:rFonts w:cs="Times New Roman"/>
                      <w:b/>
                      <w:bCs/>
                      <w:sz w:val="21"/>
                      <w:szCs w:val="21"/>
                    </w:rPr>
                    <w:t>方案二</w:t>
                  </w:r>
                </w:p>
                <w:p>
                  <w:pPr>
                    <w:pStyle w:val="193"/>
                    <w:spacing w:afterLines="0" w:line="240" w:lineRule="auto"/>
                    <w:ind w:firstLine="0" w:firstLineChars="0"/>
                    <w:jc w:val="center"/>
                    <w:rPr>
                      <w:rFonts w:cs="Times New Roman"/>
                      <w:b/>
                      <w:bCs/>
                      <w:sz w:val="21"/>
                      <w:szCs w:val="21"/>
                    </w:rPr>
                  </w:pPr>
                  <w:r>
                    <w:rPr>
                      <w:rFonts w:cs="Times New Roman"/>
                      <w:b/>
                      <w:bCs/>
                      <w:sz w:val="21"/>
                      <w:szCs w:val="21"/>
                    </w:rPr>
                    <w:t>（反硝化深床滤池工艺）</w:t>
                  </w:r>
                </w:p>
              </w:tc>
              <w:tc>
                <w:tcPr>
                  <w:tcW w:w="2043" w:type="dxa"/>
                  <w:tcBorders>
                    <w:top w:val="single" w:color="auto" w:sz="8" w:space="0"/>
                    <w:left w:val="nil"/>
                    <w:bottom w:val="single" w:color="auto" w:sz="4" w:space="0"/>
                    <w:right w:val="single" w:color="auto" w:sz="8" w:space="0"/>
                  </w:tcBorders>
                  <w:vAlign w:val="center"/>
                </w:tcPr>
                <w:p>
                  <w:pPr>
                    <w:pStyle w:val="193"/>
                    <w:spacing w:afterLines="0" w:line="240" w:lineRule="auto"/>
                    <w:ind w:firstLine="0" w:firstLineChars="0"/>
                    <w:jc w:val="center"/>
                    <w:rPr>
                      <w:rFonts w:cs="Times New Roman"/>
                      <w:b/>
                      <w:bCs/>
                      <w:sz w:val="21"/>
                      <w:szCs w:val="21"/>
                    </w:rPr>
                  </w:pPr>
                  <w:r>
                    <w:rPr>
                      <w:rFonts w:cs="Times New Roman"/>
                      <w:b/>
                      <w:bCs/>
                      <w:sz w:val="21"/>
                      <w:szCs w:val="21"/>
                    </w:rPr>
                    <w:t>方案三</w:t>
                  </w:r>
                </w:p>
                <w:p>
                  <w:pPr>
                    <w:pStyle w:val="193"/>
                    <w:spacing w:afterLines="0" w:line="240" w:lineRule="auto"/>
                    <w:ind w:firstLine="0" w:firstLineChars="0"/>
                    <w:jc w:val="center"/>
                    <w:rPr>
                      <w:rFonts w:cs="Times New Roman"/>
                      <w:b/>
                      <w:bCs/>
                      <w:sz w:val="21"/>
                      <w:szCs w:val="21"/>
                    </w:rPr>
                  </w:pPr>
                  <w:r>
                    <w:rPr>
                      <w:rFonts w:cs="Times New Roman"/>
                      <w:b/>
                      <w:bCs/>
                      <w:sz w:val="21"/>
                      <w:szCs w:val="21"/>
                    </w:rPr>
                    <w:t>（高效沉淀池工艺）</w:t>
                  </w:r>
                </w:p>
              </w:tc>
            </w:tr>
            <w:tr>
              <w:tblPrEx>
                <w:tblCellMar>
                  <w:top w:w="0" w:type="dxa"/>
                  <w:left w:w="108" w:type="dxa"/>
                  <w:bottom w:w="0" w:type="dxa"/>
                  <w:right w:w="108" w:type="dxa"/>
                </w:tblCellMar>
              </w:tblPrEx>
              <w:trPr>
                <w:trHeight w:val="295" w:hRule="atLeast"/>
                <w:tblHeader/>
                <w:jc w:val="center"/>
              </w:trPr>
              <w:tc>
                <w:tcPr>
                  <w:tcW w:w="1904" w:type="dxa"/>
                  <w:tcBorders>
                    <w:top w:val="single" w:color="auto" w:sz="4" w:space="0"/>
                    <w:left w:val="single" w:color="auto" w:sz="8" w:space="0"/>
                    <w:bottom w:val="single" w:color="000000"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污水达标可靠性</w:t>
                  </w:r>
                </w:p>
              </w:tc>
              <w:tc>
                <w:tcPr>
                  <w:tcW w:w="2135" w:type="dxa"/>
                  <w:tcBorders>
                    <w:top w:val="single" w:color="auto" w:sz="4" w:space="0"/>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高</w:t>
                  </w:r>
                </w:p>
              </w:tc>
              <w:tc>
                <w:tcPr>
                  <w:tcW w:w="2062" w:type="dxa"/>
                  <w:tcBorders>
                    <w:top w:val="single" w:color="auto" w:sz="4" w:space="0"/>
                    <w:left w:val="single" w:color="auto" w:sz="8" w:space="0"/>
                    <w:bottom w:val="single" w:color="000000"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高</w:t>
                  </w:r>
                </w:p>
              </w:tc>
              <w:tc>
                <w:tcPr>
                  <w:tcW w:w="2043" w:type="dxa"/>
                  <w:tcBorders>
                    <w:top w:val="single" w:color="auto" w:sz="4" w:space="0"/>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高</w:t>
                  </w:r>
                </w:p>
              </w:tc>
            </w:tr>
            <w:tr>
              <w:tblPrEx>
                <w:tblCellMar>
                  <w:top w:w="0" w:type="dxa"/>
                  <w:left w:w="108" w:type="dxa"/>
                  <w:bottom w:w="0" w:type="dxa"/>
                  <w:right w:w="108" w:type="dxa"/>
                </w:tblCellMar>
              </w:tblPrEx>
              <w:trPr>
                <w:trHeight w:val="593" w:hRule="atLeast"/>
                <w:jc w:val="center"/>
              </w:trPr>
              <w:tc>
                <w:tcPr>
                  <w:tcW w:w="1904" w:type="dxa"/>
                  <w:tcBorders>
                    <w:top w:val="nil"/>
                    <w:left w:val="single" w:color="auto" w:sz="8" w:space="0"/>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主要处理构筑物</w:t>
                  </w:r>
                </w:p>
              </w:tc>
              <w:tc>
                <w:tcPr>
                  <w:tcW w:w="2135"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V型滤池</w:t>
                  </w:r>
                </w:p>
              </w:tc>
              <w:tc>
                <w:tcPr>
                  <w:tcW w:w="2062"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反硝化滤池</w:t>
                  </w:r>
                </w:p>
              </w:tc>
              <w:tc>
                <w:tcPr>
                  <w:tcW w:w="2043"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高效沉淀池</w:t>
                  </w:r>
                </w:p>
              </w:tc>
            </w:tr>
            <w:tr>
              <w:tblPrEx>
                <w:tblCellMar>
                  <w:top w:w="0" w:type="dxa"/>
                  <w:left w:w="108" w:type="dxa"/>
                  <w:bottom w:w="0" w:type="dxa"/>
                  <w:right w:w="108" w:type="dxa"/>
                </w:tblCellMar>
              </w:tblPrEx>
              <w:trPr>
                <w:trHeight w:val="187" w:hRule="atLeast"/>
                <w:jc w:val="center"/>
              </w:trPr>
              <w:tc>
                <w:tcPr>
                  <w:tcW w:w="1904" w:type="dxa"/>
                  <w:tcBorders>
                    <w:top w:val="nil"/>
                    <w:left w:val="single" w:color="auto" w:sz="8" w:space="0"/>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处理效率</w:t>
                  </w:r>
                </w:p>
              </w:tc>
              <w:tc>
                <w:tcPr>
                  <w:tcW w:w="2135"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较高</w:t>
                  </w:r>
                </w:p>
              </w:tc>
              <w:tc>
                <w:tcPr>
                  <w:tcW w:w="2062"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较高</w:t>
                  </w:r>
                </w:p>
              </w:tc>
              <w:tc>
                <w:tcPr>
                  <w:tcW w:w="2043"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高</w:t>
                  </w:r>
                </w:p>
              </w:tc>
            </w:tr>
            <w:tr>
              <w:tblPrEx>
                <w:tblCellMar>
                  <w:top w:w="0" w:type="dxa"/>
                  <w:left w:w="108" w:type="dxa"/>
                  <w:bottom w:w="0" w:type="dxa"/>
                  <w:right w:w="108" w:type="dxa"/>
                </w:tblCellMar>
              </w:tblPrEx>
              <w:trPr>
                <w:trHeight w:val="285" w:hRule="atLeast"/>
                <w:jc w:val="center"/>
              </w:trPr>
              <w:tc>
                <w:tcPr>
                  <w:tcW w:w="1904" w:type="dxa"/>
                  <w:tcBorders>
                    <w:top w:val="nil"/>
                    <w:left w:val="single" w:color="auto" w:sz="8" w:space="0"/>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混凝剂、助凝剂投加量</w:t>
                  </w:r>
                </w:p>
              </w:tc>
              <w:tc>
                <w:tcPr>
                  <w:tcW w:w="2135"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较多</w:t>
                  </w:r>
                </w:p>
              </w:tc>
              <w:tc>
                <w:tcPr>
                  <w:tcW w:w="2062"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较多</w:t>
                  </w:r>
                </w:p>
              </w:tc>
              <w:tc>
                <w:tcPr>
                  <w:tcW w:w="2043"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较少</w:t>
                  </w:r>
                </w:p>
              </w:tc>
            </w:tr>
            <w:tr>
              <w:tblPrEx>
                <w:tblCellMar>
                  <w:top w:w="0" w:type="dxa"/>
                  <w:left w:w="108" w:type="dxa"/>
                  <w:bottom w:w="0" w:type="dxa"/>
                  <w:right w:w="108" w:type="dxa"/>
                </w:tblCellMar>
              </w:tblPrEx>
              <w:trPr>
                <w:trHeight w:val="187" w:hRule="atLeast"/>
                <w:jc w:val="center"/>
              </w:trPr>
              <w:tc>
                <w:tcPr>
                  <w:tcW w:w="1904" w:type="dxa"/>
                  <w:tcBorders>
                    <w:top w:val="nil"/>
                    <w:left w:val="single" w:color="auto" w:sz="8" w:space="0"/>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结构形式</w:t>
                  </w:r>
                </w:p>
              </w:tc>
              <w:tc>
                <w:tcPr>
                  <w:tcW w:w="2135"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较复杂</w:t>
                  </w:r>
                </w:p>
              </w:tc>
              <w:tc>
                <w:tcPr>
                  <w:tcW w:w="2062"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复杂</w:t>
                  </w:r>
                </w:p>
              </w:tc>
              <w:tc>
                <w:tcPr>
                  <w:tcW w:w="2043"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简单</w:t>
                  </w:r>
                </w:p>
              </w:tc>
            </w:tr>
            <w:tr>
              <w:tblPrEx>
                <w:tblCellMar>
                  <w:top w:w="0" w:type="dxa"/>
                  <w:left w:w="108" w:type="dxa"/>
                  <w:bottom w:w="0" w:type="dxa"/>
                  <w:right w:w="108" w:type="dxa"/>
                </w:tblCellMar>
              </w:tblPrEx>
              <w:trPr>
                <w:trHeight w:val="187" w:hRule="atLeast"/>
                <w:jc w:val="center"/>
              </w:trPr>
              <w:tc>
                <w:tcPr>
                  <w:tcW w:w="1904" w:type="dxa"/>
                  <w:tcBorders>
                    <w:top w:val="nil"/>
                    <w:left w:val="single" w:color="auto" w:sz="8" w:space="0"/>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占地面积</w:t>
                  </w:r>
                </w:p>
              </w:tc>
              <w:tc>
                <w:tcPr>
                  <w:tcW w:w="2135"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较大</w:t>
                  </w:r>
                </w:p>
              </w:tc>
              <w:tc>
                <w:tcPr>
                  <w:tcW w:w="2062"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较大</w:t>
                  </w:r>
                </w:p>
              </w:tc>
              <w:tc>
                <w:tcPr>
                  <w:tcW w:w="2043"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较少</w:t>
                  </w:r>
                </w:p>
              </w:tc>
            </w:tr>
            <w:tr>
              <w:tblPrEx>
                <w:tblCellMar>
                  <w:top w:w="0" w:type="dxa"/>
                  <w:left w:w="108" w:type="dxa"/>
                  <w:bottom w:w="0" w:type="dxa"/>
                  <w:right w:w="108" w:type="dxa"/>
                </w:tblCellMar>
              </w:tblPrEx>
              <w:trPr>
                <w:trHeight w:val="187" w:hRule="atLeast"/>
                <w:jc w:val="center"/>
              </w:trPr>
              <w:tc>
                <w:tcPr>
                  <w:tcW w:w="1904" w:type="dxa"/>
                  <w:tcBorders>
                    <w:top w:val="nil"/>
                    <w:left w:val="single" w:color="auto" w:sz="8" w:space="0"/>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设备数量</w:t>
                  </w:r>
                </w:p>
              </w:tc>
              <w:tc>
                <w:tcPr>
                  <w:tcW w:w="2135"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较多</w:t>
                  </w:r>
                </w:p>
              </w:tc>
              <w:tc>
                <w:tcPr>
                  <w:tcW w:w="2062"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多</w:t>
                  </w:r>
                </w:p>
              </w:tc>
              <w:tc>
                <w:tcPr>
                  <w:tcW w:w="2043"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较少</w:t>
                  </w:r>
                </w:p>
              </w:tc>
            </w:tr>
            <w:tr>
              <w:tblPrEx>
                <w:tblCellMar>
                  <w:top w:w="0" w:type="dxa"/>
                  <w:left w:w="108" w:type="dxa"/>
                  <w:bottom w:w="0" w:type="dxa"/>
                  <w:right w:w="108" w:type="dxa"/>
                </w:tblCellMar>
              </w:tblPrEx>
              <w:trPr>
                <w:trHeight w:val="187" w:hRule="atLeast"/>
                <w:jc w:val="center"/>
              </w:trPr>
              <w:tc>
                <w:tcPr>
                  <w:tcW w:w="1904" w:type="dxa"/>
                  <w:tcBorders>
                    <w:top w:val="nil"/>
                    <w:left w:val="single" w:color="auto" w:sz="8" w:space="0"/>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处理效果</w:t>
                  </w:r>
                </w:p>
              </w:tc>
              <w:tc>
                <w:tcPr>
                  <w:tcW w:w="2135"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好</w:t>
                  </w:r>
                </w:p>
              </w:tc>
              <w:tc>
                <w:tcPr>
                  <w:tcW w:w="2062"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好</w:t>
                  </w:r>
                </w:p>
              </w:tc>
              <w:tc>
                <w:tcPr>
                  <w:tcW w:w="2043"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好</w:t>
                  </w:r>
                </w:p>
              </w:tc>
            </w:tr>
            <w:tr>
              <w:tblPrEx>
                <w:tblCellMar>
                  <w:top w:w="0" w:type="dxa"/>
                  <w:left w:w="108" w:type="dxa"/>
                  <w:bottom w:w="0" w:type="dxa"/>
                  <w:right w:w="108" w:type="dxa"/>
                </w:tblCellMar>
              </w:tblPrEx>
              <w:trPr>
                <w:trHeight w:val="187" w:hRule="atLeast"/>
                <w:jc w:val="center"/>
              </w:trPr>
              <w:tc>
                <w:tcPr>
                  <w:tcW w:w="1904" w:type="dxa"/>
                  <w:tcBorders>
                    <w:top w:val="nil"/>
                    <w:left w:val="single" w:color="auto" w:sz="8" w:space="0"/>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运行维护</w:t>
                  </w:r>
                </w:p>
              </w:tc>
              <w:tc>
                <w:tcPr>
                  <w:tcW w:w="2135"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复杂</w:t>
                  </w:r>
                </w:p>
              </w:tc>
              <w:tc>
                <w:tcPr>
                  <w:tcW w:w="2062"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复杂</w:t>
                  </w:r>
                </w:p>
              </w:tc>
              <w:tc>
                <w:tcPr>
                  <w:tcW w:w="2043"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较简单</w:t>
                  </w:r>
                </w:p>
              </w:tc>
            </w:tr>
            <w:tr>
              <w:tblPrEx>
                <w:tblCellMar>
                  <w:top w:w="0" w:type="dxa"/>
                  <w:left w:w="108" w:type="dxa"/>
                  <w:bottom w:w="0" w:type="dxa"/>
                  <w:right w:w="108" w:type="dxa"/>
                </w:tblCellMar>
              </w:tblPrEx>
              <w:trPr>
                <w:trHeight w:val="187" w:hRule="atLeast"/>
                <w:jc w:val="center"/>
              </w:trPr>
              <w:tc>
                <w:tcPr>
                  <w:tcW w:w="1904" w:type="dxa"/>
                  <w:tcBorders>
                    <w:top w:val="nil"/>
                    <w:left w:val="single" w:color="auto" w:sz="8" w:space="0"/>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施工工期</w:t>
                  </w:r>
                </w:p>
              </w:tc>
              <w:tc>
                <w:tcPr>
                  <w:tcW w:w="2135"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较长</w:t>
                  </w:r>
                </w:p>
              </w:tc>
              <w:tc>
                <w:tcPr>
                  <w:tcW w:w="2062"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长</w:t>
                  </w:r>
                </w:p>
              </w:tc>
              <w:tc>
                <w:tcPr>
                  <w:tcW w:w="2043"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相对较短</w:t>
                  </w:r>
                </w:p>
              </w:tc>
            </w:tr>
            <w:tr>
              <w:tblPrEx>
                <w:tblCellMar>
                  <w:top w:w="0" w:type="dxa"/>
                  <w:left w:w="108" w:type="dxa"/>
                  <w:bottom w:w="0" w:type="dxa"/>
                  <w:right w:w="108" w:type="dxa"/>
                </w:tblCellMar>
              </w:tblPrEx>
              <w:trPr>
                <w:trHeight w:val="246" w:hRule="atLeast"/>
                <w:jc w:val="center"/>
              </w:trPr>
              <w:tc>
                <w:tcPr>
                  <w:tcW w:w="1904" w:type="dxa"/>
                  <w:tcBorders>
                    <w:top w:val="nil"/>
                    <w:left w:val="single" w:color="auto" w:sz="8" w:space="0"/>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运行费用</w:t>
                  </w:r>
                </w:p>
              </w:tc>
              <w:tc>
                <w:tcPr>
                  <w:tcW w:w="2135"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运行费用约0.15元/t</w:t>
                  </w:r>
                </w:p>
              </w:tc>
              <w:tc>
                <w:tcPr>
                  <w:tcW w:w="2062"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运行费用约0.17元/t</w:t>
                  </w:r>
                </w:p>
              </w:tc>
              <w:tc>
                <w:tcPr>
                  <w:tcW w:w="2043"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运行费用约0.11元/t</w:t>
                  </w:r>
                </w:p>
              </w:tc>
            </w:tr>
            <w:tr>
              <w:tblPrEx>
                <w:tblCellMar>
                  <w:top w:w="0" w:type="dxa"/>
                  <w:left w:w="108" w:type="dxa"/>
                  <w:bottom w:w="0" w:type="dxa"/>
                  <w:right w:w="108" w:type="dxa"/>
                </w:tblCellMar>
              </w:tblPrEx>
              <w:trPr>
                <w:trHeight w:val="205" w:hRule="atLeast"/>
                <w:jc w:val="center"/>
              </w:trPr>
              <w:tc>
                <w:tcPr>
                  <w:tcW w:w="1904" w:type="dxa"/>
                  <w:tcBorders>
                    <w:top w:val="nil"/>
                    <w:left w:val="single" w:color="auto" w:sz="8" w:space="0"/>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工程投资</w:t>
                  </w:r>
                </w:p>
              </w:tc>
              <w:tc>
                <w:tcPr>
                  <w:tcW w:w="2135"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高</w:t>
                  </w:r>
                </w:p>
              </w:tc>
              <w:tc>
                <w:tcPr>
                  <w:tcW w:w="2062"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最高</w:t>
                  </w:r>
                </w:p>
              </w:tc>
              <w:tc>
                <w:tcPr>
                  <w:tcW w:w="2043"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低</w:t>
                  </w:r>
                </w:p>
              </w:tc>
            </w:tr>
            <w:tr>
              <w:tblPrEx>
                <w:tblCellMar>
                  <w:top w:w="0" w:type="dxa"/>
                  <w:left w:w="108" w:type="dxa"/>
                  <w:bottom w:w="0" w:type="dxa"/>
                  <w:right w:w="108" w:type="dxa"/>
                </w:tblCellMar>
              </w:tblPrEx>
              <w:trPr>
                <w:trHeight w:val="918" w:hRule="atLeast"/>
                <w:jc w:val="center"/>
              </w:trPr>
              <w:tc>
                <w:tcPr>
                  <w:tcW w:w="1904" w:type="dxa"/>
                  <w:tcBorders>
                    <w:top w:val="nil"/>
                    <w:left w:val="single" w:color="auto" w:sz="8" w:space="0"/>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总结</w:t>
                  </w:r>
                </w:p>
              </w:tc>
              <w:tc>
                <w:tcPr>
                  <w:tcW w:w="2135"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结构较复杂，设备数量较多，施工工期较长，投资及运行费用较高。</w:t>
                  </w:r>
                </w:p>
              </w:tc>
              <w:tc>
                <w:tcPr>
                  <w:tcW w:w="2062"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现状构筑物拆除量较大，占地面积大，结构复杂，设备数量多，施工工期长，投资及运行费用高。</w:t>
                  </w:r>
                </w:p>
              </w:tc>
              <w:tc>
                <w:tcPr>
                  <w:tcW w:w="2043" w:type="dxa"/>
                  <w:tcBorders>
                    <w:top w:val="nil"/>
                    <w:left w:val="nil"/>
                    <w:bottom w:val="single" w:color="auto" w:sz="8" w:space="0"/>
                    <w:right w:val="single" w:color="auto" w:sz="8" w:space="0"/>
                  </w:tcBorders>
                  <w:vAlign w:val="center"/>
                </w:tcPr>
                <w:p>
                  <w:pPr>
                    <w:pStyle w:val="193"/>
                    <w:spacing w:afterLines="0" w:line="240" w:lineRule="auto"/>
                    <w:ind w:firstLine="0" w:firstLineChars="0"/>
                    <w:jc w:val="center"/>
                    <w:rPr>
                      <w:rFonts w:cs="Times New Roman"/>
                      <w:sz w:val="21"/>
                      <w:szCs w:val="21"/>
                    </w:rPr>
                  </w:pPr>
                  <w:r>
                    <w:rPr>
                      <w:rFonts w:cs="Times New Roman"/>
                      <w:sz w:val="21"/>
                      <w:szCs w:val="21"/>
                    </w:rPr>
                    <w:t>占地面积小，结构相对简单，设备数量较少，施工工期相对较短，投资及运行费用低。</w:t>
                  </w:r>
                </w:p>
              </w:tc>
            </w:tr>
          </w:tbl>
          <w:p>
            <w:pPr>
              <w:pStyle w:val="193"/>
              <w:adjustRightInd w:val="0"/>
              <w:snapToGrid w:val="0"/>
              <w:spacing w:afterLines="0" w:line="360" w:lineRule="auto"/>
              <w:ind w:firstLine="480"/>
              <w:rPr>
                <w:rFonts w:cs="Times New Roman"/>
                <w:sz w:val="24"/>
                <w:szCs w:val="24"/>
              </w:rPr>
            </w:pPr>
            <w:r>
              <w:rPr>
                <w:rFonts w:cs="Times New Roman"/>
                <w:sz w:val="24"/>
                <w:szCs w:val="24"/>
              </w:rPr>
              <w:t>基于上述比较，可知高效沉淀池具有工艺灵活可靠、适应性强、耐负荷变化、占地少、土建投资低、运行费用低以及出水水质好等特点，污水深度处理工艺采用高效沉淀池其出水水质均能达到设计标准，</w:t>
            </w:r>
            <w:r>
              <w:rPr>
                <w:rFonts w:cs="Times New Roman"/>
                <w:b/>
                <w:sz w:val="24"/>
                <w:szCs w:val="24"/>
              </w:rPr>
              <w:t>因此</w:t>
            </w:r>
            <w:r>
              <w:rPr>
                <w:rFonts w:hint="eastAsia" w:cs="Times New Roman"/>
                <w:b/>
                <w:sz w:val="24"/>
                <w:szCs w:val="24"/>
              </w:rPr>
              <w:t>，</w:t>
            </w:r>
            <w:r>
              <w:rPr>
                <w:rFonts w:cs="Times New Roman"/>
                <w:b/>
                <w:sz w:val="24"/>
                <w:szCs w:val="24"/>
              </w:rPr>
              <w:t>本次设计方案推荐采用高效沉淀池工艺，进一步去除污染物。</w:t>
            </w:r>
          </w:p>
          <w:p>
            <w:pPr>
              <w:pStyle w:val="193"/>
              <w:spacing w:afterLines="0" w:line="360" w:lineRule="auto"/>
              <w:ind w:firstLine="482"/>
              <w:rPr>
                <w:rFonts w:hint="default" w:ascii="Times New Roman" w:hAnsi="Times New Roman" w:cs="Times New Roman"/>
                <w:b/>
                <w:bCs/>
                <w:sz w:val="24"/>
                <w:szCs w:val="24"/>
              </w:rPr>
            </w:pPr>
            <w:r>
              <w:rPr>
                <w:rFonts w:hint="default" w:ascii="Times New Roman" w:hAnsi="Times New Roman" w:cs="Times New Roman"/>
                <w:b/>
                <w:bCs/>
                <w:sz w:val="24"/>
                <w:szCs w:val="24"/>
              </w:rPr>
              <w:t>3）污泥处理工艺的选择</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污泥浓缩——污泥的浓缩有重力浓缩与机械浓缩两种。</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污泥消化——使污泥得到充分稳定，避免在处置过程中造成二次污染。污泥消化的常用工艺有：厌氧消化、好氧消化、热处理、加热干化和加碱稳定。</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污水处理厂的剩余污泥，可采用厌氧消化和好氧稳定，但采用污泥消化的投资和运行费用相对较高。对污水处理设计规模较小，污泥泥龄比较长，污泥性质较稳定，可采用工程投资较省的直接浓缩脱水的污泥处理方式。</w:t>
            </w:r>
          </w:p>
          <w:p>
            <w:pPr>
              <w:pStyle w:val="228"/>
              <w:adjustRightInd w:val="0"/>
              <w:snapToGrid w:val="0"/>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污泥脱水——一般采用机械脱水。脱水机械种类较多，常用的有卧式离心脱水机、带式压滤机、板框压滤机等，根据工程需要采用。</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此外，污泥处理方式还有自然干化处理，污泥自然干化脱水主要依靠渗透、蒸发和撇除。</w:t>
            </w:r>
          </w:p>
          <w:p>
            <w:pPr>
              <w:pStyle w:val="193"/>
              <w:adjustRightInd w:val="0"/>
              <w:snapToGrid w:val="0"/>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本项目产生一定量的生化污泥，必须采用污泥机械脱水。几种常用的污泥机械脱水方式的特点如下：隔膜压滤机是间歇脱水，若要连续脱水则需多台设备，但脱水后污泥含水率低，隔膜压滤机脱水后的污泥含水率可达到60%以下；带式脱水机在污水处理厂应用广泛，污泥经带式脱水后泥饼含水率达到80%左右，叠螺式脱水机在小型污水处理厂上应用广泛，污泥经叠螺式脱水机处理后含水率可达到75%~85%，其对含油污泥处理不易堵塞，操作维护简便。</w:t>
            </w:r>
          </w:p>
          <w:p>
            <w:pPr>
              <w:pStyle w:val="193"/>
              <w:adjustRightInd w:val="0"/>
              <w:snapToGrid w:val="0"/>
              <w:spacing w:afterLines="0" w:line="360" w:lineRule="auto"/>
              <w:ind w:firstLine="480"/>
              <w:rPr>
                <w:rFonts w:cs="Times New Roman"/>
                <w:sz w:val="24"/>
                <w:szCs w:val="24"/>
              </w:rPr>
            </w:pPr>
            <w:r>
              <w:rPr>
                <w:rFonts w:hint="default" w:ascii="Times New Roman" w:hAnsi="Times New Roman" w:cs="Times New Roman"/>
                <w:sz w:val="24"/>
                <w:szCs w:val="24"/>
              </w:rPr>
              <w:t>考虑到本项目实际情况，本项目日产生的污泥量较少，污泥含水量较大，污泥含水率需要处理到60%左右，本次方案设计推荐采用</w:t>
            </w:r>
            <w:r>
              <w:rPr>
                <w:rFonts w:hint="default" w:ascii="Times New Roman" w:hAnsi="Times New Roman" w:cs="Times New Roman"/>
                <w:b/>
                <w:sz w:val="24"/>
                <w:szCs w:val="24"/>
              </w:rPr>
              <w:t>高压隔</w:t>
            </w:r>
            <w:r>
              <w:rPr>
                <w:rFonts w:cs="Times New Roman"/>
                <w:b/>
                <w:sz w:val="24"/>
                <w:szCs w:val="24"/>
              </w:rPr>
              <w:t>膜压滤机</w:t>
            </w:r>
            <w:r>
              <w:rPr>
                <w:rFonts w:cs="Times New Roman"/>
                <w:sz w:val="24"/>
                <w:szCs w:val="24"/>
              </w:rPr>
              <w:t>，处理后的污泥</w:t>
            </w:r>
            <w:r>
              <w:rPr>
                <w:rFonts w:hint="eastAsia" w:cs="Times New Roman"/>
                <w:sz w:val="24"/>
                <w:szCs w:val="24"/>
              </w:rPr>
              <w:t>委托有污泥处置资质的单位进行无害化处置</w:t>
            </w:r>
            <w:r>
              <w:rPr>
                <w:rFonts w:cs="Times New Roman"/>
                <w:sz w:val="24"/>
                <w:szCs w:val="24"/>
              </w:rPr>
              <w:t>。</w:t>
            </w:r>
          </w:p>
          <w:p>
            <w:pPr>
              <w:pStyle w:val="193"/>
              <w:spacing w:afterLines="0" w:line="360" w:lineRule="auto"/>
              <w:ind w:firstLine="482"/>
              <w:rPr>
                <w:rFonts w:hint="default" w:ascii="Times New Roman" w:hAnsi="Times New Roman" w:cs="Times New Roman"/>
                <w:b/>
                <w:bCs/>
                <w:sz w:val="24"/>
                <w:szCs w:val="24"/>
              </w:rPr>
            </w:pPr>
            <w:r>
              <w:rPr>
                <w:rFonts w:hint="default" w:ascii="Times New Roman" w:hAnsi="Times New Roman" w:cs="Times New Roman"/>
                <w:b/>
                <w:bCs/>
                <w:sz w:val="24"/>
                <w:szCs w:val="24"/>
              </w:rPr>
              <w:t>4）出水消毒方案论证</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根据《城镇污水处理设施污染物排放标准》(GB18918-2002)的规定，污水处理设施出水必须进行消毒处理。目前国内外常用的消毒方法有次氯酸钠消毒，二氧化氯消毒，紫外线消毒等。</w:t>
            </w:r>
          </w:p>
          <w:p>
            <w:pPr>
              <w:pStyle w:val="193"/>
              <w:spacing w:afterLines="0" w:line="360" w:lineRule="auto"/>
              <w:ind w:firstLine="482"/>
              <w:rPr>
                <w:rFonts w:hint="default" w:ascii="Times New Roman" w:hAnsi="Times New Roman" w:cs="Times New Roman"/>
                <w:b/>
                <w:bCs/>
                <w:sz w:val="24"/>
                <w:szCs w:val="24"/>
              </w:rPr>
            </w:pPr>
            <w:r>
              <w:rPr>
                <w:rFonts w:hint="default" w:ascii="Times New Roman" w:hAnsi="Times New Roman" w:cs="Times New Roman"/>
                <w:b/>
                <w:bCs/>
                <w:sz w:val="24"/>
                <w:szCs w:val="24"/>
              </w:rPr>
              <w:t>①次氯酸钠消毒</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次氯酸钠消毒最主要的作用方式时它的水解形成次氯酸，次氯酸再进一步分解形成新生态氧[O]，新生态氧的极强氧化性使菌体和病毒上的蛋白质等物质变性，从而致死病原性微生物。另外次氯酸钠在水中几乎能完全水解成次氯酸，效率较高，次氯酸钠在水中不会形成不利于人体健康的之致癌物质。</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次氯酸钠消毒系统主要有制药设备及投加设备组成。</w:t>
            </w:r>
          </w:p>
          <w:p>
            <w:pPr>
              <w:pStyle w:val="193"/>
              <w:spacing w:afterLines="0" w:line="360" w:lineRule="auto"/>
              <w:ind w:firstLine="482"/>
              <w:rPr>
                <w:rFonts w:hint="default" w:ascii="Times New Roman" w:hAnsi="Times New Roman" w:cs="Times New Roman"/>
                <w:b/>
                <w:bCs/>
                <w:sz w:val="24"/>
                <w:szCs w:val="24"/>
              </w:rPr>
            </w:pPr>
            <w:bookmarkStart w:id="14" w:name="_Toc2575930"/>
            <w:r>
              <w:rPr>
                <w:rFonts w:hint="default" w:ascii="Times New Roman" w:hAnsi="Times New Roman" w:cs="Times New Roman"/>
                <w:b/>
                <w:bCs/>
                <w:sz w:val="24"/>
                <w:szCs w:val="24"/>
              </w:rPr>
              <w:t>②二氯化氯消毒</w:t>
            </w:r>
            <w:bookmarkEnd w:id="14"/>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二氧化氯是一种广谱型的消毒剂，它对水中的病原微生物，包括病毒、细菌芽孢等均有较高的杀死作用。</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二氧化氯消毒处理工艺成熟，效果好，经验丰富。二氧化氯只起氧化作用，不起氯化作用，不会生成有机氯化物；杀菌能力较强，消毒效力持续时间较长，不受污水pH值及氨氮浓度影响，消毒杀菌能力高于氯粉消毒，但必须现场制备，原料具有腐蚀性，需化学反应生成，操作管理要求较高。</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二氧化氯消毒系统包括药液储罐、二氯化氯发生器，投加设备。</w:t>
            </w:r>
          </w:p>
          <w:p>
            <w:pPr>
              <w:pStyle w:val="193"/>
              <w:spacing w:afterLines="0" w:line="360" w:lineRule="auto"/>
              <w:ind w:firstLine="482"/>
              <w:rPr>
                <w:rFonts w:hint="default" w:ascii="Times New Roman" w:hAnsi="Times New Roman" w:cs="Times New Roman"/>
                <w:b/>
                <w:bCs/>
                <w:sz w:val="24"/>
                <w:szCs w:val="24"/>
              </w:rPr>
            </w:pPr>
            <w:r>
              <w:rPr>
                <w:rFonts w:hint="default" w:ascii="Times New Roman" w:hAnsi="Times New Roman" w:cs="Times New Roman"/>
                <w:b/>
                <w:bCs/>
                <w:sz w:val="24"/>
                <w:szCs w:val="24"/>
              </w:rPr>
              <w:t>③紫外线消毒</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紫外线消毒技术是基于现代防疫学、光学、数学、生物学及物理化学的基础上，利用特殊设计的高效率、高强度和长寿命的C波段紫外光发生装置产生的强紫外线光照射流水（空气或固体表面），当水（空气或固体表面）中的各种细菌、病毒、寄生虫、水藻以及其他病原体受到一定剂量的紫外线光辐射后，其细胞中的DNA结构受到破坏（键断裂，或光化学反应，如使DNA中THYMINE二聚等），从而在不使用任何化学药物的情况下杀灭水中的细菌、病毒以及其它致病体，达到消毒和净化的目的。UV消毒法则具有不投加化学药剂、不增加水的嗅和味、不产生有毒有害的副产物、不受水温和PH值影响、占地极小、消毒速度快、效率高、设备操作简单、便于运行管理和实现自动化等优点。</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紫外线消毒方式的缺点是消毒效果受水中的悬浮物质、色度影响较大；紫外灯管价格昂贵，能耗高。</w:t>
            </w:r>
          </w:p>
          <w:p>
            <w:pPr>
              <w:pStyle w:val="193"/>
              <w:spacing w:afterLines="0" w:line="360" w:lineRule="auto"/>
              <w:ind w:firstLine="482"/>
              <w:rPr>
                <w:rFonts w:hint="default" w:ascii="Times New Roman" w:hAnsi="Times New Roman" w:cs="Times New Roman"/>
                <w:b/>
                <w:bCs/>
                <w:sz w:val="24"/>
                <w:szCs w:val="24"/>
              </w:rPr>
            </w:pPr>
            <w:r>
              <w:rPr>
                <w:rFonts w:hint="default" w:ascii="Times New Roman" w:hAnsi="Times New Roman" w:cs="Times New Roman"/>
                <w:b/>
                <w:bCs/>
                <w:sz w:val="24"/>
                <w:szCs w:val="24"/>
              </w:rPr>
              <w:t>④三种消毒方式的比较</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紫外线消毒利用电能转化为光能来杀灭细菌，操作简单安全，接触时间短，占地小（不需要30min的接触池），但设备投资高，灯管寿命短，运行费用高，管理维修麻烦，抗悬浮固体干扰能力差，对水中SS浓度有严格要求。</w:t>
            </w:r>
          </w:p>
          <w:p>
            <w:pPr>
              <w:pStyle w:val="193"/>
              <w:spacing w:afterLines="0" w:line="360" w:lineRule="auto"/>
              <w:ind w:firstLine="480"/>
              <w:rPr>
                <w:rFonts w:cs="Times New Roman"/>
                <w:sz w:val="24"/>
                <w:szCs w:val="24"/>
              </w:rPr>
            </w:pPr>
            <w:r>
              <w:rPr>
                <w:rFonts w:hint="default" w:ascii="Times New Roman" w:hAnsi="Times New Roman" w:cs="Times New Roman"/>
                <w:sz w:val="24"/>
                <w:szCs w:val="24"/>
              </w:rPr>
              <w:t>二氧化氯应用范围广，消毒效果好并且具有除臭、脱色等效果，同时产生</w:t>
            </w:r>
            <w:r>
              <w:rPr>
                <w:rFonts w:cs="Times New Roman"/>
                <w:sz w:val="24"/>
                <w:szCs w:val="24"/>
              </w:rPr>
              <w:t>THMS等致癌物质的机会很少，但是使用强腐蚀性的盐酸，操作管理要求比较高，对偏远及运输不便地区、小型污水处理厂适用不如次氯酸钠消毒方便。</w:t>
            </w:r>
          </w:p>
          <w:p>
            <w:pPr>
              <w:pStyle w:val="193"/>
              <w:spacing w:afterLines="0" w:line="360" w:lineRule="auto"/>
              <w:ind w:firstLine="480"/>
              <w:rPr>
                <w:rFonts w:cs="Times New Roman"/>
                <w:sz w:val="24"/>
                <w:szCs w:val="24"/>
              </w:rPr>
            </w:pPr>
            <w:r>
              <w:rPr>
                <w:rFonts w:cs="Times New Roman"/>
                <w:sz w:val="24"/>
                <w:szCs w:val="24"/>
              </w:rPr>
              <w:t>次氯酸钠消毒成本低、工艺成熟、管理较简便，效果稳定可靠，适用于小型污水处理厂及偏远地区的污水处理厂处理出水消毒。</w:t>
            </w:r>
          </w:p>
          <w:p>
            <w:pPr>
              <w:pStyle w:val="193"/>
              <w:spacing w:afterLines="0" w:line="360" w:lineRule="auto"/>
              <w:ind w:firstLine="482"/>
              <w:rPr>
                <w:rFonts w:hint="default" w:ascii="Times New Roman" w:hAnsi="Times New Roman" w:cs="Times New Roman"/>
                <w:b/>
                <w:bCs/>
                <w:sz w:val="24"/>
                <w:szCs w:val="24"/>
              </w:rPr>
            </w:pPr>
            <w:r>
              <w:rPr>
                <w:rFonts w:hint="default" w:ascii="Times New Roman" w:hAnsi="Times New Roman" w:cs="Times New Roman"/>
                <w:b/>
                <w:bCs/>
                <w:sz w:val="24"/>
                <w:szCs w:val="24"/>
              </w:rPr>
              <w:t>⑤消毒工艺确定</w:t>
            </w:r>
          </w:p>
          <w:p>
            <w:pPr>
              <w:pStyle w:val="193"/>
              <w:spacing w:afterLines="0" w:line="360" w:lineRule="auto"/>
              <w:ind w:firstLine="482"/>
              <w:rPr>
                <w:rFonts w:hint="default" w:ascii="Times New Roman" w:hAnsi="Times New Roman" w:cs="Times New Roman"/>
                <w:sz w:val="24"/>
                <w:szCs w:val="24"/>
              </w:rPr>
            </w:pPr>
            <w:r>
              <w:rPr>
                <w:rFonts w:hint="default" w:ascii="Times New Roman" w:hAnsi="Times New Roman" w:cs="Times New Roman"/>
                <w:b/>
                <w:sz w:val="24"/>
                <w:szCs w:val="24"/>
              </w:rPr>
              <w:t>本工程采用次氯酸钠消毒工艺</w:t>
            </w:r>
            <w:r>
              <w:rPr>
                <w:rFonts w:hint="default" w:ascii="Times New Roman" w:hAnsi="Times New Roman" w:cs="Times New Roman"/>
                <w:sz w:val="24"/>
                <w:szCs w:val="24"/>
              </w:rPr>
              <w:t>，最主要是基于以下因素：</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以上介绍的多种方法都可以达到消毒的目的，但多数方法的运行成本太高，应用于中型、小型城市污水处理厂不适合。目前，我国污水处理厂出水消毒仍以加氯消毒为主，国外有较多污水处理厂采用了紫外线消毒，近年国内有一些污水处理厂开始采用紫外线消毒。</w:t>
            </w:r>
          </w:p>
          <w:p>
            <w:pPr>
              <w:pStyle w:val="193"/>
              <w:spacing w:afterLines="0"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从综合比较来看，次氯酸钠消毒法具有成熟稳妥、运行维护简单、成本低等优点。因此经综合考虑，本工程出水消毒推荐采用次氯酸钠消毒法。</w:t>
            </w:r>
          </w:p>
          <w:p>
            <w:pPr>
              <w:widowControl w:val="0"/>
              <w:ind w:firstLine="361" w:firstLineChars="150"/>
              <w:jc w:val="both"/>
              <w:rPr>
                <w:rFonts w:hint="default" w:ascii="Times New Roman" w:hAnsi="Times New Roman" w:cs="Times New Roman"/>
                <w:b/>
              </w:rPr>
            </w:pPr>
            <w:r>
              <w:rPr>
                <w:rFonts w:hint="default" w:ascii="Times New Roman" w:hAnsi="Times New Roman" w:cs="Times New Roman"/>
                <w:b/>
              </w:rPr>
              <w:t>（3）本项目污水处理厂方案确定</w:t>
            </w:r>
          </w:p>
          <w:p>
            <w:pPr>
              <w:pStyle w:val="18"/>
              <w:widowControl w:val="0"/>
              <w:spacing w:before="0" w:after="0" w:line="360" w:lineRule="auto"/>
              <w:ind w:right="0"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经上述分析比较，本项目污水处理工艺为：粗格栅及调节池+细格栅及旋流沉砂池+A</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/O-MBBR +二沉池+高效沉淀池+次氯酸钠消毒工艺。</w:t>
            </w:r>
          </w:p>
          <w:p>
            <w:pPr>
              <w:pStyle w:val="18"/>
              <w:widowControl w:val="0"/>
              <w:adjustRightInd w:val="0"/>
              <w:spacing w:before="0" w:after="0" w:line="360" w:lineRule="auto"/>
              <w:ind w:right="0"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①生化处理采用A</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/O-MBBR+二沉池工艺；</w:t>
            </w:r>
          </w:p>
          <w:p>
            <w:pPr>
              <w:pStyle w:val="18"/>
              <w:widowControl w:val="0"/>
              <w:adjustRightInd w:val="0"/>
              <w:spacing w:before="0" w:after="0" w:line="360" w:lineRule="auto"/>
              <w:ind w:right="0"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②深度处理采用高效沉淀池；</w:t>
            </w:r>
          </w:p>
          <w:p>
            <w:pPr>
              <w:pStyle w:val="18"/>
              <w:widowControl w:val="0"/>
              <w:adjustRightInd w:val="0"/>
              <w:spacing w:before="0" w:after="0" w:line="360" w:lineRule="auto"/>
              <w:ind w:right="0"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③采用次氯酸钠消毒；</w:t>
            </w:r>
          </w:p>
          <w:p>
            <w:pPr>
              <w:pStyle w:val="18"/>
              <w:widowControl w:val="0"/>
              <w:adjustRightInd w:val="0"/>
              <w:spacing w:before="0" w:after="0" w:line="360" w:lineRule="auto"/>
              <w:ind w:right="0"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④废气采用生物滤池除臭后排气筒（DA001）有组织排放；</w:t>
            </w:r>
          </w:p>
          <w:p>
            <w:pPr>
              <w:widowControl w:val="0"/>
              <w:adjustRightInd w:val="0"/>
              <w:snapToGrid w:val="0"/>
              <w:ind w:firstLine="480" w:firstLineChars="200"/>
              <w:jc w:val="both"/>
              <w:rPr>
                <w:rFonts w:hint="default" w:ascii="Times New Roman" w:hAnsi="Times New Roman" w:cs="Times New Roman"/>
              </w:rPr>
            </w:pPr>
            <w:r>
              <w:rPr>
                <w:rFonts w:hint="default" w:ascii="Times New Roman" w:hAnsi="Times New Roman" w:cs="Times New Roman"/>
              </w:rPr>
              <w:t>⑤污泥脱水：</w:t>
            </w:r>
            <w:r>
              <w:rPr>
                <w:rFonts w:hint="default" w:ascii="Times New Roman" w:hAnsi="Times New Roman" w:cs="Times New Roman"/>
                <w:spacing w:val="-4"/>
              </w:rPr>
              <w:t>高压隔膜压滤机</w:t>
            </w:r>
            <w:r>
              <w:rPr>
                <w:rFonts w:hint="default" w:ascii="Times New Roman" w:hAnsi="Times New Roman" w:cs="Times New Roman"/>
              </w:rPr>
              <w:t>脱水，污水处理厂产生的污泥交有有资质的单位进行无害化处置。</w:t>
            </w:r>
          </w:p>
          <w:p>
            <w:pPr>
              <w:pStyle w:val="18"/>
              <w:widowControl w:val="0"/>
              <w:spacing w:before="0" w:after="0" w:line="360" w:lineRule="auto"/>
              <w:ind w:right="0"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工艺流程及产污环节如下图所示。</w:t>
            </w:r>
          </w:p>
          <w:p>
            <w:pPr>
              <w:widowControl w:val="0"/>
              <w:jc w:val="center"/>
            </w:pPr>
            <w:r>
              <w:object>
                <v:shape id="_x0000_i1029" o:spt="75" type="#_x0000_t75" style="height:595.5pt;width:379.5pt;" o:ole="t" filled="f" o:preferrelative="t" stroked="f" coordsize="21600,21600">
                  <v:path/>
                  <v:fill on="f" focussize="0,0"/>
                  <v:stroke on="f" joinstyle="miter"/>
                  <v:imagedata r:id="rId26" o:title=""/>
                  <o:lock v:ext="edit" aspectratio="t"/>
                  <w10:wrap type="none"/>
                  <w10:anchorlock/>
                </v:shape>
                <o:OLEObject Type="Embed" ProgID="Visio.Drawing.11" ShapeID="_x0000_i1029" DrawAspect="Content" ObjectID="_1468075729" r:id="rId25">
                  <o:LockedField>false</o:LockedField>
                </o:OLEObject>
              </w:object>
            </w:r>
          </w:p>
          <w:p>
            <w:pPr>
              <w:pStyle w:val="161"/>
              <w:numPr>
                <w:ilvl w:val="0"/>
                <w:numId w:val="4"/>
              </w:numPr>
              <w:autoSpaceDE w:val="0"/>
              <w:autoSpaceDN w:val="0"/>
              <w:adjustRightInd w:val="0"/>
              <w:ind w:firstLineChars="0"/>
              <w:jc w:val="center"/>
            </w:pPr>
            <w:r>
              <w:rPr>
                <w:rFonts w:hint="eastAsia" w:ascii="黑体" w:hAnsi="黑体" w:eastAsia="黑体"/>
                <w:kern w:val="0"/>
              </w:rPr>
              <w:t>营运期污水处理厂</w:t>
            </w:r>
            <w:r>
              <w:rPr>
                <w:rFonts w:ascii="黑体" w:hAnsi="黑体" w:eastAsia="黑体"/>
                <w:kern w:val="0"/>
              </w:rPr>
              <w:t>工艺流程及污染环节图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8" w:hRule="atLeast"/>
        </w:trPr>
        <w:tc>
          <w:tcPr>
            <w:tcW w:w="453" w:type="dxa"/>
            <w:vAlign w:val="center"/>
          </w:tcPr>
          <w:p>
            <w:pPr>
              <w:widowControl w:val="0"/>
              <w:spacing w:line="240" w:lineRule="auto"/>
              <w:jc w:val="left"/>
              <w:rPr>
                <w:rFonts w:cs="Times New Roman" w:asciiTheme="majorHAnsi" w:hAnsiTheme="majorHAnsi"/>
                <w:kern w:val="0"/>
                <w:szCs w:val="20"/>
              </w:rPr>
            </w:pPr>
            <w:r>
              <w:rPr>
                <w:rFonts w:hint="eastAsia" w:cs="Times New Roman" w:asciiTheme="majorHAnsi" w:hAnsiTheme="majorHAnsi"/>
                <w:kern w:val="0"/>
                <w:szCs w:val="20"/>
              </w:rPr>
              <w:t>与项目有关的原有环境污染问题</w:t>
            </w:r>
          </w:p>
        </w:tc>
        <w:tc>
          <w:tcPr>
            <w:tcW w:w="8381" w:type="dxa"/>
          </w:tcPr>
          <w:p>
            <w:pPr>
              <w:pStyle w:val="18"/>
              <w:widowControl w:val="0"/>
              <w:spacing w:before="163" w:beforeLines="50" w:after="0" w:line="360" w:lineRule="auto"/>
              <w:ind w:right="0" w:firstLine="480" w:firstLineChars="200"/>
              <w:jc w:val="left"/>
              <w:rPr>
                <w:rFonts w:hAnsi="宋体" w:asciiTheme="minorHAnsi" w:eastAsiaTheme="minorEastAsia" w:cstheme="minorBidi"/>
                <w:sz w:val="24"/>
                <w:szCs w:val="24"/>
              </w:rPr>
            </w:pPr>
            <w:r>
              <w:rPr>
                <w:rFonts w:hint="eastAsia" w:hAnsi="宋体" w:asciiTheme="minorHAnsi" w:eastAsiaTheme="minorEastAsia" w:cstheme="minorBidi"/>
                <w:sz w:val="24"/>
                <w:szCs w:val="24"/>
              </w:rPr>
              <w:t>本项目位于宣汉县明月新城，本项目为新建项目，项目所在地属于回水湾，经回填和修建挡土墙后，用于本项目的拟建用地。根据现场踏勘，项目所在地块地表植被稀疏，系统生物多样性程度较低，现场踏勘没有发现属于重点保护的珍稀动植物物种资源、自然保护区和需要重点保护的栖息地以及其他生态敏感点，无重大生态制约因素。项目不占用基本农田，不存在移民搬迁安置问题，因此，不存在与本项目有关的原有污染情况和主要环境问题。</w:t>
            </w:r>
          </w:p>
        </w:tc>
      </w:tr>
    </w:tbl>
    <w:p>
      <w:pPr>
        <w:pStyle w:val="40"/>
        <w:jc w:val="center"/>
        <w:outlineLvl w:val="0"/>
        <w:rPr>
          <w:rFonts w:ascii="黑体" w:hAnsi="黑体" w:eastAsia="黑体"/>
          <w:snapToGrid w:val="0"/>
          <w:sz w:val="30"/>
          <w:szCs w:val="30"/>
          <w:lang w:val="zh-CN"/>
        </w:rPr>
      </w:pPr>
      <w:bookmarkStart w:id="15" w:name="_Toc10853"/>
      <w:bookmarkStart w:id="16" w:name="_Toc12195"/>
      <w:bookmarkStart w:id="17" w:name="_Toc118974741"/>
      <w:r>
        <w:rPr>
          <w:rFonts w:ascii="黑体" w:hAnsi="黑体" w:eastAsia="黑体"/>
          <w:snapToGrid w:val="0"/>
          <w:sz w:val="30"/>
          <w:szCs w:val="30"/>
          <w:lang w:val="zh-CN"/>
        </w:rPr>
        <w:t>三、区域环境质量现状、环境保护目标及评价标准</w:t>
      </w:r>
      <w:bookmarkEnd w:id="15"/>
      <w:bookmarkEnd w:id="16"/>
      <w:bookmarkEnd w:id="17"/>
    </w:p>
    <w:tbl>
      <w:tblPr>
        <w:tblStyle w:val="45"/>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0" w:type="dxa"/>
            <w:vAlign w:val="center"/>
          </w:tcPr>
          <w:p>
            <w:pPr>
              <w:pStyle w:val="40"/>
              <w:widowControl w:val="0"/>
              <w:jc w:val="center"/>
              <w:outlineLvl w:val="0"/>
              <w:rPr>
                <w:rFonts w:ascii="黑体" w:hAnsi="黑体" w:eastAsia="黑体"/>
                <w:snapToGrid w:val="0"/>
                <w:sz w:val="30"/>
                <w:szCs w:val="30"/>
                <w:lang w:val="zh-CN"/>
              </w:rPr>
            </w:pPr>
            <w:r>
              <w:rPr>
                <w:rFonts w:hint="eastAsia" w:asciiTheme="majorHAnsi" w:hAnsiTheme="majorHAnsi"/>
              </w:rPr>
              <w:t>区域环境质量现状</w:t>
            </w:r>
          </w:p>
        </w:tc>
        <w:tc>
          <w:tcPr>
            <w:tcW w:w="8882" w:type="dxa"/>
            <w:vAlign w:val="center"/>
          </w:tcPr>
          <w:p>
            <w:pPr>
              <w:widowControl/>
              <w:jc w:val="left"/>
              <w:rPr>
                <w:rFonts w:cs="Times New Roman" w:asciiTheme="majorHAnsi" w:hAnsiTheme="majorHAnsi"/>
                <w:b/>
                <w:bCs/>
                <w:kern w:val="0"/>
                <w:szCs w:val="20"/>
              </w:rPr>
            </w:pPr>
            <w:r>
              <w:rPr>
                <w:rFonts w:hint="eastAsia" w:cs="Times New Roman" w:asciiTheme="majorHAnsi" w:hAnsiTheme="majorHAnsi"/>
                <w:b/>
                <w:bCs/>
                <w:kern w:val="0"/>
                <w:szCs w:val="20"/>
              </w:rPr>
              <w:t>一、大气环境质量现状</w:t>
            </w:r>
          </w:p>
          <w:p>
            <w:pPr>
              <w:widowControl/>
              <w:ind w:firstLine="482" w:firstLineChars="200"/>
              <w:jc w:val="left"/>
              <w:rPr>
                <w:rFonts w:cs="Times New Roman" w:asciiTheme="majorHAnsi" w:hAnsiTheme="majorHAnsi"/>
                <w:b/>
                <w:bCs/>
                <w:kern w:val="0"/>
                <w:szCs w:val="20"/>
              </w:rPr>
            </w:pPr>
            <w:r>
              <w:rPr>
                <w:rFonts w:hint="eastAsia" w:cs="Times New Roman" w:asciiTheme="majorHAnsi" w:hAnsiTheme="majorHAnsi"/>
                <w:b/>
                <w:bCs/>
                <w:kern w:val="0"/>
                <w:szCs w:val="20"/>
              </w:rPr>
              <w:t>1、环境空气质量达标区判定</w:t>
            </w:r>
          </w:p>
          <w:p>
            <w:pPr>
              <w:pStyle w:val="53"/>
              <w:ind w:firstLine="480"/>
            </w:pPr>
            <w:r>
              <w:t>根据《环境影响评价导则-大气环境》（HJ2.2-2018）中有关基本污染物环境质量现状数据的规定，可优先采用国家或地方生态环境主管部门公布的评价基准年（近3年中1个完整日历年）环境质量公告或环境质量报告中的数据或结论。</w:t>
            </w:r>
          </w:p>
          <w:p>
            <w:pPr>
              <w:widowControl w:val="0"/>
              <w:autoSpaceDE w:val="0"/>
              <w:autoSpaceDN w:val="0"/>
              <w:ind w:firstLine="480" w:firstLineChars="200"/>
              <w:jc w:val="both"/>
              <w:rPr>
                <w:rFonts w:ascii="Times New Roman" w:hAnsi="Times New Roman" w:eastAsia="宋体" w:cs="Times New Roman"/>
                <w:bCs/>
              </w:rPr>
            </w:pPr>
            <w:r>
              <w:rPr>
                <w:rFonts w:hint="eastAsia"/>
              </w:rPr>
              <w:t>根据达州市生态环境局于</w:t>
            </w:r>
            <w:r>
              <w:t>2023</w:t>
            </w:r>
            <w:r>
              <w:rPr>
                <w:rFonts w:hint="eastAsia"/>
              </w:rPr>
              <w:t>年</w:t>
            </w:r>
            <w:r>
              <w:t>1</w:t>
            </w:r>
            <w:r>
              <w:rPr>
                <w:rFonts w:hint="eastAsia"/>
              </w:rPr>
              <w:t>月</w:t>
            </w:r>
            <w:r>
              <w:t>18</w:t>
            </w:r>
            <w:r>
              <w:rPr>
                <w:rFonts w:hint="eastAsia"/>
              </w:rPr>
              <w:t>日公开发布的《达州市</w:t>
            </w:r>
            <w:r>
              <w:t>2022</w:t>
            </w:r>
            <w:r>
              <w:rPr>
                <w:rFonts w:hint="eastAsia"/>
              </w:rPr>
              <w:t>年环境空气质量状况》，宣汉县</w:t>
            </w:r>
            <w:r>
              <w:t>2022</w:t>
            </w:r>
            <w:r>
              <w:rPr>
                <w:rFonts w:hint="eastAsia"/>
              </w:rPr>
              <w:t>年</w:t>
            </w:r>
            <w:r>
              <w:rPr>
                <w:bCs/>
              </w:rPr>
              <w:t>SO</w:t>
            </w:r>
            <w:r>
              <w:rPr>
                <w:bCs/>
                <w:vertAlign w:val="subscript"/>
              </w:rPr>
              <w:t>2</w:t>
            </w:r>
            <w:r>
              <w:rPr>
                <w:rFonts w:hint="eastAsia"/>
                <w:bCs/>
              </w:rPr>
              <w:t>平均浓度为</w:t>
            </w:r>
            <w:r>
              <w:rPr>
                <w:bCs/>
              </w:rPr>
              <w:t>5μg/m</w:t>
            </w:r>
            <w:r>
              <w:rPr>
                <w:bCs/>
                <w:vertAlign w:val="superscript"/>
              </w:rPr>
              <w:t>3</w:t>
            </w:r>
            <w:r>
              <w:rPr>
                <w:rFonts w:hint="eastAsia"/>
                <w:bCs/>
              </w:rPr>
              <w:t>，</w:t>
            </w:r>
            <w:r>
              <w:rPr>
                <w:bCs/>
              </w:rPr>
              <w:t>NO</w:t>
            </w:r>
            <w:r>
              <w:rPr>
                <w:bCs/>
                <w:vertAlign w:val="subscript"/>
              </w:rPr>
              <w:t>2</w:t>
            </w:r>
            <w:r>
              <w:rPr>
                <w:rFonts w:hint="eastAsia"/>
                <w:bCs/>
              </w:rPr>
              <w:t>平均浓度为</w:t>
            </w:r>
            <w:r>
              <w:rPr>
                <w:bCs/>
              </w:rPr>
              <w:t>19μg/m</w:t>
            </w:r>
            <w:r>
              <w:rPr>
                <w:bCs/>
                <w:vertAlign w:val="superscript"/>
              </w:rPr>
              <w:t>3</w:t>
            </w:r>
            <w:r>
              <w:rPr>
                <w:rFonts w:hint="eastAsia"/>
                <w:bCs/>
              </w:rPr>
              <w:t>，</w:t>
            </w:r>
            <w:r>
              <w:rPr>
                <w:bCs/>
              </w:rPr>
              <w:t>CO</w:t>
            </w:r>
            <w:r>
              <w:rPr>
                <w:rFonts w:hint="eastAsia"/>
                <w:bCs/>
              </w:rPr>
              <w:t>浓度为</w:t>
            </w:r>
            <w:r>
              <w:rPr>
                <w:bCs/>
              </w:rPr>
              <w:t>1.4mg/m</w:t>
            </w:r>
            <w:r>
              <w:rPr>
                <w:bCs/>
                <w:vertAlign w:val="superscript"/>
              </w:rPr>
              <w:t>3</w:t>
            </w:r>
            <w:r>
              <w:rPr>
                <w:rFonts w:hint="eastAsia"/>
                <w:bCs/>
              </w:rPr>
              <w:t>，</w:t>
            </w:r>
            <w:r>
              <w:rPr>
                <w:bCs/>
              </w:rPr>
              <w:t>O</w:t>
            </w:r>
            <w:r>
              <w:rPr>
                <w:bCs/>
                <w:vertAlign w:val="subscript"/>
              </w:rPr>
              <w:t>3</w:t>
            </w:r>
            <w:r>
              <w:rPr>
                <w:rFonts w:hint="eastAsia"/>
                <w:bCs/>
              </w:rPr>
              <w:t>浓度为</w:t>
            </w:r>
            <w:r>
              <w:rPr>
                <w:bCs/>
              </w:rPr>
              <w:t>99μg/m</w:t>
            </w:r>
            <w:r>
              <w:rPr>
                <w:bCs/>
                <w:vertAlign w:val="superscript"/>
              </w:rPr>
              <w:t>3</w:t>
            </w:r>
            <w:r>
              <w:rPr>
                <w:rFonts w:hint="eastAsia"/>
                <w:bCs/>
              </w:rPr>
              <w:t>，</w:t>
            </w:r>
            <w:r>
              <w:rPr>
                <w:bCs/>
              </w:rPr>
              <w:t>PM</w:t>
            </w:r>
            <w:r>
              <w:rPr>
                <w:bCs/>
                <w:vertAlign w:val="subscript"/>
              </w:rPr>
              <w:t>2.5</w:t>
            </w:r>
            <w:r>
              <w:rPr>
                <w:rFonts w:hint="eastAsia"/>
                <w:bCs/>
              </w:rPr>
              <w:t>平均浓度为</w:t>
            </w:r>
            <w:r>
              <w:rPr>
                <w:bCs/>
              </w:rPr>
              <w:t>27μg/m</w:t>
            </w:r>
            <w:r>
              <w:rPr>
                <w:bCs/>
                <w:vertAlign w:val="superscript"/>
              </w:rPr>
              <w:t>3</w:t>
            </w:r>
            <w:r>
              <w:rPr>
                <w:rFonts w:hint="eastAsia"/>
                <w:bCs/>
              </w:rPr>
              <w:t>，</w:t>
            </w:r>
            <w:r>
              <w:rPr>
                <w:bCs/>
              </w:rPr>
              <w:t>PM</w:t>
            </w:r>
            <w:r>
              <w:rPr>
                <w:bCs/>
                <w:vertAlign w:val="subscript"/>
              </w:rPr>
              <w:t>10</w:t>
            </w:r>
            <w:r>
              <w:rPr>
                <w:rFonts w:hint="eastAsia"/>
                <w:bCs/>
              </w:rPr>
              <w:t>平均浓度为</w:t>
            </w:r>
            <w:r>
              <w:rPr>
                <w:bCs/>
              </w:rPr>
              <w:t>50μg/m</w:t>
            </w:r>
            <w:r>
              <w:rPr>
                <w:bCs/>
                <w:vertAlign w:val="superscript"/>
              </w:rPr>
              <w:t>3</w:t>
            </w:r>
            <w:r>
              <w:rPr>
                <w:rFonts w:hint="eastAsia"/>
                <w:bCs/>
              </w:rPr>
              <w:t>。</w:t>
            </w:r>
          </w:p>
          <w:p>
            <w:pPr>
              <w:pStyle w:val="14"/>
              <w:keepNext/>
              <w:numPr>
                <w:ilvl w:val="0"/>
                <w:numId w:val="6"/>
              </w:numPr>
              <w:ind w:left="0" w:firstLine="0"/>
              <w:rPr>
                <w:rFonts w:ascii="黑体" w:hAnsi="黑体" w:eastAsia="黑体"/>
              </w:rPr>
            </w:pPr>
            <w:r>
              <w:rPr>
                <w:rFonts w:hint="eastAsia" w:ascii="黑体" w:hAnsi="黑体" w:eastAsia="黑体"/>
              </w:rPr>
              <w:t>区域空气质量现状评价表</w:t>
            </w:r>
          </w:p>
          <w:tbl>
            <w:tblPr>
              <w:tblStyle w:val="130"/>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825"/>
              <w:gridCol w:w="1163"/>
              <w:gridCol w:w="1412"/>
              <w:gridCol w:w="1474"/>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9" w:type="dxa"/>
                  <w:vAlign w:val="center"/>
                </w:tcPr>
                <w:p>
                  <w:pPr>
                    <w:pStyle w:val="248"/>
                    <w:spacing w:line="320" w:lineRule="exact"/>
                    <w:rPr>
                      <w:rFonts w:cs="Times New Roman"/>
                      <w:b/>
                      <w:bCs/>
                      <w:sz w:val="21"/>
                      <w:szCs w:val="21"/>
                    </w:rPr>
                  </w:pPr>
                  <w:r>
                    <w:rPr>
                      <w:rFonts w:hint="eastAsia" w:cs="Times New Roman"/>
                      <w:b/>
                      <w:bCs/>
                      <w:sz w:val="21"/>
                      <w:szCs w:val="21"/>
                    </w:rPr>
                    <w:t>污染物</w:t>
                  </w:r>
                </w:p>
              </w:tc>
              <w:tc>
                <w:tcPr>
                  <w:tcW w:w="1833" w:type="dxa"/>
                  <w:vAlign w:val="center"/>
                </w:tcPr>
                <w:p>
                  <w:pPr>
                    <w:pStyle w:val="248"/>
                    <w:spacing w:line="320" w:lineRule="exact"/>
                    <w:rPr>
                      <w:rFonts w:cs="Times New Roman"/>
                      <w:b/>
                      <w:bCs/>
                      <w:sz w:val="21"/>
                      <w:szCs w:val="21"/>
                    </w:rPr>
                  </w:pPr>
                  <w:r>
                    <w:rPr>
                      <w:rFonts w:hint="eastAsia" w:cs="Times New Roman"/>
                      <w:b/>
                      <w:bCs/>
                      <w:sz w:val="21"/>
                      <w:szCs w:val="21"/>
                    </w:rPr>
                    <w:t>年评价指标</w:t>
                  </w:r>
                </w:p>
              </w:tc>
              <w:tc>
                <w:tcPr>
                  <w:tcW w:w="1143" w:type="dxa"/>
                  <w:vAlign w:val="center"/>
                </w:tcPr>
                <w:p>
                  <w:pPr>
                    <w:spacing w:line="320" w:lineRule="exact"/>
                    <w:jc w:val="center"/>
                    <w:textAlignment w:val="center"/>
                    <w:rPr>
                      <w:rFonts w:cs="Times New Roman"/>
                      <w:b/>
                      <w:bCs/>
                      <w:sz w:val="21"/>
                      <w:szCs w:val="21"/>
                    </w:rPr>
                  </w:pPr>
                  <w:r>
                    <w:rPr>
                      <w:rFonts w:hint="eastAsia"/>
                      <w:b/>
                      <w:bCs/>
                      <w:kern w:val="0"/>
                      <w:sz w:val="21"/>
                      <w:szCs w:val="21"/>
                    </w:rPr>
                    <w:t>现状浓度（</w:t>
                  </w:r>
                  <w:r>
                    <w:rPr>
                      <w:b/>
                      <w:bCs/>
                      <w:kern w:val="0"/>
                      <w:sz w:val="21"/>
                      <w:szCs w:val="21"/>
                    </w:rPr>
                    <w:t>μg/m</w:t>
                  </w:r>
                  <w:r>
                    <w:rPr>
                      <w:b/>
                      <w:bCs/>
                      <w:kern w:val="0"/>
                      <w:sz w:val="21"/>
                      <w:szCs w:val="21"/>
                      <w:vertAlign w:val="superscript"/>
                    </w:rPr>
                    <w:t>3</w:t>
                  </w:r>
                  <w:r>
                    <w:rPr>
                      <w:rFonts w:hint="eastAsia"/>
                      <w:b/>
                      <w:bCs/>
                      <w:kern w:val="0"/>
                      <w:sz w:val="21"/>
                      <w:szCs w:val="21"/>
                    </w:rPr>
                    <w:t>）</w:t>
                  </w:r>
                </w:p>
              </w:tc>
              <w:tc>
                <w:tcPr>
                  <w:tcW w:w="1413" w:type="dxa"/>
                  <w:vAlign w:val="center"/>
                </w:tcPr>
                <w:p>
                  <w:pPr>
                    <w:spacing w:line="320" w:lineRule="exact"/>
                    <w:jc w:val="center"/>
                    <w:textAlignment w:val="center"/>
                    <w:rPr>
                      <w:b/>
                      <w:bCs/>
                      <w:sz w:val="21"/>
                      <w:szCs w:val="21"/>
                    </w:rPr>
                  </w:pPr>
                  <w:r>
                    <w:rPr>
                      <w:rFonts w:hint="eastAsia"/>
                      <w:b/>
                      <w:bCs/>
                      <w:kern w:val="0"/>
                      <w:sz w:val="21"/>
                      <w:szCs w:val="21"/>
                    </w:rPr>
                    <w:t>标准值（</w:t>
                  </w:r>
                  <w:r>
                    <w:rPr>
                      <w:b/>
                      <w:bCs/>
                      <w:kern w:val="0"/>
                      <w:sz w:val="21"/>
                      <w:szCs w:val="21"/>
                    </w:rPr>
                    <w:t>μg/m</w:t>
                  </w:r>
                  <w:r>
                    <w:rPr>
                      <w:b/>
                      <w:bCs/>
                      <w:kern w:val="0"/>
                      <w:sz w:val="21"/>
                      <w:szCs w:val="21"/>
                      <w:vertAlign w:val="superscript"/>
                    </w:rPr>
                    <w:t>3</w:t>
                  </w:r>
                  <w:r>
                    <w:rPr>
                      <w:rFonts w:hint="eastAsia"/>
                      <w:b/>
                      <w:bCs/>
                      <w:kern w:val="0"/>
                      <w:sz w:val="21"/>
                      <w:szCs w:val="21"/>
                    </w:rPr>
                    <w:t>）</w:t>
                  </w:r>
                </w:p>
              </w:tc>
              <w:tc>
                <w:tcPr>
                  <w:tcW w:w="1478" w:type="dxa"/>
                  <w:vAlign w:val="center"/>
                </w:tcPr>
                <w:p>
                  <w:pPr>
                    <w:pStyle w:val="248"/>
                    <w:spacing w:line="320" w:lineRule="exact"/>
                    <w:rPr>
                      <w:rFonts w:cs="Times New Roman"/>
                      <w:b/>
                      <w:bCs/>
                      <w:sz w:val="21"/>
                      <w:szCs w:val="21"/>
                    </w:rPr>
                  </w:pPr>
                  <w:r>
                    <w:rPr>
                      <w:rFonts w:hint="eastAsia" w:cs="Times New Roman"/>
                      <w:b/>
                      <w:bCs/>
                      <w:sz w:val="21"/>
                      <w:szCs w:val="21"/>
                    </w:rPr>
                    <w:t>占标率（</w:t>
                  </w:r>
                  <w:r>
                    <w:rPr>
                      <w:rFonts w:cs="Times New Roman"/>
                      <w:b/>
                      <w:bCs/>
                      <w:sz w:val="21"/>
                      <w:szCs w:val="21"/>
                    </w:rPr>
                    <w:t>%</w:t>
                  </w:r>
                  <w:r>
                    <w:rPr>
                      <w:rFonts w:hint="eastAsia" w:cs="Times New Roman"/>
                      <w:b/>
                      <w:bCs/>
                      <w:sz w:val="21"/>
                      <w:szCs w:val="21"/>
                    </w:rPr>
                    <w:t>）</w:t>
                  </w:r>
                </w:p>
              </w:tc>
              <w:tc>
                <w:tcPr>
                  <w:tcW w:w="1380" w:type="dxa"/>
                  <w:vAlign w:val="center"/>
                </w:tcPr>
                <w:p>
                  <w:pPr>
                    <w:pStyle w:val="248"/>
                    <w:spacing w:line="320" w:lineRule="exact"/>
                    <w:rPr>
                      <w:rFonts w:cs="Times New Roman"/>
                      <w:b/>
                      <w:bCs/>
                      <w:sz w:val="21"/>
                      <w:szCs w:val="21"/>
                    </w:rPr>
                  </w:pPr>
                  <w:r>
                    <w:rPr>
                      <w:rFonts w:hint="eastAsia" w:cs="Times New Roman"/>
                      <w:b/>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39" w:type="dxa"/>
                  <w:vAlign w:val="center"/>
                </w:tcPr>
                <w:p>
                  <w:pPr>
                    <w:spacing w:line="320" w:lineRule="exact"/>
                    <w:jc w:val="center"/>
                    <w:textAlignment w:val="center"/>
                    <w:rPr>
                      <w:rFonts w:cs="Times New Roman"/>
                      <w:sz w:val="21"/>
                      <w:szCs w:val="21"/>
                    </w:rPr>
                  </w:pPr>
                  <w:r>
                    <w:rPr>
                      <w:kern w:val="0"/>
                      <w:sz w:val="21"/>
                      <w:szCs w:val="21"/>
                    </w:rPr>
                    <w:t>PM</w:t>
                  </w:r>
                  <w:r>
                    <w:rPr>
                      <w:kern w:val="0"/>
                      <w:sz w:val="21"/>
                      <w:szCs w:val="21"/>
                      <w:vertAlign w:val="subscript"/>
                    </w:rPr>
                    <w:t>10</w:t>
                  </w:r>
                </w:p>
              </w:tc>
              <w:tc>
                <w:tcPr>
                  <w:tcW w:w="1833" w:type="dxa"/>
                  <w:vAlign w:val="center"/>
                </w:tcPr>
                <w:p>
                  <w:pPr>
                    <w:pStyle w:val="248"/>
                    <w:spacing w:line="320" w:lineRule="exact"/>
                    <w:rPr>
                      <w:sz w:val="21"/>
                      <w:szCs w:val="21"/>
                    </w:rPr>
                  </w:pPr>
                  <w:r>
                    <w:rPr>
                      <w:rFonts w:hint="eastAsia" w:cs="Times New Roman"/>
                      <w:sz w:val="21"/>
                      <w:szCs w:val="21"/>
                    </w:rPr>
                    <w:t>年平均</w:t>
                  </w:r>
                </w:p>
              </w:tc>
              <w:tc>
                <w:tcPr>
                  <w:tcW w:w="1143" w:type="dxa"/>
                  <w:vAlign w:val="center"/>
                </w:tcPr>
                <w:p>
                  <w:pPr>
                    <w:jc w:val="center"/>
                    <w:rPr>
                      <w:sz w:val="21"/>
                      <w:szCs w:val="21"/>
                    </w:rPr>
                  </w:pPr>
                  <w:r>
                    <w:rPr>
                      <w:sz w:val="21"/>
                      <w:szCs w:val="21"/>
                    </w:rPr>
                    <w:t>50</w:t>
                  </w:r>
                </w:p>
              </w:tc>
              <w:tc>
                <w:tcPr>
                  <w:tcW w:w="1413" w:type="dxa"/>
                  <w:vAlign w:val="center"/>
                </w:tcPr>
                <w:p>
                  <w:pPr>
                    <w:jc w:val="center"/>
                    <w:rPr>
                      <w:sz w:val="21"/>
                      <w:szCs w:val="21"/>
                    </w:rPr>
                  </w:pPr>
                  <w:r>
                    <w:rPr>
                      <w:sz w:val="21"/>
                      <w:szCs w:val="21"/>
                    </w:rPr>
                    <w:t>70</w:t>
                  </w:r>
                </w:p>
              </w:tc>
              <w:tc>
                <w:tcPr>
                  <w:tcW w:w="1478" w:type="dxa"/>
                  <w:vAlign w:val="center"/>
                </w:tcPr>
                <w:p>
                  <w:pPr>
                    <w:jc w:val="center"/>
                    <w:rPr>
                      <w:bCs/>
                      <w:sz w:val="21"/>
                      <w:szCs w:val="21"/>
                    </w:rPr>
                  </w:pPr>
                  <w:r>
                    <w:rPr>
                      <w:bCs/>
                      <w:sz w:val="21"/>
                      <w:szCs w:val="21"/>
                    </w:rPr>
                    <w:t>71.43</w:t>
                  </w:r>
                </w:p>
              </w:tc>
              <w:tc>
                <w:tcPr>
                  <w:tcW w:w="1380" w:type="dxa"/>
                  <w:vAlign w:val="center"/>
                </w:tcPr>
                <w:p>
                  <w:pPr>
                    <w:jc w:val="center"/>
                    <w:rPr>
                      <w:bCs/>
                      <w:sz w:val="21"/>
                      <w:szCs w:val="21"/>
                    </w:rPr>
                  </w:pPr>
                  <w:r>
                    <w:rPr>
                      <w:rFonts w:hint="eastAsia"/>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9" w:type="dxa"/>
                  <w:vAlign w:val="center"/>
                </w:tcPr>
                <w:p>
                  <w:pPr>
                    <w:spacing w:line="320" w:lineRule="exact"/>
                    <w:jc w:val="center"/>
                    <w:textAlignment w:val="center"/>
                    <w:rPr>
                      <w:sz w:val="21"/>
                      <w:szCs w:val="21"/>
                    </w:rPr>
                  </w:pPr>
                  <w:r>
                    <w:rPr>
                      <w:kern w:val="0"/>
                      <w:sz w:val="21"/>
                      <w:szCs w:val="21"/>
                    </w:rPr>
                    <w:t>SO</w:t>
                  </w:r>
                  <w:r>
                    <w:rPr>
                      <w:kern w:val="0"/>
                      <w:sz w:val="21"/>
                      <w:szCs w:val="21"/>
                      <w:vertAlign w:val="subscript"/>
                    </w:rPr>
                    <w:t>2</w:t>
                  </w:r>
                </w:p>
              </w:tc>
              <w:tc>
                <w:tcPr>
                  <w:tcW w:w="1833" w:type="dxa"/>
                  <w:vAlign w:val="center"/>
                </w:tcPr>
                <w:p>
                  <w:pPr>
                    <w:spacing w:line="320" w:lineRule="exact"/>
                    <w:jc w:val="center"/>
                    <w:rPr>
                      <w:sz w:val="21"/>
                      <w:szCs w:val="21"/>
                    </w:rPr>
                  </w:pPr>
                  <w:r>
                    <w:rPr>
                      <w:rFonts w:hint="eastAsia"/>
                      <w:sz w:val="21"/>
                      <w:szCs w:val="21"/>
                    </w:rPr>
                    <w:t>年平均</w:t>
                  </w:r>
                </w:p>
              </w:tc>
              <w:tc>
                <w:tcPr>
                  <w:tcW w:w="1143" w:type="dxa"/>
                  <w:vAlign w:val="center"/>
                </w:tcPr>
                <w:p>
                  <w:pPr>
                    <w:jc w:val="center"/>
                    <w:rPr>
                      <w:sz w:val="21"/>
                      <w:szCs w:val="21"/>
                    </w:rPr>
                  </w:pPr>
                  <w:r>
                    <w:rPr>
                      <w:sz w:val="21"/>
                      <w:szCs w:val="21"/>
                    </w:rPr>
                    <w:t>5</w:t>
                  </w:r>
                </w:p>
              </w:tc>
              <w:tc>
                <w:tcPr>
                  <w:tcW w:w="1413" w:type="dxa"/>
                  <w:vAlign w:val="center"/>
                </w:tcPr>
                <w:p>
                  <w:pPr>
                    <w:jc w:val="center"/>
                    <w:rPr>
                      <w:sz w:val="21"/>
                      <w:szCs w:val="21"/>
                    </w:rPr>
                  </w:pPr>
                  <w:r>
                    <w:rPr>
                      <w:sz w:val="21"/>
                      <w:szCs w:val="21"/>
                    </w:rPr>
                    <w:t>60</w:t>
                  </w:r>
                </w:p>
              </w:tc>
              <w:tc>
                <w:tcPr>
                  <w:tcW w:w="1478" w:type="dxa"/>
                  <w:vAlign w:val="center"/>
                </w:tcPr>
                <w:p>
                  <w:pPr>
                    <w:jc w:val="center"/>
                    <w:rPr>
                      <w:sz w:val="21"/>
                      <w:szCs w:val="21"/>
                    </w:rPr>
                  </w:pPr>
                  <w:r>
                    <w:rPr>
                      <w:sz w:val="21"/>
                      <w:szCs w:val="21"/>
                    </w:rPr>
                    <w:t>8.33</w:t>
                  </w:r>
                </w:p>
              </w:tc>
              <w:tc>
                <w:tcPr>
                  <w:tcW w:w="1380" w:type="dxa"/>
                  <w:vAlign w:val="center"/>
                </w:tcPr>
                <w:p>
                  <w:pPr>
                    <w:jc w:val="center"/>
                    <w:rPr>
                      <w:sz w:val="21"/>
                      <w:szCs w:val="21"/>
                    </w:rPr>
                  </w:pPr>
                  <w:r>
                    <w:rPr>
                      <w:rFonts w:hint="eastAsia"/>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9" w:type="dxa"/>
                  <w:vAlign w:val="center"/>
                </w:tcPr>
                <w:p>
                  <w:pPr>
                    <w:spacing w:line="320" w:lineRule="exact"/>
                    <w:jc w:val="center"/>
                    <w:textAlignment w:val="center"/>
                    <w:rPr>
                      <w:sz w:val="21"/>
                      <w:szCs w:val="21"/>
                    </w:rPr>
                  </w:pPr>
                  <w:r>
                    <w:rPr>
                      <w:kern w:val="0"/>
                      <w:sz w:val="21"/>
                      <w:szCs w:val="21"/>
                    </w:rPr>
                    <w:t>NO</w:t>
                  </w:r>
                  <w:r>
                    <w:rPr>
                      <w:kern w:val="0"/>
                      <w:sz w:val="21"/>
                      <w:szCs w:val="21"/>
                      <w:vertAlign w:val="subscript"/>
                    </w:rPr>
                    <w:t>2</w:t>
                  </w:r>
                </w:p>
              </w:tc>
              <w:tc>
                <w:tcPr>
                  <w:tcW w:w="1833" w:type="dxa"/>
                  <w:vAlign w:val="center"/>
                </w:tcPr>
                <w:p>
                  <w:pPr>
                    <w:spacing w:line="320" w:lineRule="exact"/>
                    <w:jc w:val="center"/>
                    <w:rPr>
                      <w:sz w:val="21"/>
                      <w:szCs w:val="21"/>
                    </w:rPr>
                  </w:pPr>
                  <w:r>
                    <w:rPr>
                      <w:rFonts w:hint="eastAsia"/>
                      <w:sz w:val="21"/>
                      <w:szCs w:val="21"/>
                    </w:rPr>
                    <w:t>年平均</w:t>
                  </w:r>
                </w:p>
              </w:tc>
              <w:tc>
                <w:tcPr>
                  <w:tcW w:w="1143" w:type="dxa"/>
                  <w:vAlign w:val="center"/>
                </w:tcPr>
                <w:p>
                  <w:pPr>
                    <w:jc w:val="center"/>
                    <w:rPr>
                      <w:sz w:val="21"/>
                      <w:szCs w:val="21"/>
                    </w:rPr>
                  </w:pPr>
                  <w:r>
                    <w:rPr>
                      <w:sz w:val="21"/>
                      <w:szCs w:val="21"/>
                    </w:rPr>
                    <w:t>19</w:t>
                  </w:r>
                </w:p>
              </w:tc>
              <w:tc>
                <w:tcPr>
                  <w:tcW w:w="1413" w:type="dxa"/>
                  <w:vAlign w:val="center"/>
                </w:tcPr>
                <w:p>
                  <w:pPr>
                    <w:jc w:val="center"/>
                    <w:rPr>
                      <w:sz w:val="21"/>
                      <w:szCs w:val="21"/>
                    </w:rPr>
                  </w:pPr>
                  <w:r>
                    <w:rPr>
                      <w:sz w:val="21"/>
                      <w:szCs w:val="21"/>
                    </w:rPr>
                    <w:t>40</w:t>
                  </w:r>
                </w:p>
              </w:tc>
              <w:tc>
                <w:tcPr>
                  <w:tcW w:w="1478" w:type="dxa"/>
                  <w:vAlign w:val="center"/>
                </w:tcPr>
                <w:p>
                  <w:pPr>
                    <w:jc w:val="center"/>
                    <w:rPr>
                      <w:sz w:val="21"/>
                      <w:szCs w:val="21"/>
                    </w:rPr>
                  </w:pPr>
                  <w:r>
                    <w:rPr>
                      <w:sz w:val="21"/>
                      <w:szCs w:val="21"/>
                    </w:rPr>
                    <w:t>47.5</w:t>
                  </w:r>
                </w:p>
              </w:tc>
              <w:tc>
                <w:tcPr>
                  <w:tcW w:w="1380" w:type="dxa"/>
                  <w:vAlign w:val="center"/>
                </w:tcPr>
                <w:p>
                  <w:pPr>
                    <w:jc w:val="center"/>
                    <w:rPr>
                      <w:sz w:val="21"/>
                      <w:szCs w:val="21"/>
                    </w:rPr>
                  </w:pPr>
                  <w:r>
                    <w:rPr>
                      <w:rFonts w:hint="eastAsia"/>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9" w:type="dxa"/>
                  <w:vAlign w:val="center"/>
                </w:tcPr>
                <w:p>
                  <w:pPr>
                    <w:spacing w:line="320" w:lineRule="exact"/>
                    <w:jc w:val="center"/>
                    <w:textAlignment w:val="center"/>
                    <w:rPr>
                      <w:sz w:val="21"/>
                      <w:szCs w:val="21"/>
                    </w:rPr>
                  </w:pPr>
                  <w:r>
                    <w:rPr>
                      <w:kern w:val="0"/>
                      <w:sz w:val="21"/>
                      <w:szCs w:val="21"/>
                    </w:rPr>
                    <w:t>PM</w:t>
                  </w:r>
                  <w:r>
                    <w:rPr>
                      <w:kern w:val="0"/>
                      <w:sz w:val="21"/>
                      <w:szCs w:val="21"/>
                      <w:vertAlign w:val="subscript"/>
                    </w:rPr>
                    <w:t>2.5</w:t>
                  </w:r>
                </w:p>
              </w:tc>
              <w:tc>
                <w:tcPr>
                  <w:tcW w:w="1833" w:type="dxa"/>
                  <w:vAlign w:val="center"/>
                </w:tcPr>
                <w:p>
                  <w:pPr>
                    <w:spacing w:line="320" w:lineRule="exact"/>
                    <w:jc w:val="center"/>
                    <w:rPr>
                      <w:sz w:val="21"/>
                      <w:szCs w:val="21"/>
                    </w:rPr>
                  </w:pPr>
                  <w:r>
                    <w:rPr>
                      <w:rFonts w:hint="eastAsia"/>
                      <w:sz w:val="21"/>
                      <w:szCs w:val="21"/>
                    </w:rPr>
                    <w:t>年平均</w:t>
                  </w:r>
                </w:p>
              </w:tc>
              <w:tc>
                <w:tcPr>
                  <w:tcW w:w="1143" w:type="dxa"/>
                  <w:vAlign w:val="center"/>
                </w:tcPr>
                <w:p>
                  <w:pPr>
                    <w:jc w:val="center"/>
                    <w:rPr>
                      <w:sz w:val="21"/>
                      <w:szCs w:val="21"/>
                    </w:rPr>
                  </w:pPr>
                  <w:r>
                    <w:rPr>
                      <w:sz w:val="21"/>
                      <w:szCs w:val="21"/>
                    </w:rPr>
                    <w:t>27</w:t>
                  </w:r>
                </w:p>
              </w:tc>
              <w:tc>
                <w:tcPr>
                  <w:tcW w:w="1413" w:type="dxa"/>
                  <w:vAlign w:val="center"/>
                </w:tcPr>
                <w:p>
                  <w:pPr>
                    <w:jc w:val="center"/>
                    <w:rPr>
                      <w:sz w:val="21"/>
                      <w:szCs w:val="21"/>
                    </w:rPr>
                  </w:pPr>
                  <w:r>
                    <w:rPr>
                      <w:sz w:val="21"/>
                      <w:szCs w:val="21"/>
                    </w:rPr>
                    <w:t>35</w:t>
                  </w:r>
                </w:p>
              </w:tc>
              <w:tc>
                <w:tcPr>
                  <w:tcW w:w="1478" w:type="dxa"/>
                  <w:vAlign w:val="center"/>
                </w:tcPr>
                <w:p>
                  <w:pPr>
                    <w:jc w:val="center"/>
                    <w:rPr>
                      <w:sz w:val="21"/>
                      <w:szCs w:val="21"/>
                    </w:rPr>
                  </w:pPr>
                  <w:r>
                    <w:rPr>
                      <w:sz w:val="21"/>
                      <w:szCs w:val="21"/>
                    </w:rPr>
                    <w:t>77.14</w:t>
                  </w:r>
                </w:p>
              </w:tc>
              <w:tc>
                <w:tcPr>
                  <w:tcW w:w="1380" w:type="dxa"/>
                  <w:vAlign w:val="center"/>
                </w:tcPr>
                <w:p>
                  <w:pPr>
                    <w:jc w:val="center"/>
                    <w:rPr>
                      <w:sz w:val="21"/>
                      <w:szCs w:val="21"/>
                    </w:rPr>
                  </w:pPr>
                  <w:r>
                    <w:rPr>
                      <w:rFonts w:hint="eastAsia"/>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9" w:type="dxa"/>
                  <w:vAlign w:val="center"/>
                </w:tcPr>
                <w:p>
                  <w:pPr>
                    <w:spacing w:line="320" w:lineRule="exact"/>
                    <w:jc w:val="center"/>
                    <w:textAlignment w:val="center"/>
                    <w:rPr>
                      <w:sz w:val="21"/>
                      <w:szCs w:val="21"/>
                    </w:rPr>
                  </w:pPr>
                  <w:r>
                    <w:rPr>
                      <w:kern w:val="0"/>
                      <w:sz w:val="21"/>
                      <w:szCs w:val="21"/>
                    </w:rPr>
                    <w:t>O</w:t>
                  </w:r>
                  <w:r>
                    <w:rPr>
                      <w:kern w:val="0"/>
                      <w:sz w:val="21"/>
                      <w:szCs w:val="21"/>
                      <w:vertAlign w:val="subscript"/>
                    </w:rPr>
                    <w:t>3</w:t>
                  </w:r>
                </w:p>
              </w:tc>
              <w:tc>
                <w:tcPr>
                  <w:tcW w:w="1833" w:type="dxa"/>
                  <w:vAlign w:val="center"/>
                </w:tcPr>
                <w:p>
                  <w:pPr>
                    <w:pStyle w:val="248"/>
                    <w:spacing w:line="320" w:lineRule="exact"/>
                    <w:rPr>
                      <w:sz w:val="21"/>
                      <w:szCs w:val="21"/>
                    </w:rPr>
                  </w:pPr>
                  <w:r>
                    <w:rPr>
                      <w:rFonts w:hint="eastAsia" w:cs="Times New Roman"/>
                      <w:sz w:val="21"/>
                      <w:szCs w:val="21"/>
                    </w:rPr>
                    <w:t>日最大</w:t>
                  </w:r>
                  <w:r>
                    <w:rPr>
                      <w:rFonts w:cs="Times New Roman"/>
                      <w:sz w:val="21"/>
                      <w:szCs w:val="21"/>
                    </w:rPr>
                    <w:t>8h</w:t>
                  </w:r>
                  <w:r>
                    <w:rPr>
                      <w:rFonts w:hint="eastAsia" w:cs="Times New Roman"/>
                      <w:sz w:val="21"/>
                      <w:szCs w:val="21"/>
                    </w:rPr>
                    <w:t>平均</w:t>
                  </w:r>
                </w:p>
              </w:tc>
              <w:tc>
                <w:tcPr>
                  <w:tcW w:w="1143" w:type="dxa"/>
                  <w:vAlign w:val="center"/>
                </w:tcPr>
                <w:p>
                  <w:pPr>
                    <w:jc w:val="center"/>
                    <w:rPr>
                      <w:sz w:val="21"/>
                      <w:szCs w:val="21"/>
                    </w:rPr>
                  </w:pPr>
                  <w:r>
                    <w:rPr>
                      <w:sz w:val="21"/>
                      <w:szCs w:val="21"/>
                    </w:rPr>
                    <w:t>99</w:t>
                  </w:r>
                </w:p>
              </w:tc>
              <w:tc>
                <w:tcPr>
                  <w:tcW w:w="1413" w:type="dxa"/>
                  <w:vAlign w:val="center"/>
                </w:tcPr>
                <w:p>
                  <w:pPr>
                    <w:jc w:val="center"/>
                    <w:rPr>
                      <w:sz w:val="21"/>
                      <w:szCs w:val="21"/>
                    </w:rPr>
                  </w:pPr>
                  <w:r>
                    <w:rPr>
                      <w:sz w:val="21"/>
                      <w:szCs w:val="21"/>
                    </w:rPr>
                    <w:t>160</w:t>
                  </w:r>
                </w:p>
              </w:tc>
              <w:tc>
                <w:tcPr>
                  <w:tcW w:w="1478" w:type="dxa"/>
                  <w:vAlign w:val="center"/>
                </w:tcPr>
                <w:p>
                  <w:pPr>
                    <w:jc w:val="center"/>
                    <w:rPr>
                      <w:sz w:val="21"/>
                      <w:szCs w:val="21"/>
                    </w:rPr>
                  </w:pPr>
                  <w:r>
                    <w:rPr>
                      <w:sz w:val="21"/>
                      <w:szCs w:val="21"/>
                    </w:rPr>
                    <w:t>61.88</w:t>
                  </w:r>
                </w:p>
              </w:tc>
              <w:tc>
                <w:tcPr>
                  <w:tcW w:w="1380" w:type="dxa"/>
                  <w:vAlign w:val="center"/>
                </w:tcPr>
                <w:p>
                  <w:pPr>
                    <w:jc w:val="center"/>
                    <w:rPr>
                      <w:sz w:val="21"/>
                      <w:szCs w:val="21"/>
                    </w:rPr>
                  </w:pPr>
                  <w:r>
                    <w:rPr>
                      <w:rFonts w:hint="eastAsia"/>
                      <w:bCs/>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9" w:type="dxa"/>
                  <w:vAlign w:val="center"/>
                </w:tcPr>
                <w:p>
                  <w:pPr>
                    <w:spacing w:line="320" w:lineRule="exact"/>
                    <w:jc w:val="center"/>
                    <w:textAlignment w:val="center"/>
                    <w:rPr>
                      <w:sz w:val="21"/>
                      <w:szCs w:val="21"/>
                    </w:rPr>
                  </w:pPr>
                  <w:r>
                    <w:rPr>
                      <w:kern w:val="0"/>
                      <w:sz w:val="21"/>
                      <w:szCs w:val="21"/>
                    </w:rPr>
                    <w:t>CO</w:t>
                  </w:r>
                </w:p>
              </w:tc>
              <w:tc>
                <w:tcPr>
                  <w:tcW w:w="1833" w:type="dxa"/>
                  <w:vAlign w:val="center"/>
                </w:tcPr>
                <w:p>
                  <w:pPr>
                    <w:pStyle w:val="248"/>
                    <w:spacing w:line="320" w:lineRule="exact"/>
                    <w:rPr>
                      <w:sz w:val="21"/>
                      <w:szCs w:val="21"/>
                    </w:rPr>
                  </w:pPr>
                  <w:r>
                    <w:rPr>
                      <w:rFonts w:cs="Times New Roman"/>
                      <w:sz w:val="21"/>
                      <w:szCs w:val="21"/>
                    </w:rPr>
                    <w:t>24</w:t>
                  </w:r>
                  <w:r>
                    <w:rPr>
                      <w:rFonts w:hint="eastAsia" w:cs="Times New Roman"/>
                      <w:sz w:val="21"/>
                      <w:szCs w:val="21"/>
                    </w:rPr>
                    <w:t>小时平均</w:t>
                  </w:r>
                </w:p>
              </w:tc>
              <w:tc>
                <w:tcPr>
                  <w:tcW w:w="1143" w:type="dxa"/>
                  <w:vAlign w:val="center"/>
                </w:tcPr>
                <w:p>
                  <w:pPr>
                    <w:jc w:val="center"/>
                    <w:rPr>
                      <w:sz w:val="21"/>
                      <w:szCs w:val="21"/>
                    </w:rPr>
                  </w:pPr>
                  <w:r>
                    <w:rPr>
                      <w:sz w:val="21"/>
                      <w:szCs w:val="21"/>
                    </w:rPr>
                    <w:t>1.4mg/m</w:t>
                  </w:r>
                  <w:r>
                    <w:rPr>
                      <w:sz w:val="21"/>
                      <w:szCs w:val="21"/>
                      <w:vertAlign w:val="superscript"/>
                    </w:rPr>
                    <w:t>3</w:t>
                  </w:r>
                </w:p>
              </w:tc>
              <w:tc>
                <w:tcPr>
                  <w:tcW w:w="1413" w:type="dxa"/>
                  <w:vAlign w:val="center"/>
                </w:tcPr>
                <w:p>
                  <w:pPr>
                    <w:jc w:val="center"/>
                    <w:rPr>
                      <w:sz w:val="21"/>
                      <w:szCs w:val="21"/>
                    </w:rPr>
                  </w:pPr>
                  <w:r>
                    <w:rPr>
                      <w:sz w:val="21"/>
                      <w:szCs w:val="21"/>
                    </w:rPr>
                    <w:t>4mg/m</w:t>
                  </w:r>
                  <w:r>
                    <w:rPr>
                      <w:sz w:val="21"/>
                      <w:szCs w:val="21"/>
                      <w:vertAlign w:val="superscript"/>
                    </w:rPr>
                    <w:t>3</w:t>
                  </w:r>
                </w:p>
              </w:tc>
              <w:tc>
                <w:tcPr>
                  <w:tcW w:w="1478" w:type="dxa"/>
                  <w:vAlign w:val="center"/>
                </w:tcPr>
                <w:p>
                  <w:pPr>
                    <w:jc w:val="center"/>
                    <w:rPr>
                      <w:sz w:val="21"/>
                      <w:szCs w:val="21"/>
                    </w:rPr>
                  </w:pPr>
                  <w:r>
                    <w:rPr>
                      <w:sz w:val="21"/>
                      <w:szCs w:val="21"/>
                    </w:rPr>
                    <w:t>35</w:t>
                  </w:r>
                </w:p>
              </w:tc>
              <w:tc>
                <w:tcPr>
                  <w:tcW w:w="1380" w:type="dxa"/>
                  <w:vAlign w:val="center"/>
                </w:tcPr>
                <w:p>
                  <w:pPr>
                    <w:jc w:val="center"/>
                    <w:rPr>
                      <w:sz w:val="21"/>
                      <w:szCs w:val="21"/>
                    </w:rPr>
                  </w:pPr>
                  <w:r>
                    <w:rPr>
                      <w:rFonts w:hint="eastAsia"/>
                      <w:bCs/>
                      <w:sz w:val="21"/>
                      <w:szCs w:val="21"/>
                    </w:rPr>
                    <w:t>达标</w:t>
                  </w:r>
                </w:p>
              </w:tc>
            </w:tr>
          </w:tbl>
          <w:p>
            <w:pPr>
              <w:widowControl w:val="0"/>
              <w:tabs>
                <w:tab w:val="left" w:pos="606"/>
              </w:tabs>
              <w:wordWrap w:val="0"/>
              <w:adjustRightInd w:val="0"/>
              <w:snapToGrid w:val="0"/>
              <w:ind w:firstLine="480" w:firstLineChars="200"/>
              <w:jc w:val="left"/>
              <w:rPr>
                <w:rFonts w:hint="default" w:ascii="Times New Roman" w:hAnsi="Times New Roman" w:eastAsia="黑体" w:cs="Times New Roman"/>
              </w:rPr>
            </w:pPr>
            <w:r>
              <w:rPr>
                <w:rFonts w:hint="default" w:ascii="Times New Roman" w:hAnsi="Times New Roman" w:eastAsia="黑体" w:cs="Times New Roman"/>
              </w:rPr>
              <w:t>宣汉县2022年环境空气中常规因子均满足《环境空气质量标准》（GB3095-2012）二级标准，因此，宣汉县为环境空气质量达标区。</w:t>
            </w:r>
          </w:p>
          <w:p>
            <w:pPr>
              <w:widowControl/>
              <w:jc w:val="left"/>
              <w:rPr>
                <w:rFonts w:cs="Times New Roman" w:asciiTheme="majorHAnsi" w:hAnsiTheme="majorHAnsi"/>
                <w:b/>
                <w:bCs/>
                <w:kern w:val="0"/>
                <w:szCs w:val="20"/>
              </w:rPr>
            </w:pPr>
            <w:r>
              <w:rPr>
                <w:rFonts w:hint="eastAsia" w:cs="Times New Roman" w:asciiTheme="majorHAnsi" w:hAnsiTheme="majorHAnsi"/>
                <w:b/>
                <w:bCs/>
                <w:kern w:val="0"/>
                <w:szCs w:val="20"/>
              </w:rPr>
              <w:t>二、地表水环境质量现状</w:t>
            </w:r>
          </w:p>
          <w:p>
            <w:pPr>
              <w:widowControl/>
              <w:ind w:firstLine="482" w:firstLineChars="200"/>
              <w:jc w:val="left"/>
              <w:rPr>
                <w:rFonts w:cs="Times New Roman" w:asciiTheme="majorHAnsi" w:hAnsiTheme="majorHAnsi"/>
                <w:b/>
                <w:bCs/>
                <w:kern w:val="0"/>
                <w:szCs w:val="20"/>
              </w:rPr>
            </w:pPr>
            <w:r>
              <w:rPr>
                <w:rFonts w:hint="eastAsia" w:cs="Times New Roman" w:asciiTheme="majorHAnsi" w:hAnsiTheme="majorHAnsi"/>
                <w:b/>
                <w:bCs/>
                <w:kern w:val="0"/>
                <w:szCs w:val="20"/>
              </w:rPr>
              <w:t>1、引用公报地表水环境质量现状</w:t>
            </w:r>
          </w:p>
          <w:p>
            <w:pPr>
              <w:widowControl/>
              <w:ind w:firstLine="480" w:firstLineChars="200"/>
              <w:jc w:val="left"/>
            </w:pPr>
            <w:r>
              <w:rPr>
                <w:rFonts w:hint="eastAsia"/>
              </w:rPr>
              <w:t>本项目处理明月新城规划片区的生活污水，处理达标后，排放至州河</w:t>
            </w:r>
            <w:r>
              <w:t>。</w:t>
            </w:r>
          </w:p>
          <w:p>
            <w:pPr>
              <w:widowControl/>
              <w:ind w:firstLine="480" w:firstLineChars="200"/>
              <w:jc w:val="left"/>
              <w:rPr>
                <w:rFonts w:cs="Times New Roman" w:asciiTheme="majorHAnsi" w:hAnsiTheme="majorHAnsi"/>
                <w:kern w:val="0"/>
                <w:szCs w:val="20"/>
              </w:rPr>
            </w:pPr>
            <w:r>
              <w:rPr>
                <w:rFonts w:hint="eastAsia" w:cs="Times New Roman" w:asciiTheme="majorHAnsi" w:hAnsiTheme="majorHAnsi"/>
                <w:kern w:val="0"/>
                <w:szCs w:val="20"/>
              </w:rPr>
              <w:t>根</w:t>
            </w:r>
            <w:r>
              <w:rPr>
                <w:rFonts w:cs="Times New Roman" w:asciiTheme="majorHAnsi" w:hAnsiTheme="majorHAnsi"/>
                <w:kern w:val="0"/>
                <w:szCs w:val="20"/>
              </w:rPr>
              <w:t>据《建设项目环境影响报告表编制技术指南（污染影响类）》（试行）及《环境影响评价技术导则地表水环境》（HJ2.3-2018），地表水环境质量现状可引用生态环境主管部门发布的水环境质量数据或地表水达标情况的结论。</w:t>
            </w:r>
          </w:p>
          <w:p>
            <w:pPr>
              <w:widowControl w:val="0"/>
              <w:adjustRightInd w:val="0"/>
              <w:ind w:firstLine="200"/>
              <w:jc w:val="left"/>
              <w:textAlignment w:val="baseline"/>
              <w:rPr>
                <w:bCs/>
                <w:kern w:val="0"/>
              </w:rPr>
            </w:pPr>
            <w:r>
              <w:rPr>
                <w:bCs/>
                <w:kern w:val="0"/>
              </w:rPr>
              <w:t>根据</w:t>
            </w:r>
            <w:r>
              <w:t>《2023年2月达州市地表水水质月报》</w:t>
            </w:r>
            <w:r>
              <w:rPr>
                <w:bCs/>
                <w:kern w:val="0"/>
              </w:rPr>
              <w:t>，2023年2月全市35个河流断面中，优（Ⅰ~Ⅱ类）良（Ⅲ类）水质断面33个，占比94.3%；轻度污染（Ⅳ类）水质断面2个，占比5.7%。</w:t>
            </w:r>
          </w:p>
          <w:p>
            <w:pPr>
              <w:widowControl w:val="0"/>
              <w:adjustRightInd w:val="0"/>
              <w:ind w:firstLine="480" w:firstLineChars="200"/>
              <w:jc w:val="left"/>
              <w:textAlignment w:val="baseline"/>
              <w:rPr>
                <w:bCs/>
                <w:kern w:val="0"/>
              </w:rPr>
            </w:pPr>
            <w:r>
              <w:rPr>
                <w:bCs/>
                <w:kern w:val="0"/>
              </w:rPr>
              <w:t>全市河流超标情况为：流江河白兔乡断面受到轻度污染，主要污染指标为高锰酸盐指数；东柳河墩子河断面受到轻度污染，主要污染指标为氨氮、化学需氧量、高锰酸盐指数。</w:t>
            </w:r>
          </w:p>
          <w:p>
            <w:pPr>
              <w:pStyle w:val="161"/>
              <w:numPr>
                <w:ilvl w:val="0"/>
                <w:numId w:val="6"/>
              </w:numPr>
              <w:adjustRightInd w:val="0"/>
              <w:snapToGrid w:val="0"/>
              <w:spacing w:line="520" w:lineRule="exact"/>
              <w:ind w:firstLineChars="0"/>
              <w:jc w:val="center"/>
              <w:textAlignment w:val="baseline"/>
              <w:rPr>
                <w:rFonts w:eastAsia="黑体"/>
                <w:kern w:val="0"/>
              </w:rPr>
            </w:pPr>
            <w:r>
              <w:rPr>
                <w:rFonts w:eastAsia="黑体"/>
                <w:kern w:val="0"/>
              </w:rPr>
              <w:t>2023年2月达州市河流水质评价结果表</w:t>
            </w:r>
          </w:p>
          <w:tbl>
            <w:tblPr>
              <w:tblStyle w:val="130"/>
              <w:tblW w:w="86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485"/>
              <w:gridCol w:w="470"/>
              <w:gridCol w:w="997"/>
              <w:gridCol w:w="1695"/>
              <w:gridCol w:w="1097"/>
              <w:gridCol w:w="498"/>
              <w:gridCol w:w="730"/>
              <w:gridCol w:w="575"/>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vAlign w:val="center"/>
                </w:tcPr>
                <w:p>
                  <w:pPr>
                    <w:spacing w:line="240" w:lineRule="auto"/>
                    <w:ind w:left="-72" w:leftChars="-30" w:right="-72" w:rightChars="-30"/>
                    <w:jc w:val="center"/>
                    <w:rPr>
                      <w:b/>
                      <w:bCs/>
                      <w:kern w:val="0"/>
                      <w:sz w:val="21"/>
                      <w:szCs w:val="21"/>
                    </w:rPr>
                  </w:pPr>
                  <w:r>
                    <w:rPr>
                      <w:b/>
                      <w:bCs/>
                      <w:kern w:val="0"/>
                      <w:sz w:val="21"/>
                      <w:szCs w:val="21"/>
                    </w:rPr>
                    <w:t>序号</w:t>
                  </w:r>
                </w:p>
              </w:tc>
              <w:tc>
                <w:tcPr>
                  <w:tcW w:w="955" w:type="dxa"/>
                  <w:gridSpan w:val="2"/>
                  <w:vAlign w:val="center"/>
                </w:tcPr>
                <w:p>
                  <w:pPr>
                    <w:spacing w:line="240" w:lineRule="auto"/>
                    <w:ind w:left="-72" w:leftChars="-30" w:right="-72" w:rightChars="-30"/>
                    <w:jc w:val="center"/>
                    <w:rPr>
                      <w:b/>
                      <w:bCs/>
                      <w:kern w:val="0"/>
                      <w:sz w:val="21"/>
                      <w:szCs w:val="21"/>
                    </w:rPr>
                  </w:pPr>
                  <w:r>
                    <w:rPr>
                      <w:b/>
                      <w:bCs/>
                      <w:kern w:val="0"/>
                      <w:sz w:val="21"/>
                      <w:szCs w:val="21"/>
                    </w:rPr>
                    <w:t>河流</w:t>
                  </w:r>
                </w:p>
              </w:tc>
              <w:tc>
                <w:tcPr>
                  <w:tcW w:w="997" w:type="dxa"/>
                  <w:vAlign w:val="center"/>
                </w:tcPr>
                <w:p>
                  <w:pPr>
                    <w:spacing w:line="240" w:lineRule="auto"/>
                    <w:ind w:left="-72" w:leftChars="-30" w:right="-72" w:rightChars="-30"/>
                    <w:jc w:val="center"/>
                    <w:rPr>
                      <w:b/>
                      <w:bCs/>
                      <w:kern w:val="0"/>
                      <w:sz w:val="21"/>
                      <w:szCs w:val="21"/>
                    </w:rPr>
                  </w:pPr>
                  <w:r>
                    <w:rPr>
                      <w:b/>
                      <w:bCs/>
                      <w:kern w:val="0"/>
                      <w:sz w:val="21"/>
                      <w:szCs w:val="21"/>
                    </w:rPr>
                    <w:t>断面名称</w:t>
                  </w:r>
                </w:p>
              </w:tc>
              <w:tc>
                <w:tcPr>
                  <w:tcW w:w="1695" w:type="dxa"/>
                  <w:vAlign w:val="center"/>
                </w:tcPr>
                <w:p>
                  <w:pPr>
                    <w:spacing w:line="240" w:lineRule="auto"/>
                    <w:ind w:left="-72" w:leftChars="-30" w:right="-72" w:rightChars="-30"/>
                    <w:jc w:val="center"/>
                    <w:rPr>
                      <w:b/>
                      <w:bCs/>
                      <w:kern w:val="0"/>
                      <w:sz w:val="21"/>
                      <w:szCs w:val="21"/>
                    </w:rPr>
                  </w:pPr>
                  <w:r>
                    <w:rPr>
                      <w:b/>
                      <w:bCs/>
                      <w:kern w:val="0"/>
                      <w:sz w:val="21"/>
                      <w:szCs w:val="21"/>
                    </w:rPr>
                    <w:t>交界情况</w:t>
                  </w:r>
                </w:p>
              </w:tc>
              <w:tc>
                <w:tcPr>
                  <w:tcW w:w="1097" w:type="dxa"/>
                  <w:vAlign w:val="center"/>
                </w:tcPr>
                <w:p>
                  <w:pPr>
                    <w:spacing w:line="240" w:lineRule="auto"/>
                    <w:ind w:left="-72" w:leftChars="-30" w:right="-72" w:rightChars="-30"/>
                    <w:jc w:val="center"/>
                    <w:rPr>
                      <w:b/>
                      <w:bCs/>
                      <w:kern w:val="0"/>
                      <w:sz w:val="21"/>
                      <w:szCs w:val="21"/>
                    </w:rPr>
                  </w:pPr>
                  <w:r>
                    <w:rPr>
                      <w:b/>
                      <w:bCs/>
                      <w:kern w:val="0"/>
                      <w:sz w:val="21"/>
                      <w:szCs w:val="21"/>
                    </w:rPr>
                    <w:t>断面性质</w:t>
                  </w:r>
                </w:p>
              </w:tc>
              <w:tc>
                <w:tcPr>
                  <w:tcW w:w="498" w:type="dxa"/>
                  <w:vAlign w:val="center"/>
                </w:tcPr>
                <w:p>
                  <w:pPr>
                    <w:spacing w:line="240" w:lineRule="auto"/>
                    <w:ind w:left="-72" w:leftChars="-30" w:right="-72" w:rightChars="-30"/>
                    <w:jc w:val="center"/>
                    <w:rPr>
                      <w:b/>
                      <w:bCs/>
                      <w:kern w:val="0"/>
                      <w:sz w:val="21"/>
                      <w:szCs w:val="21"/>
                    </w:rPr>
                  </w:pPr>
                  <w:r>
                    <w:rPr>
                      <w:b/>
                      <w:bCs/>
                      <w:kern w:val="0"/>
                      <w:sz w:val="21"/>
                      <w:szCs w:val="21"/>
                    </w:rPr>
                    <w:t>上年同期</w:t>
                  </w:r>
                </w:p>
              </w:tc>
              <w:tc>
                <w:tcPr>
                  <w:tcW w:w="730" w:type="dxa"/>
                  <w:vAlign w:val="center"/>
                </w:tcPr>
                <w:p>
                  <w:pPr>
                    <w:spacing w:line="240" w:lineRule="auto"/>
                    <w:ind w:left="-72" w:leftChars="-30" w:right="-72" w:rightChars="-30"/>
                    <w:jc w:val="center"/>
                    <w:rPr>
                      <w:b/>
                      <w:bCs/>
                      <w:kern w:val="0"/>
                      <w:sz w:val="21"/>
                      <w:szCs w:val="21"/>
                    </w:rPr>
                  </w:pPr>
                  <w:r>
                    <w:rPr>
                      <w:b/>
                      <w:bCs/>
                      <w:kern w:val="0"/>
                      <w:sz w:val="21"/>
                      <w:szCs w:val="21"/>
                    </w:rPr>
                    <w:t>上月类别</w:t>
                  </w:r>
                </w:p>
              </w:tc>
              <w:tc>
                <w:tcPr>
                  <w:tcW w:w="575" w:type="dxa"/>
                  <w:vAlign w:val="center"/>
                </w:tcPr>
                <w:p>
                  <w:pPr>
                    <w:spacing w:line="240" w:lineRule="auto"/>
                    <w:ind w:left="-72" w:leftChars="-30" w:right="-72" w:rightChars="-30"/>
                    <w:jc w:val="center"/>
                    <w:rPr>
                      <w:b/>
                      <w:bCs/>
                      <w:kern w:val="0"/>
                      <w:sz w:val="21"/>
                      <w:szCs w:val="21"/>
                    </w:rPr>
                  </w:pPr>
                  <w:r>
                    <w:rPr>
                      <w:b/>
                      <w:bCs/>
                      <w:kern w:val="0"/>
                      <w:sz w:val="21"/>
                      <w:szCs w:val="21"/>
                    </w:rPr>
                    <w:t>本月类别</w:t>
                  </w:r>
                </w:p>
              </w:tc>
              <w:tc>
                <w:tcPr>
                  <w:tcW w:w="1365" w:type="dxa"/>
                  <w:vAlign w:val="center"/>
                </w:tcPr>
                <w:p>
                  <w:pPr>
                    <w:spacing w:line="240" w:lineRule="auto"/>
                    <w:ind w:left="-72" w:leftChars="-30" w:right="-72" w:rightChars="-30"/>
                    <w:jc w:val="center"/>
                    <w:rPr>
                      <w:b/>
                      <w:bCs/>
                      <w:kern w:val="0"/>
                      <w:sz w:val="21"/>
                      <w:szCs w:val="21"/>
                    </w:rPr>
                  </w:pPr>
                  <w:r>
                    <w:rPr>
                      <w:b/>
                      <w:bCs/>
                      <w:kern w:val="0"/>
                      <w:sz w:val="21"/>
                      <w:szCs w:val="21"/>
                    </w:rPr>
                    <w:t>本月主要污染指标(类别)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1</w:t>
                  </w:r>
                </w:p>
              </w:tc>
              <w:tc>
                <w:tcPr>
                  <w:tcW w:w="955" w:type="dxa"/>
                  <w:gridSpan w:val="2"/>
                  <w:vAlign w:val="center"/>
                </w:tcPr>
                <w:p>
                  <w:pPr>
                    <w:spacing w:line="240" w:lineRule="auto"/>
                    <w:ind w:left="-72" w:leftChars="-30" w:right="-72" w:rightChars="-30"/>
                    <w:jc w:val="center"/>
                    <w:rPr>
                      <w:kern w:val="0"/>
                      <w:sz w:val="21"/>
                      <w:szCs w:val="21"/>
                    </w:rPr>
                  </w:pPr>
                  <w:r>
                    <w:rPr>
                      <w:kern w:val="0"/>
                      <w:sz w:val="21"/>
                      <w:szCs w:val="21"/>
                    </w:rPr>
                    <w:t>南河干流</w:t>
                  </w:r>
                </w:p>
              </w:tc>
              <w:tc>
                <w:tcPr>
                  <w:tcW w:w="997" w:type="dxa"/>
                  <w:vAlign w:val="center"/>
                </w:tcPr>
                <w:p>
                  <w:pPr>
                    <w:spacing w:line="240" w:lineRule="auto"/>
                    <w:ind w:left="-72" w:leftChars="-30" w:right="-72" w:rightChars="-30"/>
                    <w:jc w:val="center"/>
                    <w:rPr>
                      <w:kern w:val="0"/>
                      <w:sz w:val="21"/>
                      <w:szCs w:val="21"/>
                    </w:rPr>
                  </w:pPr>
                  <w:r>
                    <w:rPr>
                      <w:kern w:val="0"/>
                      <w:sz w:val="21"/>
                      <w:szCs w:val="21"/>
                    </w:rPr>
                    <w:t>巫山乡</w:t>
                  </w:r>
                </w:p>
              </w:tc>
              <w:tc>
                <w:tcPr>
                  <w:tcW w:w="1695" w:type="dxa"/>
                  <w:vAlign w:val="center"/>
                </w:tcPr>
                <w:p>
                  <w:pPr>
                    <w:spacing w:line="240" w:lineRule="auto"/>
                    <w:ind w:left="-72" w:leftChars="-30" w:right="-72" w:rightChars="-30"/>
                    <w:jc w:val="center"/>
                    <w:rPr>
                      <w:kern w:val="0"/>
                      <w:sz w:val="21"/>
                      <w:szCs w:val="21"/>
                    </w:rPr>
                  </w:pPr>
                  <w:r>
                    <w:rPr>
                      <w:kern w:val="0"/>
                      <w:sz w:val="21"/>
                      <w:szCs w:val="21"/>
                    </w:rPr>
                    <w:t>省界(川→渝)</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Ⅱ</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2</w:t>
                  </w:r>
                </w:p>
              </w:tc>
              <w:tc>
                <w:tcPr>
                  <w:tcW w:w="955" w:type="dxa"/>
                  <w:gridSpan w:val="2"/>
                  <w:vMerge w:val="restart"/>
                  <w:vAlign w:val="center"/>
                </w:tcPr>
                <w:p>
                  <w:pPr>
                    <w:spacing w:line="240" w:lineRule="auto"/>
                    <w:ind w:left="-72" w:leftChars="-30" w:right="-72" w:rightChars="-30"/>
                    <w:jc w:val="center"/>
                    <w:rPr>
                      <w:kern w:val="0"/>
                      <w:sz w:val="21"/>
                      <w:szCs w:val="21"/>
                    </w:rPr>
                  </w:pPr>
                  <w:r>
                    <w:rPr>
                      <w:kern w:val="0"/>
                      <w:sz w:val="21"/>
                      <w:szCs w:val="21"/>
                    </w:rPr>
                    <w:t>任河干流</w:t>
                  </w:r>
                </w:p>
              </w:tc>
              <w:tc>
                <w:tcPr>
                  <w:tcW w:w="997" w:type="dxa"/>
                  <w:vAlign w:val="center"/>
                </w:tcPr>
                <w:p>
                  <w:pPr>
                    <w:spacing w:line="240" w:lineRule="auto"/>
                    <w:ind w:left="-72" w:leftChars="-30" w:right="-72" w:rightChars="-30"/>
                    <w:jc w:val="center"/>
                    <w:rPr>
                      <w:kern w:val="0"/>
                      <w:sz w:val="21"/>
                      <w:szCs w:val="21"/>
                    </w:rPr>
                  </w:pPr>
                  <w:r>
                    <w:rPr>
                      <w:kern w:val="0"/>
                      <w:sz w:val="21"/>
                      <w:szCs w:val="21"/>
                    </w:rPr>
                    <w:t>水寨子</w:t>
                  </w:r>
                </w:p>
              </w:tc>
              <w:tc>
                <w:tcPr>
                  <w:tcW w:w="1695" w:type="dxa"/>
                  <w:vAlign w:val="center"/>
                </w:tcPr>
                <w:p>
                  <w:pPr>
                    <w:spacing w:line="240" w:lineRule="auto"/>
                    <w:ind w:left="-72" w:leftChars="-30" w:right="-72" w:rightChars="-30"/>
                    <w:jc w:val="center"/>
                    <w:rPr>
                      <w:kern w:val="0"/>
                      <w:sz w:val="21"/>
                      <w:szCs w:val="21"/>
                    </w:rPr>
                  </w:pPr>
                  <w:r>
                    <w:rPr>
                      <w:kern w:val="0"/>
                      <w:sz w:val="21"/>
                      <w:szCs w:val="21"/>
                    </w:rPr>
                    <w:t>省界(渝→川)</w:t>
                  </w:r>
                </w:p>
              </w:tc>
              <w:tc>
                <w:tcPr>
                  <w:tcW w:w="1097" w:type="dxa"/>
                  <w:vAlign w:val="center"/>
                </w:tcPr>
                <w:p>
                  <w:pPr>
                    <w:spacing w:line="240" w:lineRule="auto"/>
                    <w:ind w:left="-72" w:leftChars="-30" w:right="-72" w:rightChars="-30"/>
                    <w:jc w:val="center"/>
                    <w:rPr>
                      <w:kern w:val="0"/>
                      <w:sz w:val="21"/>
                      <w:szCs w:val="21"/>
                    </w:rPr>
                  </w:pPr>
                  <w:r>
                    <w:rPr>
                      <w:kern w:val="0"/>
                      <w:sz w:val="21"/>
                      <w:szCs w:val="21"/>
                    </w:rPr>
                    <w:t>国控</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Ⅰ</w:t>
                  </w:r>
                </w:p>
              </w:tc>
              <w:tc>
                <w:tcPr>
                  <w:tcW w:w="575" w:type="dxa"/>
                  <w:vAlign w:val="center"/>
                </w:tcPr>
                <w:p>
                  <w:pPr>
                    <w:spacing w:line="240" w:lineRule="auto"/>
                    <w:ind w:left="-72" w:leftChars="-30" w:right="-72" w:rightChars="-30"/>
                    <w:jc w:val="center"/>
                    <w:rPr>
                      <w:kern w:val="0"/>
                      <w:sz w:val="21"/>
                      <w:szCs w:val="21"/>
                    </w:rPr>
                  </w:pPr>
                  <w:r>
                    <w:rPr>
                      <w:kern w:val="0"/>
                      <w:sz w:val="21"/>
                      <w:szCs w:val="21"/>
                    </w:rPr>
                    <w:t>Ⅰ</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3</w:t>
                  </w:r>
                </w:p>
              </w:tc>
              <w:tc>
                <w:tcPr>
                  <w:tcW w:w="955" w:type="dxa"/>
                  <w:gridSpan w:val="2"/>
                  <w:vMerge w:val="continue"/>
                  <w:vAlign w:val="center"/>
                </w:tcPr>
                <w:p>
                  <w:pPr>
                    <w:spacing w:line="240" w:lineRule="auto"/>
                    <w:ind w:left="-72" w:leftChars="-30" w:right="-72" w:rightChars="-30"/>
                    <w:jc w:val="center"/>
                    <w:rPr>
                      <w:kern w:val="0"/>
                      <w:sz w:val="21"/>
                      <w:szCs w:val="21"/>
                    </w:rPr>
                  </w:pPr>
                </w:p>
              </w:tc>
              <w:tc>
                <w:tcPr>
                  <w:tcW w:w="997" w:type="dxa"/>
                  <w:vAlign w:val="center"/>
                </w:tcPr>
                <w:p>
                  <w:pPr>
                    <w:spacing w:line="240" w:lineRule="auto"/>
                    <w:ind w:left="-72" w:leftChars="-30" w:right="-72" w:rightChars="-30"/>
                    <w:jc w:val="center"/>
                    <w:rPr>
                      <w:kern w:val="0"/>
                      <w:sz w:val="21"/>
                      <w:szCs w:val="21"/>
                    </w:rPr>
                  </w:pPr>
                  <w:r>
                    <w:rPr>
                      <w:kern w:val="0"/>
                      <w:sz w:val="21"/>
                      <w:szCs w:val="21"/>
                    </w:rPr>
                    <w:t>白杨溪电站</w:t>
                  </w:r>
                </w:p>
              </w:tc>
              <w:tc>
                <w:tcPr>
                  <w:tcW w:w="1695" w:type="dxa"/>
                  <w:vAlign w:val="center"/>
                </w:tcPr>
                <w:p>
                  <w:pPr>
                    <w:spacing w:line="240" w:lineRule="auto"/>
                    <w:ind w:left="-72" w:leftChars="-30" w:right="-72" w:rightChars="-30"/>
                    <w:jc w:val="center"/>
                    <w:rPr>
                      <w:kern w:val="0"/>
                      <w:sz w:val="21"/>
                      <w:szCs w:val="21"/>
                    </w:rPr>
                  </w:pPr>
                  <w:r>
                    <w:rPr>
                      <w:kern w:val="0"/>
                      <w:sz w:val="21"/>
                      <w:szCs w:val="21"/>
                    </w:rPr>
                    <w:t>省界(川→陕)</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4</w:t>
                  </w:r>
                </w:p>
              </w:tc>
              <w:tc>
                <w:tcPr>
                  <w:tcW w:w="955" w:type="dxa"/>
                  <w:gridSpan w:val="2"/>
                  <w:vAlign w:val="center"/>
                </w:tcPr>
                <w:p>
                  <w:pPr>
                    <w:spacing w:line="240" w:lineRule="auto"/>
                    <w:ind w:left="-72" w:leftChars="-30" w:right="-72" w:rightChars="-30"/>
                    <w:jc w:val="center"/>
                    <w:rPr>
                      <w:kern w:val="0"/>
                      <w:sz w:val="21"/>
                      <w:szCs w:val="21"/>
                    </w:rPr>
                  </w:pPr>
                  <w:r>
                    <w:rPr>
                      <w:kern w:val="0"/>
                      <w:sz w:val="21"/>
                      <w:szCs w:val="21"/>
                    </w:rPr>
                    <w:t>御临河干流</w:t>
                  </w:r>
                </w:p>
              </w:tc>
              <w:tc>
                <w:tcPr>
                  <w:tcW w:w="997" w:type="dxa"/>
                  <w:vAlign w:val="center"/>
                </w:tcPr>
                <w:p>
                  <w:pPr>
                    <w:spacing w:line="240" w:lineRule="auto"/>
                    <w:ind w:left="-72" w:leftChars="-30" w:right="-72" w:rightChars="-30"/>
                    <w:jc w:val="center"/>
                    <w:rPr>
                      <w:kern w:val="0"/>
                      <w:sz w:val="21"/>
                      <w:szCs w:val="21"/>
                    </w:rPr>
                  </w:pPr>
                  <w:r>
                    <w:rPr>
                      <w:kern w:val="0"/>
                      <w:sz w:val="21"/>
                      <w:szCs w:val="21"/>
                    </w:rPr>
                    <w:t>双河口大桥</w:t>
                  </w:r>
                </w:p>
              </w:tc>
              <w:tc>
                <w:tcPr>
                  <w:tcW w:w="1695" w:type="dxa"/>
                  <w:vAlign w:val="center"/>
                </w:tcPr>
                <w:p>
                  <w:pPr>
                    <w:spacing w:line="240" w:lineRule="auto"/>
                    <w:ind w:left="-72" w:leftChars="-30" w:right="-72" w:rightChars="-30"/>
                    <w:jc w:val="center"/>
                    <w:rPr>
                      <w:kern w:val="0"/>
                      <w:sz w:val="21"/>
                      <w:szCs w:val="21"/>
                    </w:rPr>
                  </w:pPr>
                  <w:r>
                    <w:rPr>
                      <w:kern w:val="0"/>
                      <w:sz w:val="21"/>
                      <w:szCs w:val="21"/>
                    </w:rPr>
                    <w:t>市界</w:t>
                  </w:r>
                  <w:r>
                    <w:rPr>
                      <w:kern w:val="0"/>
                      <w:sz w:val="21"/>
                      <w:szCs w:val="21"/>
                    </w:rPr>
                    <w:br w:type="textWrapping"/>
                  </w:r>
                  <w:r>
                    <w:rPr>
                      <w:kern w:val="0"/>
                      <w:sz w:val="21"/>
                      <w:szCs w:val="21"/>
                    </w:rPr>
                    <w:t>(达州市→广安市)</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Ⅲ</w:t>
                  </w:r>
                </w:p>
              </w:tc>
              <w:tc>
                <w:tcPr>
                  <w:tcW w:w="730" w:type="dxa"/>
                  <w:vAlign w:val="center"/>
                </w:tcPr>
                <w:p>
                  <w:pPr>
                    <w:spacing w:line="240" w:lineRule="auto"/>
                    <w:ind w:left="-72" w:leftChars="-30" w:right="-72" w:rightChars="-30"/>
                    <w:jc w:val="center"/>
                    <w:rPr>
                      <w:kern w:val="0"/>
                      <w:sz w:val="21"/>
                      <w:szCs w:val="21"/>
                    </w:rPr>
                  </w:pPr>
                  <w:r>
                    <w:rPr>
                      <w:kern w:val="0"/>
                      <w:sz w:val="21"/>
                      <w:szCs w:val="21"/>
                    </w:rPr>
                    <w:t>/</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5</w:t>
                  </w:r>
                </w:p>
              </w:tc>
              <w:tc>
                <w:tcPr>
                  <w:tcW w:w="955" w:type="dxa"/>
                  <w:gridSpan w:val="2"/>
                  <w:vAlign w:val="center"/>
                </w:tcPr>
                <w:p>
                  <w:pPr>
                    <w:spacing w:line="240" w:lineRule="auto"/>
                    <w:ind w:left="-72" w:leftChars="-30" w:right="-72" w:rightChars="-30"/>
                    <w:jc w:val="center"/>
                    <w:rPr>
                      <w:kern w:val="0"/>
                      <w:sz w:val="21"/>
                      <w:szCs w:val="21"/>
                    </w:rPr>
                  </w:pPr>
                  <w:r>
                    <w:rPr>
                      <w:kern w:val="0"/>
                      <w:sz w:val="21"/>
                      <w:szCs w:val="21"/>
                    </w:rPr>
                    <w:t>大洪河</w:t>
                  </w:r>
                </w:p>
              </w:tc>
              <w:tc>
                <w:tcPr>
                  <w:tcW w:w="997" w:type="dxa"/>
                  <w:vAlign w:val="center"/>
                </w:tcPr>
                <w:p>
                  <w:pPr>
                    <w:spacing w:line="240" w:lineRule="auto"/>
                    <w:ind w:left="-72" w:leftChars="-30" w:right="-72" w:rightChars="-30"/>
                    <w:jc w:val="center"/>
                    <w:rPr>
                      <w:kern w:val="0"/>
                      <w:sz w:val="21"/>
                      <w:szCs w:val="21"/>
                    </w:rPr>
                  </w:pPr>
                  <w:r>
                    <w:rPr>
                      <w:kern w:val="0"/>
                      <w:sz w:val="21"/>
                      <w:szCs w:val="21"/>
                    </w:rPr>
                    <w:t>岗架大桥</w:t>
                  </w:r>
                </w:p>
              </w:tc>
              <w:tc>
                <w:tcPr>
                  <w:tcW w:w="1695" w:type="dxa"/>
                  <w:vAlign w:val="center"/>
                </w:tcPr>
                <w:p>
                  <w:pPr>
                    <w:spacing w:line="240" w:lineRule="auto"/>
                    <w:ind w:left="-72" w:leftChars="-30" w:right="-72" w:rightChars="-30"/>
                    <w:jc w:val="center"/>
                    <w:rPr>
                      <w:kern w:val="0"/>
                      <w:sz w:val="21"/>
                      <w:szCs w:val="21"/>
                    </w:rPr>
                  </w:pPr>
                  <w:r>
                    <w:rPr>
                      <w:kern w:val="0"/>
                      <w:sz w:val="21"/>
                      <w:szCs w:val="21"/>
                    </w:rPr>
                    <w:t>市界</w:t>
                  </w:r>
                  <w:r>
                    <w:rPr>
                      <w:kern w:val="0"/>
                      <w:sz w:val="21"/>
                      <w:szCs w:val="21"/>
                    </w:rPr>
                    <w:br w:type="textWrapping"/>
                  </w:r>
                  <w:r>
                    <w:rPr>
                      <w:kern w:val="0"/>
                      <w:sz w:val="21"/>
                      <w:szCs w:val="21"/>
                    </w:rPr>
                    <w:t>(达州市→广安市)</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w:t>
                  </w:r>
                </w:p>
              </w:tc>
              <w:tc>
                <w:tcPr>
                  <w:tcW w:w="730" w:type="dxa"/>
                  <w:vAlign w:val="center"/>
                </w:tcPr>
                <w:p>
                  <w:pPr>
                    <w:spacing w:line="240" w:lineRule="auto"/>
                    <w:ind w:left="-72" w:leftChars="-30" w:right="-72" w:rightChars="-30"/>
                    <w:jc w:val="center"/>
                    <w:rPr>
                      <w:kern w:val="0"/>
                      <w:sz w:val="21"/>
                      <w:szCs w:val="21"/>
                    </w:rPr>
                  </w:pPr>
                  <w:r>
                    <w:rPr>
                      <w:kern w:val="0"/>
                      <w:sz w:val="21"/>
                      <w:szCs w:val="21"/>
                    </w:rPr>
                    <w:t>Ⅱ</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6</w:t>
                  </w:r>
                </w:p>
              </w:tc>
              <w:tc>
                <w:tcPr>
                  <w:tcW w:w="955" w:type="dxa"/>
                  <w:gridSpan w:val="2"/>
                  <w:vAlign w:val="center"/>
                </w:tcPr>
                <w:p>
                  <w:pPr>
                    <w:spacing w:line="240" w:lineRule="auto"/>
                    <w:ind w:left="-72" w:leftChars="-30" w:right="-72" w:rightChars="-30"/>
                    <w:jc w:val="center"/>
                    <w:rPr>
                      <w:kern w:val="0"/>
                      <w:sz w:val="21"/>
                      <w:szCs w:val="21"/>
                    </w:rPr>
                  </w:pPr>
                  <w:r>
                    <w:rPr>
                      <w:kern w:val="0"/>
                      <w:sz w:val="21"/>
                      <w:szCs w:val="21"/>
                    </w:rPr>
                    <w:t>渠江干流</w:t>
                  </w:r>
                </w:p>
              </w:tc>
              <w:tc>
                <w:tcPr>
                  <w:tcW w:w="997" w:type="dxa"/>
                  <w:vAlign w:val="center"/>
                </w:tcPr>
                <w:p>
                  <w:pPr>
                    <w:spacing w:line="240" w:lineRule="auto"/>
                    <w:ind w:left="-72" w:leftChars="-30" w:right="-72" w:rightChars="-30"/>
                    <w:jc w:val="center"/>
                    <w:rPr>
                      <w:kern w:val="0"/>
                      <w:sz w:val="21"/>
                      <w:szCs w:val="21"/>
                    </w:rPr>
                  </w:pPr>
                  <w:r>
                    <w:rPr>
                      <w:kern w:val="0"/>
                      <w:sz w:val="21"/>
                      <w:szCs w:val="21"/>
                    </w:rPr>
                    <w:t>团堡岭</w:t>
                  </w:r>
                </w:p>
              </w:tc>
              <w:tc>
                <w:tcPr>
                  <w:tcW w:w="1695" w:type="dxa"/>
                  <w:vAlign w:val="center"/>
                </w:tcPr>
                <w:p>
                  <w:pPr>
                    <w:spacing w:line="240" w:lineRule="auto"/>
                    <w:ind w:left="-72" w:leftChars="-30" w:right="-72" w:rightChars="-30"/>
                    <w:jc w:val="center"/>
                    <w:rPr>
                      <w:kern w:val="0"/>
                      <w:sz w:val="21"/>
                      <w:szCs w:val="21"/>
                    </w:rPr>
                  </w:pPr>
                  <w:r>
                    <w:rPr>
                      <w:kern w:val="0"/>
                      <w:sz w:val="21"/>
                      <w:szCs w:val="21"/>
                    </w:rPr>
                    <w:t>市界</w:t>
                  </w:r>
                  <w:r>
                    <w:rPr>
                      <w:kern w:val="0"/>
                      <w:sz w:val="21"/>
                      <w:szCs w:val="21"/>
                    </w:rPr>
                    <w:br w:type="textWrapping"/>
                  </w:r>
                  <w:r>
                    <w:rPr>
                      <w:kern w:val="0"/>
                      <w:sz w:val="21"/>
                      <w:szCs w:val="21"/>
                    </w:rPr>
                    <w:t>(达州市→广安市)</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Ⅱ</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7</w:t>
                  </w:r>
                </w:p>
              </w:tc>
              <w:tc>
                <w:tcPr>
                  <w:tcW w:w="955" w:type="dxa"/>
                  <w:gridSpan w:val="2"/>
                  <w:vAlign w:val="center"/>
                </w:tcPr>
                <w:p>
                  <w:pPr>
                    <w:spacing w:line="240" w:lineRule="auto"/>
                    <w:ind w:left="-72" w:leftChars="-30" w:right="-72" w:rightChars="-30"/>
                    <w:jc w:val="center"/>
                    <w:rPr>
                      <w:kern w:val="0"/>
                      <w:sz w:val="21"/>
                      <w:szCs w:val="21"/>
                    </w:rPr>
                  </w:pPr>
                  <w:r>
                    <w:rPr>
                      <w:kern w:val="0"/>
                      <w:sz w:val="21"/>
                      <w:szCs w:val="21"/>
                    </w:rPr>
                    <w:t>流江河</w:t>
                  </w:r>
                </w:p>
              </w:tc>
              <w:tc>
                <w:tcPr>
                  <w:tcW w:w="997" w:type="dxa"/>
                  <w:vAlign w:val="center"/>
                </w:tcPr>
                <w:p>
                  <w:pPr>
                    <w:spacing w:line="240" w:lineRule="auto"/>
                    <w:ind w:left="-72" w:leftChars="-30" w:right="-72" w:rightChars="-30"/>
                    <w:jc w:val="center"/>
                    <w:rPr>
                      <w:kern w:val="0"/>
                      <w:sz w:val="21"/>
                      <w:szCs w:val="21"/>
                    </w:rPr>
                  </w:pPr>
                  <w:r>
                    <w:rPr>
                      <w:kern w:val="0"/>
                      <w:sz w:val="21"/>
                      <w:szCs w:val="21"/>
                    </w:rPr>
                    <w:t>白兔乡</w:t>
                  </w:r>
                </w:p>
              </w:tc>
              <w:tc>
                <w:tcPr>
                  <w:tcW w:w="1695" w:type="dxa"/>
                  <w:vAlign w:val="center"/>
                </w:tcPr>
                <w:p>
                  <w:pPr>
                    <w:spacing w:line="240" w:lineRule="auto"/>
                    <w:ind w:left="-72" w:leftChars="-30" w:right="-72" w:rightChars="-30"/>
                    <w:jc w:val="center"/>
                    <w:rPr>
                      <w:kern w:val="0"/>
                      <w:sz w:val="21"/>
                      <w:szCs w:val="21"/>
                    </w:rPr>
                  </w:pPr>
                  <w:r>
                    <w:rPr>
                      <w:kern w:val="0"/>
                      <w:sz w:val="21"/>
                      <w:szCs w:val="21"/>
                    </w:rPr>
                    <w:t>市界</w:t>
                  </w:r>
                  <w:r>
                    <w:rPr>
                      <w:kern w:val="0"/>
                      <w:sz w:val="21"/>
                      <w:szCs w:val="21"/>
                    </w:rPr>
                    <w:br w:type="textWrapping"/>
                  </w:r>
                  <w:r>
                    <w:rPr>
                      <w:kern w:val="0"/>
                      <w:sz w:val="21"/>
                      <w:szCs w:val="21"/>
                    </w:rPr>
                    <w:t>(南充市→达州市)</w:t>
                  </w:r>
                </w:p>
              </w:tc>
              <w:tc>
                <w:tcPr>
                  <w:tcW w:w="1097" w:type="dxa"/>
                  <w:vAlign w:val="center"/>
                </w:tcPr>
                <w:p>
                  <w:pPr>
                    <w:spacing w:line="240" w:lineRule="auto"/>
                    <w:ind w:left="-72" w:leftChars="-30" w:right="-72" w:rightChars="-30"/>
                    <w:jc w:val="center"/>
                    <w:rPr>
                      <w:kern w:val="0"/>
                      <w:sz w:val="21"/>
                      <w:szCs w:val="21"/>
                    </w:rPr>
                  </w:pPr>
                  <w:r>
                    <w:rPr>
                      <w:kern w:val="0"/>
                      <w:sz w:val="21"/>
                      <w:szCs w:val="21"/>
                    </w:rPr>
                    <w:t>国控</w:t>
                  </w:r>
                </w:p>
              </w:tc>
              <w:tc>
                <w:tcPr>
                  <w:tcW w:w="498" w:type="dxa"/>
                  <w:vAlign w:val="center"/>
                </w:tcPr>
                <w:p>
                  <w:pPr>
                    <w:spacing w:line="240" w:lineRule="auto"/>
                    <w:ind w:left="-72" w:leftChars="-30" w:right="-72" w:rightChars="-30"/>
                    <w:jc w:val="center"/>
                    <w:rPr>
                      <w:kern w:val="0"/>
                      <w:sz w:val="21"/>
                      <w:szCs w:val="21"/>
                    </w:rPr>
                  </w:pPr>
                  <w:r>
                    <w:rPr>
                      <w:kern w:val="0"/>
                      <w:sz w:val="21"/>
                      <w:szCs w:val="21"/>
                    </w:rPr>
                    <w:t>Ⅳ</w:t>
                  </w:r>
                </w:p>
              </w:tc>
              <w:tc>
                <w:tcPr>
                  <w:tcW w:w="730" w:type="dxa"/>
                  <w:vAlign w:val="center"/>
                </w:tcPr>
                <w:p>
                  <w:pPr>
                    <w:spacing w:line="240" w:lineRule="auto"/>
                    <w:ind w:left="-72" w:leftChars="-30" w:right="-72" w:rightChars="-30"/>
                    <w:jc w:val="center"/>
                    <w:rPr>
                      <w:kern w:val="0"/>
                      <w:sz w:val="21"/>
                      <w:szCs w:val="21"/>
                    </w:rPr>
                  </w:pPr>
                  <w:r>
                    <w:rPr>
                      <w:kern w:val="0"/>
                      <w:sz w:val="21"/>
                      <w:szCs w:val="21"/>
                    </w:rPr>
                    <w:t>Ⅳ</w:t>
                  </w:r>
                </w:p>
              </w:tc>
              <w:tc>
                <w:tcPr>
                  <w:tcW w:w="575" w:type="dxa"/>
                  <w:vAlign w:val="center"/>
                </w:tcPr>
                <w:p>
                  <w:pPr>
                    <w:spacing w:line="240" w:lineRule="auto"/>
                    <w:ind w:left="-72" w:leftChars="-30" w:right="-72" w:rightChars="-30"/>
                    <w:jc w:val="center"/>
                    <w:rPr>
                      <w:kern w:val="0"/>
                      <w:sz w:val="21"/>
                      <w:szCs w:val="21"/>
                    </w:rPr>
                  </w:pPr>
                  <w:r>
                    <w:rPr>
                      <w:kern w:val="0"/>
                      <w:sz w:val="21"/>
                      <w:szCs w:val="21"/>
                    </w:rPr>
                    <w:t>Ⅳ</w:t>
                  </w:r>
                </w:p>
              </w:tc>
              <w:tc>
                <w:tcPr>
                  <w:tcW w:w="1365" w:type="dxa"/>
                  <w:vAlign w:val="center"/>
                </w:tcPr>
                <w:p>
                  <w:pPr>
                    <w:spacing w:line="240" w:lineRule="auto"/>
                    <w:ind w:left="-72" w:leftChars="-30" w:right="-72" w:rightChars="-30"/>
                    <w:jc w:val="center"/>
                    <w:rPr>
                      <w:kern w:val="0"/>
                      <w:sz w:val="21"/>
                      <w:szCs w:val="21"/>
                    </w:rPr>
                  </w:pPr>
                  <w:r>
                    <w:rPr>
                      <w:kern w:val="0"/>
                      <w:sz w:val="21"/>
                      <w:szCs w:val="21"/>
                    </w:rPr>
                    <w:t>高锰酸盐指数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8</w:t>
                  </w:r>
                </w:p>
              </w:tc>
              <w:tc>
                <w:tcPr>
                  <w:tcW w:w="485" w:type="dxa"/>
                  <w:vMerge w:val="restart"/>
                  <w:vAlign w:val="center"/>
                </w:tcPr>
                <w:p>
                  <w:pPr>
                    <w:spacing w:line="240" w:lineRule="auto"/>
                    <w:ind w:left="-72" w:leftChars="-30" w:right="-72" w:rightChars="-30"/>
                    <w:jc w:val="center"/>
                    <w:rPr>
                      <w:kern w:val="0"/>
                      <w:sz w:val="21"/>
                      <w:szCs w:val="21"/>
                    </w:rPr>
                  </w:pPr>
                  <w:r>
                    <w:rPr>
                      <w:kern w:val="0"/>
                      <w:sz w:val="21"/>
                      <w:szCs w:val="21"/>
                    </w:rPr>
                    <w:t>巴河水系</w:t>
                  </w:r>
                </w:p>
              </w:tc>
              <w:tc>
                <w:tcPr>
                  <w:tcW w:w="470" w:type="dxa"/>
                  <w:vMerge w:val="restart"/>
                  <w:vAlign w:val="center"/>
                </w:tcPr>
                <w:p>
                  <w:pPr>
                    <w:spacing w:line="240" w:lineRule="auto"/>
                    <w:ind w:left="-72" w:leftChars="-30" w:right="-72" w:rightChars="-30"/>
                    <w:jc w:val="center"/>
                    <w:rPr>
                      <w:kern w:val="0"/>
                      <w:sz w:val="21"/>
                      <w:szCs w:val="21"/>
                    </w:rPr>
                  </w:pPr>
                  <w:r>
                    <w:rPr>
                      <w:kern w:val="0"/>
                      <w:sz w:val="21"/>
                      <w:szCs w:val="21"/>
                    </w:rPr>
                    <w:t>干流</w:t>
                  </w:r>
                </w:p>
              </w:tc>
              <w:tc>
                <w:tcPr>
                  <w:tcW w:w="997" w:type="dxa"/>
                  <w:vAlign w:val="center"/>
                </w:tcPr>
                <w:p>
                  <w:pPr>
                    <w:spacing w:line="240" w:lineRule="auto"/>
                    <w:ind w:left="-72" w:leftChars="-30" w:right="-72" w:rightChars="-30"/>
                    <w:jc w:val="center"/>
                    <w:rPr>
                      <w:kern w:val="0"/>
                      <w:sz w:val="21"/>
                      <w:szCs w:val="21"/>
                    </w:rPr>
                  </w:pPr>
                  <w:r>
                    <w:rPr>
                      <w:kern w:val="0"/>
                      <w:sz w:val="21"/>
                      <w:szCs w:val="21"/>
                    </w:rPr>
                    <w:t>江陵</w:t>
                  </w:r>
                </w:p>
              </w:tc>
              <w:tc>
                <w:tcPr>
                  <w:tcW w:w="1695" w:type="dxa"/>
                  <w:vAlign w:val="center"/>
                </w:tcPr>
                <w:p>
                  <w:pPr>
                    <w:spacing w:line="240" w:lineRule="auto"/>
                    <w:ind w:left="-72" w:leftChars="-30" w:right="-72" w:rightChars="-30"/>
                    <w:jc w:val="center"/>
                    <w:rPr>
                      <w:kern w:val="0"/>
                      <w:sz w:val="21"/>
                      <w:szCs w:val="21"/>
                    </w:rPr>
                  </w:pPr>
                  <w:r>
                    <w:rPr>
                      <w:kern w:val="0"/>
                      <w:sz w:val="21"/>
                      <w:szCs w:val="21"/>
                    </w:rPr>
                    <w:t>市界</w:t>
                  </w:r>
                  <w:r>
                    <w:rPr>
                      <w:kern w:val="0"/>
                      <w:sz w:val="21"/>
                      <w:szCs w:val="21"/>
                    </w:rPr>
                    <w:br w:type="textWrapping"/>
                  </w:r>
                  <w:r>
                    <w:rPr>
                      <w:kern w:val="0"/>
                      <w:sz w:val="21"/>
                      <w:szCs w:val="21"/>
                    </w:rPr>
                    <w:t>(巴中市→达州市)</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Ⅰ</w:t>
                  </w:r>
                </w:p>
              </w:tc>
              <w:tc>
                <w:tcPr>
                  <w:tcW w:w="730" w:type="dxa"/>
                  <w:vAlign w:val="center"/>
                </w:tcPr>
                <w:p>
                  <w:pPr>
                    <w:spacing w:line="240" w:lineRule="auto"/>
                    <w:ind w:left="-72" w:leftChars="-30" w:right="-72" w:rightChars="-30"/>
                    <w:jc w:val="center"/>
                    <w:rPr>
                      <w:kern w:val="0"/>
                      <w:sz w:val="21"/>
                      <w:szCs w:val="21"/>
                    </w:rPr>
                  </w:pPr>
                  <w:r>
                    <w:rPr>
                      <w:kern w:val="0"/>
                      <w:sz w:val="21"/>
                      <w:szCs w:val="21"/>
                    </w:rPr>
                    <w:t>Ⅰ</w:t>
                  </w:r>
                </w:p>
              </w:tc>
              <w:tc>
                <w:tcPr>
                  <w:tcW w:w="575" w:type="dxa"/>
                  <w:vAlign w:val="center"/>
                </w:tcPr>
                <w:p>
                  <w:pPr>
                    <w:spacing w:line="240" w:lineRule="auto"/>
                    <w:ind w:left="-72" w:leftChars="-30" w:right="-72" w:rightChars="-30"/>
                    <w:jc w:val="center"/>
                    <w:rPr>
                      <w:kern w:val="0"/>
                      <w:sz w:val="21"/>
                      <w:szCs w:val="21"/>
                    </w:rPr>
                  </w:pPr>
                  <w:r>
                    <w:rPr>
                      <w:kern w:val="0"/>
                      <w:sz w:val="21"/>
                      <w:szCs w:val="21"/>
                    </w:rPr>
                    <w:t>Ⅰ</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9</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continue"/>
                  <w:vAlign w:val="center"/>
                </w:tcPr>
                <w:p>
                  <w:pPr>
                    <w:spacing w:line="240" w:lineRule="auto"/>
                    <w:ind w:left="-72" w:leftChars="-30" w:right="-72" w:rightChars="-30"/>
                    <w:jc w:val="center"/>
                    <w:rPr>
                      <w:kern w:val="0"/>
                      <w:sz w:val="21"/>
                      <w:szCs w:val="21"/>
                    </w:rPr>
                  </w:pPr>
                </w:p>
              </w:tc>
              <w:tc>
                <w:tcPr>
                  <w:tcW w:w="997" w:type="dxa"/>
                  <w:vAlign w:val="center"/>
                </w:tcPr>
                <w:p>
                  <w:pPr>
                    <w:spacing w:line="240" w:lineRule="auto"/>
                    <w:ind w:left="-72" w:leftChars="-30" w:right="-72" w:rightChars="-30"/>
                    <w:jc w:val="center"/>
                    <w:rPr>
                      <w:kern w:val="0"/>
                      <w:sz w:val="21"/>
                      <w:szCs w:val="21"/>
                    </w:rPr>
                  </w:pPr>
                  <w:r>
                    <w:rPr>
                      <w:kern w:val="0"/>
                      <w:sz w:val="21"/>
                      <w:szCs w:val="21"/>
                    </w:rPr>
                    <w:t>大蹬沟</w:t>
                  </w:r>
                </w:p>
              </w:tc>
              <w:tc>
                <w:tcPr>
                  <w:tcW w:w="1695" w:type="dxa"/>
                  <w:vAlign w:val="center"/>
                </w:tcPr>
                <w:p>
                  <w:pPr>
                    <w:spacing w:line="240" w:lineRule="auto"/>
                    <w:ind w:left="-72" w:leftChars="-30" w:right="-72" w:rightChars="-30"/>
                    <w:jc w:val="center"/>
                    <w:rPr>
                      <w:kern w:val="0"/>
                      <w:sz w:val="21"/>
                      <w:szCs w:val="21"/>
                    </w:rPr>
                  </w:pPr>
                  <w:r>
                    <w:rPr>
                      <w:kern w:val="0"/>
                      <w:sz w:val="21"/>
                      <w:szCs w:val="21"/>
                    </w:rPr>
                    <w:t>渠县境内</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Ⅰ</w:t>
                  </w:r>
                </w:p>
              </w:tc>
              <w:tc>
                <w:tcPr>
                  <w:tcW w:w="730" w:type="dxa"/>
                  <w:vAlign w:val="center"/>
                </w:tcPr>
                <w:p>
                  <w:pPr>
                    <w:spacing w:line="240" w:lineRule="auto"/>
                    <w:ind w:left="-72" w:leftChars="-30" w:right="-72" w:rightChars="-30"/>
                    <w:jc w:val="center"/>
                    <w:rPr>
                      <w:kern w:val="0"/>
                      <w:sz w:val="21"/>
                      <w:szCs w:val="21"/>
                    </w:rPr>
                  </w:pPr>
                  <w:r>
                    <w:rPr>
                      <w:kern w:val="0"/>
                      <w:sz w:val="21"/>
                      <w:szCs w:val="21"/>
                    </w:rPr>
                    <w:t>Ⅱ</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10</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continue"/>
                  <w:vAlign w:val="center"/>
                </w:tcPr>
                <w:p>
                  <w:pPr>
                    <w:spacing w:line="240" w:lineRule="auto"/>
                    <w:ind w:left="-72" w:leftChars="-30" w:right="-72" w:rightChars="-30"/>
                    <w:jc w:val="center"/>
                    <w:rPr>
                      <w:kern w:val="0"/>
                      <w:sz w:val="21"/>
                      <w:szCs w:val="21"/>
                    </w:rPr>
                  </w:pPr>
                </w:p>
              </w:tc>
              <w:tc>
                <w:tcPr>
                  <w:tcW w:w="997" w:type="dxa"/>
                  <w:vAlign w:val="center"/>
                </w:tcPr>
                <w:p>
                  <w:pPr>
                    <w:spacing w:line="240" w:lineRule="auto"/>
                    <w:ind w:left="-72" w:leftChars="-30" w:right="-72" w:rightChars="-30"/>
                    <w:jc w:val="center"/>
                    <w:rPr>
                      <w:kern w:val="0"/>
                      <w:sz w:val="21"/>
                      <w:szCs w:val="21"/>
                    </w:rPr>
                  </w:pPr>
                  <w:r>
                    <w:rPr>
                      <w:kern w:val="0"/>
                      <w:sz w:val="21"/>
                      <w:szCs w:val="21"/>
                    </w:rPr>
                    <w:t>排马梯</w:t>
                  </w:r>
                </w:p>
              </w:tc>
              <w:tc>
                <w:tcPr>
                  <w:tcW w:w="1695" w:type="dxa"/>
                  <w:vAlign w:val="center"/>
                </w:tcPr>
                <w:p>
                  <w:pPr>
                    <w:spacing w:line="240" w:lineRule="auto"/>
                    <w:ind w:left="-72" w:leftChars="-30" w:right="-72" w:rightChars="-30"/>
                    <w:jc w:val="center"/>
                    <w:rPr>
                      <w:kern w:val="0"/>
                      <w:sz w:val="21"/>
                      <w:szCs w:val="21"/>
                    </w:rPr>
                  </w:pPr>
                  <w:r>
                    <w:rPr>
                      <w:kern w:val="0"/>
                      <w:sz w:val="21"/>
                      <w:szCs w:val="21"/>
                    </w:rPr>
                    <w:t>县界</w:t>
                  </w:r>
                  <w:r>
                    <w:rPr>
                      <w:kern w:val="0"/>
                      <w:sz w:val="21"/>
                      <w:szCs w:val="21"/>
                    </w:rPr>
                    <w:br w:type="textWrapping"/>
                  </w:r>
                  <w:r>
                    <w:rPr>
                      <w:kern w:val="0"/>
                      <w:sz w:val="21"/>
                      <w:szCs w:val="21"/>
                    </w:rPr>
                    <w:t>(通川区→达川区)</w:t>
                  </w:r>
                </w:p>
              </w:tc>
              <w:tc>
                <w:tcPr>
                  <w:tcW w:w="1097" w:type="dxa"/>
                  <w:vAlign w:val="center"/>
                </w:tcPr>
                <w:p>
                  <w:pPr>
                    <w:spacing w:line="240" w:lineRule="auto"/>
                    <w:ind w:left="-72" w:leftChars="-30" w:right="-72" w:rightChars="-30"/>
                    <w:jc w:val="center"/>
                    <w:rPr>
                      <w:kern w:val="0"/>
                      <w:sz w:val="21"/>
                      <w:szCs w:val="21"/>
                    </w:rPr>
                  </w:pPr>
                  <w:r>
                    <w:rPr>
                      <w:kern w:val="0"/>
                      <w:sz w:val="21"/>
                      <w:szCs w:val="21"/>
                    </w:rPr>
                    <w:t>省控考核评价</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Ⅱ</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11</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continue"/>
                  <w:vAlign w:val="center"/>
                </w:tcPr>
                <w:p>
                  <w:pPr>
                    <w:spacing w:line="240" w:lineRule="auto"/>
                    <w:ind w:left="-72" w:leftChars="-30" w:right="-72" w:rightChars="-30"/>
                    <w:jc w:val="center"/>
                    <w:rPr>
                      <w:kern w:val="0"/>
                      <w:sz w:val="21"/>
                      <w:szCs w:val="21"/>
                    </w:rPr>
                  </w:pPr>
                </w:p>
              </w:tc>
              <w:tc>
                <w:tcPr>
                  <w:tcW w:w="997" w:type="dxa"/>
                  <w:vAlign w:val="center"/>
                </w:tcPr>
                <w:p>
                  <w:pPr>
                    <w:spacing w:line="240" w:lineRule="auto"/>
                    <w:ind w:left="-72" w:leftChars="-30" w:right="-72" w:rightChars="-30"/>
                    <w:jc w:val="center"/>
                    <w:rPr>
                      <w:kern w:val="0"/>
                      <w:sz w:val="21"/>
                      <w:szCs w:val="21"/>
                    </w:rPr>
                  </w:pPr>
                  <w:r>
                    <w:rPr>
                      <w:kern w:val="0"/>
                      <w:sz w:val="21"/>
                      <w:szCs w:val="21"/>
                    </w:rPr>
                    <w:t>清河坝</w:t>
                  </w:r>
                </w:p>
              </w:tc>
              <w:tc>
                <w:tcPr>
                  <w:tcW w:w="1695" w:type="dxa"/>
                  <w:vAlign w:val="center"/>
                </w:tcPr>
                <w:p>
                  <w:pPr>
                    <w:spacing w:line="240" w:lineRule="auto"/>
                    <w:ind w:left="-72" w:leftChars="-30" w:right="-72" w:rightChars="-30"/>
                    <w:jc w:val="center"/>
                    <w:rPr>
                      <w:kern w:val="0"/>
                      <w:sz w:val="21"/>
                      <w:szCs w:val="21"/>
                    </w:rPr>
                  </w:pPr>
                  <w:r>
                    <w:rPr>
                      <w:kern w:val="0"/>
                      <w:sz w:val="21"/>
                      <w:szCs w:val="21"/>
                    </w:rPr>
                    <w:t>县界</w:t>
                  </w:r>
                  <w:r>
                    <w:rPr>
                      <w:kern w:val="0"/>
                      <w:sz w:val="21"/>
                      <w:szCs w:val="21"/>
                    </w:rPr>
                    <w:br w:type="textWrapping"/>
                  </w:r>
                  <w:r>
                    <w:rPr>
                      <w:kern w:val="0"/>
                      <w:sz w:val="21"/>
                      <w:szCs w:val="21"/>
                    </w:rPr>
                    <w:t>(达川区→渠县)</w:t>
                  </w:r>
                </w:p>
              </w:tc>
              <w:tc>
                <w:tcPr>
                  <w:tcW w:w="1097" w:type="dxa"/>
                  <w:vAlign w:val="center"/>
                </w:tcPr>
                <w:p>
                  <w:pPr>
                    <w:spacing w:line="240" w:lineRule="auto"/>
                    <w:ind w:left="-72" w:leftChars="-30" w:right="-72" w:rightChars="-30"/>
                    <w:jc w:val="center"/>
                    <w:rPr>
                      <w:kern w:val="0"/>
                      <w:sz w:val="21"/>
                      <w:szCs w:val="21"/>
                    </w:rPr>
                  </w:pPr>
                  <w:r>
                    <w:rPr>
                      <w:kern w:val="0"/>
                      <w:sz w:val="21"/>
                      <w:szCs w:val="21"/>
                    </w:rPr>
                    <w:t>省控考核评价</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Ⅱ</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12</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Align w:val="center"/>
                </w:tcPr>
                <w:p>
                  <w:pPr>
                    <w:spacing w:line="240" w:lineRule="auto"/>
                    <w:ind w:left="-72" w:leftChars="-30" w:right="-72" w:rightChars="-30"/>
                    <w:jc w:val="center"/>
                    <w:rPr>
                      <w:kern w:val="0"/>
                      <w:sz w:val="21"/>
                      <w:szCs w:val="21"/>
                    </w:rPr>
                  </w:pPr>
                  <w:r>
                    <w:rPr>
                      <w:kern w:val="0"/>
                      <w:sz w:val="21"/>
                      <w:szCs w:val="21"/>
                    </w:rPr>
                    <w:t>月滩河</w:t>
                  </w:r>
                </w:p>
              </w:tc>
              <w:tc>
                <w:tcPr>
                  <w:tcW w:w="997" w:type="dxa"/>
                  <w:vAlign w:val="center"/>
                </w:tcPr>
                <w:p>
                  <w:pPr>
                    <w:spacing w:line="240" w:lineRule="auto"/>
                    <w:ind w:left="-72" w:leftChars="-30" w:right="-72" w:rightChars="-30"/>
                    <w:jc w:val="center"/>
                    <w:rPr>
                      <w:kern w:val="0"/>
                      <w:sz w:val="21"/>
                      <w:szCs w:val="21"/>
                    </w:rPr>
                  </w:pPr>
                  <w:r>
                    <w:rPr>
                      <w:kern w:val="0"/>
                      <w:sz w:val="21"/>
                      <w:szCs w:val="21"/>
                    </w:rPr>
                    <w:t>苟家湾</w:t>
                  </w:r>
                </w:p>
              </w:tc>
              <w:tc>
                <w:tcPr>
                  <w:tcW w:w="1695" w:type="dxa"/>
                  <w:vAlign w:val="center"/>
                </w:tcPr>
                <w:p>
                  <w:pPr>
                    <w:spacing w:line="240" w:lineRule="auto"/>
                    <w:ind w:left="-72" w:leftChars="-30" w:right="-72" w:rightChars="-30"/>
                    <w:jc w:val="center"/>
                    <w:rPr>
                      <w:kern w:val="0"/>
                      <w:sz w:val="21"/>
                      <w:szCs w:val="21"/>
                    </w:rPr>
                  </w:pPr>
                  <w:r>
                    <w:rPr>
                      <w:kern w:val="0"/>
                      <w:sz w:val="21"/>
                      <w:szCs w:val="21"/>
                    </w:rPr>
                    <w:t>市界</w:t>
                  </w:r>
                  <w:r>
                    <w:rPr>
                      <w:kern w:val="0"/>
                      <w:sz w:val="21"/>
                      <w:szCs w:val="21"/>
                    </w:rPr>
                    <w:br w:type="textWrapping"/>
                  </w:r>
                  <w:r>
                    <w:rPr>
                      <w:kern w:val="0"/>
                      <w:sz w:val="21"/>
                      <w:szCs w:val="21"/>
                    </w:rPr>
                    <w:t>(达州市→巴中市)</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13</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Align w:val="center"/>
                </w:tcPr>
                <w:p>
                  <w:pPr>
                    <w:spacing w:line="240" w:lineRule="auto"/>
                    <w:ind w:left="-72" w:leftChars="-30" w:right="-72" w:rightChars="-30"/>
                    <w:jc w:val="center"/>
                    <w:rPr>
                      <w:kern w:val="0"/>
                      <w:sz w:val="21"/>
                      <w:szCs w:val="21"/>
                    </w:rPr>
                  </w:pPr>
                  <w:r>
                    <w:rPr>
                      <w:kern w:val="0"/>
                      <w:sz w:val="21"/>
                      <w:szCs w:val="21"/>
                    </w:rPr>
                    <w:t>澌滩河</w:t>
                  </w:r>
                </w:p>
              </w:tc>
              <w:tc>
                <w:tcPr>
                  <w:tcW w:w="997" w:type="dxa"/>
                  <w:vAlign w:val="center"/>
                </w:tcPr>
                <w:p>
                  <w:pPr>
                    <w:spacing w:line="240" w:lineRule="auto"/>
                    <w:ind w:left="-72" w:leftChars="-30" w:right="-72" w:rightChars="-30"/>
                    <w:jc w:val="center"/>
                    <w:rPr>
                      <w:kern w:val="0"/>
                      <w:sz w:val="21"/>
                      <w:szCs w:val="21"/>
                    </w:rPr>
                  </w:pPr>
                  <w:r>
                    <w:rPr>
                      <w:kern w:val="0"/>
                      <w:sz w:val="21"/>
                      <w:szCs w:val="21"/>
                    </w:rPr>
                    <w:t>园门</w:t>
                  </w:r>
                </w:p>
              </w:tc>
              <w:tc>
                <w:tcPr>
                  <w:tcW w:w="1695" w:type="dxa"/>
                  <w:vAlign w:val="center"/>
                </w:tcPr>
                <w:p>
                  <w:pPr>
                    <w:spacing w:line="240" w:lineRule="auto"/>
                    <w:ind w:left="-72" w:leftChars="-30" w:right="-72" w:rightChars="-30"/>
                    <w:jc w:val="center"/>
                    <w:rPr>
                      <w:kern w:val="0"/>
                      <w:sz w:val="21"/>
                      <w:szCs w:val="21"/>
                    </w:rPr>
                  </w:pPr>
                  <w:r>
                    <w:rPr>
                      <w:kern w:val="0"/>
                      <w:sz w:val="21"/>
                      <w:szCs w:val="21"/>
                    </w:rPr>
                    <w:t>市界</w:t>
                  </w:r>
                  <w:r>
                    <w:rPr>
                      <w:kern w:val="0"/>
                      <w:sz w:val="21"/>
                      <w:szCs w:val="21"/>
                    </w:rPr>
                    <w:br w:type="textWrapping"/>
                  </w:r>
                  <w:r>
                    <w:rPr>
                      <w:kern w:val="0"/>
                      <w:sz w:val="21"/>
                      <w:szCs w:val="21"/>
                    </w:rPr>
                    <w:t>(达州市→巴中市)</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14</w:t>
                  </w:r>
                </w:p>
              </w:tc>
              <w:tc>
                <w:tcPr>
                  <w:tcW w:w="485" w:type="dxa"/>
                  <w:vMerge w:val="restart"/>
                  <w:vAlign w:val="center"/>
                </w:tcPr>
                <w:p>
                  <w:pPr>
                    <w:spacing w:line="240" w:lineRule="auto"/>
                    <w:ind w:left="-72" w:leftChars="-30" w:right="-72" w:rightChars="-30"/>
                    <w:jc w:val="center"/>
                    <w:rPr>
                      <w:kern w:val="0"/>
                      <w:sz w:val="21"/>
                      <w:szCs w:val="21"/>
                    </w:rPr>
                  </w:pPr>
                  <w:r>
                    <w:rPr>
                      <w:kern w:val="0"/>
                      <w:sz w:val="21"/>
                      <w:szCs w:val="21"/>
                    </w:rPr>
                    <w:t>州河水系</w:t>
                  </w:r>
                </w:p>
              </w:tc>
              <w:tc>
                <w:tcPr>
                  <w:tcW w:w="470" w:type="dxa"/>
                  <w:vMerge w:val="restart"/>
                  <w:vAlign w:val="center"/>
                </w:tcPr>
                <w:p>
                  <w:pPr>
                    <w:spacing w:line="240" w:lineRule="auto"/>
                    <w:ind w:left="-72" w:leftChars="-30" w:right="-72" w:rightChars="-30"/>
                    <w:jc w:val="center"/>
                    <w:rPr>
                      <w:kern w:val="0"/>
                      <w:sz w:val="21"/>
                      <w:szCs w:val="21"/>
                    </w:rPr>
                  </w:pPr>
                  <w:r>
                    <w:rPr>
                      <w:kern w:val="0"/>
                      <w:sz w:val="21"/>
                      <w:szCs w:val="21"/>
                    </w:rPr>
                    <w:t>干流</w:t>
                  </w:r>
                </w:p>
              </w:tc>
              <w:tc>
                <w:tcPr>
                  <w:tcW w:w="997" w:type="dxa"/>
                  <w:vAlign w:val="center"/>
                </w:tcPr>
                <w:p>
                  <w:pPr>
                    <w:spacing w:line="240" w:lineRule="auto"/>
                    <w:ind w:left="-72" w:leftChars="-30" w:right="-72" w:rightChars="-30"/>
                    <w:jc w:val="center"/>
                    <w:rPr>
                      <w:kern w:val="0"/>
                      <w:sz w:val="21"/>
                      <w:szCs w:val="21"/>
                    </w:rPr>
                  </w:pPr>
                  <w:r>
                    <w:rPr>
                      <w:kern w:val="0"/>
                      <w:sz w:val="21"/>
                      <w:szCs w:val="21"/>
                    </w:rPr>
                    <w:t>舵石盘</w:t>
                  </w:r>
                </w:p>
              </w:tc>
              <w:tc>
                <w:tcPr>
                  <w:tcW w:w="1695" w:type="dxa"/>
                  <w:vAlign w:val="center"/>
                </w:tcPr>
                <w:p>
                  <w:pPr>
                    <w:spacing w:line="240" w:lineRule="auto"/>
                    <w:ind w:left="-72" w:leftChars="-30" w:right="-72" w:rightChars="-30"/>
                    <w:jc w:val="center"/>
                    <w:rPr>
                      <w:kern w:val="0"/>
                      <w:sz w:val="21"/>
                      <w:szCs w:val="21"/>
                    </w:rPr>
                  </w:pPr>
                  <w:r>
                    <w:rPr>
                      <w:kern w:val="0"/>
                      <w:sz w:val="21"/>
                      <w:szCs w:val="21"/>
                    </w:rPr>
                    <w:t>渠县境内</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Ⅲ</w:t>
                  </w:r>
                </w:p>
              </w:tc>
              <w:tc>
                <w:tcPr>
                  <w:tcW w:w="730" w:type="dxa"/>
                  <w:vAlign w:val="center"/>
                </w:tcPr>
                <w:p>
                  <w:pPr>
                    <w:spacing w:line="240" w:lineRule="auto"/>
                    <w:ind w:left="-72" w:leftChars="-30" w:right="-72" w:rightChars="-30"/>
                    <w:jc w:val="center"/>
                    <w:rPr>
                      <w:kern w:val="0"/>
                      <w:sz w:val="21"/>
                      <w:szCs w:val="21"/>
                    </w:rPr>
                  </w:pPr>
                  <w:r>
                    <w:rPr>
                      <w:kern w:val="0"/>
                      <w:sz w:val="21"/>
                      <w:szCs w:val="21"/>
                    </w:rPr>
                    <w:t>Ⅱ</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15</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continue"/>
                  <w:vAlign w:val="center"/>
                </w:tcPr>
                <w:p>
                  <w:pPr>
                    <w:spacing w:line="240" w:lineRule="auto"/>
                    <w:ind w:left="-72" w:leftChars="-30" w:right="-72" w:rightChars="-30"/>
                    <w:jc w:val="center"/>
                    <w:rPr>
                      <w:kern w:val="0"/>
                      <w:sz w:val="21"/>
                      <w:szCs w:val="21"/>
                    </w:rPr>
                  </w:pPr>
                </w:p>
              </w:tc>
              <w:tc>
                <w:tcPr>
                  <w:tcW w:w="997" w:type="dxa"/>
                  <w:vAlign w:val="center"/>
                </w:tcPr>
                <w:p>
                  <w:pPr>
                    <w:spacing w:line="240" w:lineRule="auto"/>
                    <w:ind w:left="-72" w:leftChars="-30" w:right="-72" w:rightChars="-30"/>
                    <w:jc w:val="center"/>
                    <w:rPr>
                      <w:kern w:val="0"/>
                      <w:sz w:val="21"/>
                      <w:szCs w:val="21"/>
                    </w:rPr>
                  </w:pPr>
                  <w:r>
                    <w:rPr>
                      <w:kern w:val="0"/>
                      <w:sz w:val="21"/>
                      <w:szCs w:val="21"/>
                    </w:rPr>
                    <w:t>车家河</w:t>
                  </w:r>
                </w:p>
              </w:tc>
              <w:tc>
                <w:tcPr>
                  <w:tcW w:w="1695" w:type="dxa"/>
                  <w:vAlign w:val="center"/>
                </w:tcPr>
                <w:p>
                  <w:pPr>
                    <w:spacing w:line="240" w:lineRule="auto"/>
                    <w:ind w:left="-72" w:leftChars="-30" w:right="-72" w:rightChars="-30"/>
                    <w:jc w:val="center"/>
                    <w:rPr>
                      <w:kern w:val="0"/>
                      <w:sz w:val="21"/>
                      <w:szCs w:val="21"/>
                    </w:rPr>
                  </w:pPr>
                  <w:r>
                    <w:rPr>
                      <w:kern w:val="0"/>
                      <w:sz w:val="21"/>
                      <w:szCs w:val="21"/>
                    </w:rPr>
                    <w:t>市城区</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Ⅱ</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16</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continue"/>
                  <w:vAlign w:val="center"/>
                </w:tcPr>
                <w:p>
                  <w:pPr>
                    <w:spacing w:line="240" w:lineRule="auto"/>
                    <w:ind w:left="-72" w:leftChars="-30" w:right="-72" w:rightChars="-30"/>
                    <w:jc w:val="center"/>
                    <w:rPr>
                      <w:kern w:val="0"/>
                      <w:sz w:val="21"/>
                      <w:szCs w:val="21"/>
                    </w:rPr>
                  </w:pPr>
                </w:p>
              </w:tc>
              <w:tc>
                <w:tcPr>
                  <w:tcW w:w="997" w:type="dxa"/>
                  <w:vAlign w:val="center"/>
                </w:tcPr>
                <w:p>
                  <w:pPr>
                    <w:spacing w:line="240" w:lineRule="auto"/>
                    <w:ind w:left="-72" w:leftChars="-30" w:right="-72" w:rightChars="-30"/>
                    <w:jc w:val="center"/>
                    <w:rPr>
                      <w:kern w:val="0"/>
                      <w:sz w:val="21"/>
                      <w:szCs w:val="21"/>
                    </w:rPr>
                  </w:pPr>
                  <w:r>
                    <w:rPr>
                      <w:kern w:val="0"/>
                      <w:sz w:val="21"/>
                      <w:szCs w:val="21"/>
                    </w:rPr>
                    <w:t>张鼓坪</w:t>
                  </w:r>
                </w:p>
              </w:tc>
              <w:tc>
                <w:tcPr>
                  <w:tcW w:w="1695" w:type="dxa"/>
                  <w:vAlign w:val="center"/>
                </w:tcPr>
                <w:p>
                  <w:pPr>
                    <w:spacing w:line="240" w:lineRule="auto"/>
                    <w:ind w:left="-72" w:leftChars="-30" w:right="-72" w:rightChars="-30"/>
                    <w:jc w:val="center"/>
                    <w:rPr>
                      <w:kern w:val="0"/>
                      <w:sz w:val="21"/>
                      <w:szCs w:val="21"/>
                    </w:rPr>
                  </w:pPr>
                  <w:r>
                    <w:rPr>
                      <w:kern w:val="0"/>
                      <w:sz w:val="21"/>
                      <w:szCs w:val="21"/>
                    </w:rPr>
                    <w:t>县界</w:t>
                  </w:r>
                  <w:r>
                    <w:rPr>
                      <w:kern w:val="0"/>
                      <w:sz w:val="21"/>
                      <w:szCs w:val="21"/>
                    </w:rPr>
                    <w:br w:type="textWrapping"/>
                  </w:r>
                  <w:r>
                    <w:rPr>
                      <w:kern w:val="0"/>
                      <w:sz w:val="21"/>
                      <w:szCs w:val="21"/>
                    </w:rPr>
                    <w:t>(宣汉县→通川区)</w:t>
                  </w:r>
                </w:p>
              </w:tc>
              <w:tc>
                <w:tcPr>
                  <w:tcW w:w="1097" w:type="dxa"/>
                  <w:vAlign w:val="center"/>
                </w:tcPr>
                <w:p>
                  <w:pPr>
                    <w:spacing w:line="240" w:lineRule="auto"/>
                    <w:ind w:left="-72" w:leftChars="-30" w:right="-72" w:rightChars="-30"/>
                    <w:jc w:val="center"/>
                    <w:rPr>
                      <w:kern w:val="0"/>
                      <w:sz w:val="21"/>
                      <w:szCs w:val="21"/>
                    </w:rPr>
                  </w:pPr>
                  <w:r>
                    <w:rPr>
                      <w:kern w:val="0"/>
                      <w:sz w:val="21"/>
                      <w:szCs w:val="21"/>
                    </w:rPr>
                    <w:t>省控考核评价</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Ⅲ</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17</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continue"/>
                  <w:vAlign w:val="center"/>
                </w:tcPr>
                <w:p>
                  <w:pPr>
                    <w:spacing w:line="240" w:lineRule="auto"/>
                    <w:ind w:left="-72" w:leftChars="-30" w:right="-72" w:rightChars="-30"/>
                    <w:jc w:val="center"/>
                    <w:rPr>
                      <w:kern w:val="0"/>
                      <w:sz w:val="21"/>
                      <w:szCs w:val="21"/>
                    </w:rPr>
                  </w:pPr>
                </w:p>
              </w:tc>
              <w:tc>
                <w:tcPr>
                  <w:tcW w:w="997" w:type="dxa"/>
                  <w:vAlign w:val="center"/>
                </w:tcPr>
                <w:p>
                  <w:pPr>
                    <w:spacing w:line="240" w:lineRule="auto"/>
                    <w:ind w:left="-72" w:leftChars="-30" w:right="-72" w:rightChars="-30"/>
                    <w:jc w:val="center"/>
                    <w:rPr>
                      <w:kern w:val="0"/>
                      <w:sz w:val="21"/>
                      <w:szCs w:val="21"/>
                    </w:rPr>
                  </w:pPr>
                  <w:r>
                    <w:rPr>
                      <w:kern w:val="0"/>
                      <w:sz w:val="21"/>
                      <w:szCs w:val="21"/>
                    </w:rPr>
                    <w:t>白鹤山</w:t>
                  </w:r>
                </w:p>
              </w:tc>
              <w:tc>
                <w:tcPr>
                  <w:tcW w:w="1695" w:type="dxa"/>
                  <w:vAlign w:val="center"/>
                </w:tcPr>
                <w:p>
                  <w:pPr>
                    <w:spacing w:line="240" w:lineRule="auto"/>
                    <w:ind w:left="-72" w:leftChars="-30" w:right="-72" w:rightChars="-30"/>
                    <w:jc w:val="center"/>
                    <w:rPr>
                      <w:kern w:val="0"/>
                      <w:sz w:val="21"/>
                      <w:szCs w:val="21"/>
                    </w:rPr>
                  </w:pPr>
                  <w:r>
                    <w:rPr>
                      <w:kern w:val="0"/>
                      <w:sz w:val="21"/>
                      <w:szCs w:val="21"/>
                    </w:rPr>
                    <w:t>县界</w:t>
                  </w:r>
                  <w:r>
                    <w:rPr>
                      <w:kern w:val="0"/>
                      <w:sz w:val="21"/>
                      <w:szCs w:val="21"/>
                    </w:rPr>
                    <w:br w:type="textWrapping"/>
                  </w:r>
                  <w:r>
                    <w:rPr>
                      <w:kern w:val="0"/>
                      <w:sz w:val="21"/>
                      <w:szCs w:val="21"/>
                    </w:rPr>
                    <w:t>(达川区→渠县)</w:t>
                  </w:r>
                </w:p>
              </w:tc>
              <w:tc>
                <w:tcPr>
                  <w:tcW w:w="1097" w:type="dxa"/>
                  <w:vAlign w:val="center"/>
                </w:tcPr>
                <w:p>
                  <w:pPr>
                    <w:spacing w:line="240" w:lineRule="auto"/>
                    <w:ind w:left="-72" w:leftChars="-30" w:right="-72" w:rightChars="-30"/>
                    <w:jc w:val="center"/>
                    <w:rPr>
                      <w:kern w:val="0"/>
                      <w:sz w:val="21"/>
                      <w:szCs w:val="21"/>
                    </w:rPr>
                  </w:pPr>
                  <w:r>
                    <w:rPr>
                      <w:kern w:val="0"/>
                      <w:sz w:val="21"/>
                      <w:szCs w:val="21"/>
                    </w:rPr>
                    <w:t>省控考核评价</w:t>
                  </w:r>
                </w:p>
              </w:tc>
              <w:tc>
                <w:tcPr>
                  <w:tcW w:w="498" w:type="dxa"/>
                  <w:vAlign w:val="center"/>
                </w:tcPr>
                <w:p>
                  <w:pPr>
                    <w:spacing w:line="240" w:lineRule="auto"/>
                    <w:ind w:left="-72" w:leftChars="-30" w:right="-72" w:rightChars="-30"/>
                    <w:jc w:val="center"/>
                    <w:rPr>
                      <w:kern w:val="0"/>
                      <w:sz w:val="21"/>
                      <w:szCs w:val="21"/>
                    </w:rPr>
                  </w:pPr>
                  <w:r>
                    <w:rPr>
                      <w:kern w:val="0"/>
                      <w:sz w:val="21"/>
                      <w:szCs w:val="21"/>
                    </w:rPr>
                    <w:t>Ⅲ</w:t>
                  </w:r>
                </w:p>
              </w:tc>
              <w:tc>
                <w:tcPr>
                  <w:tcW w:w="730" w:type="dxa"/>
                  <w:vAlign w:val="center"/>
                </w:tcPr>
                <w:p>
                  <w:pPr>
                    <w:spacing w:line="240" w:lineRule="auto"/>
                    <w:ind w:left="-72" w:leftChars="-30" w:right="-72" w:rightChars="-30"/>
                    <w:jc w:val="center"/>
                    <w:rPr>
                      <w:kern w:val="0"/>
                      <w:sz w:val="21"/>
                      <w:szCs w:val="21"/>
                    </w:rPr>
                  </w:pPr>
                  <w:r>
                    <w:rPr>
                      <w:kern w:val="0"/>
                      <w:sz w:val="21"/>
                      <w:szCs w:val="21"/>
                    </w:rPr>
                    <w:t>Ⅲ</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18</w:t>
                  </w:r>
                </w:p>
              </w:tc>
              <w:tc>
                <w:tcPr>
                  <w:tcW w:w="485" w:type="dxa"/>
                  <w:vMerge w:val="restart"/>
                  <w:vAlign w:val="center"/>
                </w:tcPr>
                <w:p>
                  <w:pPr>
                    <w:spacing w:line="240" w:lineRule="auto"/>
                    <w:ind w:left="-72" w:leftChars="-30" w:right="-72" w:rightChars="-30"/>
                    <w:jc w:val="center"/>
                    <w:rPr>
                      <w:kern w:val="0"/>
                      <w:sz w:val="21"/>
                      <w:szCs w:val="21"/>
                    </w:rPr>
                  </w:pPr>
                  <w:r>
                    <w:rPr>
                      <w:kern w:val="0"/>
                      <w:sz w:val="21"/>
                      <w:szCs w:val="21"/>
                    </w:rPr>
                    <w:t>州河水系</w:t>
                  </w:r>
                </w:p>
              </w:tc>
              <w:tc>
                <w:tcPr>
                  <w:tcW w:w="470" w:type="dxa"/>
                  <w:vAlign w:val="center"/>
                </w:tcPr>
                <w:p>
                  <w:pPr>
                    <w:spacing w:line="240" w:lineRule="auto"/>
                    <w:ind w:left="-72" w:leftChars="-30" w:right="-72" w:rightChars="-30"/>
                    <w:jc w:val="center"/>
                    <w:rPr>
                      <w:kern w:val="0"/>
                      <w:sz w:val="21"/>
                      <w:szCs w:val="21"/>
                    </w:rPr>
                  </w:pPr>
                  <w:r>
                    <w:rPr>
                      <w:kern w:val="0"/>
                      <w:sz w:val="21"/>
                      <w:szCs w:val="21"/>
                    </w:rPr>
                    <w:t>前河</w:t>
                  </w:r>
                </w:p>
              </w:tc>
              <w:tc>
                <w:tcPr>
                  <w:tcW w:w="997" w:type="dxa"/>
                  <w:vAlign w:val="center"/>
                </w:tcPr>
                <w:p>
                  <w:pPr>
                    <w:spacing w:line="240" w:lineRule="auto"/>
                    <w:ind w:left="-72" w:leftChars="-30" w:right="-72" w:rightChars="-30"/>
                    <w:jc w:val="center"/>
                    <w:rPr>
                      <w:kern w:val="0"/>
                      <w:sz w:val="21"/>
                      <w:szCs w:val="21"/>
                    </w:rPr>
                  </w:pPr>
                  <w:r>
                    <w:rPr>
                      <w:kern w:val="0"/>
                      <w:sz w:val="21"/>
                      <w:szCs w:val="21"/>
                    </w:rPr>
                    <w:t>土堡寨</w:t>
                  </w:r>
                </w:p>
              </w:tc>
              <w:tc>
                <w:tcPr>
                  <w:tcW w:w="1695" w:type="dxa"/>
                  <w:vAlign w:val="center"/>
                </w:tcPr>
                <w:p>
                  <w:pPr>
                    <w:spacing w:line="240" w:lineRule="auto"/>
                    <w:ind w:left="-72" w:leftChars="-30" w:right="-72" w:rightChars="-30"/>
                    <w:jc w:val="center"/>
                    <w:rPr>
                      <w:kern w:val="0"/>
                      <w:sz w:val="21"/>
                      <w:szCs w:val="21"/>
                    </w:rPr>
                  </w:pPr>
                  <w:r>
                    <w:rPr>
                      <w:kern w:val="0"/>
                      <w:sz w:val="21"/>
                      <w:szCs w:val="21"/>
                    </w:rPr>
                    <w:t>省界(渝→川)</w:t>
                  </w:r>
                </w:p>
              </w:tc>
              <w:tc>
                <w:tcPr>
                  <w:tcW w:w="1097" w:type="dxa"/>
                  <w:vAlign w:val="center"/>
                </w:tcPr>
                <w:p>
                  <w:pPr>
                    <w:spacing w:line="240" w:lineRule="auto"/>
                    <w:ind w:left="-72" w:leftChars="-30" w:right="-72" w:rightChars="-30"/>
                    <w:jc w:val="center"/>
                    <w:rPr>
                      <w:kern w:val="0"/>
                      <w:sz w:val="21"/>
                      <w:szCs w:val="21"/>
                    </w:rPr>
                  </w:pPr>
                  <w:r>
                    <w:rPr>
                      <w:kern w:val="0"/>
                      <w:sz w:val="21"/>
                      <w:szCs w:val="21"/>
                    </w:rPr>
                    <w:t>国控</w:t>
                  </w:r>
                </w:p>
              </w:tc>
              <w:tc>
                <w:tcPr>
                  <w:tcW w:w="498" w:type="dxa"/>
                  <w:vAlign w:val="center"/>
                </w:tcPr>
                <w:p>
                  <w:pPr>
                    <w:spacing w:line="240" w:lineRule="auto"/>
                    <w:ind w:left="-72" w:leftChars="-30" w:right="-72" w:rightChars="-30"/>
                    <w:jc w:val="center"/>
                    <w:rPr>
                      <w:kern w:val="0"/>
                      <w:sz w:val="21"/>
                      <w:szCs w:val="21"/>
                    </w:rPr>
                  </w:pPr>
                  <w:r>
                    <w:rPr>
                      <w:kern w:val="0"/>
                      <w:sz w:val="21"/>
                      <w:szCs w:val="21"/>
                    </w:rPr>
                    <w:t>Ⅲ</w:t>
                  </w:r>
                </w:p>
              </w:tc>
              <w:tc>
                <w:tcPr>
                  <w:tcW w:w="730" w:type="dxa"/>
                  <w:vAlign w:val="center"/>
                </w:tcPr>
                <w:p>
                  <w:pPr>
                    <w:spacing w:line="240" w:lineRule="auto"/>
                    <w:ind w:left="-72" w:leftChars="-30" w:right="-72" w:rightChars="-30"/>
                    <w:jc w:val="center"/>
                    <w:rPr>
                      <w:kern w:val="0"/>
                      <w:sz w:val="21"/>
                      <w:szCs w:val="21"/>
                    </w:rPr>
                  </w:pPr>
                  <w:r>
                    <w:rPr>
                      <w:kern w:val="0"/>
                      <w:sz w:val="21"/>
                      <w:szCs w:val="21"/>
                    </w:rPr>
                    <w:t>Ⅰ</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19</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Align w:val="center"/>
                </w:tcPr>
                <w:p>
                  <w:pPr>
                    <w:spacing w:line="240" w:lineRule="auto"/>
                    <w:ind w:left="-72" w:leftChars="-30" w:right="-72" w:rightChars="-30"/>
                    <w:jc w:val="center"/>
                    <w:rPr>
                      <w:kern w:val="0"/>
                      <w:sz w:val="21"/>
                      <w:szCs w:val="21"/>
                    </w:rPr>
                  </w:pPr>
                  <w:r>
                    <w:rPr>
                      <w:kern w:val="0"/>
                      <w:sz w:val="21"/>
                      <w:szCs w:val="21"/>
                    </w:rPr>
                    <w:t>后河</w:t>
                  </w:r>
                </w:p>
              </w:tc>
              <w:tc>
                <w:tcPr>
                  <w:tcW w:w="997" w:type="dxa"/>
                  <w:vAlign w:val="center"/>
                </w:tcPr>
                <w:p>
                  <w:pPr>
                    <w:spacing w:line="240" w:lineRule="auto"/>
                    <w:ind w:left="-72" w:leftChars="-30" w:right="-72" w:rightChars="-30"/>
                    <w:jc w:val="center"/>
                    <w:rPr>
                      <w:kern w:val="0"/>
                      <w:sz w:val="21"/>
                      <w:szCs w:val="21"/>
                    </w:rPr>
                  </w:pPr>
                  <w:r>
                    <w:rPr>
                      <w:kern w:val="0"/>
                      <w:sz w:val="21"/>
                      <w:szCs w:val="21"/>
                    </w:rPr>
                    <w:t>漩坑坝</w:t>
                  </w:r>
                </w:p>
              </w:tc>
              <w:tc>
                <w:tcPr>
                  <w:tcW w:w="1695" w:type="dxa"/>
                  <w:vAlign w:val="center"/>
                </w:tcPr>
                <w:p>
                  <w:pPr>
                    <w:spacing w:line="240" w:lineRule="auto"/>
                    <w:ind w:left="-72" w:leftChars="-30" w:right="-72" w:rightChars="-30"/>
                    <w:jc w:val="center"/>
                    <w:rPr>
                      <w:kern w:val="0"/>
                      <w:sz w:val="21"/>
                      <w:szCs w:val="21"/>
                    </w:rPr>
                  </w:pPr>
                  <w:r>
                    <w:rPr>
                      <w:kern w:val="0"/>
                      <w:sz w:val="21"/>
                      <w:szCs w:val="21"/>
                    </w:rPr>
                    <w:t>县界</w:t>
                  </w:r>
                  <w:r>
                    <w:rPr>
                      <w:kern w:val="0"/>
                      <w:sz w:val="21"/>
                      <w:szCs w:val="21"/>
                    </w:rPr>
                    <w:br w:type="textWrapping"/>
                  </w:r>
                  <w:r>
                    <w:rPr>
                      <w:kern w:val="0"/>
                      <w:sz w:val="21"/>
                      <w:szCs w:val="21"/>
                    </w:rPr>
                    <w:t>(万源市→宣汉县)</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20</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Align w:val="center"/>
                </w:tcPr>
                <w:p>
                  <w:pPr>
                    <w:spacing w:line="240" w:lineRule="auto"/>
                    <w:ind w:left="-72" w:leftChars="-30" w:right="-72" w:rightChars="-30"/>
                    <w:jc w:val="center"/>
                    <w:rPr>
                      <w:kern w:val="0"/>
                      <w:sz w:val="21"/>
                      <w:szCs w:val="21"/>
                    </w:rPr>
                  </w:pPr>
                  <w:r>
                    <w:rPr>
                      <w:kern w:val="0"/>
                      <w:sz w:val="21"/>
                      <w:szCs w:val="21"/>
                    </w:rPr>
                    <w:t>中河</w:t>
                  </w:r>
                </w:p>
              </w:tc>
              <w:tc>
                <w:tcPr>
                  <w:tcW w:w="997" w:type="dxa"/>
                  <w:vAlign w:val="center"/>
                </w:tcPr>
                <w:p>
                  <w:pPr>
                    <w:spacing w:line="240" w:lineRule="auto"/>
                    <w:ind w:left="-72" w:leftChars="-30" w:right="-72" w:rightChars="-30"/>
                    <w:jc w:val="center"/>
                    <w:rPr>
                      <w:kern w:val="0"/>
                      <w:sz w:val="21"/>
                      <w:szCs w:val="21"/>
                    </w:rPr>
                  </w:pPr>
                  <w:r>
                    <w:rPr>
                      <w:kern w:val="0"/>
                      <w:sz w:val="21"/>
                      <w:szCs w:val="21"/>
                    </w:rPr>
                    <w:t>普光</w:t>
                  </w:r>
                </w:p>
              </w:tc>
              <w:tc>
                <w:tcPr>
                  <w:tcW w:w="1695" w:type="dxa"/>
                  <w:vAlign w:val="center"/>
                </w:tcPr>
                <w:p>
                  <w:pPr>
                    <w:spacing w:line="240" w:lineRule="auto"/>
                    <w:ind w:left="-72" w:leftChars="-30" w:right="-72" w:rightChars="-30"/>
                    <w:jc w:val="center"/>
                    <w:rPr>
                      <w:kern w:val="0"/>
                      <w:sz w:val="21"/>
                      <w:szCs w:val="21"/>
                    </w:rPr>
                  </w:pPr>
                  <w:r>
                    <w:rPr>
                      <w:kern w:val="0"/>
                      <w:sz w:val="21"/>
                      <w:szCs w:val="21"/>
                    </w:rPr>
                    <w:t>入河口（入后河）</w:t>
                  </w:r>
                </w:p>
              </w:tc>
              <w:tc>
                <w:tcPr>
                  <w:tcW w:w="1097" w:type="dxa"/>
                  <w:vAlign w:val="center"/>
                </w:tcPr>
                <w:p>
                  <w:pPr>
                    <w:spacing w:line="240" w:lineRule="auto"/>
                    <w:ind w:left="-72" w:leftChars="-30" w:right="-72" w:rightChars="-30"/>
                    <w:jc w:val="center"/>
                    <w:rPr>
                      <w:kern w:val="0"/>
                      <w:sz w:val="21"/>
                      <w:szCs w:val="21"/>
                    </w:rPr>
                  </w:pPr>
                  <w:r>
                    <w:rPr>
                      <w:kern w:val="0"/>
                      <w:sz w:val="21"/>
                      <w:szCs w:val="21"/>
                    </w:rPr>
                    <w:t>省控趋势科研</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Ⅱ</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21</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restart"/>
                  <w:vAlign w:val="center"/>
                </w:tcPr>
                <w:p>
                  <w:pPr>
                    <w:spacing w:line="240" w:lineRule="auto"/>
                    <w:ind w:left="-72" w:leftChars="-30" w:right="-72" w:rightChars="-30"/>
                    <w:jc w:val="center"/>
                    <w:rPr>
                      <w:kern w:val="0"/>
                      <w:sz w:val="21"/>
                      <w:szCs w:val="21"/>
                    </w:rPr>
                  </w:pPr>
                  <w:r>
                    <w:rPr>
                      <w:kern w:val="0"/>
                      <w:sz w:val="21"/>
                      <w:szCs w:val="21"/>
                    </w:rPr>
                    <w:t>明月江</w:t>
                  </w:r>
                </w:p>
              </w:tc>
              <w:tc>
                <w:tcPr>
                  <w:tcW w:w="997" w:type="dxa"/>
                  <w:vAlign w:val="center"/>
                </w:tcPr>
                <w:p>
                  <w:pPr>
                    <w:spacing w:line="240" w:lineRule="auto"/>
                    <w:ind w:left="-72" w:leftChars="-30" w:right="-72" w:rightChars="-30"/>
                    <w:jc w:val="center"/>
                    <w:rPr>
                      <w:kern w:val="0"/>
                      <w:sz w:val="21"/>
                      <w:szCs w:val="21"/>
                    </w:rPr>
                  </w:pPr>
                  <w:r>
                    <w:rPr>
                      <w:kern w:val="0"/>
                      <w:sz w:val="21"/>
                      <w:szCs w:val="21"/>
                    </w:rPr>
                    <w:t>葫芦电站</w:t>
                  </w:r>
                </w:p>
              </w:tc>
              <w:tc>
                <w:tcPr>
                  <w:tcW w:w="1695" w:type="dxa"/>
                  <w:vAlign w:val="center"/>
                </w:tcPr>
                <w:p>
                  <w:pPr>
                    <w:spacing w:line="240" w:lineRule="auto"/>
                    <w:ind w:left="-72" w:leftChars="-30" w:right="-72" w:rightChars="-30"/>
                    <w:jc w:val="center"/>
                    <w:rPr>
                      <w:kern w:val="0"/>
                      <w:sz w:val="21"/>
                      <w:szCs w:val="21"/>
                    </w:rPr>
                  </w:pPr>
                  <w:r>
                    <w:rPr>
                      <w:kern w:val="0"/>
                      <w:sz w:val="21"/>
                      <w:szCs w:val="21"/>
                    </w:rPr>
                    <w:t>县界</w:t>
                  </w:r>
                  <w:r>
                    <w:rPr>
                      <w:kern w:val="0"/>
                      <w:sz w:val="21"/>
                      <w:szCs w:val="21"/>
                    </w:rPr>
                    <w:br w:type="textWrapping"/>
                  </w:r>
                  <w:r>
                    <w:rPr>
                      <w:kern w:val="0"/>
                      <w:sz w:val="21"/>
                      <w:szCs w:val="21"/>
                    </w:rPr>
                    <w:t>(开江县→达川区)</w:t>
                  </w:r>
                </w:p>
              </w:tc>
              <w:tc>
                <w:tcPr>
                  <w:tcW w:w="1097" w:type="dxa"/>
                  <w:vAlign w:val="center"/>
                </w:tcPr>
                <w:p>
                  <w:pPr>
                    <w:spacing w:line="240" w:lineRule="auto"/>
                    <w:ind w:left="-72" w:leftChars="-30" w:right="-72" w:rightChars="-30"/>
                    <w:jc w:val="center"/>
                    <w:rPr>
                      <w:kern w:val="0"/>
                      <w:sz w:val="21"/>
                      <w:szCs w:val="21"/>
                    </w:rPr>
                  </w:pPr>
                  <w:r>
                    <w:rPr>
                      <w:kern w:val="0"/>
                      <w:sz w:val="21"/>
                      <w:szCs w:val="21"/>
                    </w:rPr>
                    <w:t>省控考核评价</w:t>
                  </w:r>
                </w:p>
              </w:tc>
              <w:tc>
                <w:tcPr>
                  <w:tcW w:w="498" w:type="dxa"/>
                  <w:vAlign w:val="center"/>
                </w:tcPr>
                <w:p>
                  <w:pPr>
                    <w:spacing w:line="240" w:lineRule="auto"/>
                    <w:ind w:left="-72" w:leftChars="-30" w:right="-72" w:rightChars="-30"/>
                    <w:jc w:val="center"/>
                    <w:rPr>
                      <w:kern w:val="0"/>
                      <w:sz w:val="21"/>
                      <w:szCs w:val="21"/>
                    </w:rPr>
                  </w:pPr>
                  <w:r>
                    <w:rPr>
                      <w:kern w:val="0"/>
                      <w:sz w:val="21"/>
                      <w:szCs w:val="21"/>
                    </w:rPr>
                    <w:t>Ⅲ</w:t>
                  </w:r>
                </w:p>
              </w:tc>
              <w:tc>
                <w:tcPr>
                  <w:tcW w:w="730" w:type="dxa"/>
                  <w:vAlign w:val="center"/>
                </w:tcPr>
                <w:p>
                  <w:pPr>
                    <w:spacing w:line="240" w:lineRule="auto"/>
                    <w:ind w:left="-72" w:leftChars="-30" w:right="-72" w:rightChars="-30"/>
                    <w:jc w:val="center"/>
                    <w:rPr>
                      <w:kern w:val="0"/>
                      <w:sz w:val="21"/>
                      <w:szCs w:val="21"/>
                    </w:rPr>
                  </w:pPr>
                  <w:r>
                    <w:rPr>
                      <w:kern w:val="0"/>
                      <w:sz w:val="21"/>
                      <w:szCs w:val="21"/>
                    </w:rPr>
                    <w:t>Ⅲ</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22</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continue"/>
                  <w:vAlign w:val="center"/>
                </w:tcPr>
                <w:p>
                  <w:pPr>
                    <w:spacing w:line="240" w:lineRule="auto"/>
                    <w:ind w:left="-72" w:leftChars="-30" w:right="-72" w:rightChars="-30"/>
                    <w:jc w:val="center"/>
                    <w:rPr>
                      <w:kern w:val="0"/>
                      <w:sz w:val="21"/>
                      <w:szCs w:val="21"/>
                    </w:rPr>
                  </w:pPr>
                </w:p>
              </w:tc>
              <w:tc>
                <w:tcPr>
                  <w:tcW w:w="997" w:type="dxa"/>
                  <w:vAlign w:val="center"/>
                </w:tcPr>
                <w:p>
                  <w:pPr>
                    <w:spacing w:line="240" w:lineRule="auto"/>
                    <w:ind w:left="-72" w:leftChars="-30" w:right="-72" w:rightChars="-30"/>
                    <w:jc w:val="center"/>
                    <w:rPr>
                      <w:kern w:val="0"/>
                      <w:sz w:val="21"/>
                      <w:szCs w:val="21"/>
                    </w:rPr>
                  </w:pPr>
                  <w:r>
                    <w:rPr>
                      <w:kern w:val="0"/>
                      <w:sz w:val="21"/>
                      <w:szCs w:val="21"/>
                    </w:rPr>
                    <w:t>亭子镇明天村大湾溪门口</w:t>
                  </w:r>
                </w:p>
              </w:tc>
              <w:tc>
                <w:tcPr>
                  <w:tcW w:w="1695" w:type="dxa"/>
                  <w:vAlign w:val="center"/>
                </w:tcPr>
                <w:p>
                  <w:pPr>
                    <w:spacing w:line="240" w:lineRule="auto"/>
                    <w:ind w:left="-72" w:leftChars="-30" w:right="-72" w:rightChars="-30"/>
                    <w:jc w:val="center"/>
                    <w:rPr>
                      <w:kern w:val="0"/>
                      <w:sz w:val="21"/>
                      <w:szCs w:val="21"/>
                    </w:rPr>
                  </w:pPr>
                  <w:r>
                    <w:rPr>
                      <w:kern w:val="0"/>
                      <w:sz w:val="21"/>
                      <w:szCs w:val="21"/>
                    </w:rPr>
                    <w:t>县界</w:t>
                  </w:r>
                  <w:r>
                    <w:rPr>
                      <w:kern w:val="0"/>
                      <w:sz w:val="21"/>
                      <w:szCs w:val="21"/>
                    </w:rPr>
                    <w:br w:type="textWrapping"/>
                  </w:r>
                  <w:r>
                    <w:rPr>
                      <w:kern w:val="0"/>
                      <w:sz w:val="21"/>
                      <w:szCs w:val="21"/>
                    </w:rPr>
                    <w:t>(东部经开区→达川区)</w:t>
                  </w:r>
                </w:p>
              </w:tc>
              <w:tc>
                <w:tcPr>
                  <w:tcW w:w="1097" w:type="dxa"/>
                  <w:vAlign w:val="center"/>
                </w:tcPr>
                <w:p>
                  <w:pPr>
                    <w:spacing w:line="240" w:lineRule="auto"/>
                    <w:ind w:left="-72" w:leftChars="-30" w:right="-72" w:rightChars="-30"/>
                    <w:jc w:val="center"/>
                    <w:rPr>
                      <w:kern w:val="0"/>
                      <w:sz w:val="21"/>
                      <w:szCs w:val="21"/>
                    </w:rPr>
                  </w:pPr>
                  <w:r>
                    <w:rPr>
                      <w:kern w:val="0"/>
                      <w:sz w:val="21"/>
                      <w:szCs w:val="21"/>
                    </w:rPr>
                    <w:t>市控</w:t>
                  </w:r>
                </w:p>
              </w:tc>
              <w:tc>
                <w:tcPr>
                  <w:tcW w:w="498" w:type="dxa"/>
                  <w:vAlign w:val="center"/>
                </w:tcPr>
                <w:p>
                  <w:pPr>
                    <w:spacing w:line="240" w:lineRule="auto"/>
                    <w:ind w:left="-72" w:leftChars="-30" w:right="-72" w:rightChars="-30"/>
                    <w:jc w:val="center"/>
                    <w:rPr>
                      <w:kern w:val="0"/>
                      <w:sz w:val="21"/>
                      <w:szCs w:val="21"/>
                    </w:rPr>
                  </w:pPr>
                  <w:r>
                    <w:rPr>
                      <w:kern w:val="0"/>
                      <w:sz w:val="21"/>
                      <w:szCs w:val="21"/>
                    </w:rPr>
                    <w:t>/</w:t>
                  </w:r>
                </w:p>
              </w:tc>
              <w:tc>
                <w:tcPr>
                  <w:tcW w:w="730" w:type="dxa"/>
                  <w:vAlign w:val="center"/>
                </w:tcPr>
                <w:p>
                  <w:pPr>
                    <w:spacing w:line="240" w:lineRule="auto"/>
                    <w:ind w:left="-72" w:leftChars="-30" w:right="-72" w:rightChars="-30"/>
                    <w:jc w:val="center"/>
                    <w:rPr>
                      <w:kern w:val="0"/>
                      <w:sz w:val="21"/>
                      <w:szCs w:val="21"/>
                    </w:rPr>
                  </w:pPr>
                  <w:r>
                    <w:rPr>
                      <w:kern w:val="0"/>
                      <w:sz w:val="21"/>
                      <w:szCs w:val="21"/>
                    </w:rPr>
                    <w:t>Ⅲ</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23</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continue"/>
                  <w:vAlign w:val="center"/>
                </w:tcPr>
                <w:p>
                  <w:pPr>
                    <w:spacing w:line="240" w:lineRule="auto"/>
                    <w:ind w:left="-72" w:leftChars="-30" w:right="-72" w:rightChars="-30"/>
                    <w:jc w:val="center"/>
                    <w:rPr>
                      <w:kern w:val="0"/>
                      <w:sz w:val="21"/>
                      <w:szCs w:val="21"/>
                    </w:rPr>
                  </w:pPr>
                </w:p>
              </w:tc>
              <w:tc>
                <w:tcPr>
                  <w:tcW w:w="997" w:type="dxa"/>
                  <w:vAlign w:val="center"/>
                </w:tcPr>
                <w:p>
                  <w:pPr>
                    <w:spacing w:line="240" w:lineRule="auto"/>
                    <w:ind w:left="-72" w:leftChars="-30" w:right="-72" w:rightChars="-30"/>
                    <w:jc w:val="center"/>
                    <w:rPr>
                      <w:kern w:val="0"/>
                      <w:sz w:val="21"/>
                      <w:szCs w:val="21"/>
                    </w:rPr>
                  </w:pPr>
                  <w:r>
                    <w:rPr>
                      <w:kern w:val="0"/>
                      <w:sz w:val="21"/>
                      <w:szCs w:val="21"/>
                    </w:rPr>
                    <w:t>李家渡</w:t>
                  </w:r>
                </w:p>
              </w:tc>
              <w:tc>
                <w:tcPr>
                  <w:tcW w:w="1695" w:type="dxa"/>
                  <w:vAlign w:val="center"/>
                </w:tcPr>
                <w:p>
                  <w:pPr>
                    <w:spacing w:line="240" w:lineRule="auto"/>
                    <w:ind w:left="-72" w:leftChars="-30" w:right="-72" w:rightChars="-30"/>
                    <w:jc w:val="center"/>
                    <w:rPr>
                      <w:kern w:val="0"/>
                      <w:sz w:val="21"/>
                      <w:szCs w:val="21"/>
                    </w:rPr>
                  </w:pPr>
                  <w:r>
                    <w:rPr>
                      <w:kern w:val="0"/>
                      <w:sz w:val="21"/>
                      <w:szCs w:val="21"/>
                    </w:rPr>
                    <w:t>县界</w:t>
                  </w:r>
                  <w:r>
                    <w:rPr>
                      <w:kern w:val="0"/>
                      <w:sz w:val="21"/>
                      <w:szCs w:val="21"/>
                    </w:rPr>
                    <w:br w:type="textWrapping"/>
                  </w:r>
                  <w:r>
                    <w:rPr>
                      <w:kern w:val="0"/>
                      <w:sz w:val="21"/>
                      <w:szCs w:val="21"/>
                    </w:rPr>
                    <w:t>(达川区→通川区)</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w:t>
                  </w:r>
                </w:p>
              </w:tc>
              <w:tc>
                <w:tcPr>
                  <w:tcW w:w="730" w:type="dxa"/>
                  <w:vAlign w:val="center"/>
                </w:tcPr>
                <w:p>
                  <w:pPr>
                    <w:spacing w:line="240" w:lineRule="auto"/>
                    <w:ind w:left="-72" w:leftChars="-30" w:right="-72" w:rightChars="-30"/>
                    <w:jc w:val="center"/>
                    <w:rPr>
                      <w:kern w:val="0"/>
                      <w:sz w:val="21"/>
                      <w:szCs w:val="21"/>
                    </w:rPr>
                  </w:pPr>
                  <w:r>
                    <w:rPr>
                      <w:kern w:val="0"/>
                      <w:sz w:val="21"/>
                      <w:szCs w:val="21"/>
                    </w:rPr>
                    <w:t>Ⅲ</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24</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Align w:val="center"/>
                </w:tcPr>
                <w:p>
                  <w:pPr>
                    <w:spacing w:line="240" w:lineRule="auto"/>
                    <w:ind w:left="-72" w:leftChars="-30" w:right="-72" w:rightChars="-30"/>
                    <w:jc w:val="center"/>
                    <w:rPr>
                      <w:kern w:val="0"/>
                      <w:sz w:val="21"/>
                      <w:szCs w:val="21"/>
                    </w:rPr>
                  </w:pPr>
                  <w:r>
                    <w:rPr>
                      <w:kern w:val="0"/>
                      <w:sz w:val="21"/>
                      <w:szCs w:val="21"/>
                    </w:rPr>
                    <w:t>任市河</w:t>
                  </w:r>
                </w:p>
              </w:tc>
              <w:tc>
                <w:tcPr>
                  <w:tcW w:w="997" w:type="dxa"/>
                  <w:vAlign w:val="center"/>
                </w:tcPr>
                <w:p>
                  <w:pPr>
                    <w:spacing w:line="240" w:lineRule="auto"/>
                    <w:ind w:left="-72" w:leftChars="-30" w:right="-72" w:rightChars="-30"/>
                    <w:jc w:val="center"/>
                    <w:rPr>
                      <w:kern w:val="0"/>
                      <w:sz w:val="21"/>
                      <w:szCs w:val="21"/>
                    </w:rPr>
                  </w:pPr>
                  <w:r>
                    <w:rPr>
                      <w:kern w:val="0"/>
                      <w:sz w:val="21"/>
                      <w:szCs w:val="21"/>
                    </w:rPr>
                    <w:t>联盟桥</w:t>
                  </w:r>
                </w:p>
              </w:tc>
              <w:tc>
                <w:tcPr>
                  <w:tcW w:w="1695" w:type="dxa"/>
                  <w:vAlign w:val="center"/>
                </w:tcPr>
                <w:p>
                  <w:pPr>
                    <w:spacing w:line="240" w:lineRule="auto"/>
                    <w:ind w:left="-72" w:leftChars="-30" w:right="-72" w:rightChars="-30"/>
                    <w:jc w:val="center"/>
                    <w:rPr>
                      <w:kern w:val="0"/>
                      <w:sz w:val="21"/>
                      <w:szCs w:val="21"/>
                    </w:rPr>
                  </w:pPr>
                  <w:r>
                    <w:rPr>
                      <w:kern w:val="0"/>
                      <w:sz w:val="21"/>
                      <w:szCs w:val="21"/>
                    </w:rPr>
                    <w:t>省界(渝、川)</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Ⅲ</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25</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Align w:val="center"/>
                </w:tcPr>
                <w:p>
                  <w:pPr>
                    <w:spacing w:line="240" w:lineRule="auto"/>
                    <w:ind w:left="-72" w:leftChars="-30" w:right="-72" w:rightChars="-30"/>
                    <w:jc w:val="center"/>
                    <w:rPr>
                      <w:kern w:val="0"/>
                      <w:sz w:val="21"/>
                      <w:szCs w:val="21"/>
                    </w:rPr>
                  </w:pPr>
                  <w:r>
                    <w:rPr>
                      <w:kern w:val="0"/>
                      <w:sz w:val="21"/>
                      <w:szCs w:val="21"/>
                    </w:rPr>
                    <w:t>新宁河</w:t>
                  </w:r>
                </w:p>
              </w:tc>
              <w:tc>
                <w:tcPr>
                  <w:tcW w:w="997" w:type="dxa"/>
                  <w:vAlign w:val="center"/>
                </w:tcPr>
                <w:p>
                  <w:pPr>
                    <w:spacing w:line="240" w:lineRule="auto"/>
                    <w:ind w:left="-72" w:leftChars="-30" w:right="-72" w:rightChars="-30"/>
                    <w:jc w:val="center"/>
                    <w:rPr>
                      <w:kern w:val="0"/>
                      <w:sz w:val="21"/>
                      <w:szCs w:val="21"/>
                    </w:rPr>
                  </w:pPr>
                  <w:r>
                    <w:rPr>
                      <w:kern w:val="0"/>
                      <w:sz w:val="21"/>
                      <w:szCs w:val="21"/>
                    </w:rPr>
                    <w:t>大石堡平桥</w:t>
                  </w:r>
                </w:p>
              </w:tc>
              <w:tc>
                <w:tcPr>
                  <w:tcW w:w="1695" w:type="dxa"/>
                  <w:vAlign w:val="center"/>
                </w:tcPr>
                <w:p>
                  <w:pPr>
                    <w:spacing w:line="240" w:lineRule="auto"/>
                    <w:ind w:left="-72" w:leftChars="-30" w:right="-72" w:rightChars="-30"/>
                    <w:jc w:val="center"/>
                    <w:rPr>
                      <w:kern w:val="0"/>
                      <w:sz w:val="21"/>
                      <w:szCs w:val="21"/>
                    </w:rPr>
                  </w:pPr>
                  <w:r>
                    <w:rPr>
                      <w:kern w:val="0"/>
                      <w:sz w:val="21"/>
                      <w:szCs w:val="21"/>
                    </w:rPr>
                    <w:t>县界</w:t>
                  </w:r>
                  <w:r>
                    <w:rPr>
                      <w:kern w:val="0"/>
                      <w:sz w:val="21"/>
                      <w:szCs w:val="21"/>
                    </w:rPr>
                    <w:br w:type="textWrapping"/>
                  </w:r>
                  <w:r>
                    <w:rPr>
                      <w:kern w:val="0"/>
                      <w:sz w:val="21"/>
                      <w:szCs w:val="21"/>
                    </w:rPr>
                    <w:t>(开江县→宣汉县)</w:t>
                  </w:r>
                </w:p>
              </w:tc>
              <w:tc>
                <w:tcPr>
                  <w:tcW w:w="1097" w:type="dxa"/>
                  <w:vAlign w:val="center"/>
                </w:tcPr>
                <w:p>
                  <w:pPr>
                    <w:spacing w:line="240" w:lineRule="auto"/>
                    <w:ind w:left="-72" w:leftChars="-30" w:right="-72" w:rightChars="-30"/>
                    <w:jc w:val="center"/>
                    <w:rPr>
                      <w:kern w:val="0"/>
                      <w:sz w:val="21"/>
                      <w:szCs w:val="21"/>
                    </w:rPr>
                  </w:pPr>
                  <w:r>
                    <w:rPr>
                      <w:kern w:val="0"/>
                      <w:sz w:val="21"/>
                      <w:szCs w:val="21"/>
                    </w:rPr>
                    <w:t>省控考核评价</w:t>
                  </w:r>
                </w:p>
              </w:tc>
              <w:tc>
                <w:tcPr>
                  <w:tcW w:w="498" w:type="dxa"/>
                  <w:vAlign w:val="center"/>
                </w:tcPr>
                <w:p>
                  <w:pPr>
                    <w:spacing w:line="240" w:lineRule="auto"/>
                    <w:ind w:left="-72" w:leftChars="-30" w:right="-72" w:rightChars="-30"/>
                    <w:jc w:val="center"/>
                    <w:rPr>
                      <w:kern w:val="0"/>
                      <w:sz w:val="21"/>
                      <w:szCs w:val="21"/>
                    </w:rPr>
                  </w:pPr>
                  <w:r>
                    <w:rPr>
                      <w:kern w:val="0"/>
                      <w:sz w:val="21"/>
                      <w:szCs w:val="21"/>
                    </w:rPr>
                    <w:t>Ⅲ</w:t>
                  </w:r>
                </w:p>
              </w:tc>
              <w:tc>
                <w:tcPr>
                  <w:tcW w:w="730" w:type="dxa"/>
                  <w:vAlign w:val="center"/>
                </w:tcPr>
                <w:p>
                  <w:pPr>
                    <w:spacing w:line="240" w:lineRule="auto"/>
                    <w:ind w:left="-72" w:leftChars="-30" w:right="-72" w:rightChars="-30"/>
                    <w:jc w:val="center"/>
                    <w:rPr>
                      <w:kern w:val="0"/>
                      <w:sz w:val="21"/>
                      <w:szCs w:val="21"/>
                    </w:rPr>
                  </w:pPr>
                  <w:r>
                    <w:rPr>
                      <w:kern w:val="0"/>
                      <w:sz w:val="21"/>
                      <w:szCs w:val="21"/>
                    </w:rPr>
                    <w:t>Ⅲ</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26</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restart"/>
                  <w:vAlign w:val="center"/>
                </w:tcPr>
                <w:p>
                  <w:pPr>
                    <w:spacing w:line="240" w:lineRule="auto"/>
                    <w:ind w:left="-72" w:leftChars="-30" w:right="-72" w:rightChars="-30"/>
                    <w:jc w:val="center"/>
                    <w:rPr>
                      <w:kern w:val="0"/>
                      <w:sz w:val="21"/>
                      <w:szCs w:val="21"/>
                    </w:rPr>
                  </w:pPr>
                  <w:r>
                    <w:rPr>
                      <w:kern w:val="0"/>
                      <w:sz w:val="21"/>
                      <w:szCs w:val="21"/>
                    </w:rPr>
                    <w:t>铜钵河</w:t>
                  </w:r>
                </w:p>
              </w:tc>
              <w:tc>
                <w:tcPr>
                  <w:tcW w:w="997" w:type="dxa"/>
                  <w:vAlign w:val="center"/>
                </w:tcPr>
                <w:p>
                  <w:pPr>
                    <w:spacing w:line="240" w:lineRule="auto"/>
                    <w:ind w:left="-72" w:leftChars="-30" w:right="-72" w:rightChars="-30"/>
                    <w:jc w:val="center"/>
                    <w:rPr>
                      <w:kern w:val="0"/>
                      <w:sz w:val="21"/>
                      <w:szCs w:val="21"/>
                    </w:rPr>
                  </w:pPr>
                  <w:r>
                    <w:rPr>
                      <w:kern w:val="0"/>
                      <w:sz w:val="21"/>
                      <w:szCs w:val="21"/>
                    </w:rPr>
                    <w:t>上河坝</w:t>
                  </w:r>
                </w:p>
              </w:tc>
              <w:tc>
                <w:tcPr>
                  <w:tcW w:w="1695" w:type="dxa"/>
                  <w:vAlign w:val="center"/>
                </w:tcPr>
                <w:p>
                  <w:pPr>
                    <w:spacing w:line="240" w:lineRule="auto"/>
                    <w:ind w:left="-72" w:leftChars="-30" w:right="-72" w:rightChars="-30"/>
                    <w:jc w:val="center"/>
                    <w:rPr>
                      <w:kern w:val="0"/>
                      <w:sz w:val="21"/>
                      <w:szCs w:val="21"/>
                    </w:rPr>
                  </w:pPr>
                  <w:r>
                    <w:rPr>
                      <w:kern w:val="0"/>
                      <w:sz w:val="21"/>
                      <w:szCs w:val="21"/>
                    </w:rPr>
                    <w:t>省界(渝、川)</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Ⅲ</w:t>
                  </w:r>
                </w:p>
              </w:tc>
              <w:tc>
                <w:tcPr>
                  <w:tcW w:w="730" w:type="dxa"/>
                  <w:vAlign w:val="center"/>
                </w:tcPr>
                <w:p>
                  <w:pPr>
                    <w:spacing w:line="240" w:lineRule="auto"/>
                    <w:ind w:left="-72" w:leftChars="-30" w:right="-72" w:rightChars="-30"/>
                    <w:jc w:val="center"/>
                    <w:rPr>
                      <w:kern w:val="0"/>
                      <w:sz w:val="21"/>
                      <w:szCs w:val="21"/>
                    </w:rPr>
                  </w:pPr>
                  <w:r>
                    <w:rPr>
                      <w:kern w:val="0"/>
                      <w:sz w:val="21"/>
                      <w:szCs w:val="21"/>
                    </w:rPr>
                    <w:t>Ⅱ</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27</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continue"/>
                  <w:vAlign w:val="center"/>
                </w:tcPr>
                <w:p>
                  <w:pPr>
                    <w:spacing w:line="240" w:lineRule="auto"/>
                    <w:ind w:left="-72" w:leftChars="-30" w:right="-72" w:rightChars="-30"/>
                    <w:jc w:val="center"/>
                    <w:rPr>
                      <w:kern w:val="0"/>
                      <w:sz w:val="21"/>
                      <w:szCs w:val="21"/>
                    </w:rPr>
                  </w:pPr>
                </w:p>
              </w:tc>
              <w:tc>
                <w:tcPr>
                  <w:tcW w:w="997" w:type="dxa"/>
                  <w:vAlign w:val="center"/>
                </w:tcPr>
                <w:p>
                  <w:pPr>
                    <w:spacing w:line="240" w:lineRule="auto"/>
                    <w:ind w:left="-72" w:leftChars="-30" w:right="-72" w:rightChars="-30"/>
                    <w:jc w:val="center"/>
                    <w:rPr>
                      <w:kern w:val="0"/>
                      <w:sz w:val="21"/>
                      <w:szCs w:val="21"/>
                    </w:rPr>
                  </w:pPr>
                  <w:r>
                    <w:rPr>
                      <w:kern w:val="0"/>
                      <w:sz w:val="21"/>
                      <w:szCs w:val="21"/>
                    </w:rPr>
                    <w:t>矮墩子</w:t>
                  </w:r>
                </w:p>
              </w:tc>
              <w:tc>
                <w:tcPr>
                  <w:tcW w:w="1695" w:type="dxa"/>
                  <w:vAlign w:val="center"/>
                </w:tcPr>
                <w:p>
                  <w:pPr>
                    <w:spacing w:line="240" w:lineRule="auto"/>
                    <w:ind w:left="-72" w:leftChars="-30" w:right="-72" w:rightChars="-30"/>
                    <w:jc w:val="center"/>
                    <w:rPr>
                      <w:kern w:val="0"/>
                      <w:sz w:val="21"/>
                      <w:szCs w:val="21"/>
                    </w:rPr>
                  </w:pPr>
                  <w:r>
                    <w:rPr>
                      <w:kern w:val="0"/>
                      <w:sz w:val="21"/>
                      <w:szCs w:val="21"/>
                    </w:rPr>
                    <w:t>县界</w:t>
                  </w:r>
                  <w:r>
                    <w:rPr>
                      <w:kern w:val="0"/>
                      <w:sz w:val="21"/>
                      <w:szCs w:val="21"/>
                    </w:rPr>
                    <w:br w:type="textWrapping"/>
                  </w:r>
                  <w:r>
                    <w:rPr>
                      <w:kern w:val="0"/>
                      <w:sz w:val="21"/>
                      <w:szCs w:val="21"/>
                    </w:rPr>
                    <w:t>(大竹县→达川区)</w:t>
                  </w:r>
                </w:p>
              </w:tc>
              <w:tc>
                <w:tcPr>
                  <w:tcW w:w="1097" w:type="dxa"/>
                  <w:vAlign w:val="center"/>
                </w:tcPr>
                <w:p>
                  <w:pPr>
                    <w:spacing w:line="240" w:lineRule="auto"/>
                    <w:ind w:left="-72" w:leftChars="-30" w:right="-72" w:rightChars="-30"/>
                    <w:jc w:val="center"/>
                    <w:rPr>
                      <w:kern w:val="0"/>
                      <w:sz w:val="21"/>
                      <w:szCs w:val="21"/>
                    </w:rPr>
                  </w:pPr>
                  <w:r>
                    <w:rPr>
                      <w:kern w:val="0"/>
                      <w:sz w:val="21"/>
                      <w:szCs w:val="21"/>
                    </w:rPr>
                    <w:t>市控</w:t>
                  </w:r>
                </w:p>
              </w:tc>
              <w:tc>
                <w:tcPr>
                  <w:tcW w:w="498" w:type="dxa"/>
                  <w:vAlign w:val="center"/>
                </w:tcPr>
                <w:p>
                  <w:pPr>
                    <w:spacing w:line="240" w:lineRule="auto"/>
                    <w:ind w:left="-72" w:leftChars="-30" w:right="-72" w:rightChars="-30"/>
                    <w:jc w:val="center"/>
                    <w:rPr>
                      <w:kern w:val="0"/>
                      <w:sz w:val="21"/>
                      <w:szCs w:val="21"/>
                    </w:rPr>
                  </w:pPr>
                  <w:r>
                    <w:rPr>
                      <w:kern w:val="0"/>
                      <w:sz w:val="21"/>
                      <w:szCs w:val="21"/>
                    </w:rPr>
                    <w:t>Ⅲ</w:t>
                  </w:r>
                </w:p>
              </w:tc>
              <w:tc>
                <w:tcPr>
                  <w:tcW w:w="730" w:type="dxa"/>
                  <w:vAlign w:val="center"/>
                </w:tcPr>
                <w:p>
                  <w:pPr>
                    <w:spacing w:line="240" w:lineRule="auto"/>
                    <w:ind w:left="-72" w:leftChars="-30" w:right="-72" w:rightChars="-30"/>
                    <w:jc w:val="center"/>
                    <w:rPr>
                      <w:kern w:val="0"/>
                      <w:sz w:val="21"/>
                      <w:szCs w:val="21"/>
                    </w:rPr>
                  </w:pPr>
                  <w:r>
                    <w:rPr>
                      <w:kern w:val="0"/>
                      <w:sz w:val="21"/>
                      <w:szCs w:val="21"/>
                    </w:rPr>
                    <w:t>Ⅲ</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28</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continue"/>
                  <w:vAlign w:val="center"/>
                </w:tcPr>
                <w:p>
                  <w:pPr>
                    <w:spacing w:line="240" w:lineRule="auto"/>
                    <w:ind w:left="-72" w:leftChars="-30" w:right="-72" w:rightChars="-30"/>
                    <w:jc w:val="center"/>
                    <w:rPr>
                      <w:kern w:val="0"/>
                      <w:sz w:val="21"/>
                      <w:szCs w:val="21"/>
                    </w:rPr>
                  </w:pPr>
                </w:p>
              </w:tc>
              <w:tc>
                <w:tcPr>
                  <w:tcW w:w="997" w:type="dxa"/>
                  <w:vAlign w:val="center"/>
                </w:tcPr>
                <w:p>
                  <w:pPr>
                    <w:spacing w:line="240" w:lineRule="auto"/>
                    <w:ind w:left="-72" w:leftChars="-30" w:right="-72" w:rightChars="-30"/>
                    <w:jc w:val="center"/>
                    <w:rPr>
                      <w:kern w:val="0"/>
                      <w:sz w:val="21"/>
                      <w:szCs w:val="21"/>
                    </w:rPr>
                  </w:pPr>
                  <w:r>
                    <w:rPr>
                      <w:kern w:val="0"/>
                      <w:sz w:val="21"/>
                      <w:szCs w:val="21"/>
                    </w:rPr>
                    <w:t>百节镇观</w:t>
                  </w:r>
                  <w:r>
                    <w:rPr>
                      <w:kern w:val="0"/>
                      <w:sz w:val="21"/>
                      <w:szCs w:val="21"/>
                    </w:rPr>
                    <w:br w:type="textWrapping"/>
                  </w:r>
                  <w:r>
                    <w:rPr>
                      <w:kern w:val="0"/>
                      <w:sz w:val="21"/>
                      <w:szCs w:val="21"/>
                    </w:rPr>
                    <w:t>音桥</w:t>
                  </w:r>
                </w:p>
              </w:tc>
              <w:tc>
                <w:tcPr>
                  <w:tcW w:w="1695" w:type="dxa"/>
                  <w:vAlign w:val="center"/>
                </w:tcPr>
                <w:p>
                  <w:pPr>
                    <w:spacing w:line="240" w:lineRule="auto"/>
                    <w:ind w:left="-72" w:leftChars="-30" w:right="-72" w:rightChars="-30"/>
                    <w:jc w:val="center"/>
                    <w:rPr>
                      <w:kern w:val="0"/>
                      <w:sz w:val="21"/>
                      <w:szCs w:val="21"/>
                    </w:rPr>
                  </w:pPr>
                  <w:r>
                    <w:rPr>
                      <w:kern w:val="0"/>
                      <w:sz w:val="21"/>
                      <w:szCs w:val="21"/>
                    </w:rPr>
                    <w:t>县界</w:t>
                  </w:r>
                  <w:r>
                    <w:rPr>
                      <w:kern w:val="0"/>
                      <w:sz w:val="21"/>
                      <w:szCs w:val="21"/>
                    </w:rPr>
                    <w:br w:type="textWrapping"/>
                  </w:r>
                  <w:r>
                    <w:rPr>
                      <w:kern w:val="0"/>
                      <w:sz w:val="21"/>
                      <w:szCs w:val="21"/>
                    </w:rPr>
                    <w:t>(达川区→高新区)</w:t>
                  </w:r>
                </w:p>
              </w:tc>
              <w:tc>
                <w:tcPr>
                  <w:tcW w:w="1097" w:type="dxa"/>
                  <w:vAlign w:val="center"/>
                </w:tcPr>
                <w:p>
                  <w:pPr>
                    <w:spacing w:line="240" w:lineRule="auto"/>
                    <w:ind w:left="-72" w:leftChars="-30" w:right="-72" w:rightChars="-30"/>
                    <w:jc w:val="center"/>
                    <w:rPr>
                      <w:kern w:val="0"/>
                      <w:sz w:val="21"/>
                      <w:szCs w:val="21"/>
                    </w:rPr>
                  </w:pPr>
                  <w:r>
                    <w:rPr>
                      <w:kern w:val="0"/>
                      <w:sz w:val="21"/>
                      <w:szCs w:val="21"/>
                    </w:rPr>
                    <w:t>市控</w:t>
                  </w:r>
                </w:p>
              </w:tc>
              <w:tc>
                <w:tcPr>
                  <w:tcW w:w="498" w:type="dxa"/>
                  <w:vAlign w:val="center"/>
                </w:tcPr>
                <w:p>
                  <w:pPr>
                    <w:spacing w:line="240" w:lineRule="auto"/>
                    <w:ind w:left="-72" w:leftChars="-30" w:right="-72" w:rightChars="-30"/>
                    <w:jc w:val="center"/>
                    <w:rPr>
                      <w:kern w:val="0"/>
                      <w:sz w:val="21"/>
                      <w:szCs w:val="21"/>
                    </w:rPr>
                  </w:pPr>
                  <w:r>
                    <w:rPr>
                      <w:kern w:val="0"/>
                      <w:sz w:val="21"/>
                      <w:szCs w:val="21"/>
                    </w:rPr>
                    <w:t>/</w:t>
                  </w:r>
                </w:p>
              </w:tc>
              <w:tc>
                <w:tcPr>
                  <w:tcW w:w="730" w:type="dxa"/>
                  <w:vAlign w:val="center"/>
                </w:tcPr>
                <w:p>
                  <w:pPr>
                    <w:spacing w:line="240" w:lineRule="auto"/>
                    <w:ind w:left="-72" w:leftChars="-30" w:right="-72" w:rightChars="-30"/>
                    <w:jc w:val="center"/>
                    <w:rPr>
                      <w:kern w:val="0"/>
                      <w:sz w:val="21"/>
                      <w:szCs w:val="21"/>
                    </w:rPr>
                  </w:pPr>
                  <w:r>
                    <w:rPr>
                      <w:kern w:val="0"/>
                      <w:sz w:val="21"/>
                      <w:szCs w:val="21"/>
                    </w:rPr>
                    <w:t>Ⅲ</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29</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continue"/>
                  <w:vAlign w:val="center"/>
                </w:tcPr>
                <w:p>
                  <w:pPr>
                    <w:spacing w:line="240" w:lineRule="auto"/>
                    <w:ind w:left="-72" w:leftChars="-30" w:right="-72" w:rightChars="-30"/>
                    <w:jc w:val="center"/>
                    <w:rPr>
                      <w:kern w:val="0"/>
                      <w:sz w:val="21"/>
                      <w:szCs w:val="21"/>
                    </w:rPr>
                  </w:pPr>
                </w:p>
              </w:tc>
              <w:tc>
                <w:tcPr>
                  <w:tcW w:w="997" w:type="dxa"/>
                  <w:vAlign w:val="center"/>
                </w:tcPr>
                <w:p>
                  <w:pPr>
                    <w:spacing w:line="240" w:lineRule="auto"/>
                    <w:ind w:left="-72" w:leftChars="-30" w:right="-72" w:rightChars="-30"/>
                    <w:jc w:val="center"/>
                    <w:rPr>
                      <w:kern w:val="0"/>
                      <w:sz w:val="21"/>
                      <w:szCs w:val="21"/>
                    </w:rPr>
                  </w:pPr>
                  <w:r>
                    <w:rPr>
                      <w:kern w:val="0"/>
                      <w:sz w:val="21"/>
                      <w:szCs w:val="21"/>
                    </w:rPr>
                    <w:t>金垭米家坝</w:t>
                  </w:r>
                </w:p>
              </w:tc>
              <w:tc>
                <w:tcPr>
                  <w:tcW w:w="1695" w:type="dxa"/>
                  <w:vAlign w:val="center"/>
                </w:tcPr>
                <w:p>
                  <w:pPr>
                    <w:spacing w:line="240" w:lineRule="auto"/>
                    <w:ind w:left="-72" w:leftChars="-30" w:right="-72" w:rightChars="-30"/>
                    <w:jc w:val="center"/>
                    <w:rPr>
                      <w:kern w:val="0"/>
                      <w:sz w:val="21"/>
                      <w:szCs w:val="21"/>
                    </w:rPr>
                  </w:pPr>
                  <w:r>
                    <w:rPr>
                      <w:kern w:val="0"/>
                      <w:sz w:val="21"/>
                      <w:szCs w:val="21"/>
                    </w:rPr>
                    <w:t>河口</w:t>
                  </w:r>
                  <w:r>
                    <w:rPr>
                      <w:kern w:val="0"/>
                      <w:sz w:val="21"/>
                      <w:szCs w:val="21"/>
                    </w:rPr>
                    <w:br w:type="textWrapping"/>
                  </w:r>
                  <w:r>
                    <w:rPr>
                      <w:kern w:val="0"/>
                      <w:sz w:val="21"/>
                      <w:szCs w:val="21"/>
                    </w:rPr>
                    <w:t>（入州河前）</w:t>
                  </w:r>
                </w:p>
              </w:tc>
              <w:tc>
                <w:tcPr>
                  <w:tcW w:w="1097" w:type="dxa"/>
                  <w:vAlign w:val="center"/>
                </w:tcPr>
                <w:p>
                  <w:pPr>
                    <w:spacing w:line="240" w:lineRule="auto"/>
                    <w:ind w:left="-72" w:leftChars="-30" w:right="-72" w:rightChars="-30"/>
                    <w:jc w:val="center"/>
                    <w:rPr>
                      <w:kern w:val="0"/>
                      <w:sz w:val="21"/>
                      <w:szCs w:val="21"/>
                    </w:rPr>
                  </w:pPr>
                  <w:r>
                    <w:rPr>
                      <w:kern w:val="0"/>
                      <w:sz w:val="21"/>
                      <w:szCs w:val="21"/>
                    </w:rPr>
                    <w:t>市控</w:t>
                  </w:r>
                </w:p>
              </w:tc>
              <w:tc>
                <w:tcPr>
                  <w:tcW w:w="498" w:type="dxa"/>
                  <w:vAlign w:val="center"/>
                </w:tcPr>
                <w:p>
                  <w:pPr>
                    <w:spacing w:line="240" w:lineRule="auto"/>
                    <w:ind w:left="-72" w:leftChars="-30" w:right="-72" w:rightChars="-30"/>
                    <w:jc w:val="center"/>
                    <w:rPr>
                      <w:kern w:val="0"/>
                      <w:sz w:val="21"/>
                      <w:szCs w:val="21"/>
                    </w:rPr>
                  </w:pPr>
                  <w:r>
                    <w:rPr>
                      <w:kern w:val="0"/>
                      <w:sz w:val="21"/>
                      <w:szCs w:val="21"/>
                    </w:rPr>
                    <w:t>Ⅲ</w:t>
                  </w:r>
                </w:p>
              </w:tc>
              <w:tc>
                <w:tcPr>
                  <w:tcW w:w="730" w:type="dxa"/>
                  <w:vAlign w:val="center"/>
                </w:tcPr>
                <w:p>
                  <w:pPr>
                    <w:spacing w:line="240" w:lineRule="auto"/>
                    <w:ind w:left="-72" w:leftChars="-30" w:right="-72" w:rightChars="-30"/>
                    <w:jc w:val="center"/>
                    <w:rPr>
                      <w:kern w:val="0"/>
                      <w:sz w:val="21"/>
                      <w:szCs w:val="21"/>
                    </w:rPr>
                  </w:pPr>
                  <w:r>
                    <w:rPr>
                      <w:kern w:val="0"/>
                      <w:sz w:val="21"/>
                      <w:szCs w:val="21"/>
                    </w:rPr>
                    <w:t>/</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30</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Align w:val="center"/>
                </w:tcPr>
                <w:p>
                  <w:pPr>
                    <w:spacing w:line="240" w:lineRule="auto"/>
                    <w:ind w:left="-72" w:leftChars="-30" w:right="-72" w:rightChars="-30"/>
                    <w:jc w:val="center"/>
                    <w:rPr>
                      <w:kern w:val="0"/>
                      <w:sz w:val="21"/>
                      <w:szCs w:val="21"/>
                    </w:rPr>
                  </w:pPr>
                  <w:r>
                    <w:rPr>
                      <w:kern w:val="0"/>
                      <w:sz w:val="21"/>
                      <w:szCs w:val="21"/>
                    </w:rPr>
                    <w:t>施家河</w:t>
                  </w:r>
                </w:p>
              </w:tc>
              <w:tc>
                <w:tcPr>
                  <w:tcW w:w="997" w:type="dxa"/>
                  <w:vAlign w:val="center"/>
                </w:tcPr>
                <w:p>
                  <w:pPr>
                    <w:spacing w:line="240" w:lineRule="auto"/>
                    <w:ind w:left="-72" w:leftChars="-30" w:right="-72" w:rightChars="-30"/>
                    <w:jc w:val="center"/>
                    <w:rPr>
                      <w:kern w:val="0"/>
                      <w:sz w:val="21"/>
                      <w:szCs w:val="21"/>
                    </w:rPr>
                  </w:pPr>
                  <w:r>
                    <w:rPr>
                      <w:kern w:val="0"/>
                      <w:sz w:val="21"/>
                      <w:szCs w:val="21"/>
                    </w:rPr>
                    <w:t>岩登坡桥</w:t>
                  </w:r>
                </w:p>
              </w:tc>
              <w:tc>
                <w:tcPr>
                  <w:tcW w:w="1695" w:type="dxa"/>
                  <w:vAlign w:val="center"/>
                </w:tcPr>
                <w:p>
                  <w:pPr>
                    <w:spacing w:line="240" w:lineRule="auto"/>
                    <w:ind w:left="-72" w:leftChars="-30" w:right="-72" w:rightChars="-30"/>
                    <w:jc w:val="center"/>
                    <w:rPr>
                      <w:kern w:val="0"/>
                      <w:sz w:val="21"/>
                      <w:szCs w:val="21"/>
                    </w:rPr>
                  </w:pPr>
                  <w:r>
                    <w:rPr>
                      <w:kern w:val="0"/>
                      <w:sz w:val="21"/>
                      <w:szCs w:val="21"/>
                    </w:rPr>
                    <w:t>省界(渝→川)</w:t>
                  </w:r>
                </w:p>
              </w:tc>
              <w:tc>
                <w:tcPr>
                  <w:tcW w:w="1097" w:type="dxa"/>
                  <w:vAlign w:val="center"/>
                </w:tcPr>
                <w:p>
                  <w:pPr>
                    <w:spacing w:line="240" w:lineRule="auto"/>
                    <w:ind w:left="-72" w:leftChars="-30" w:right="-72" w:rightChars="-30"/>
                    <w:jc w:val="center"/>
                    <w:rPr>
                      <w:kern w:val="0"/>
                      <w:sz w:val="21"/>
                      <w:szCs w:val="21"/>
                    </w:rPr>
                  </w:pPr>
                  <w:r>
                    <w:rPr>
                      <w:kern w:val="0"/>
                      <w:sz w:val="21"/>
                      <w:szCs w:val="21"/>
                    </w:rPr>
                    <w:t>长江重要支流</w:t>
                  </w:r>
                </w:p>
              </w:tc>
              <w:tc>
                <w:tcPr>
                  <w:tcW w:w="498" w:type="dxa"/>
                  <w:vAlign w:val="center"/>
                </w:tcPr>
                <w:p>
                  <w:pPr>
                    <w:spacing w:line="240" w:lineRule="auto"/>
                    <w:ind w:left="-72" w:leftChars="-30" w:right="-72" w:rightChars="-30"/>
                    <w:jc w:val="center"/>
                    <w:rPr>
                      <w:kern w:val="0"/>
                      <w:sz w:val="21"/>
                      <w:szCs w:val="21"/>
                    </w:rPr>
                  </w:pPr>
                  <w:r>
                    <w:rPr>
                      <w:kern w:val="0"/>
                      <w:sz w:val="21"/>
                      <w:szCs w:val="21"/>
                    </w:rPr>
                    <w:t>Ⅲ</w:t>
                  </w:r>
                </w:p>
              </w:tc>
              <w:tc>
                <w:tcPr>
                  <w:tcW w:w="730" w:type="dxa"/>
                  <w:vAlign w:val="center"/>
                </w:tcPr>
                <w:p>
                  <w:pPr>
                    <w:spacing w:line="240" w:lineRule="auto"/>
                    <w:ind w:left="-72" w:leftChars="-30" w:right="-72" w:rightChars="-30"/>
                    <w:jc w:val="center"/>
                    <w:rPr>
                      <w:kern w:val="0"/>
                      <w:sz w:val="21"/>
                      <w:szCs w:val="21"/>
                    </w:rPr>
                  </w:pPr>
                  <w:r>
                    <w:rPr>
                      <w:kern w:val="0"/>
                      <w:sz w:val="21"/>
                      <w:szCs w:val="21"/>
                    </w:rPr>
                    <w:t>Ⅱ</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31</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Align w:val="center"/>
                </w:tcPr>
                <w:p>
                  <w:pPr>
                    <w:spacing w:line="240" w:lineRule="auto"/>
                    <w:ind w:left="-72" w:leftChars="-30" w:right="-72" w:rightChars="-30"/>
                    <w:jc w:val="center"/>
                    <w:rPr>
                      <w:kern w:val="0"/>
                      <w:sz w:val="21"/>
                      <w:szCs w:val="21"/>
                    </w:rPr>
                  </w:pPr>
                  <w:r>
                    <w:rPr>
                      <w:kern w:val="0"/>
                      <w:sz w:val="21"/>
                      <w:szCs w:val="21"/>
                    </w:rPr>
                    <w:t>袁驿河</w:t>
                  </w:r>
                </w:p>
              </w:tc>
              <w:tc>
                <w:tcPr>
                  <w:tcW w:w="997" w:type="dxa"/>
                  <w:vAlign w:val="center"/>
                </w:tcPr>
                <w:p>
                  <w:pPr>
                    <w:spacing w:line="240" w:lineRule="auto"/>
                    <w:ind w:left="-72" w:leftChars="-30" w:right="-72" w:rightChars="-30"/>
                    <w:jc w:val="center"/>
                    <w:rPr>
                      <w:kern w:val="0"/>
                      <w:sz w:val="21"/>
                      <w:szCs w:val="21"/>
                    </w:rPr>
                  </w:pPr>
                  <w:r>
                    <w:rPr>
                      <w:kern w:val="0"/>
                      <w:sz w:val="21"/>
                      <w:szCs w:val="21"/>
                    </w:rPr>
                    <w:t>速建桥</w:t>
                  </w:r>
                </w:p>
              </w:tc>
              <w:tc>
                <w:tcPr>
                  <w:tcW w:w="1695" w:type="dxa"/>
                  <w:vAlign w:val="center"/>
                </w:tcPr>
                <w:p>
                  <w:pPr>
                    <w:spacing w:line="240" w:lineRule="auto"/>
                    <w:ind w:left="-72" w:leftChars="-30" w:right="-72" w:rightChars="-30"/>
                    <w:jc w:val="center"/>
                    <w:rPr>
                      <w:kern w:val="0"/>
                      <w:sz w:val="21"/>
                      <w:szCs w:val="21"/>
                    </w:rPr>
                  </w:pPr>
                  <w:r>
                    <w:rPr>
                      <w:kern w:val="0"/>
                      <w:sz w:val="21"/>
                      <w:szCs w:val="21"/>
                    </w:rPr>
                    <w:t>省界(渝→川)</w:t>
                  </w:r>
                </w:p>
              </w:tc>
              <w:tc>
                <w:tcPr>
                  <w:tcW w:w="1097" w:type="dxa"/>
                  <w:vAlign w:val="center"/>
                </w:tcPr>
                <w:p>
                  <w:pPr>
                    <w:spacing w:line="240" w:lineRule="auto"/>
                    <w:ind w:left="-72" w:leftChars="-30" w:right="-72" w:rightChars="-30"/>
                    <w:jc w:val="center"/>
                    <w:rPr>
                      <w:kern w:val="0"/>
                      <w:sz w:val="21"/>
                      <w:szCs w:val="21"/>
                    </w:rPr>
                  </w:pPr>
                  <w:r>
                    <w:rPr>
                      <w:kern w:val="0"/>
                      <w:sz w:val="21"/>
                      <w:szCs w:val="21"/>
                    </w:rPr>
                    <w:t>省控趋势科研</w:t>
                  </w:r>
                </w:p>
              </w:tc>
              <w:tc>
                <w:tcPr>
                  <w:tcW w:w="498" w:type="dxa"/>
                  <w:vAlign w:val="center"/>
                </w:tcPr>
                <w:p>
                  <w:pPr>
                    <w:spacing w:line="240" w:lineRule="auto"/>
                    <w:ind w:left="-72" w:leftChars="-30" w:right="-72" w:rightChars="-30"/>
                    <w:jc w:val="center"/>
                    <w:rPr>
                      <w:kern w:val="0"/>
                      <w:sz w:val="21"/>
                      <w:szCs w:val="21"/>
                    </w:rPr>
                  </w:pPr>
                  <w:r>
                    <w:rPr>
                      <w:kern w:val="0"/>
                      <w:sz w:val="21"/>
                      <w:szCs w:val="21"/>
                    </w:rPr>
                    <w:t>Ⅲ</w:t>
                  </w:r>
                </w:p>
              </w:tc>
              <w:tc>
                <w:tcPr>
                  <w:tcW w:w="730" w:type="dxa"/>
                  <w:vAlign w:val="center"/>
                </w:tcPr>
                <w:p>
                  <w:pPr>
                    <w:spacing w:line="240" w:lineRule="auto"/>
                    <w:ind w:left="-72" w:leftChars="-30" w:right="-72" w:rightChars="-30"/>
                    <w:jc w:val="center"/>
                    <w:rPr>
                      <w:kern w:val="0"/>
                      <w:sz w:val="21"/>
                      <w:szCs w:val="21"/>
                    </w:rPr>
                  </w:pPr>
                  <w:r>
                    <w:rPr>
                      <w:kern w:val="0"/>
                      <w:sz w:val="21"/>
                      <w:szCs w:val="21"/>
                    </w:rPr>
                    <w:t>Ⅲ</w:t>
                  </w:r>
                </w:p>
              </w:tc>
              <w:tc>
                <w:tcPr>
                  <w:tcW w:w="575" w:type="dxa"/>
                  <w:vAlign w:val="center"/>
                </w:tcPr>
                <w:p>
                  <w:pPr>
                    <w:spacing w:line="240" w:lineRule="auto"/>
                    <w:ind w:left="-72" w:leftChars="-30" w:right="-72" w:rightChars="-30"/>
                    <w:jc w:val="center"/>
                    <w:rPr>
                      <w:kern w:val="0"/>
                      <w:sz w:val="21"/>
                      <w:szCs w:val="21"/>
                    </w:rPr>
                  </w:pPr>
                  <w:r>
                    <w:rPr>
                      <w:kern w:val="0"/>
                      <w:sz w:val="21"/>
                      <w:szCs w:val="21"/>
                    </w:rPr>
                    <w:t>Ⅱ</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32</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Align w:val="center"/>
                </w:tcPr>
                <w:p>
                  <w:pPr>
                    <w:spacing w:line="240" w:lineRule="auto"/>
                    <w:ind w:left="-72" w:leftChars="-30" w:right="-72" w:rightChars="-30"/>
                    <w:jc w:val="center"/>
                    <w:rPr>
                      <w:kern w:val="0"/>
                      <w:sz w:val="21"/>
                      <w:szCs w:val="21"/>
                    </w:rPr>
                  </w:pPr>
                  <w:r>
                    <w:rPr>
                      <w:kern w:val="0"/>
                      <w:sz w:val="21"/>
                      <w:szCs w:val="21"/>
                    </w:rPr>
                    <w:t>石桥河</w:t>
                  </w:r>
                </w:p>
              </w:tc>
              <w:tc>
                <w:tcPr>
                  <w:tcW w:w="997" w:type="dxa"/>
                  <w:vAlign w:val="center"/>
                </w:tcPr>
                <w:p>
                  <w:pPr>
                    <w:spacing w:line="240" w:lineRule="auto"/>
                    <w:ind w:left="-72" w:leftChars="-30" w:right="-72" w:rightChars="-30"/>
                    <w:jc w:val="center"/>
                    <w:rPr>
                      <w:kern w:val="0"/>
                      <w:sz w:val="21"/>
                      <w:szCs w:val="21"/>
                    </w:rPr>
                  </w:pPr>
                  <w:r>
                    <w:rPr>
                      <w:kern w:val="0"/>
                      <w:sz w:val="21"/>
                      <w:szCs w:val="21"/>
                    </w:rPr>
                    <w:t>凌家桥</w:t>
                  </w:r>
                </w:p>
              </w:tc>
              <w:tc>
                <w:tcPr>
                  <w:tcW w:w="1695" w:type="dxa"/>
                  <w:vAlign w:val="center"/>
                </w:tcPr>
                <w:p>
                  <w:pPr>
                    <w:spacing w:line="240" w:lineRule="auto"/>
                    <w:ind w:left="-72" w:leftChars="-30" w:right="-72" w:rightChars="-30"/>
                    <w:jc w:val="center"/>
                    <w:rPr>
                      <w:kern w:val="0"/>
                      <w:sz w:val="21"/>
                      <w:szCs w:val="21"/>
                    </w:rPr>
                  </w:pPr>
                  <w:r>
                    <w:rPr>
                      <w:kern w:val="0"/>
                      <w:sz w:val="21"/>
                      <w:szCs w:val="21"/>
                    </w:rPr>
                    <w:t>省界(川→渝)</w:t>
                  </w:r>
                </w:p>
              </w:tc>
              <w:tc>
                <w:tcPr>
                  <w:tcW w:w="1097" w:type="dxa"/>
                  <w:vAlign w:val="center"/>
                </w:tcPr>
                <w:p>
                  <w:pPr>
                    <w:spacing w:line="240" w:lineRule="auto"/>
                    <w:ind w:left="-72" w:leftChars="-30" w:right="-72" w:rightChars="-30"/>
                    <w:jc w:val="center"/>
                    <w:rPr>
                      <w:kern w:val="0"/>
                      <w:sz w:val="21"/>
                      <w:szCs w:val="21"/>
                    </w:rPr>
                  </w:pPr>
                  <w:r>
                    <w:rPr>
                      <w:kern w:val="0"/>
                      <w:sz w:val="21"/>
                      <w:szCs w:val="21"/>
                    </w:rPr>
                    <w:t>省控考核评价</w:t>
                  </w:r>
                </w:p>
              </w:tc>
              <w:tc>
                <w:tcPr>
                  <w:tcW w:w="498" w:type="dxa"/>
                  <w:vAlign w:val="center"/>
                </w:tcPr>
                <w:p>
                  <w:pPr>
                    <w:spacing w:line="240" w:lineRule="auto"/>
                    <w:ind w:left="-72" w:leftChars="-30" w:right="-72" w:rightChars="-30"/>
                    <w:jc w:val="center"/>
                    <w:rPr>
                      <w:kern w:val="0"/>
                      <w:sz w:val="21"/>
                      <w:szCs w:val="21"/>
                    </w:rPr>
                  </w:pPr>
                  <w:r>
                    <w:rPr>
                      <w:kern w:val="0"/>
                      <w:sz w:val="21"/>
                      <w:szCs w:val="21"/>
                    </w:rPr>
                    <w:t>Ⅳ</w:t>
                  </w:r>
                </w:p>
              </w:tc>
              <w:tc>
                <w:tcPr>
                  <w:tcW w:w="730" w:type="dxa"/>
                  <w:vAlign w:val="center"/>
                </w:tcPr>
                <w:p>
                  <w:pPr>
                    <w:spacing w:line="240" w:lineRule="auto"/>
                    <w:ind w:left="-72" w:leftChars="-30" w:right="-72" w:rightChars="-30"/>
                    <w:jc w:val="center"/>
                    <w:rPr>
                      <w:kern w:val="0"/>
                      <w:sz w:val="21"/>
                      <w:szCs w:val="21"/>
                    </w:rPr>
                  </w:pPr>
                  <w:r>
                    <w:rPr>
                      <w:kern w:val="0"/>
                      <w:sz w:val="21"/>
                      <w:szCs w:val="21"/>
                    </w:rPr>
                    <w:t>Ⅲ</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33</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restart"/>
                  <w:vAlign w:val="center"/>
                </w:tcPr>
                <w:p>
                  <w:pPr>
                    <w:spacing w:line="240" w:lineRule="auto"/>
                    <w:ind w:left="-72" w:leftChars="-30" w:right="-72" w:rightChars="-30"/>
                    <w:jc w:val="center"/>
                    <w:rPr>
                      <w:kern w:val="0"/>
                      <w:sz w:val="21"/>
                      <w:szCs w:val="21"/>
                    </w:rPr>
                  </w:pPr>
                  <w:r>
                    <w:rPr>
                      <w:kern w:val="0"/>
                      <w:sz w:val="21"/>
                      <w:szCs w:val="21"/>
                    </w:rPr>
                    <w:t>平滩河</w:t>
                  </w:r>
                </w:p>
              </w:tc>
              <w:tc>
                <w:tcPr>
                  <w:tcW w:w="997" w:type="dxa"/>
                  <w:vAlign w:val="center"/>
                </w:tcPr>
                <w:p>
                  <w:pPr>
                    <w:spacing w:line="240" w:lineRule="auto"/>
                    <w:ind w:left="-72" w:leftChars="-30" w:right="-72" w:rightChars="-30"/>
                    <w:jc w:val="center"/>
                    <w:rPr>
                      <w:kern w:val="0"/>
                      <w:sz w:val="21"/>
                      <w:szCs w:val="21"/>
                    </w:rPr>
                  </w:pPr>
                  <w:r>
                    <w:rPr>
                      <w:kern w:val="0"/>
                      <w:sz w:val="21"/>
                      <w:szCs w:val="21"/>
                    </w:rPr>
                    <w:t>碧山中学</w:t>
                  </w:r>
                </w:p>
              </w:tc>
              <w:tc>
                <w:tcPr>
                  <w:tcW w:w="1695" w:type="dxa"/>
                  <w:vAlign w:val="center"/>
                </w:tcPr>
                <w:p>
                  <w:pPr>
                    <w:spacing w:line="240" w:lineRule="auto"/>
                    <w:ind w:left="-72" w:leftChars="-30" w:right="-72" w:rightChars="-30"/>
                    <w:jc w:val="center"/>
                    <w:rPr>
                      <w:kern w:val="0"/>
                      <w:sz w:val="21"/>
                      <w:szCs w:val="21"/>
                    </w:rPr>
                  </w:pPr>
                  <w:r>
                    <w:rPr>
                      <w:kern w:val="0"/>
                      <w:sz w:val="21"/>
                      <w:szCs w:val="21"/>
                    </w:rPr>
                    <w:t>省界(渝→川)</w:t>
                  </w:r>
                </w:p>
              </w:tc>
              <w:tc>
                <w:tcPr>
                  <w:tcW w:w="1097" w:type="dxa"/>
                  <w:vAlign w:val="center"/>
                </w:tcPr>
                <w:p>
                  <w:pPr>
                    <w:spacing w:line="240" w:lineRule="auto"/>
                    <w:ind w:left="-72" w:leftChars="-30" w:right="-72" w:rightChars="-30"/>
                    <w:jc w:val="center"/>
                    <w:rPr>
                      <w:kern w:val="0"/>
                      <w:sz w:val="21"/>
                      <w:szCs w:val="21"/>
                    </w:rPr>
                  </w:pPr>
                  <w:r>
                    <w:rPr>
                      <w:kern w:val="0"/>
                      <w:sz w:val="21"/>
                      <w:szCs w:val="21"/>
                    </w:rPr>
                    <w:t>省控趋势科研</w:t>
                  </w:r>
                </w:p>
              </w:tc>
              <w:tc>
                <w:tcPr>
                  <w:tcW w:w="498" w:type="dxa"/>
                  <w:vAlign w:val="center"/>
                </w:tcPr>
                <w:p>
                  <w:pPr>
                    <w:spacing w:line="240" w:lineRule="auto"/>
                    <w:ind w:left="-72" w:leftChars="-30" w:right="-72" w:rightChars="-30"/>
                    <w:jc w:val="center"/>
                    <w:rPr>
                      <w:kern w:val="0"/>
                      <w:sz w:val="21"/>
                      <w:szCs w:val="21"/>
                    </w:rPr>
                  </w:pPr>
                  <w:r>
                    <w:rPr>
                      <w:kern w:val="0"/>
                      <w:sz w:val="21"/>
                      <w:szCs w:val="21"/>
                    </w:rPr>
                    <w:t>Ⅲ</w:t>
                  </w:r>
                </w:p>
              </w:tc>
              <w:tc>
                <w:tcPr>
                  <w:tcW w:w="730" w:type="dxa"/>
                  <w:vAlign w:val="center"/>
                </w:tcPr>
                <w:p>
                  <w:pPr>
                    <w:spacing w:line="240" w:lineRule="auto"/>
                    <w:ind w:left="-72" w:leftChars="-30" w:right="-72" w:rightChars="-30"/>
                    <w:jc w:val="center"/>
                    <w:rPr>
                      <w:kern w:val="0"/>
                      <w:sz w:val="21"/>
                      <w:szCs w:val="21"/>
                    </w:rPr>
                  </w:pPr>
                  <w:r>
                    <w:rPr>
                      <w:kern w:val="0"/>
                      <w:sz w:val="21"/>
                      <w:szCs w:val="21"/>
                    </w:rPr>
                    <w:t>Ⅲ</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34</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Merge w:val="continue"/>
                  <w:vAlign w:val="center"/>
                </w:tcPr>
                <w:p>
                  <w:pPr>
                    <w:spacing w:line="240" w:lineRule="auto"/>
                    <w:ind w:left="-72" w:leftChars="-30" w:right="-72" w:rightChars="-30"/>
                    <w:jc w:val="center"/>
                    <w:rPr>
                      <w:kern w:val="0"/>
                      <w:sz w:val="21"/>
                      <w:szCs w:val="21"/>
                    </w:rPr>
                  </w:pPr>
                </w:p>
              </w:tc>
              <w:tc>
                <w:tcPr>
                  <w:tcW w:w="997" w:type="dxa"/>
                  <w:vAlign w:val="center"/>
                </w:tcPr>
                <w:p>
                  <w:pPr>
                    <w:spacing w:line="240" w:lineRule="auto"/>
                    <w:ind w:left="-72" w:leftChars="-30" w:right="-72" w:rightChars="-30"/>
                    <w:jc w:val="center"/>
                    <w:rPr>
                      <w:kern w:val="0"/>
                      <w:sz w:val="21"/>
                      <w:szCs w:val="21"/>
                    </w:rPr>
                  </w:pPr>
                  <w:r>
                    <w:rPr>
                      <w:kern w:val="0"/>
                      <w:sz w:val="21"/>
                      <w:szCs w:val="21"/>
                    </w:rPr>
                    <w:t>牛角滩</w:t>
                  </w:r>
                </w:p>
              </w:tc>
              <w:tc>
                <w:tcPr>
                  <w:tcW w:w="1695" w:type="dxa"/>
                  <w:vAlign w:val="center"/>
                </w:tcPr>
                <w:p>
                  <w:pPr>
                    <w:spacing w:line="240" w:lineRule="auto"/>
                    <w:ind w:left="-72" w:leftChars="-30" w:right="-72" w:rightChars="-30"/>
                    <w:jc w:val="center"/>
                    <w:rPr>
                      <w:kern w:val="0"/>
                      <w:sz w:val="21"/>
                      <w:szCs w:val="21"/>
                    </w:rPr>
                  </w:pPr>
                  <w:r>
                    <w:rPr>
                      <w:kern w:val="0"/>
                      <w:sz w:val="21"/>
                      <w:szCs w:val="21"/>
                    </w:rPr>
                    <w:t>省界(川→渝)</w:t>
                  </w:r>
                </w:p>
              </w:tc>
              <w:tc>
                <w:tcPr>
                  <w:tcW w:w="1097" w:type="dxa"/>
                  <w:vAlign w:val="center"/>
                </w:tcPr>
                <w:p>
                  <w:pPr>
                    <w:spacing w:line="240" w:lineRule="auto"/>
                    <w:ind w:left="-72" w:leftChars="-30" w:right="-72" w:rightChars="-30"/>
                    <w:jc w:val="center"/>
                    <w:rPr>
                      <w:kern w:val="0"/>
                      <w:sz w:val="21"/>
                      <w:szCs w:val="21"/>
                    </w:rPr>
                  </w:pPr>
                  <w:r>
                    <w:rPr>
                      <w:kern w:val="0"/>
                      <w:sz w:val="21"/>
                      <w:szCs w:val="21"/>
                    </w:rPr>
                    <w:t>国考</w:t>
                  </w:r>
                </w:p>
              </w:tc>
              <w:tc>
                <w:tcPr>
                  <w:tcW w:w="498" w:type="dxa"/>
                  <w:vAlign w:val="center"/>
                </w:tcPr>
                <w:p>
                  <w:pPr>
                    <w:spacing w:line="240" w:lineRule="auto"/>
                    <w:ind w:left="-72" w:leftChars="-30" w:right="-72" w:rightChars="-30"/>
                    <w:jc w:val="center"/>
                    <w:rPr>
                      <w:kern w:val="0"/>
                      <w:sz w:val="21"/>
                      <w:szCs w:val="21"/>
                    </w:rPr>
                  </w:pPr>
                  <w:r>
                    <w:rPr>
                      <w:kern w:val="0"/>
                      <w:sz w:val="21"/>
                      <w:szCs w:val="21"/>
                    </w:rPr>
                    <w:t>Ⅱ</w:t>
                  </w:r>
                </w:p>
              </w:tc>
              <w:tc>
                <w:tcPr>
                  <w:tcW w:w="730" w:type="dxa"/>
                  <w:vAlign w:val="center"/>
                </w:tcPr>
                <w:p>
                  <w:pPr>
                    <w:spacing w:line="240" w:lineRule="auto"/>
                    <w:ind w:left="-72" w:leftChars="-30" w:right="-72" w:rightChars="-30"/>
                    <w:jc w:val="center"/>
                    <w:rPr>
                      <w:kern w:val="0"/>
                      <w:sz w:val="21"/>
                      <w:szCs w:val="21"/>
                    </w:rPr>
                  </w:pPr>
                  <w:r>
                    <w:rPr>
                      <w:kern w:val="0"/>
                      <w:sz w:val="21"/>
                      <w:szCs w:val="21"/>
                    </w:rPr>
                    <w:t>/</w:t>
                  </w:r>
                </w:p>
              </w:tc>
              <w:tc>
                <w:tcPr>
                  <w:tcW w:w="575" w:type="dxa"/>
                  <w:vAlign w:val="center"/>
                </w:tcPr>
                <w:p>
                  <w:pPr>
                    <w:spacing w:line="240" w:lineRule="auto"/>
                    <w:ind w:left="-72" w:leftChars="-30" w:right="-72" w:rightChars="-30"/>
                    <w:jc w:val="center"/>
                    <w:rPr>
                      <w:kern w:val="0"/>
                      <w:sz w:val="21"/>
                      <w:szCs w:val="21"/>
                    </w:rPr>
                  </w:pPr>
                  <w:r>
                    <w:rPr>
                      <w:kern w:val="0"/>
                      <w:sz w:val="21"/>
                      <w:szCs w:val="21"/>
                    </w:rPr>
                    <w:t>Ⅲ</w:t>
                  </w:r>
                </w:p>
              </w:tc>
              <w:tc>
                <w:tcPr>
                  <w:tcW w:w="1365" w:type="dxa"/>
                  <w:vAlign w:val="center"/>
                </w:tcPr>
                <w:p>
                  <w:pPr>
                    <w:spacing w:line="240" w:lineRule="auto"/>
                    <w:ind w:left="-72" w:leftChars="-30" w:right="-72" w:rightChars="-30"/>
                    <w:jc w:val="center"/>
                    <w:rPr>
                      <w:kern w:val="0"/>
                      <w:sz w:val="21"/>
                      <w:szCs w:val="21"/>
                    </w:rPr>
                  </w:pPr>
                  <w:r>
                    <w:rPr>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21" w:type="dxa"/>
                  <w:noWrap/>
                  <w:vAlign w:val="center"/>
                </w:tcPr>
                <w:p>
                  <w:pPr>
                    <w:spacing w:line="240" w:lineRule="auto"/>
                    <w:ind w:left="-72" w:leftChars="-30" w:right="-72" w:rightChars="-30"/>
                    <w:jc w:val="center"/>
                    <w:rPr>
                      <w:kern w:val="0"/>
                      <w:sz w:val="21"/>
                      <w:szCs w:val="21"/>
                    </w:rPr>
                  </w:pPr>
                  <w:r>
                    <w:rPr>
                      <w:kern w:val="0"/>
                      <w:sz w:val="21"/>
                      <w:szCs w:val="21"/>
                    </w:rPr>
                    <w:t>35</w:t>
                  </w:r>
                </w:p>
              </w:tc>
              <w:tc>
                <w:tcPr>
                  <w:tcW w:w="485" w:type="dxa"/>
                  <w:vMerge w:val="continue"/>
                  <w:vAlign w:val="center"/>
                </w:tcPr>
                <w:p>
                  <w:pPr>
                    <w:spacing w:line="240" w:lineRule="auto"/>
                    <w:ind w:left="-72" w:leftChars="-30" w:right="-72" w:rightChars="-30"/>
                    <w:jc w:val="center"/>
                    <w:rPr>
                      <w:kern w:val="0"/>
                      <w:sz w:val="21"/>
                      <w:szCs w:val="21"/>
                    </w:rPr>
                  </w:pPr>
                </w:p>
              </w:tc>
              <w:tc>
                <w:tcPr>
                  <w:tcW w:w="470" w:type="dxa"/>
                  <w:vAlign w:val="center"/>
                </w:tcPr>
                <w:p>
                  <w:pPr>
                    <w:spacing w:line="240" w:lineRule="auto"/>
                    <w:ind w:left="-72" w:leftChars="-30" w:right="-72" w:rightChars="-30"/>
                    <w:jc w:val="center"/>
                    <w:rPr>
                      <w:kern w:val="0"/>
                      <w:sz w:val="21"/>
                      <w:szCs w:val="21"/>
                    </w:rPr>
                  </w:pPr>
                  <w:r>
                    <w:rPr>
                      <w:kern w:val="0"/>
                      <w:sz w:val="21"/>
                      <w:szCs w:val="21"/>
                    </w:rPr>
                    <w:t>东柳河</w:t>
                  </w:r>
                </w:p>
              </w:tc>
              <w:tc>
                <w:tcPr>
                  <w:tcW w:w="997" w:type="dxa"/>
                  <w:vAlign w:val="center"/>
                </w:tcPr>
                <w:p>
                  <w:pPr>
                    <w:spacing w:line="240" w:lineRule="auto"/>
                    <w:ind w:left="-72" w:leftChars="-30" w:right="-72" w:rightChars="-30"/>
                    <w:jc w:val="center"/>
                    <w:rPr>
                      <w:kern w:val="0"/>
                      <w:sz w:val="21"/>
                      <w:szCs w:val="21"/>
                    </w:rPr>
                  </w:pPr>
                  <w:r>
                    <w:rPr>
                      <w:kern w:val="0"/>
                      <w:sz w:val="21"/>
                      <w:szCs w:val="21"/>
                    </w:rPr>
                    <w:t>墩子河</w:t>
                  </w:r>
                </w:p>
              </w:tc>
              <w:tc>
                <w:tcPr>
                  <w:tcW w:w="1695" w:type="dxa"/>
                  <w:vAlign w:val="center"/>
                </w:tcPr>
                <w:p>
                  <w:pPr>
                    <w:spacing w:line="240" w:lineRule="auto"/>
                    <w:ind w:left="-72" w:leftChars="-30" w:right="-72" w:rightChars="-30"/>
                    <w:jc w:val="center"/>
                    <w:rPr>
                      <w:kern w:val="0"/>
                      <w:sz w:val="21"/>
                      <w:szCs w:val="21"/>
                    </w:rPr>
                  </w:pPr>
                  <w:r>
                    <w:rPr>
                      <w:kern w:val="0"/>
                      <w:sz w:val="21"/>
                      <w:szCs w:val="21"/>
                    </w:rPr>
                    <w:t>县界</w:t>
                  </w:r>
                  <w:r>
                    <w:rPr>
                      <w:kern w:val="0"/>
                      <w:sz w:val="21"/>
                      <w:szCs w:val="21"/>
                    </w:rPr>
                    <w:br w:type="textWrapping"/>
                  </w:r>
                  <w:r>
                    <w:rPr>
                      <w:kern w:val="0"/>
                      <w:sz w:val="21"/>
                      <w:szCs w:val="21"/>
                    </w:rPr>
                    <w:t>(大竹县→渠县)</w:t>
                  </w:r>
                </w:p>
              </w:tc>
              <w:tc>
                <w:tcPr>
                  <w:tcW w:w="1097" w:type="dxa"/>
                  <w:vAlign w:val="center"/>
                </w:tcPr>
                <w:p>
                  <w:pPr>
                    <w:spacing w:line="240" w:lineRule="auto"/>
                    <w:ind w:left="-72" w:leftChars="-30" w:right="-72" w:rightChars="-30"/>
                    <w:jc w:val="center"/>
                    <w:rPr>
                      <w:kern w:val="0"/>
                      <w:sz w:val="21"/>
                      <w:szCs w:val="21"/>
                    </w:rPr>
                  </w:pPr>
                  <w:r>
                    <w:rPr>
                      <w:kern w:val="0"/>
                      <w:sz w:val="21"/>
                      <w:szCs w:val="21"/>
                    </w:rPr>
                    <w:t>省控考核评价</w:t>
                  </w:r>
                </w:p>
              </w:tc>
              <w:tc>
                <w:tcPr>
                  <w:tcW w:w="498" w:type="dxa"/>
                  <w:vAlign w:val="center"/>
                </w:tcPr>
                <w:p>
                  <w:pPr>
                    <w:spacing w:line="240" w:lineRule="auto"/>
                    <w:ind w:left="-72" w:leftChars="-30" w:right="-72" w:rightChars="-30"/>
                    <w:jc w:val="center"/>
                    <w:rPr>
                      <w:kern w:val="0"/>
                      <w:sz w:val="21"/>
                      <w:szCs w:val="21"/>
                    </w:rPr>
                  </w:pPr>
                  <w:r>
                    <w:rPr>
                      <w:kern w:val="0"/>
                      <w:sz w:val="21"/>
                      <w:szCs w:val="21"/>
                    </w:rPr>
                    <w:t>Ⅳ</w:t>
                  </w:r>
                </w:p>
              </w:tc>
              <w:tc>
                <w:tcPr>
                  <w:tcW w:w="730" w:type="dxa"/>
                  <w:vAlign w:val="center"/>
                </w:tcPr>
                <w:p>
                  <w:pPr>
                    <w:spacing w:line="240" w:lineRule="auto"/>
                    <w:ind w:left="-72" w:leftChars="-30" w:right="-72" w:rightChars="-30"/>
                    <w:jc w:val="center"/>
                    <w:rPr>
                      <w:kern w:val="0"/>
                      <w:sz w:val="21"/>
                      <w:szCs w:val="21"/>
                    </w:rPr>
                  </w:pPr>
                  <w:r>
                    <w:rPr>
                      <w:kern w:val="0"/>
                      <w:sz w:val="21"/>
                      <w:szCs w:val="21"/>
                    </w:rPr>
                    <w:t>Ⅲ</w:t>
                  </w:r>
                </w:p>
              </w:tc>
              <w:tc>
                <w:tcPr>
                  <w:tcW w:w="575" w:type="dxa"/>
                  <w:vAlign w:val="center"/>
                </w:tcPr>
                <w:p>
                  <w:pPr>
                    <w:spacing w:line="240" w:lineRule="auto"/>
                    <w:ind w:left="-72" w:leftChars="-30" w:right="-72" w:rightChars="-30"/>
                    <w:jc w:val="center"/>
                    <w:rPr>
                      <w:kern w:val="0"/>
                      <w:sz w:val="21"/>
                      <w:szCs w:val="21"/>
                    </w:rPr>
                  </w:pPr>
                  <w:r>
                    <w:rPr>
                      <w:kern w:val="0"/>
                      <w:sz w:val="21"/>
                      <w:szCs w:val="21"/>
                    </w:rPr>
                    <w:t>Ⅳ</w:t>
                  </w:r>
                </w:p>
              </w:tc>
              <w:tc>
                <w:tcPr>
                  <w:tcW w:w="1365" w:type="dxa"/>
                  <w:vAlign w:val="center"/>
                </w:tcPr>
                <w:p>
                  <w:pPr>
                    <w:spacing w:line="240" w:lineRule="auto"/>
                    <w:ind w:left="-72" w:leftChars="-30" w:right="-72" w:rightChars="-30"/>
                    <w:jc w:val="center"/>
                    <w:rPr>
                      <w:kern w:val="0"/>
                      <w:sz w:val="21"/>
                      <w:szCs w:val="21"/>
                    </w:rPr>
                  </w:pPr>
                  <w:r>
                    <w:rPr>
                      <w:kern w:val="0"/>
                      <w:sz w:val="21"/>
                      <w:szCs w:val="21"/>
                    </w:rPr>
                    <w:t>氨氮、化学需氧量、高</w:t>
                  </w:r>
                  <w:r>
                    <w:rPr>
                      <w:kern w:val="0"/>
                      <w:sz w:val="21"/>
                      <w:szCs w:val="21"/>
                    </w:rPr>
                    <w:br w:type="textWrapping"/>
                  </w:r>
                  <w:r>
                    <w:rPr>
                      <w:kern w:val="0"/>
                      <w:sz w:val="21"/>
                      <w:szCs w:val="21"/>
                    </w:rPr>
                    <w:t>锰酸盐指数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8633" w:type="dxa"/>
                  <w:gridSpan w:val="10"/>
                  <w:vAlign w:val="center"/>
                </w:tcPr>
                <w:p>
                  <w:pPr>
                    <w:spacing w:line="240" w:lineRule="auto"/>
                    <w:ind w:left="-72" w:leftChars="-30" w:right="-72" w:rightChars="-30"/>
                    <w:rPr>
                      <w:kern w:val="0"/>
                      <w:sz w:val="21"/>
                      <w:szCs w:val="21"/>
                    </w:rPr>
                  </w:pPr>
                  <w:r>
                    <w:rPr>
                      <w:kern w:val="0"/>
                      <w:sz w:val="21"/>
                      <w:szCs w:val="21"/>
                    </w:rPr>
                    <w:t>注：1.  地表水环境评价执行《地表水环境质量标准》（GB 3838-2002）、《地表水环境质量评价办法（试行）》（环办〔2011〕22 号）和《关于印发〈“十四五”国家地表水监测及评价方案（试行）〉的通知》（环办监测函〔2020〕714 号）。</w:t>
                  </w:r>
                  <w:r>
                    <w:rPr>
                      <w:kern w:val="0"/>
                      <w:sz w:val="21"/>
                      <w:szCs w:val="21"/>
                    </w:rPr>
                    <w:br w:type="textWrapping"/>
                  </w:r>
                  <w:r>
                    <w:rPr>
                      <w:kern w:val="0"/>
                      <w:sz w:val="21"/>
                      <w:szCs w:val="21"/>
                    </w:rPr>
                    <w:t>2.  本月所有断面评价指标均为《地表水环境质量标准》（GB 3838-2002）表 1 中除水温、总氮、粪大肠菌群以外的 21 项指标；</w:t>
                  </w:r>
                  <w:r>
                    <w:rPr>
                      <w:kern w:val="0"/>
                      <w:sz w:val="21"/>
                      <w:szCs w:val="21"/>
                    </w:rPr>
                    <w:br w:type="textWrapping"/>
                  </w:r>
                  <w:r>
                    <w:rPr>
                      <w:kern w:val="0"/>
                      <w:sz w:val="21"/>
                      <w:szCs w:val="21"/>
                    </w:rPr>
                    <w:t>3.  超过Ⅲ类水质标准的指标为断面污染指标，取超标倍数最大的前三项为主要污染指标。</w:t>
                  </w:r>
                  <w:r>
                    <w:rPr>
                      <w:kern w:val="0"/>
                      <w:sz w:val="21"/>
                      <w:szCs w:val="21"/>
                    </w:rPr>
                    <w:br w:type="textWrapping"/>
                  </w:r>
                  <w:r>
                    <w:rPr>
                      <w:kern w:val="0"/>
                      <w:sz w:val="21"/>
                      <w:szCs w:val="21"/>
                    </w:rPr>
                    <w:t>4.  国控（国考）断面数据来源于采测分离反馈数据，非国控断面数据来源于手工监测数据。</w:t>
                  </w:r>
                </w:p>
              </w:tc>
            </w:tr>
          </w:tbl>
          <w:p>
            <w:pPr>
              <w:widowControl w:val="0"/>
              <w:spacing w:line="520" w:lineRule="exact"/>
              <w:ind w:firstLine="560"/>
              <w:jc w:val="both"/>
              <w:rPr>
                <w:bCs/>
                <w:kern w:val="0"/>
              </w:rPr>
            </w:pPr>
            <w:r>
              <w:rPr>
                <w:bCs/>
                <w:kern w:val="0"/>
              </w:rPr>
              <w:t>综上，项目所在区域主要地表水体各监测断面水质较好，可满足《地表水环境质量标准》（GB3838-2002）中Ⅲ类水域标准要求。</w:t>
            </w:r>
          </w:p>
          <w:p>
            <w:pPr>
              <w:widowControl/>
              <w:ind w:firstLine="482" w:firstLineChars="200"/>
              <w:jc w:val="left"/>
              <w:rPr>
                <w:rFonts w:cs="Times New Roman" w:asciiTheme="majorHAnsi" w:hAnsiTheme="majorHAnsi"/>
                <w:b/>
                <w:bCs/>
                <w:kern w:val="0"/>
                <w:szCs w:val="20"/>
              </w:rPr>
            </w:pPr>
            <w:r>
              <w:rPr>
                <w:rFonts w:cs="Times New Roman" w:asciiTheme="majorHAnsi" w:hAnsiTheme="majorHAnsi"/>
                <w:b/>
                <w:bCs/>
                <w:kern w:val="0"/>
                <w:szCs w:val="20"/>
              </w:rPr>
              <w:t>2</w:t>
            </w:r>
            <w:r>
              <w:rPr>
                <w:rFonts w:hint="eastAsia" w:cs="Times New Roman" w:asciiTheme="majorHAnsi" w:hAnsiTheme="majorHAnsi"/>
                <w:b/>
                <w:bCs/>
                <w:kern w:val="0"/>
                <w:szCs w:val="20"/>
              </w:rPr>
              <w:t>、地表水环境质量现状补充监测</w:t>
            </w:r>
          </w:p>
          <w:p>
            <w:pPr>
              <w:widowControl/>
              <w:ind w:firstLine="480" w:firstLineChars="200"/>
              <w:jc w:val="left"/>
              <w:rPr>
                <w:rFonts w:cs="Times New Roman" w:asciiTheme="majorHAnsi" w:hAnsiTheme="majorHAnsi"/>
                <w:b/>
                <w:bCs/>
                <w:kern w:val="0"/>
                <w:szCs w:val="20"/>
              </w:rPr>
            </w:pPr>
            <w:r>
              <w:rPr>
                <w:rFonts w:hint="eastAsia"/>
                <w:szCs w:val="26"/>
              </w:rPr>
              <w:t>四川锡水金山环保科技有限公司于</w:t>
            </w:r>
            <w:r>
              <w:rPr>
                <w:szCs w:val="26"/>
              </w:rPr>
              <w:t>2023</w:t>
            </w:r>
            <w:r>
              <w:rPr>
                <w:rFonts w:hint="eastAsia"/>
                <w:szCs w:val="26"/>
              </w:rPr>
              <w:t>年</w:t>
            </w:r>
            <w:r>
              <w:rPr>
                <w:szCs w:val="26"/>
              </w:rPr>
              <w:t>1</w:t>
            </w:r>
            <w:r>
              <w:rPr>
                <w:rFonts w:hint="eastAsia"/>
                <w:szCs w:val="26"/>
              </w:rPr>
              <w:t>月</w:t>
            </w:r>
            <w:r>
              <w:rPr>
                <w:szCs w:val="26"/>
              </w:rPr>
              <w:t>3</w:t>
            </w:r>
            <w:r>
              <w:rPr>
                <w:rFonts w:hint="eastAsia"/>
                <w:szCs w:val="26"/>
              </w:rPr>
              <w:t>日</w:t>
            </w:r>
            <w:r>
              <w:rPr>
                <w:szCs w:val="26"/>
              </w:rPr>
              <w:t>-1</w:t>
            </w:r>
            <w:r>
              <w:rPr>
                <w:rFonts w:hint="eastAsia"/>
                <w:szCs w:val="26"/>
              </w:rPr>
              <w:t>月</w:t>
            </w:r>
            <w:r>
              <w:rPr>
                <w:szCs w:val="26"/>
              </w:rPr>
              <w:t>5</w:t>
            </w:r>
            <w:r>
              <w:rPr>
                <w:rFonts w:hint="eastAsia"/>
                <w:szCs w:val="26"/>
              </w:rPr>
              <w:t>日、</w:t>
            </w:r>
            <w:r>
              <w:rPr>
                <w:szCs w:val="26"/>
              </w:rPr>
              <w:t>2023</w:t>
            </w:r>
            <w:r>
              <w:rPr>
                <w:rFonts w:hint="eastAsia"/>
                <w:szCs w:val="26"/>
              </w:rPr>
              <w:t>年4月</w:t>
            </w:r>
            <w:r>
              <w:rPr>
                <w:szCs w:val="26"/>
              </w:rPr>
              <w:t>8</w:t>
            </w:r>
            <w:r>
              <w:rPr>
                <w:rFonts w:hint="eastAsia"/>
                <w:szCs w:val="26"/>
              </w:rPr>
              <w:t>日</w:t>
            </w:r>
            <w:r>
              <w:rPr>
                <w:szCs w:val="26"/>
              </w:rPr>
              <w:t>-4</w:t>
            </w:r>
            <w:r>
              <w:rPr>
                <w:rFonts w:hint="eastAsia"/>
                <w:szCs w:val="26"/>
              </w:rPr>
              <w:t>月</w:t>
            </w:r>
            <w:r>
              <w:rPr>
                <w:szCs w:val="26"/>
              </w:rPr>
              <w:t>10</w:t>
            </w:r>
            <w:r>
              <w:rPr>
                <w:rFonts w:hint="eastAsia"/>
                <w:szCs w:val="26"/>
              </w:rPr>
              <w:t>日对项目拟建厂址附近进行地表水现状监测，以便了解本项目评价区域内前河、州河的环境质量现状。</w:t>
            </w:r>
          </w:p>
          <w:p>
            <w:pPr>
              <w:widowControl w:val="0"/>
              <w:snapToGrid w:val="0"/>
              <w:ind w:firstLine="482" w:firstLineChars="200"/>
              <w:jc w:val="both"/>
              <w:rPr>
                <w:rFonts w:ascii="Times New Roman" w:hAnsi="Times New Roman" w:eastAsia="宋体" w:cs="Times New Roman"/>
                <w:b/>
                <w:bCs/>
                <w:kern w:val="21"/>
                <w:sz w:val="21"/>
                <w:szCs w:val="20"/>
              </w:rPr>
            </w:pPr>
            <w:r>
              <w:rPr>
                <w:rFonts w:hint="eastAsia"/>
                <w:b/>
                <w:bCs/>
              </w:rPr>
              <w:t>（1）监测断面</w:t>
            </w:r>
          </w:p>
          <w:p>
            <w:pPr>
              <w:pStyle w:val="14"/>
              <w:keepNext/>
              <w:numPr>
                <w:ilvl w:val="0"/>
                <w:numId w:val="6"/>
              </w:numPr>
              <w:rPr>
                <w:rFonts w:ascii="黑体" w:hAnsi="黑体" w:eastAsia="黑体"/>
              </w:rPr>
            </w:pPr>
            <w:r>
              <w:rPr>
                <w:rFonts w:hint="eastAsia" w:ascii="黑体" w:hAnsi="黑体" w:eastAsia="黑体"/>
              </w:rPr>
              <w:t>地表水监测断面位置</w:t>
            </w:r>
          </w:p>
          <w:tbl>
            <w:tblPr>
              <w:tblStyle w:val="1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938"/>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名    称</w:t>
                  </w:r>
                </w:p>
              </w:tc>
              <w:tc>
                <w:tcPr>
                  <w:tcW w:w="543" w:type="pct"/>
                </w:tcPr>
                <w:p>
                  <w:pPr>
                    <w:ind w:firstLine="105" w:firstLineChars="5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编号</w:t>
                  </w:r>
                </w:p>
              </w:tc>
              <w:tc>
                <w:tcPr>
                  <w:tcW w:w="3646" w:type="pct"/>
                </w:tcPr>
                <w:p>
                  <w:pPr>
                    <w:ind w:firstLine="422" w:firstLineChars="200"/>
                    <w:jc w:val="center"/>
                    <w:rPr>
                      <w:rFonts w:hint="default" w:ascii="Times New Roman" w:hAnsi="Times New Roman" w:cs="Times New Roman"/>
                      <w:b/>
                      <w:bCs/>
                      <w:sz w:val="21"/>
                      <w:szCs w:val="21"/>
                    </w:rPr>
                  </w:pPr>
                  <w:r>
                    <w:rPr>
                      <w:rFonts w:hint="default" w:ascii="Times New Roman" w:hAnsi="Times New Roman" w:cs="Times New Roman"/>
                      <w:b/>
                      <w:bCs/>
                      <w:sz w:val="21"/>
                      <w:szCs w:val="21"/>
                    </w:rPr>
                    <w:t>位    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tcPr>
                <w:p>
                  <w:pPr>
                    <w:jc w:val="center"/>
                    <w:rPr>
                      <w:rFonts w:hint="default" w:ascii="Times New Roman" w:hAnsi="Times New Roman" w:cs="Times New Roman"/>
                      <w:sz w:val="21"/>
                      <w:szCs w:val="21"/>
                    </w:rPr>
                  </w:pPr>
                  <w:r>
                    <w:rPr>
                      <w:rFonts w:hint="default" w:ascii="Times New Roman" w:hAnsi="Times New Roman" w:cs="Times New Roman"/>
                      <w:sz w:val="21"/>
                      <w:szCs w:val="21"/>
                    </w:rPr>
                    <w:t>州河</w:t>
                  </w:r>
                </w:p>
              </w:tc>
              <w:tc>
                <w:tcPr>
                  <w:tcW w:w="543" w:type="pct"/>
                </w:tcPr>
                <w:p>
                  <w:pPr>
                    <w:jc w:val="center"/>
                    <w:rPr>
                      <w:rFonts w:hint="default" w:ascii="Times New Roman" w:hAnsi="Times New Roman" w:cs="Times New Roman"/>
                      <w:sz w:val="21"/>
                      <w:szCs w:val="21"/>
                    </w:rPr>
                  </w:pPr>
                  <w:r>
                    <w:rPr>
                      <w:rFonts w:hint="default" w:ascii="Times New Roman" w:hAnsi="Times New Roman" w:cs="Times New Roman"/>
                      <w:sz w:val="21"/>
                      <w:szCs w:val="21"/>
                    </w:rPr>
                    <w:t>I</w:t>
                  </w:r>
                </w:p>
              </w:tc>
              <w:tc>
                <w:tcPr>
                  <w:tcW w:w="3646" w:type="pct"/>
                </w:tcPr>
                <w:p>
                  <w:pPr>
                    <w:ind w:firstLine="420" w:firstLineChars="200"/>
                    <w:jc w:val="center"/>
                    <w:rPr>
                      <w:rFonts w:hint="default" w:ascii="Times New Roman" w:hAnsi="Times New Roman" w:cs="Times New Roman"/>
                      <w:sz w:val="21"/>
                      <w:szCs w:val="21"/>
                    </w:rPr>
                  </w:pPr>
                  <w:r>
                    <w:rPr>
                      <w:rFonts w:hint="default" w:ascii="Times New Roman" w:hAnsi="Times New Roman" w:cs="Times New Roman"/>
                      <w:sz w:val="21"/>
                      <w:szCs w:val="21"/>
                    </w:rPr>
                    <w:t>明月坝污水处理厂尾水排口下游1000m处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tcPr>
                <w:p>
                  <w:pPr>
                    <w:jc w:val="center"/>
                    <w:rPr>
                      <w:rFonts w:hint="default" w:ascii="Times New Roman" w:hAnsi="Times New Roman" w:cs="Times New Roman"/>
                      <w:sz w:val="21"/>
                      <w:szCs w:val="21"/>
                    </w:rPr>
                  </w:pPr>
                  <w:r>
                    <w:rPr>
                      <w:rFonts w:hint="default" w:ascii="Times New Roman" w:hAnsi="Times New Roman" w:cs="Times New Roman"/>
                      <w:sz w:val="21"/>
                      <w:szCs w:val="21"/>
                    </w:rPr>
                    <w:t>前河</w:t>
                  </w:r>
                </w:p>
              </w:tc>
              <w:tc>
                <w:tcPr>
                  <w:tcW w:w="543" w:type="pct"/>
                </w:tcPr>
                <w:p>
                  <w:pPr>
                    <w:jc w:val="center"/>
                    <w:rPr>
                      <w:rFonts w:hint="default" w:ascii="Times New Roman" w:hAnsi="Times New Roman" w:cs="Times New Roman"/>
                      <w:sz w:val="21"/>
                      <w:szCs w:val="21"/>
                    </w:rPr>
                  </w:pPr>
                  <w:r>
                    <w:rPr>
                      <w:rFonts w:hint="default" w:ascii="Times New Roman" w:hAnsi="Times New Roman" w:cs="Times New Roman"/>
                      <w:sz w:val="21"/>
                      <w:szCs w:val="21"/>
                    </w:rPr>
                    <w:t>Ⅱ</w:t>
                  </w:r>
                </w:p>
              </w:tc>
              <w:tc>
                <w:tcPr>
                  <w:tcW w:w="3646" w:type="pct"/>
                </w:tcPr>
                <w:p>
                  <w:pPr>
                    <w:ind w:firstLine="420" w:firstLineChars="200"/>
                    <w:jc w:val="center"/>
                    <w:rPr>
                      <w:rFonts w:hint="default" w:ascii="Times New Roman" w:hAnsi="Times New Roman" w:cs="Times New Roman"/>
                      <w:sz w:val="21"/>
                      <w:szCs w:val="21"/>
                    </w:rPr>
                  </w:pPr>
                  <w:r>
                    <w:rPr>
                      <w:rFonts w:hint="default" w:ascii="Times New Roman" w:hAnsi="Times New Roman" w:cs="Times New Roman"/>
                      <w:sz w:val="21"/>
                      <w:szCs w:val="21"/>
                    </w:rPr>
                    <w:t>前河与后河交汇处上游500m处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tcPr>
                <w:p>
                  <w:pPr>
                    <w:jc w:val="center"/>
                    <w:rPr>
                      <w:rFonts w:hint="default" w:ascii="Times New Roman" w:hAnsi="Times New Roman" w:cs="Times New Roman"/>
                      <w:sz w:val="21"/>
                      <w:szCs w:val="21"/>
                    </w:rPr>
                  </w:pPr>
                  <w:r>
                    <w:rPr>
                      <w:rFonts w:hint="default" w:ascii="Times New Roman" w:hAnsi="Times New Roman" w:cs="Times New Roman"/>
                      <w:sz w:val="21"/>
                      <w:szCs w:val="21"/>
                    </w:rPr>
                    <w:t>州河</w:t>
                  </w:r>
                </w:p>
              </w:tc>
              <w:tc>
                <w:tcPr>
                  <w:tcW w:w="543" w:type="pct"/>
                </w:tcPr>
                <w:p>
                  <w:pPr>
                    <w:jc w:val="center"/>
                    <w:rPr>
                      <w:rFonts w:hint="default" w:ascii="Times New Roman" w:hAnsi="Times New Roman" w:cs="Times New Roman"/>
                      <w:sz w:val="21"/>
                      <w:szCs w:val="21"/>
                    </w:rPr>
                  </w:pPr>
                  <w:r>
                    <w:rPr>
                      <w:rFonts w:hint="default" w:ascii="Times New Roman" w:hAnsi="Times New Roman" w:cs="Times New Roman"/>
                      <w:sz w:val="21"/>
                      <w:szCs w:val="21"/>
                    </w:rPr>
                    <w:t>Ⅲ</w:t>
                  </w:r>
                </w:p>
              </w:tc>
              <w:tc>
                <w:tcPr>
                  <w:tcW w:w="3646" w:type="pct"/>
                </w:tcPr>
                <w:p>
                  <w:pPr>
                    <w:ind w:firstLine="420" w:firstLineChars="200"/>
                    <w:jc w:val="center"/>
                    <w:rPr>
                      <w:rFonts w:hint="default" w:ascii="Times New Roman" w:hAnsi="Times New Roman" w:cs="Times New Roman"/>
                      <w:sz w:val="21"/>
                      <w:szCs w:val="21"/>
                    </w:rPr>
                  </w:pPr>
                  <w:r>
                    <w:rPr>
                      <w:rFonts w:hint="default" w:ascii="Times New Roman" w:hAnsi="Times New Roman" w:cs="Times New Roman"/>
                      <w:sz w:val="21"/>
                      <w:szCs w:val="21"/>
                    </w:rPr>
                    <w:t>明月坝污水处理厂尾水排口上游500m处</w:t>
                  </w:r>
                </w:p>
              </w:tc>
            </w:tr>
          </w:tbl>
          <w:p>
            <w:pPr>
              <w:pStyle w:val="240"/>
              <w:ind w:firstLine="482"/>
            </w:pPr>
            <w:r>
              <w:rPr>
                <w:rFonts w:hint="eastAsia"/>
              </w:rPr>
              <w:t>（2）监测因子</w:t>
            </w:r>
          </w:p>
          <w:p>
            <w:pPr>
              <w:widowControl w:val="0"/>
              <w:adjustRightInd w:val="0"/>
              <w:snapToGrid w:val="0"/>
              <w:ind w:firstLine="480" w:firstLineChars="200"/>
              <w:jc w:val="both"/>
              <w:rPr>
                <w:bCs/>
              </w:rPr>
            </w:pPr>
            <w:r>
              <w:rPr>
                <w:bCs/>
              </w:rPr>
              <w:t>水温、pH值、</w:t>
            </w:r>
            <w:r>
              <w:rPr>
                <w:rFonts w:hint="eastAsia"/>
                <w:bCs/>
              </w:rPr>
              <w:t>D</w:t>
            </w:r>
            <w:r>
              <w:rPr>
                <w:bCs/>
              </w:rPr>
              <w:t>O</w:t>
            </w:r>
            <w:r>
              <w:rPr>
                <w:rFonts w:hint="eastAsia"/>
                <w:bCs/>
              </w:rPr>
              <w:t>、高锰酸盐指数、</w:t>
            </w:r>
            <w:r>
              <w:rPr>
                <w:bCs/>
              </w:rPr>
              <w:t>化学需氧量（COD</w:t>
            </w:r>
            <w:r>
              <w:rPr>
                <w:bCs/>
                <w:vertAlign w:val="subscript"/>
              </w:rPr>
              <w:t>Cr</w:t>
            </w:r>
            <w:r>
              <w:rPr>
                <w:bCs/>
              </w:rPr>
              <w:t>）、五日生化需氧量（BOD</w:t>
            </w:r>
            <w:r>
              <w:rPr>
                <w:bCs/>
                <w:vertAlign w:val="subscript"/>
              </w:rPr>
              <w:t>5</w:t>
            </w:r>
            <w:r>
              <w:rPr>
                <w:bCs/>
              </w:rPr>
              <w:t>）、悬浮物、氨氮（NH</w:t>
            </w:r>
            <w:r>
              <w:rPr>
                <w:bCs/>
                <w:vertAlign w:val="subscript"/>
              </w:rPr>
              <w:t>3</w:t>
            </w:r>
            <w:r>
              <w:rPr>
                <w:bCs/>
              </w:rPr>
              <w:t>-N）、总磷、总氮、氟化物、铜（Cu）、</w:t>
            </w:r>
            <w:r>
              <w:rPr>
                <w:rFonts w:hint="eastAsia"/>
                <w:bCs/>
              </w:rPr>
              <w:t>锌、</w:t>
            </w:r>
            <w:r>
              <w:rPr>
                <w:bCs/>
              </w:rPr>
              <w:t>铅（Pb）、镉（Cd）、砷（As）、汞（Hg）、六价铬、石油类、</w:t>
            </w:r>
            <w:r>
              <w:rPr>
                <w:rFonts w:hint="eastAsia"/>
                <w:bCs/>
              </w:rPr>
              <w:t>氰化物、硫化物、</w:t>
            </w:r>
            <w:r>
              <w:rPr>
                <w:bCs/>
              </w:rPr>
              <w:t>阴离子表面活性剂（LAS）、粪大肠菌群、色度。</w:t>
            </w:r>
          </w:p>
          <w:p>
            <w:pPr>
              <w:pStyle w:val="240"/>
              <w:ind w:firstLine="482"/>
            </w:pPr>
            <w:r>
              <w:rPr>
                <w:rFonts w:hint="eastAsia"/>
              </w:rPr>
              <w:t>（</w:t>
            </w:r>
            <w:r>
              <w:t>3</w:t>
            </w:r>
            <w:r>
              <w:rPr>
                <w:rFonts w:hint="eastAsia"/>
              </w:rPr>
              <w:t>）监测频次</w:t>
            </w:r>
            <w:r>
              <w:t xml:space="preserve"> </w:t>
            </w:r>
          </w:p>
          <w:p>
            <w:pPr>
              <w:pStyle w:val="104"/>
              <w:ind w:firstLine="480"/>
              <w:jc w:val="left"/>
              <w:rPr>
                <w:rFonts w:ascii="Times New Roman" w:hAnsi="Times New Roman"/>
              </w:rPr>
            </w:pPr>
            <w:r>
              <w:rPr>
                <w:rFonts w:ascii="Times New Roman" w:hAnsi="Times New Roman"/>
              </w:rPr>
              <w:t>每个断面连续监测3天，枯水期监测1次，每次同步连续调查取样3~4 d，每个水质取样点每天至少取一组水样，在水质变化较大时，每间隔一定时间取样一次。</w:t>
            </w:r>
          </w:p>
          <w:p>
            <w:pPr>
              <w:pStyle w:val="240"/>
              <w:ind w:firstLine="482"/>
            </w:pPr>
            <w:r>
              <w:rPr>
                <w:rFonts w:hint="eastAsia"/>
              </w:rPr>
              <w:t>（</w:t>
            </w:r>
            <w:r>
              <w:t>4</w:t>
            </w:r>
            <w:r>
              <w:rPr>
                <w:rFonts w:hint="eastAsia"/>
              </w:rPr>
              <w:t>）监测结果</w:t>
            </w:r>
          </w:p>
          <w:p>
            <w:pPr>
              <w:pStyle w:val="240"/>
              <w:ind w:firstLine="480"/>
              <w:rPr>
                <w:b w:val="0"/>
                <w:bCs w:val="0"/>
              </w:rPr>
            </w:pPr>
            <w:r>
              <w:rPr>
                <w:rFonts w:hint="eastAsia"/>
                <w:b w:val="0"/>
                <w:bCs w:val="0"/>
              </w:rPr>
              <w:t>补充监测的监测结果见下表。</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地表水检测结果表1</w:t>
            </w:r>
          </w:p>
          <w:tbl>
            <w:tblPr>
              <w:tblStyle w:val="1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2"/>
              <w:gridCol w:w="1172"/>
              <w:gridCol w:w="994"/>
              <w:gridCol w:w="747"/>
              <w:gridCol w:w="971"/>
              <w:gridCol w:w="971"/>
              <w:gridCol w:w="971"/>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60" w:type="pct"/>
                  <w:vMerge w:val="restart"/>
                  <w:vAlign w:val="center"/>
                </w:tcPr>
                <w:p>
                  <w:pPr>
                    <w:pStyle w:val="156"/>
                    <w:rPr>
                      <w:b/>
                      <w:bCs/>
                    </w:rPr>
                  </w:pPr>
                  <w:r>
                    <w:rPr>
                      <w:b/>
                      <w:bCs/>
                    </w:rPr>
                    <w:t>检测点位</w:t>
                  </w:r>
                  <w:r>
                    <w:rPr>
                      <w:b/>
                      <w:bCs/>
                    </w:rPr>
                    <w:br w:type="page"/>
                  </w:r>
                </w:p>
              </w:tc>
              <w:tc>
                <w:tcPr>
                  <w:tcW w:w="678" w:type="pct"/>
                  <w:vMerge w:val="restart"/>
                  <w:vAlign w:val="center"/>
                </w:tcPr>
                <w:p>
                  <w:pPr>
                    <w:pStyle w:val="156"/>
                    <w:rPr>
                      <w:b/>
                      <w:bCs/>
                    </w:rPr>
                  </w:pPr>
                  <w:r>
                    <w:rPr>
                      <w:b/>
                      <w:bCs/>
                    </w:rPr>
                    <w:t>采样日期</w:t>
                  </w:r>
                </w:p>
              </w:tc>
              <w:tc>
                <w:tcPr>
                  <w:tcW w:w="575" w:type="pct"/>
                  <w:vMerge w:val="restart"/>
                  <w:vAlign w:val="center"/>
                </w:tcPr>
                <w:p>
                  <w:pPr>
                    <w:pStyle w:val="156"/>
                    <w:rPr>
                      <w:b/>
                      <w:bCs/>
                    </w:rPr>
                  </w:pPr>
                  <w:r>
                    <w:rPr>
                      <w:b/>
                      <w:bCs/>
                    </w:rPr>
                    <w:t>检测项目</w:t>
                  </w:r>
                </w:p>
              </w:tc>
              <w:tc>
                <w:tcPr>
                  <w:tcW w:w="432" w:type="pct"/>
                  <w:vMerge w:val="restart"/>
                  <w:vAlign w:val="center"/>
                </w:tcPr>
                <w:p>
                  <w:pPr>
                    <w:pStyle w:val="156"/>
                    <w:rPr>
                      <w:b/>
                      <w:bCs/>
                    </w:rPr>
                  </w:pPr>
                  <w:r>
                    <w:rPr>
                      <w:b/>
                      <w:bCs/>
                    </w:rPr>
                    <w:t>单位</w:t>
                  </w:r>
                </w:p>
              </w:tc>
              <w:tc>
                <w:tcPr>
                  <w:tcW w:w="2252" w:type="pct"/>
                  <w:gridSpan w:val="4"/>
                  <w:vAlign w:val="center"/>
                </w:tcPr>
                <w:p>
                  <w:pPr>
                    <w:pStyle w:val="156"/>
                    <w:rPr>
                      <w:b/>
                      <w:bCs/>
                    </w:rPr>
                  </w:pPr>
                  <w:r>
                    <w:rPr>
                      <w:b/>
                      <w:bCs/>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60" w:type="pct"/>
                  <w:vMerge w:val="continue"/>
                  <w:vAlign w:val="center"/>
                </w:tcPr>
                <w:p>
                  <w:pPr>
                    <w:pStyle w:val="156"/>
                    <w:rPr>
                      <w:b/>
                      <w:bCs/>
                    </w:rPr>
                  </w:pPr>
                </w:p>
              </w:tc>
              <w:tc>
                <w:tcPr>
                  <w:tcW w:w="678" w:type="pct"/>
                  <w:vMerge w:val="continue"/>
                  <w:vAlign w:val="center"/>
                </w:tcPr>
                <w:p>
                  <w:pPr>
                    <w:pStyle w:val="156"/>
                    <w:rPr>
                      <w:b/>
                      <w:bCs/>
                    </w:rPr>
                  </w:pPr>
                </w:p>
              </w:tc>
              <w:tc>
                <w:tcPr>
                  <w:tcW w:w="575" w:type="pct"/>
                  <w:vMerge w:val="continue"/>
                  <w:vAlign w:val="center"/>
                </w:tcPr>
                <w:p>
                  <w:pPr>
                    <w:pStyle w:val="156"/>
                    <w:rPr>
                      <w:b/>
                      <w:bCs/>
                    </w:rPr>
                  </w:pPr>
                </w:p>
              </w:tc>
              <w:tc>
                <w:tcPr>
                  <w:tcW w:w="432" w:type="pct"/>
                  <w:vMerge w:val="continue"/>
                  <w:vAlign w:val="center"/>
                </w:tcPr>
                <w:p>
                  <w:pPr>
                    <w:pStyle w:val="156"/>
                    <w:rPr>
                      <w:b/>
                      <w:bCs/>
                    </w:rPr>
                  </w:pPr>
                </w:p>
              </w:tc>
              <w:tc>
                <w:tcPr>
                  <w:tcW w:w="562" w:type="pct"/>
                  <w:vAlign w:val="center"/>
                </w:tcPr>
                <w:p>
                  <w:pPr>
                    <w:pStyle w:val="156"/>
                    <w:rPr>
                      <w:b/>
                      <w:bCs/>
                    </w:rPr>
                  </w:pPr>
                  <w:r>
                    <w:rPr>
                      <w:b/>
                      <w:bCs/>
                    </w:rPr>
                    <w:t>第一次</w:t>
                  </w:r>
                </w:p>
              </w:tc>
              <w:tc>
                <w:tcPr>
                  <w:tcW w:w="562" w:type="pct"/>
                  <w:vAlign w:val="center"/>
                </w:tcPr>
                <w:p>
                  <w:pPr>
                    <w:pStyle w:val="156"/>
                    <w:rPr>
                      <w:b/>
                      <w:bCs/>
                    </w:rPr>
                  </w:pPr>
                  <w:r>
                    <w:rPr>
                      <w:b/>
                      <w:bCs/>
                    </w:rPr>
                    <w:t>第二次</w:t>
                  </w:r>
                </w:p>
              </w:tc>
              <w:tc>
                <w:tcPr>
                  <w:tcW w:w="562" w:type="pct"/>
                  <w:vAlign w:val="center"/>
                </w:tcPr>
                <w:p>
                  <w:pPr>
                    <w:pStyle w:val="156"/>
                    <w:rPr>
                      <w:b/>
                      <w:bCs/>
                    </w:rPr>
                  </w:pPr>
                  <w:r>
                    <w:rPr>
                      <w:b/>
                      <w:bCs/>
                    </w:rPr>
                    <w:t>第三次</w:t>
                  </w:r>
                </w:p>
              </w:tc>
              <w:tc>
                <w:tcPr>
                  <w:tcW w:w="564" w:type="pct"/>
                  <w:vAlign w:val="center"/>
                </w:tcPr>
                <w:p>
                  <w:pPr>
                    <w:pStyle w:val="156"/>
                    <w:rPr>
                      <w:b/>
                      <w:bCs/>
                    </w:rPr>
                  </w:pPr>
                  <w:r>
                    <w:rPr>
                      <w:b/>
                      <w:bCs/>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60" w:type="pct"/>
                  <w:vMerge w:val="restart"/>
                </w:tcPr>
                <w:p>
                  <w:pPr>
                    <w:pStyle w:val="156"/>
                  </w:pPr>
                  <w:r>
                    <w:rPr>
                      <w:rFonts w:hint="eastAsia"/>
                    </w:rPr>
                    <w:t>1#</w:t>
                  </w:r>
                  <w:r>
                    <w:t xml:space="preserve"> </w:t>
                  </w:r>
                  <w:r>
                    <w:rPr>
                      <w:rFonts w:hAnsi="宋体"/>
                      <w:szCs w:val="21"/>
                    </w:rPr>
                    <w:t>明月坝污水处理厂尾水排口</w:t>
                  </w:r>
                  <w:r>
                    <w:rPr>
                      <w:rFonts w:hint="eastAsia" w:hAnsi="宋体"/>
                      <w:szCs w:val="21"/>
                    </w:rPr>
                    <w:t>下</w:t>
                  </w:r>
                  <w:r>
                    <w:rPr>
                      <w:rFonts w:hAnsi="宋体"/>
                      <w:szCs w:val="21"/>
                    </w:rPr>
                    <w:t>游</w:t>
                  </w:r>
                  <w:r>
                    <w:rPr>
                      <w:szCs w:val="21"/>
                    </w:rPr>
                    <w:t>1000m</w:t>
                  </w:r>
                  <w:r>
                    <w:rPr>
                      <w:rFonts w:hAnsi="宋体"/>
                      <w:szCs w:val="21"/>
                    </w:rPr>
                    <w:t>处</w:t>
                  </w:r>
                </w:p>
              </w:tc>
              <w:tc>
                <w:tcPr>
                  <w:tcW w:w="678" w:type="pct"/>
                </w:tcPr>
                <w:p>
                  <w:pPr>
                    <w:pStyle w:val="156"/>
                  </w:pPr>
                  <w:r>
                    <w:t>4</w:t>
                  </w:r>
                  <w:r>
                    <w:rPr>
                      <w:rFonts w:hint="eastAsia"/>
                    </w:rPr>
                    <w:t>月</w:t>
                  </w:r>
                  <w:r>
                    <w:t>5</w:t>
                  </w:r>
                  <w:r>
                    <w:rPr>
                      <w:rFonts w:hint="eastAsia"/>
                    </w:rPr>
                    <w:t>日</w:t>
                  </w:r>
                </w:p>
              </w:tc>
              <w:tc>
                <w:tcPr>
                  <w:tcW w:w="575" w:type="pct"/>
                  <w:vMerge w:val="restart"/>
                  <w:vAlign w:val="center"/>
                </w:tcPr>
                <w:p>
                  <w:pPr>
                    <w:pStyle w:val="156"/>
                  </w:pPr>
                  <w:r>
                    <w:rPr>
                      <w:kern w:val="0"/>
                    </w:rPr>
                    <w:t>水温</w:t>
                  </w:r>
                </w:p>
              </w:tc>
              <w:tc>
                <w:tcPr>
                  <w:tcW w:w="432" w:type="pct"/>
                  <w:vMerge w:val="restart"/>
                  <w:vAlign w:val="center"/>
                </w:tcPr>
                <w:p>
                  <w:pPr>
                    <w:pStyle w:val="156"/>
                    <w:rPr>
                      <w:bCs/>
                    </w:rPr>
                  </w:pPr>
                  <w:r>
                    <w:rPr>
                      <w:bCs/>
                    </w:rPr>
                    <w:t>℃</w:t>
                  </w:r>
                </w:p>
              </w:tc>
              <w:tc>
                <w:tcPr>
                  <w:tcW w:w="562" w:type="pct"/>
                  <w:vAlign w:val="center"/>
                </w:tcPr>
                <w:p>
                  <w:pPr>
                    <w:pStyle w:val="156"/>
                    <w:rPr>
                      <w:kern w:val="0"/>
                    </w:rPr>
                  </w:pPr>
                  <w:r>
                    <w:rPr>
                      <w:rFonts w:hint="eastAsia" w:ascii="Times New Roman" w:hAnsi="Times New Roman" w:eastAsia="宋体" w:cs="Times New Roman"/>
                      <w:kern w:val="0"/>
                      <w:szCs w:val="21"/>
                    </w:rPr>
                    <w:t>13.7</w:t>
                  </w:r>
                </w:p>
              </w:tc>
              <w:tc>
                <w:tcPr>
                  <w:tcW w:w="562" w:type="pct"/>
                  <w:vAlign w:val="center"/>
                </w:tcPr>
                <w:p>
                  <w:pPr>
                    <w:pStyle w:val="156"/>
                    <w:rPr>
                      <w:kern w:val="0"/>
                    </w:rPr>
                  </w:pPr>
                  <w:r>
                    <w:rPr>
                      <w:rFonts w:hint="eastAsia" w:ascii="Times New Roman" w:hAnsi="Times New Roman" w:eastAsia="宋体" w:cs="Times New Roman"/>
                      <w:kern w:val="0"/>
                      <w:szCs w:val="21"/>
                    </w:rPr>
                    <w:t>13.2</w:t>
                  </w:r>
                </w:p>
              </w:tc>
              <w:tc>
                <w:tcPr>
                  <w:tcW w:w="562" w:type="pct"/>
                  <w:vAlign w:val="center"/>
                </w:tcPr>
                <w:p>
                  <w:pPr>
                    <w:pStyle w:val="156"/>
                    <w:rPr>
                      <w:kern w:val="0"/>
                    </w:rPr>
                  </w:pPr>
                  <w:r>
                    <w:rPr>
                      <w:rFonts w:hint="eastAsia" w:ascii="Times New Roman" w:hAnsi="Times New Roman" w:eastAsia="宋体" w:cs="Times New Roman"/>
                      <w:kern w:val="0"/>
                      <w:szCs w:val="21"/>
                    </w:rPr>
                    <w:t>12.6</w:t>
                  </w:r>
                </w:p>
              </w:tc>
              <w:tc>
                <w:tcPr>
                  <w:tcW w:w="564" w:type="pct"/>
                  <w:vAlign w:val="center"/>
                </w:tcPr>
                <w:p>
                  <w:pPr>
                    <w:pStyle w:val="156"/>
                    <w:rPr>
                      <w:kern w:val="0"/>
                    </w:rPr>
                  </w:pPr>
                  <w:r>
                    <w:rPr>
                      <w:rFonts w:hint="eastAsia" w:ascii="Times New Roman" w:hAnsi="Times New Roman" w:eastAsia="宋体" w:cs="Times New Roman"/>
                      <w:kern w:val="0"/>
                      <w:szCs w:val="21"/>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60" w:type="pct"/>
                  <w:vMerge w:val="continue"/>
                </w:tcPr>
                <w:p>
                  <w:pPr>
                    <w:pStyle w:val="156"/>
                  </w:pPr>
                </w:p>
              </w:tc>
              <w:tc>
                <w:tcPr>
                  <w:tcW w:w="678" w:type="pct"/>
                </w:tcPr>
                <w:p>
                  <w:pPr>
                    <w:pStyle w:val="156"/>
                    <w:rPr>
                      <w:kern w:val="0"/>
                    </w:rPr>
                  </w:pPr>
                  <w:r>
                    <w:t>4</w:t>
                  </w:r>
                  <w:r>
                    <w:rPr>
                      <w:rFonts w:hint="eastAsia"/>
                    </w:rPr>
                    <w:t>月</w:t>
                  </w:r>
                  <w:r>
                    <w:t>9</w:t>
                  </w:r>
                  <w:r>
                    <w:rPr>
                      <w:rFonts w:hint="eastAsia"/>
                    </w:rPr>
                    <w:t>日</w:t>
                  </w:r>
                </w:p>
              </w:tc>
              <w:tc>
                <w:tcPr>
                  <w:tcW w:w="575" w:type="pct"/>
                  <w:vMerge w:val="continue"/>
                  <w:vAlign w:val="center"/>
                </w:tcPr>
                <w:p>
                  <w:pPr>
                    <w:pStyle w:val="156"/>
                  </w:pPr>
                </w:p>
              </w:tc>
              <w:tc>
                <w:tcPr>
                  <w:tcW w:w="432" w:type="pct"/>
                  <w:vMerge w:val="continue"/>
                  <w:vAlign w:val="center"/>
                </w:tcPr>
                <w:p>
                  <w:pPr>
                    <w:pStyle w:val="156"/>
                    <w:rPr>
                      <w:bCs/>
                    </w:rPr>
                  </w:pPr>
                </w:p>
              </w:tc>
              <w:tc>
                <w:tcPr>
                  <w:tcW w:w="562" w:type="pct"/>
                  <w:vAlign w:val="center"/>
                </w:tcPr>
                <w:p>
                  <w:pPr>
                    <w:pStyle w:val="156"/>
                    <w:rPr>
                      <w:kern w:val="0"/>
                    </w:rPr>
                  </w:pPr>
                  <w:r>
                    <w:rPr>
                      <w:rFonts w:hint="eastAsia" w:ascii="Times New Roman" w:hAnsi="Times New Roman" w:eastAsia="宋体" w:cs="Times New Roman"/>
                      <w:kern w:val="0"/>
                      <w:szCs w:val="21"/>
                    </w:rPr>
                    <w:t>13.9</w:t>
                  </w:r>
                </w:p>
              </w:tc>
              <w:tc>
                <w:tcPr>
                  <w:tcW w:w="562" w:type="pct"/>
                  <w:vAlign w:val="center"/>
                </w:tcPr>
                <w:p>
                  <w:pPr>
                    <w:pStyle w:val="156"/>
                    <w:rPr>
                      <w:kern w:val="0"/>
                    </w:rPr>
                  </w:pPr>
                  <w:r>
                    <w:rPr>
                      <w:rFonts w:hint="eastAsia" w:ascii="Times New Roman" w:hAnsi="Times New Roman" w:eastAsia="宋体" w:cs="Times New Roman"/>
                      <w:kern w:val="0"/>
                      <w:szCs w:val="21"/>
                    </w:rPr>
                    <w:t>13.6</w:t>
                  </w:r>
                </w:p>
              </w:tc>
              <w:tc>
                <w:tcPr>
                  <w:tcW w:w="562" w:type="pct"/>
                  <w:vAlign w:val="center"/>
                </w:tcPr>
                <w:p>
                  <w:pPr>
                    <w:pStyle w:val="156"/>
                    <w:rPr>
                      <w:kern w:val="0"/>
                    </w:rPr>
                  </w:pPr>
                  <w:r>
                    <w:rPr>
                      <w:rFonts w:hint="eastAsia" w:ascii="Times New Roman" w:hAnsi="Times New Roman" w:eastAsia="宋体" w:cs="Times New Roman"/>
                      <w:kern w:val="0"/>
                      <w:szCs w:val="21"/>
                    </w:rPr>
                    <w:t>12.7</w:t>
                  </w:r>
                </w:p>
              </w:tc>
              <w:tc>
                <w:tcPr>
                  <w:tcW w:w="564" w:type="pct"/>
                  <w:vAlign w:val="center"/>
                </w:tcPr>
                <w:p>
                  <w:pPr>
                    <w:pStyle w:val="156"/>
                    <w:rPr>
                      <w:kern w:val="0"/>
                    </w:rPr>
                  </w:pPr>
                  <w:r>
                    <w:rPr>
                      <w:rFonts w:hint="eastAsia" w:ascii="Times New Roman" w:hAnsi="Times New Roman" w:eastAsia="宋体" w:cs="Times New Roman"/>
                      <w:kern w:val="0"/>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60" w:type="pct"/>
                  <w:vMerge w:val="continue"/>
                </w:tcPr>
                <w:p>
                  <w:pPr>
                    <w:pStyle w:val="156"/>
                    <w:rPr>
                      <w:kern w:val="0"/>
                    </w:rPr>
                  </w:pPr>
                </w:p>
              </w:tc>
              <w:tc>
                <w:tcPr>
                  <w:tcW w:w="678" w:type="pct"/>
                </w:tcPr>
                <w:p>
                  <w:pPr>
                    <w:pStyle w:val="156"/>
                    <w:rPr>
                      <w:kern w:val="0"/>
                    </w:rPr>
                  </w:pPr>
                  <w:r>
                    <w:t>4</w:t>
                  </w:r>
                  <w:r>
                    <w:rPr>
                      <w:rFonts w:hint="eastAsia"/>
                    </w:rPr>
                    <w:t>月</w:t>
                  </w:r>
                  <w:r>
                    <w:t>10</w:t>
                  </w:r>
                  <w:r>
                    <w:rPr>
                      <w:rFonts w:hint="eastAsia"/>
                    </w:rPr>
                    <w:t>日</w:t>
                  </w:r>
                </w:p>
              </w:tc>
              <w:tc>
                <w:tcPr>
                  <w:tcW w:w="575" w:type="pct"/>
                  <w:vMerge w:val="continue"/>
                  <w:vAlign w:val="center"/>
                </w:tcPr>
                <w:p>
                  <w:pPr>
                    <w:pStyle w:val="156"/>
                    <w:rPr>
                      <w:kern w:val="0"/>
                    </w:rPr>
                  </w:pPr>
                </w:p>
              </w:tc>
              <w:tc>
                <w:tcPr>
                  <w:tcW w:w="432" w:type="pct"/>
                  <w:vMerge w:val="continue"/>
                  <w:vAlign w:val="center"/>
                </w:tcPr>
                <w:p>
                  <w:pPr>
                    <w:pStyle w:val="156"/>
                    <w:rPr>
                      <w:bCs/>
                    </w:rPr>
                  </w:pPr>
                </w:p>
              </w:tc>
              <w:tc>
                <w:tcPr>
                  <w:tcW w:w="562" w:type="pct"/>
                  <w:vAlign w:val="center"/>
                </w:tcPr>
                <w:p>
                  <w:pPr>
                    <w:pStyle w:val="156"/>
                    <w:rPr>
                      <w:kern w:val="0"/>
                    </w:rPr>
                  </w:pPr>
                  <w:r>
                    <w:rPr>
                      <w:rFonts w:hint="eastAsia" w:ascii="Times New Roman" w:hAnsi="Times New Roman" w:eastAsia="宋体" w:cs="Times New Roman"/>
                      <w:kern w:val="0"/>
                      <w:szCs w:val="21"/>
                    </w:rPr>
                    <w:t>13.9</w:t>
                  </w:r>
                </w:p>
              </w:tc>
              <w:tc>
                <w:tcPr>
                  <w:tcW w:w="562" w:type="pct"/>
                  <w:vAlign w:val="center"/>
                </w:tcPr>
                <w:p>
                  <w:pPr>
                    <w:pStyle w:val="156"/>
                    <w:rPr>
                      <w:kern w:val="0"/>
                    </w:rPr>
                  </w:pPr>
                  <w:r>
                    <w:rPr>
                      <w:rFonts w:hint="eastAsia" w:ascii="Times New Roman" w:hAnsi="Times New Roman" w:eastAsia="宋体" w:cs="Times New Roman"/>
                      <w:kern w:val="0"/>
                      <w:szCs w:val="21"/>
                    </w:rPr>
                    <w:t>14.2</w:t>
                  </w:r>
                </w:p>
              </w:tc>
              <w:tc>
                <w:tcPr>
                  <w:tcW w:w="562" w:type="pct"/>
                  <w:vAlign w:val="center"/>
                </w:tcPr>
                <w:p>
                  <w:pPr>
                    <w:pStyle w:val="156"/>
                    <w:rPr>
                      <w:kern w:val="0"/>
                    </w:rPr>
                  </w:pPr>
                  <w:r>
                    <w:rPr>
                      <w:rFonts w:hint="eastAsia" w:ascii="Times New Roman" w:hAnsi="Times New Roman" w:eastAsia="宋体" w:cs="Times New Roman"/>
                      <w:kern w:val="0"/>
                      <w:szCs w:val="21"/>
                    </w:rPr>
                    <w:t>13.4</w:t>
                  </w:r>
                </w:p>
              </w:tc>
              <w:tc>
                <w:tcPr>
                  <w:tcW w:w="564" w:type="pct"/>
                  <w:vAlign w:val="center"/>
                </w:tcPr>
                <w:p>
                  <w:pPr>
                    <w:pStyle w:val="156"/>
                    <w:rPr>
                      <w:kern w:val="0"/>
                    </w:rPr>
                  </w:pPr>
                  <w:r>
                    <w:rPr>
                      <w:rFonts w:hint="eastAsia" w:ascii="Times New Roman" w:hAnsi="Times New Roman" w:eastAsia="宋体" w:cs="Times New Roman"/>
                      <w:kern w:val="0"/>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60" w:type="pct"/>
                  <w:vMerge w:val="restart"/>
                </w:tcPr>
                <w:p>
                  <w:pPr>
                    <w:pStyle w:val="156"/>
                  </w:pPr>
                  <w:r>
                    <w:rPr>
                      <w:rFonts w:hint="eastAsia"/>
                    </w:rPr>
                    <w:t>2#</w:t>
                  </w:r>
                  <w:r>
                    <w:t xml:space="preserve"> </w:t>
                  </w:r>
                  <w:r>
                    <w:rPr>
                      <w:rFonts w:hint="eastAsia"/>
                    </w:rPr>
                    <w:t>前河与后河交汇处上游500m处</w:t>
                  </w:r>
                </w:p>
              </w:tc>
              <w:tc>
                <w:tcPr>
                  <w:tcW w:w="678" w:type="pct"/>
                </w:tcPr>
                <w:p>
                  <w:pPr>
                    <w:pStyle w:val="156"/>
                  </w:pPr>
                  <w:r>
                    <w:rPr>
                      <w:rFonts w:hint="eastAsia"/>
                    </w:rPr>
                    <w:t>1月3日</w:t>
                  </w:r>
                </w:p>
              </w:tc>
              <w:tc>
                <w:tcPr>
                  <w:tcW w:w="575" w:type="pct"/>
                  <w:vMerge w:val="continue"/>
                  <w:vAlign w:val="center"/>
                </w:tcPr>
                <w:p>
                  <w:pPr>
                    <w:pStyle w:val="156"/>
                  </w:pPr>
                </w:p>
              </w:tc>
              <w:tc>
                <w:tcPr>
                  <w:tcW w:w="432" w:type="pct"/>
                  <w:vMerge w:val="continue"/>
                  <w:vAlign w:val="center"/>
                </w:tcPr>
                <w:p>
                  <w:pPr>
                    <w:pStyle w:val="156"/>
                    <w:rPr>
                      <w:bCs/>
                    </w:rPr>
                  </w:pPr>
                </w:p>
              </w:tc>
              <w:tc>
                <w:tcPr>
                  <w:tcW w:w="562" w:type="pct"/>
                  <w:vAlign w:val="center"/>
                </w:tcPr>
                <w:p>
                  <w:pPr>
                    <w:pStyle w:val="156"/>
                    <w:rPr>
                      <w:kern w:val="0"/>
                    </w:rPr>
                  </w:pPr>
                  <w:r>
                    <w:rPr>
                      <w:rFonts w:hint="eastAsia"/>
                      <w:kern w:val="0"/>
                    </w:rPr>
                    <w:t>4.0</w:t>
                  </w:r>
                </w:p>
              </w:tc>
              <w:tc>
                <w:tcPr>
                  <w:tcW w:w="562" w:type="pct"/>
                  <w:vAlign w:val="center"/>
                </w:tcPr>
                <w:p>
                  <w:pPr>
                    <w:pStyle w:val="156"/>
                    <w:rPr>
                      <w:kern w:val="0"/>
                    </w:rPr>
                  </w:pPr>
                  <w:r>
                    <w:rPr>
                      <w:rFonts w:hint="eastAsia"/>
                      <w:kern w:val="0"/>
                    </w:rPr>
                    <w:t>5.1</w:t>
                  </w:r>
                </w:p>
              </w:tc>
              <w:tc>
                <w:tcPr>
                  <w:tcW w:w="562" w:type="pct"/>
                  <w:vAlign w:val="center"/>
                </w:tcPr>
                <w:p>
                  <w:pPr>
                    <w:pStyle w:val="156"/>
                    <w:rPr>
                      <w:kern w:val="0"/>
                    </w:rPr>
                  </w:pPr>
                  <w:r>
                    <w:rPr>
                      <w:rFonts w:hint="eastAsia"/>
                      <w:kern w:val="0"/>
                    </w:rPr>
                    <w:t>5.7</w:t>
                  </w:r>
                </w:p>
              </w:tc>
              <w:tc>
                <w:tcPr>
                  <w:tcW w:w="564" w:type="pct"/>
                  <w:vAlign w:val="center"/>
                </w:tcPr>
                <w:p>
                  <w:pPr>
                    <w:pStyle w:val="156"/>
                    <w:rPr>
                      <w:kern w:val="0"/>
                    </w:rPr>
                  </w:pPr>
                  <w:r>
                    <w:rPr>
                      <w:rFonts w:hint="eastAsia"/>
                      <w:kern w:val="0"/>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60" w:type="pct"/>
                  <w:vMerge w:val="continue"/>
                </w:tcPr>
                <w:p>
                  <w:pPr>
                    <w:pStyle w:val="156"/>
                    <w:rPr>
                      <w:kern w:val="0"/>
                    </w:rPr>
                  </w:pPr>
                </w:p>
              </w:tc>
              <w:tc>
                <w:tcPr>
                  <w:tcW w:w="678" w:type="pct"/>
                </w:tcPr>
                <w:p>
                  <w:pPr>
                    <w:pStyle w:val="156"/>
                    <w:rPr>
                      <w:kern w:val="0"/>
                    </w:rPr>
                  </w:pPr>
                  <w:r>
                    <w:rPr>
                      <w:rFonts w:hint="eastAsia"/>
                    </w:rPr>
                    <w:t>1月4日</w:t>
                  </w:r>
                </w:p>
              </w:tc>
              <w:tc>
                <w:tcPr>
                  <w:tcW w:w="575" w:type="pct"/>
                  <w:vMerge w:val="continue"/>
                  <w:vAlign w:val="center"/>
                </w:tcPr>
                <w:p>
                  <w:pPr>
                    <w:pStyle w:val="156"/>
                    <w:rPr>
                      <w:kern w:val="0"/>
                    </w:rPr>
                  </w:pPr>
                </w:p>
              </w:tc>
              <w:tc>
                <w:tcPr>
                  <w:tcW w:w="432" w:type="pct"/>
                  <w:vMerge w:val="continue"/>
                  <w:vAlign w:val="center"/>
                </w:tcPr>
                <w:p>
                  <w:pPr>
                    <w:pStyle w:val="156"/>
                    <w:rPr>
                      <w:bCs/>
                    </w:rPr>
                  </w:pPr>
                </w:p>
              </w:tc>
              <w:tc>
                <w:tcPr>
                  <w:tcW w:w="562" w:type="pct"/>
                  <w:vAlign w:val="center"/>
                </w:tcPr>
                <w:p>
                  <w:pPr>
                    <w:pStyle w:val="156"/>
                    <w:rPr>
                      <w:kern w:val="0"/>
                    </w:rPr>
                  </w:pPr>
                  <w:r>
                    <w:rPr>
                      <w:rFonts w:hint="eastAsia"/>
                      <w:kern w:val="0"/>
                    </w:rPr>
                    <w:t>3.9</w:t>
                  </w:r>
                </w:p>
              </w:tc>
              <w:tc>
                <w:tcPr>
                  <w:tcW w:w="562" w:type="pct"/>
                  <w:vAlign w:val="center"/>
                </w:tcPr>
                <w:p>
                  <w:pPr>
                    <w:pStyle w:val="156"/>
                    <w:rPr>
                      <w:kern w:val="0"/>
                    </w:rPr>
                  </w:pPr>
                  <w:r>
                    <w:rPr>
                      <w:rFonts w:hint="eastAsia"/>
                      <w:kern w:val="0"/>
                    </w:rPr>
                    <w:t>4.9</w:t>
                  </w:r>
                </w:p>
              </w:tc>
              <w:tc>
                <w:tcPr>
                  <w:tcW w:w="562" w:type="pct"/>
                  <w:vAlign w:val="center"/>
                </w:tcPr>
                <w:p>
                  <w:pPr>
                    <w:pStyle w:val="156"/>
                    <w:rPr>
                      <w:kern w:val="0"/>
                    </w:rPr>
                  </w:pPr>
                  <w:r>
                    <w:rPr>
                      <w:rFonts w:hint="eastAsia"/>
                      <w:kern w:val="0"/>
                    </w:rPr>
                    <w:t>5.8</w:t>
                  </w:r>
                </w:p>
              </w:tc>
              <w:tc>
                <w:tcPr>
                  <w:tcW w:w="564" w:type="pct"/>
                  <w:vAlign w:val="center"/>
                </w:tcPr>
                <w:p>
                  <w:pPr>
                    <w:pStyle w:val="156"/>
                    <w:rPr>
                      <w:kern w:val="0"/>
                    </w:rPr>
                  </w:pPr>
                  <w:r>
                    <w:rPr>
                      <w:rFonts w:hint="eastAsia"/>
                      <w:kern w:val="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60" w:type="pct"/>
                  <w:vMerge w:val="continue"/>
                </w:tcPr>
                <w:p>
                  <w:pPr>
                    <w:pStyle w:val="156"/>
                    <w:rPr>
                      <w:kern w:val="0"/>
                    </w:rPr>
                  </w:pPr>
                </w:p>
              </w:tc>
              <w:tc>
                <w:tcPr>
                  <w:tcW w:w="678" w:type="pct"/>
                </w:tcPr>
                <w:p>
                  <w:pPr>
                    <w:pStyle w:val="156"/>
                    <w:rPr>
                      <w:kern w:val="0"/>
                    </w:rPr>
                  </w:pPr>
                  <w:r>
                    <w:rPr>
                      <w:rFonts w:hint="eastAsia"/>
                    </w:rPr>
                    <w:t>1月5日</w:t>
                  </w:r>
                </w:p>
              </w:tc>
              <w:tc>
                <w:tcPr>
                  <w:tcW w:w="575" w:type="pct"/>
                  <w:vMerge w:val="continue"/>
                  <w:vAlign w:val="center"/>
                </w:tcPr>
                <w:p>
                  <w:pPr>
                    <w:pStyle w:val="156"/>
                    <w:rPr>
                      <w:kern w:val="0"/>
                    </w:rPr>
                  </w:pPr>
                </w:p>
              </w:tc>
              <w:tc>
                <w:tcPr>
                  <w:tcW w:w="432" w:type="pct"/>
                  <w:vMerge w:val="continue"/>
                  <w:vAlign w:val="center"/>
                </w:tcPr>
                <w:p>
                  <w:pPr>
                    <w:pStyle w:val="156"/>
                    <w:rPr>
                      <w:bCs/>
                    </w:rPr>
                  </w:pPr>
                </w:p>
              </w:tc>
              <w:tc>
                <w:tcPr>
                  <w:tcW w:w="562" w:type="pct"/>
                  <w:vAlign w:val="center"/>
                </w:tcPr>
                <w:p>
                  <w:pPr>
                    <w:pStyle w:val="156"/>
                    <w:rPr>
                      <w:kern w:val="0"/>
                    </w:rPr>
                  </w:pPr>
                  <w:r>
                    <w:rPr>
                      <w:rFonts w:hint="eastAsia"/>
                      <w:kern w:val="0"/>
                    </w:rPr>
                    <w:t>4.1</w:t>
                  </w:r>
                </w:p>
              </w:tc>
              <w:tc>
                <w:tcPr>
                  <w:tcW w:w="562" w:type="pct"/>
                  <w:vAlign w:val="center"/>
                </w:tcPr>
                <w:p>
                  <w:pPr>
                    <w:pStyle w:val="156"/>
                    <w:rPr>
                      <w:kern w:val="0"/>
                    </w:rPr>
                  </w:pPr>
                  <w:r>
                    <w:rPr>
                      <w:rFonts w:hint="eastAsia"/>
                      <w:kern w:val="0"/>
                    </w:rPr>
                    <w:t>4.9</w:t>
                  </w:r>
                </w:p>
              </w:tc>
              <w:tc>
                <w:tcPr>
                  <w:tcW w:w="562" w:type="pct"/>
                  <w:vAlign w:val="center"/>
                </w:tcPr>
                <w:p>
                  <w:pPr>
                    <w:pStyle w:val="156"/>
                    <w:rPr>
                      <w:kern w:val="0"/>
                    </w:rPr>
                  </w:pPr>
                  <w:r>
                    <w:rPr>
                      <w:rFonts w:hint="eastAsia"/>
                      <w:kern w:val="0"/>
                    </w:rPr>
                    <w:t>5.4</w:t>
                  </w:r>
                </w:p>
              </w:tc>
              <w:tc>
                <w:tcPr>
                  <w:tcW w:w="564" w:type="pct"/>
                  <w:vAlign w:val="center"/>
                </w:tcPr>
                <w:p>
                  <w:pPr>
                    <w:pStyle w:val="156"/>
                    <w:rPr>
                      <w:kern w:val="0"/>
                    </w:rPr>
                  </w:pPr>
                  <w:r>
                    <w:rPr>
                      <w:rFonts w:hint="eastAsia"/>
                      <w:kern w:val="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60" w:type="pct"/>
                  <w:vMerge w:val="restart"/>
                </w:tcPr>
                <w:p>
                  <w:pPr>
                    <w:pStyle w:val="156"/>
                  </w:pPr>
                  <w:r>
                    <w:rPr>
                      <w:rFonts w:hint="eastAsia" w:hAnsi="宋体"/>
                      <w:szCs w:val="21"/>
                    </w:rPr>
                    <w:t>3</w:t>
                  </w:r>
                  <w:r>
                    <w:rPr>
                      <w:rFonts w:hAnsi="宋体"/>
                      <w:szCs w:val="21"/>
                    </w:rPr>
                    <w:t># 明月坝污水处理厂尾水排口</w:t>
                  </w:r>
                  <w:r>
                    <w:rPr>
                      <w:rFonts w:hint="eastAsia" w:hAnsi="宋体"/>
                      <w:szCs w:val="21"/>
                    </w:rPr>
                    <w:t>上</w:t>
                  </w:r>
                  <w:r>
                    <w:rPr>
                      <w:rFonts w:hAnsi="宋体"/>
                      <w:szCs w:val="21"/>
                    </w:rPr>
                    <w:t>游</w:t>
                  </w:r>
                  <w:r>
                    <w:rPr>
                      <w:rFonts w:hint="eastAsia" w:hAnsi="宋体"/>
                      <w:szCs w:val="21"/>
                    </w:rPr>
                    <w:t>5</w:t>
                  </w:r>
                  <w:r>
                    <w:rPr>
                      <w:szCs w:val="21"/>
                    </w:rPr>
                    <w:t>00m</w:t>
                  </w:r>
                  <w:r>
                    <w:rPr>
                      <w:rFonts w:hAnsi="宋体"/>
                      <w:szCs w:val="21"/>
                    </w:rPr>
                    <w:t>处</w:t>
                  </w:r>
                </w:p>
              </w:tc>
              <w:tc>
                <w:tcPr>
                  <w:tcW w:w="678" w:type="pct"/>
                </w:tcPr>
                <w:p>
                  <w:pPr>
                    <w:pStyle w:val="156"/>
                  </w:pPr>
                  <w:r>
                    <w:rPr>
                      <w:rFonts w:hint="eastAsia"/>
                    </w:rPr>
                    <w:t>1月3日</w:t>
                  </w:r>
                </w:p>
              </w:tc>
              <w:tc>
                <w:tcPr>
                  <w:tcW w:w="575" w:type="pct"/>
                  <w:vMerge w:val="continue"/>
                  <w:vAlign w:val="center"/>
                </w:tcPr>
                <w:p>
                  <w:pPr>
                    <w:pStyle w:val="156"/>
                  </w:pPr>
                </w:p>
              </w:tc>
              <w:tc>
                <w:tcPr>
                  <w:tcW w:w="432" w:type="pct"/>
                  <w:vMerge w:val="continue"/>
                  <w:vAlign w:val="center"/>
                </w:tcPr>
                <w:p>
                  <w:pPr>
                    <w:pStyle w:val="156"/>
                    <w:rPr>
                      <w:bCs/>
                    </w:rPr>
                  </w:pPr>
                </w:p>
              </w:tc>
              <w:tc>
                <w:tcPr>
                  <w:tcW w:w="562" w:type="pct"/>
                  <w:vAlign w:val="center"/>
                </w:tcPr>
                <w:p>
                  <w:pPr>
                    <w:pStyle w:val="156"/>
                    <w:rPr>
                      <w:kern w:val="0"/>
                    </w:rPr>
                  </w:pPr>
                  <w:r>
                    <w:rPr>
                      <w:rFonts w:hint="eastAsia"/>
                      <w:kern w:val="0"/>
                    </w:rPr>
                    <w:t>4.2</w:t>
                  </w:r>
                </w:p>
              </w:tc>
              <w:tc>
                <w:tcPr>
                  <w:tcW w:w="562" w:type="pct"/>
                  <w:vAlign w:val="center"/>
                </w:tcPr>
                <w:p>
                  <w:pPr>
                    <w:pStyle w:val="156"/>
                    <w:rPr>
                      <w:kern w:val="0"/>
                    </w:rPr>
                  </w:pPr>
                  <w:r>
                    <w:rPr>
                      <w:rFonts w:hint="eastAsia"/>
                      <w:kern w:val="0"/>
                    </w:rPr>
                    <w:t>5.3</w:t>
                  </w:r>
                </w:p>
              </w:tc>
              <w:tc>
                <w:tcPr>
                  <w:tcW w:w="562" w:type="pct"/>
                  <w:vAlign w:val="center"/>
                </w:tcPr>
                <w:p>
                  <w:pPr>
                    <w:pStyle w:val="156"/>
                    <w:rPr>
                      <w:kern w:val="0"/>
                    </w:rPr>
                  </w:pPr>
                  <w:r>
                    <w:rPr>
                      <w:rFonts w:hint="eastAsia"/>
                      <w:kern w:val="0"/>
                    </w:rPr>
                    <w:t>5.7</w:t>
                  </w:r>
                </w:p>
              </w:tc>
              <w:tc>
                <w:tcPr>
                  <w:tcW w:w="564" w:type="pct"/>
                  <w:vAlign w:val="center"/>
                </w:tcPr>
                <w:p>
                  <w:pPr>
                    <w:pStyle w:val="156"/>
                    <w:rPr>
                      <w:kern w:val="0"/>
                    </w:rPr>
                  </w:pPr>
                  <w:r>
                    <w:rPr>
                      <w:rFonts w:hint="eastAsia"/>
                      <w:kern w:val="0"/>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60" w:type="pct"/>
                  <w:vMerge w:val="continue"/>
                </w:tcPr>
                <w:p>
                  <w:pPr>
                    <w:pStyle w:val="156"/>
                    <w:rPr>
                      <w:kern w:val="0"/>
                    </w:rPr>
                  </w:pPr>
                </w:p>
              </w:tc>
              <w:tc>
                <w:tcPr>
                  <w:tcW w:w="678" w:type="pct"/>
                </w:tcPr>
                <w:p>
                  <w:pPr>
                    <w:pStyle w:val="156"/>
                    <w:rPr>
                      <w:kern w:val="0"/>
                    </w:rPr>
                  </w:pPr>
                  <w:r>
                    <w:rPr>
                      <w:rFonts w:hint="eastAsia"/>
                    </w:rPr>
                    <w:t>1月4日</w:t>
                  </w:r>
                </w:p>
              </w:tc>
              <w:tc>
                <w:tcPr>
                  <w:tcW w:w="575" w:type="pct"/>
                  <w:vMerge w:val="continue"/>
                  <w:vAlign w:val="center"/>
                </w:tcPr>
                <w:p>
                  <w:pPr>
                    <w:pStyle w:val="156"/>
                    <w:rPr>
                      <w:kern w:val="0"/>
                    </w:rPr>
                  </w:pPr>
                </w:p>
              </w:tc>
              <w:tc>
                <w:tcPr>
                  <w:tcW w:w="432" w:type="pct"/>
                  <w:vMerge w:val="continue"/>
                  <w:vAlign w:val="center"/>
                </w:tcPr>
                <w:p>
                  <w:pPr>
                    <w:pStyle w:val="156"/>
                    <w:rPr>
                      <w:bCs/>
                    </w:rPr>
                  </w:pPr>
                </w:p>
              </w:tc>
              <w:tc>
                <w:tcPr>
                  <w:tcW w:w="562" w:type="pct"/>
                  <w:vAlign w:val="center"/>
                </w:tcPr>
                <w:p>
                  <w:pPr>
                    <w:pStyle w:val="156"/>
                    <w:rPr>
                      <w:kern w:val="0"/>
                    </w:rPr>
                  </w:pPr>
                  <w:r>
                    <w:rPr>
                      <w:rFonts w:hint="eastAsia"/>
                      <w:kern w:val="0"/>
                    </w:rPr>
                    <w:t>3.8</w:t>
                  </w:r>
                </w:p>
              </w:tc>
              <w:tc>
                <w:tcPr>
                  <w:tcW w:w="562" w:type="pct"/>
                  <w:vAlign w:val="center"/>
                </w:tcPr>
                <w:p>
                  <w:pPr>
                    <w:pStyle w:val="156"/>
                    <w:rPr>
                      <w:kern w:val="0"/>
                    </w:rPr>
                  </w:pPr>
                  <w:r>
                    <w:rPr>
                      <w:rFonts w:hint="eastAsia"/>
                      <w:kern w:val="0"/>
                    </w:rPr>
                    <w:t>4.8</w:t>
                  </w:r>
                </w:p>
              </w:tc>
              <w:tc>
                <w:tcPr>
                  <w:tcW w:w="562" w:type="pct"/>
                  <w:vAlign w:val="center"/>
                </w:tcPr>
                <w:p>
                  <w:pPr>
                    <w:pStyle w:val="156"/>
                    <w:rPr>
                      <w:kern w:val="0"/>
                    </w:rPr>
                  </w:pPr>
                  <w:r>
                    <w:rPr>
                      <w:rFonts w:hint="eastAsia"/>
                      <w:kern w:val="0"/>
                    </w:rPr>
                    <w:t>5.4</w:t>
                  </w:r>
                </w:p>
              </w:tc>
              <w:tc>
                <w:tcPr>
                  <w:tcW w:w="564" w:type="pct"/>
                  <w:vAlign w:val="center"/>
                </w:tcPr>
                <w:p>
                  <w:pPr>
                    <w:pStyle w:val="156"/>
                    <w:rPr>
                      <w:kern w:val="0"/>
                    </w:rPr>
                  </w:pPr>
                  <w:r>
                    <w:rPr>
                      <w:rFonts w:hint="eastAsia"/>
                      <w:kern w:val="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060" w:type="pct"/>
                  <w:vMerge w:val="continue"/>
                </w:tcPr>
                <w:p>
                  <w:pPr>
                    <w:pStyle w:val="156"/>
                    <w:rPr>
                      <w:kern w:val="0"/>
                    </w:rPr>
                  </w:pPr>
                </w:p>
              </w:tc>
              <w:tc>
                <w:tcPr>
                  <w:tcW w:w="678" w:type="pct"/>
                </w:tcPr>
                <w:p>
                  <w:pPr>
                    <w:pStyle w:val="156"/>
                    <w:rPr>
                      <w:kern w:val="0"/>
                    </w:rPr>
                  </w:pPr>
                  <w:r>
                    <w:rPr>
                      <w:rFonts w:hint="eastAsia"/>
                    </w:rPr>
                    <w:t>1月5日</w:t>
                  </w:r>
                </w:p>
              </w:tc>
              <w:tc>
                <w:tcPr>
                  <w:tcW w:w="575" w:type="pct"/>
                  <w:vMerge w:val="continue"/>
                  <w:vAlign w:val="center"/>
                </w:tcPr>
                <w:p>
                  <w:pPr>
                    <w:pStyle w:val="156"/>
                    <w:rPr>
                      <w:kern w:val="0"/>
                    </w:rPr>
                  </w:pPr>
                </w:p>
              </w:tc>
              <w:tc>
                <w:tcPr>
                  <w:tcW w:w="432" w:type="pct"/>
                  <w:vMerge w:val="continue"/>
                  <w:vAlign w:val="center"/>
                </w:tcPr>
                <w:p>
                  <w:pPr>
                    <w:pStyle w:val="156"/>
                    <w:rPr>
                      <w:bCs/>
                    </w:rPr>
                  </w:pPr>
                </w:p>
              </w:tc>
              <w:tc>
                <w:tcPr>
                  <w:tcW w:w="562" w:type="pct"/>
                  <w:vAlign w:val="center"/>
                </w:tcPr>
                <w:p>
                  <w:pPr>
                    <w:pStyle w:val="156"/>
                    <w:rPr>
                      <w:kern w:val="0"/>
                    </w:rPr>
                  </w:pPr>
                  <w:r>
                    <w:rPr>
                      <w:rFonts w:hint="eastAsia"/>
                      <w:kern w:val="0"/>
                    </w:rPr>
                    <w:t>4.0</w:t>
                  </w:r>
                </w:p>
              </w:tc>
              <w:tc>
                <w:tcPr>
                  <w:tcW w:w="562" w:type="pct"/>
                  <w:vAlign w:val="center"/>
                </w:tcPr>
                <w:p>
                  <w:pPr>
                    <w:pStyle w:val="156"/>
                    <w:rPr>
                      <w:kern w:val="0"/>
                    </w:rPr>
                  </w:pPr>
                  <w:r>
                    <w:rPr>
                      <w:rFonts w:hint="eastAsia"/>
                      <w:kern w:val="0"/>
                    </w:rPr>
                    <w:t>5.0</w:t>
                  </w:r>
                </w:p>
              </w:tc>
              <w:tc>
                <w:tcPr>
                  <w:tcW w:w="562" w:type="pct"/>
                  <w:vAlign w:val="center"/>
                </w:tcPr>
                <w:p>
                  <w:pPr>
                    <w:pStyle w:val="156"/>
                    <w:rPr>
                      <w:kern w:val="0"/>
                    </w:rPr>
                  </w:pPr>
                  <w:r>
                    <w:rPr>
                      <w:rFonts w:hint="eastAsia"/>
                      <w:kern w:val="0"/>
                    </w:rPr>
                    <w:t>5.2</w:t>
                  </w:r>
                </w:p>
              </w:tc>
              <w:tc>
                <w:tcPr>
                  <w:tcW w:w="564" w:type="pct"/>
                  <w:vAlign w:val="center"/>
                </w:tcPr>
                <w:p>
                  <w:pPr>
                    <w:pStyle w:val="156"/>
                    <w:rPr>
                      <w:kern w:val="0"/>
                    </w:rPr>
                  </w:pPr>
                  <w:r>
                    <w:rPr>
                      <w:rFonts w:hint="eastAsia"/>
                      <w:kern w:val="0"/>
                    </w:rPr>
                    <w:t>4.2</w:t>
                  </w:r>
                </w:p>
              </w:tc>
            </w:tr>
          </w:tbl>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地表水检测结果表2</w:t>
            </w:r>
          </w:p>
          <w:tbl>
            <w:tblPr>
              <w:tblStyle w:val="130"/>
              <w:tblpPr w:leftFromText="180" w:rightFromText="18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1420"/>
              <w:gridCol w:w="921"/>
              <w:gridCol w:w="1284"/>
              <w:gridCol w:w="1284"/>
              <w:gridCol w:w="1291"/>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restart"/>
                  <w:tcBorders>
                    <w:tl2br w:val="nil"/>
                    <w:tr2bl w:val="nil"/>
                  </w:tcBorders>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检测点位</w:t>
                  </w:r>
                </w:p>
              </w:tc>
              <w:tc>
                <w:tcPr>
                  <w:tcW w:w="822" w:type="pct"/>
                  <w:vMerge w:val="restart"/>
                  <w:tcBorders>
                    <w:tl2br w:val="nil"/>
                    <w:tr2bl w:val="nil"/>
                  </w:tcBorders>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检测项目</w:t>
                  </w:r>
                </w:p>
              </w:tc>
              <w:tc>
                <w:tcPr>
                  <w:tcW w:w="533" w:type="pct"/>
                  <w:vMerge w:val="restart"/>
                  <w:tcBorders>
                    <w:tl2br w:val="nil"/>
                    <w:tr2bl w:val="nil"/>
                  </w:tcBorders>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单位</w:t>
                  </w:r>
                </w:p>
              </w:tc>
              <w:tc>
                <w:tcPr>
                  <w:tcW w:w="2233" w:type="pct"/>
                  <w:gridSpan w:val="3"/>
                  <w:tcBorders>
                    <w:tl2br w:val="nil"/>
                    <w:tr2bl w:val="nil"/>
                  </w:tcBorders>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检测结果</w:t>
                  </w:r>
                </w:p>
              </w:tc>
              <w:tc>
                <w:tcPr>
                  <w:tcW w:w="849" w:type="pct"/>
                  <w:vMerge w:val="restart"/>
                  <w:tcBorders>
                    <w:tl2br w:val="nil"/>
                    <w:tr2bl w:val="nil"/>
                  </w:tcBorders>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533"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743" w:type="pct"/>
                  <w:tcBorders>
                    <w:tl2br w:val="nil"/>
                    <w:tr2bl w:val="nil"/>
                  </w:tcBorders>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4</w:t>
                  </w:r>
                  <w:r>
                    <w:rPr>
                      <w:rFonts w:ascii="Times New Roman" w:hAnsi="Times New Roman" w:eastAsia="宋体" w:cs="Times New Roman"/>
                      <w:b/>
                      <w:sz w:val="21"/>
                      <w:szCs w:val="21"/>
                    </w:rPr>
                    <w:t>月8日</w:t>
                  </w:r>
                </w:p>
              </w:tc>
              <w:tc>
                <w:tcPr>
                  <w:tcW w:w="743" w:type="pct"/>
                  <w:tcBorders>
                    <w:tl2br w:val="nil"/>
                    <w:tr2bl w:val="nil"/>
                  </w:tcBorders>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4</w:t>
                  </w:r>
                  <w:r>
                    <w:rPr>
                      <w:rFonts w:ascii="Times New Roman" w:hAnsi="Times New Roman" w:eastAsia="宋体" w:cs="Times New Roman"/>
                      <w:b/>
                      <w:sz w:val="21"/>
                      <w:szCs w:val="21"/>
                    </w:rPr>
                    <w:t>月</w:t>
                  </w:r>
                  <w:r>
                    <w:rPr>
                      <w:rFonts w:hint="eastAsia" w:ascii="Times New Roman" w:hAnsi="Times New Roman" w:eastAsia="宋体" w:cs="Times New Roman"/>
                      <w:b/>
                      <w:sz w:val="21"/>
                      <w:szCs w:val="21"/>
                    </w:rPr>
                    <w:t>9</w:t>
                  </w:r>
                  <w:r>
                    <w:rPr>
                      <w:rFonts w:ascii="Times New Roman" w:hAnsi="Times New Roman" w:eastAsia="宋体" w:cs="Times New Roman"/>
                      <w:b/>
                      <w:sz w:val="21"/>
                      <w:szCs w:val="21"/>
                    </w:rPr>
                    <w:t>日</w:t>
                  </w:r>
                </w:p>
              </w:tc>
              <w:tc>
                <w:tcPr>
                  <w:tcW w:w="746" w:type="pct"/>
                  <w:tcBorders>
                    <w:tl2br w:val="nil"/>
                    <w:tr2bl w:val="nil"/>
                  </w:tcBorders>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4</w:t>
                  </w:r>
                  <w:r>
                    <w:rPr>
                      <w:rFonts w:ascii="Times New Roman" w:hAnsi="Times New Roman" w:eastAsia="宋体" w:cs="Times New Roman"/>
                      <w:b/>
                      <w:sz w:val="21"/>
                      <w:szCs w:val="21"/>
                    </w:rPr>
                    <w:t>月</w:t>
                  </w:r>
                  <w:r>
                    <w:rPr>
                      <w:rFonts w:hint="eastAsia" w:ascii="Times New Roman" w:hAnsi="Times New Roman" w:eastAsia="宋体" w:cs="Times New Roman"/>
                      <w:b/>
                      <w:sz w:val="21"/>
                      <w:szCs w:val="21"/>
                    </w:rPr>
                    <w:t>10</w:t>
                  </w:r>
                  <w:r>
                    <w:rPr>
                      <w:rFonts w:ascii="Times New Roman" w:hAnsi="Times New Roman" w:eastAsia="宋体" w:cs="Times New Roman"/>
                      <w:b/>
                      <w:sz w:val="21"/>
                      <w:szCs w:val="21"/>
                    </w:rPr>
                    <w:t>日</w:t>
                  </w:r>
                </w:p>
              </w:tc>
              <w:tc>
                <w:tcPr>
                  <w:tcW w:w="849"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restar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sz w:val="21"/>
                      <w:szCs w:val="21"/>
                    </w:rPr>
                    <w:t>1#明月坝污水处理厂尾水排口下游1000m处</w:t>
                  </w:r>
                  <w:r>
                    <w:rPr>
                      <w:sz w:val="21"/>
                      <w:szCs w:val="21"/>
                    </w:rPr>
                    <w:fldChar w:fldCharType="begin"/>
                  </w:r>
                  <w:r>
                    <w:rPr>
                      <w:sz w:val="21"/>
                      <w:szCs w:val="21"/>
                    </w:rPr>
                    <w:instrText xml:space="preserve"> REF 地表水1 \h \* MERGEFORMAT</w:instrText>
                  </w:r>
                  <w:r>
                    <w:rPr>
                      <w:sz w:val="21"/>
                      <w:szCs w:val="21"/>
                    </w:rPr>
                    <w:fldChar w:fldCharType="separate"/>
                  </w:r>
                  <w:r>
                    <w:rPr>
                      <w:sz w:val="21"/>
                      <w:szCs w:val="21"/>
                    </w:rPr>
                    <w:fldChar w:fldCharType="end"/>
                  </w:r>
                </w:p>
              </w:tc>
              <w:tc>
                <w:tcPr>
                  <w:tcW w:w="822" w:type="pct"/>
                  <w:tcBorders>
                    <w:tl2br w:val="nil"/>
                    <w:tr2bl w:val="nil"/>
                  </w:tcBorders>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pH</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无量纲</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7.5</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7.3</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7.2</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溶解氧</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6.4</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6.6</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6.3</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悬浮物</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色度</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度</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化学需氧量</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15</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13</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16</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高锰酸盐指数</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3.4</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2.9</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3.2</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五日生化需氧量</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3.4</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3.5</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3.7</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氨氮</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0.394</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0.358</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0.414</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阴离子表面活性剂</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氰化物</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br w:type="page"/>
                  </w:r>
                  <w:r>
                    <w:rPr>
                      <w:rFonts w:ascii="Times New Roman" w:hAnsi="Times New Roman" w:eastAsia="宋体" w:cs="Times New Roman"/>
                      <w:bCs/>
                      <w:sz w:val="21"/>
                      <w:szCs w:val="21"/>
                    </w:rPr>
                    <w:t>六价铬</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硫化物</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总氮</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1.22</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1.32</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1.26</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总磷</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0.06</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0.06</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0.05</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石油类</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0.01</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氟化物（氟离子）</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0.059</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0.196</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0.075</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cs="Times New Roman"/>
                    </w:rPr>
                  </w:pPr>
                </w:p>
              </w:tc>
              <w:tc>
                <w:tcPr>
                  <w:tcW w:w="822" w:type="pct"/>
                  <w:tcBorders>
                    <w:tl2br w:val="nil"/>
                    <w:tr2bl w:val="nil"/>
                  </w:tcBorders>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锌</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未检出</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tcBorders>
                    <w:tl2br w:val="nil"/>
                    <w:tr2bl w:val="nil"/>
                  </w:tcBorders>
                  <w:vAlign w:val="center"/>
                </w:tcPr>
                <w:p>
                  <w:pPr>
                    <w:spacing w:line="240" w:lineRule="auto"/>
                    <w:jc w:val="center"/>
                    <w:rPr>
                      <w:rFonts w:ascii="Times New Roman" w:hAnsi="Times New Roman" w:eastAsia="宋体" w:cs="Times New Roman"/>
                      <w:bCs/>
                      <w:sz w:val="21"/>
                      <w:szCs w:val="21"/>
                    </w:rPr>
                  </w:pPr>
                </w:p>
              </w:tc>
              <w:tc>
                <w:tcPr>
                  <w:tcW w:w="822"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粪大肠菌群</w:t>
                  </w:r>
                </w:p>
              </w:tc>
              <w:tc>
                <w:tcPr>
                  <w:tcW w:w="53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MPN/L</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4.0</w:t>
                  </w:r>
                  <w:r>
                    <w:rPr>
                      <w:rFonts w:ascii="Times New Roman" w:hAnsi="Times New Roman" w:eastAsia="宋体" w:cs="Times New Roman"/>
                      <w:bCs/>
                      <w:sz w:val="21"/>
                      <w:szCs w:val="21"/>
                    </w:rPr>
                    <w:t>×10</w:t>
                  </w:r>
                  <w:r>
                    <w:rPr>
                      <w:rFonts w:ascii="Times New Roman" w:hAnsi="Times New Roman" w:eastAsia="宋体" w:cs="Times New Roman"/>
                      <w:bCs/>
                      <w:sz w:val="21"/>
                      <w:szCs w:val="21"/>
                      <w:vertAlign w:val="superscript"/>
                    </w:rPr>
                    <w:t>2</w:t>
                  </w:r>
                </w:p>
              </w:tc>
              <w:tc>
                <w:tcPr>
                  <w:tcW w:w="743"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7.0</w:t>
                  </w:r>
                  <w:r>
                    <w:rPr>
                      <w:rFonts w:ascii="Times New Roman" w:hAnsi="Times New Roman" w:eastAsia="宋体" w:cs="Times New Roman"/>
                      <w:bCs/>
                      <w:sz w:val="21"/>
                      <w:szCs w:val="21"/>
                    </w:rPr>
                    <w:t>×10</w:t>
                  </w:r>
                  <w:r>
                    <w:rPr>
                      <w:rFonts w:ascii="Times New Roman" w:hAnsi="Times New Roman" w:eastAsia="宋体" w:cs="Times New Roman"/>
                      <w:bCs/>
                      <w:sz w:val="21"/>
                      <w:szCs w:val="21"/>
                      <w:vertAlign w:val="superscript"/>
                    </w:rPr>
                    <w:t>2</w:t>
                  </w:r>
                </w:p>
              </w:tc>
              <w:tc>
                <w:tcPr>
                  <w:tcW w:w="746"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6.0</w:t>
                  </w:r>
                  <w:r>
                    <w:rPr>
                      <w:rFonts w:ascii="Times New Roman" w:hAnsi="Times New Roman" w:eastAsia="宋体" w:cs="Times New Roman"/>
                      <w:bCs/>
                      <w:sz w:val="21"/>
                      <w:szCs w:val="21"/>
                    </w:rPr>
                    <w:t>×10</w:t>
                  </w:r>
                  <w:r>
                    <w:rPr>
                      <w:rFonts w:ascii="Times New Roman" w:hAnsi="Times New Roman" w:eastAsia="宋体" w:cs="Times New Roman"/>
                      <w:bCs/>
                      <w:sz w:val="21"/>
                      <w:szCs w:val="21"/>
                      <w:vertAlign w:val="superscript"/>
                    </w:rPr>
                    <w:t>2</w:t>
                  </w:r>
                </w:p>
              </w:tc>
              <w:tc>
                <w:tcPr>
                  <w:tcW w:w="849" w:type="pct"/>
                  <w:tcBorders>
                    <w:tl2br w:val="nil"/>
                    <w:tr2bl w:val="nil"/>
                  </w:tcBorders>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≤10000个/L</w:t>
                  </w:r>
                </w:p>
              </w:tc>
            </w:tr>
          </w:tbl>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地表水检测结果表</w:t>
            </w:r>
            <w:r>
              <w:rPr>
                <w:rFonts w:ascii="黑体" w:hAnsi="黑体" w:eastAsia="黑体"/>
                <w:b w:val="0"/>
                <w:bCs w:val="0"/>
                <w:color w:val="auto"/>
              </w:rPr>
              <w:t>3</w:t>
            </w:r>
          </w:p>
          <w:tbl>
            <w:tblPr>
              <w:tblStyle w:val="1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284"/>
              <w:gridCol w:w="926"/>
              <w:gridCol w:w="1780"/>
              <w:gridCol w:w="2237"/>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restar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采样日期</w:t>
                  </w:r>
                </w:p>
              </w:tc>
              <w:tc>
                <w:tcPr>
                  <w:tcW w:w="743" w:type="pct"/>
                  <w:vMerge w:val="restar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检测项目</w:t>
                  </w:r>
                </w:p>
              </w:tc>
              <w:tc>
                <w:tcPr>
                  <w:tcW w:w="536" w:type="pct"/>
                  <w:vMerge w:val="restar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单位</w:t>
                  </w:r>
                </w:p>
              </w:tc>
              <w:tc>
                <w:tcPr>
                  <w:tcW w:w="2324" w:type="pct"/>
                  <w:gridSpan w:val="2"/>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检测结果</w:t>
                  </w:r>
                </w:p>
              </w:tc>
              <w:tc>
                <w:tcPr>
                  <w:tcW w:w="852" w:type="pct"/>
                  <w:vMerge w:val="restar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Merge w:val="continue"/>
                  <w:vAlign w:val="center"/>
                </w:tcPr>
                <w:p>
                  <w:pPr>
                    <w:spacing w:line="240" w:lineRule="auto"/>
                    <w:jc w:val="center"/>
                    <w:rPr>
                      <w:rFonts w:ascii="Times New Roman" w:hAnsi="Times New Roman" w:eastAsia="宋体" w:cs="Times New Roman"/>
                      <w:bCs/>
                      <w:sz w:val="21"/>
                      <w:szCs w:val="21"/>
                    </w:rPr>
                  </w:pPr>
                </w:p>
              </w:tc>
              <w:tc>
                <w:tcPr>
                  <w:tcW w:w="536" w:type="pct"/>
                  <w:vMerge w:val="continue"/>
                  <w:vAlign w:val="center"/>
                </w:tcPr>
                <w:p>
                  <w:pPr>
                    <w:spacing w:line="240" w:lineRule="auto"/>
                    <w:jc w:val="center"/>
                    <w:rPr>
                      <w:rFonts w:ascii="Times New Roman" w:hAnsi="Times New Roman" w:eastAsia="宋体" w:cs="Times New Roman"/>
                      <w:bCs/>
                      <w:sz w:val="21"/>
                      <w:szCs w:val="21"/>
                    </w:rPr>
                  </w:pPr>
                </w:p>
              </w:tc>
              <w:tc>
                <w:tcPr>
                  <w:tcW w:w="1030" w:type="pct"/>
                  <w:vAlign w:val="center"/>
                </w:tcPr>
                <w:p>
                  <w:pPr>
                    <w:spacing w:line="240" w:lineRule="auto"/>
                    <w:jc w:val="center"/>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2# 前河与后河交汇处上游500m处</w:t>
                  </w:r>
                </w:p>
              </w:tc>
              <w:tc>
                <w:tcPr>
                  <w:tcW w:w="1294" w:type="pct"/>
                  <w:vAlign w:val="center"/>
                </w:tcPr>
                <w:p>
                  <w:pPr>
                    <w:spacing w:line="240" w:lineRule="auto"/>
                    <w:jc w:val="center"/>
                    <w:rPr>
                      <w:rFonts w:ascii="Times New Roman" w:hAnsi="Times New Roman" w:eastAsia="宋体" w:cs="Times New Roman"/>
                      <w:b/>
                      <w:bCs/>
                      <w:sz w:val="21"/>
                      <w:szCs w:val="21"/>
                    </w:rPr>
                  </w:pPr>
                  <w:r>
                    <w:rPr>
                      <w:rFonts w:hint="eastAsia" w:hAnsi="宋体"/>
                      <w:b/>
                      <w:bCs/>
                      <w:sz w:val="21"/>
                      <w:szCs w:val="21"/>
                    </w:rPr>
                    <w:t>3</w:t>
                  </w:r>
                  <w:r>
                    <w:rPr>
                      <w:rFonts w:hAnsi="宋体"/>
                      <w:b/>
                      <w:bCs/>
                      <w:sz w:val="21"/>
                      <w:szCs w:val="21"/>
                    </w:rPr>
                    <w:t># 明月坝污水处理厂尾水排口</w:t>
                  </w:r>
                  <w:r>
                    <w:rPr>
                      <w:rFonts w:hint="eastAsia" w:hAnsi="宋体"/>
                      <w:b/>
                      <w:bCs/>
                      <w:sz w:val="21"/>
                      <w:szCs w:val="21"/>
                    </w:rPr>
                    <w:t>上</w:t>
                  </w:r>
                  <w:r>
                    <w:rPr>
                      <w:rFonts w:hAnsi="宋体"/>
                      <w:b/>
                      <w:bCs/>
                      <w:sz w:val="21"/>
                      <w:szCs w:val="21"/>
                    </w:rPr>
                    <w:t>游</w:t>
                  </w:r>
                  <w:r>
                    <w:rPr>
                      <w:rFonts w:hint="eastAsia" w:hAnsi="宋体"/>
                      <w:b/>
                      <w:bCs/>
                      <w:sz w:val="21"/>
                      <w:szCs w:val="21"/>
                    </w:rPr>
                    <w:t>5</w:t>
                  </w:r>
                  <w:r>
                    <w:rPr>
                      <w:b/>
                      <w:bCs/>
                      <w:sz w:val="21"/>
                      <w:szCs w:val="21"/>
                    </w:rPr>
                    <w:t>00m</w:t>
                  </w:r>
                  <w:r>
                    <w:rPr>
                      <w:rFonts w:hAnsi="宋体"/>
                      <w:b/>
                      <w:bCs/>
                      <w:sz w:val="21"/>
                      <w:szCs w:val="21"/>
                    </w:rPr>
                    <w:t>处</w:t>
                  </w:r>
                </w:p>
              </w:tc>
              <w:tc>
                <w:tcPr>
                  <w:tcW w:w="852" w:type="pct"/>
                  <w:vMerge w:val="continue"/>
                  <w:vAlign w:val="center"/>
                </w:tcPr>
                <w:p>
                  <w:pPr>
                    <w:spacing w:line="240" w:lineRule="auto"/>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restar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1月3日</w:t>
                  </w:r>
                </w:p>
              </w:tc>
              <w:tc>
                <w:tcPr>
                  <w:tcW w:w="743"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pH</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无量纲</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7.1</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7.2</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溶解氧</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6.6</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6.8</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悬浮物</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色度</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度</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化学需氧量</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高锰酸盐指数</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0.8</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五日生化需氧量</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2.6</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2.8</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氨氮</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0.176</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0.079</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阴离子表面活性剂</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氰化物</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br w:type="page"/>
                  </w:r>
                  <w:r>
                    <w:rPr>
                      <w:rFonts w:ascii="Times New Roman" w:hAnsi="Times New Roman" w:eastAsia="宋体" w:cs="Times New Roman"/>
                      <w:bCs/>
                      <w:sz w:val="21"/>
                      <w:szCs w:val="21"/>
                    </w:rPr>
                    <w:t>六价铬</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硫化物</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总氮</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1.59</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1.44</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总磷</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0.06</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0.09</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石油类</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0.03</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0.01</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氟化物（氟离子）</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0.176</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0.171</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锌</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粪大肠菌群</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MPN/L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7.0</w:t>
                  </w:r>
                  <w:r>
                    <w:rPr>
                      <w:rFonts w:ascii="Times New Roman" w:hAnsi="Times New Roman" w:eastAsia="宋体" w:cs="Times New Roman"/>
                      <w:bCs/>
                      <w:sz w:val="21"/>
                      <w:szCs w:val="21"/>
                    </w:rPr>
                    <w:t>×10</w:t>
                  </w:r>
                  <w:r>
                    <w:rPr>
                      <w:rFonts w:ascii="Times New Roman" w:hAnsi="Times New Roman" w:eastAsia="宋体" w:cs="Times New Roman"/>
                      <w:bCs/>
                      <w:sz w:val="21"/>
                      <w:szCs w:val="21"/>
                      <w:vertAlign w:val="superscript"/>
                    </w:rPr>
                    <w:t>2</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4.0</w:t>
                  </w:r>
                  <w:r>
                    <w:rPr>
                      <w:rFonts w:ascii="Times New Roman" w:hAnsi="Times New Roman" w:eastAsia="宋体" w:cs="Times New Roman"/>
                      <w:bCs/>
                      <w:sz w:val="21"/>
                      <w:szCs w:val="21"/>
                    </w:rPr>
                    <w:t>×10</w:t>
                  </w:r>
                  <w:r>
                    <w:rPr>
                      <w:rFonts w:ascii="Times New Roman" w:hAnsi="Times New Roman" w:eastAsia="宋体" w:cs="Times New Roman"/>
                      <w:bCs/>
                      <w:sz w:val="21"/>
                      <w:szCs w:val="21"/>
                      <w:vertAlign w:val="superscript"/>
                    </w:rPr>
                    <w:t>2</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≤10000个/L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restar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br w:type="page"/>
                  </w:r>
                  <w:r>
                    <w:rPr>
                      <w:rFonts w:ascii="Times New Roman" w:hAnsi="Times New Roman" w:eastAsia="宋体" w:cs="Times New Roman"/>
                      <w:bCs/>
                      <w:kern w:val="0"/>
                      <w:sz w:val="21"/>
                      <w:szCs w:val="21"/>
                    </w:rPr>
                    <w:t>1月4日</w:t>
                  </w:r>
                </w:p>
              </w:tc>
              <w:tc>
                <w:tcPr>
                  <w:tcW w:w="743"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pH</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无量纲</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7.1</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7.1</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溶解氧</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6.9</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cs="Times New Roman"/>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悬浮物</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色度</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度</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化学需氧量</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13</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高锰酸盐指数</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1.4</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五日生化需氧量</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2.7</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2.8</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氨氮</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0.156</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0.101</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阴离子表面活性剂</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氰化物</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br w:type="page"/>
                  </w:r>
                  <w:r>
                    <w:rPr>
                      <w:rFonts w:ascii="Times New Roman" w:hAnsi="Times New Roman" w:eastAsia="宋体" w:cs="Times New Roman"/>
                      <w:bCs/>
                      <w:sz w:val="21"/>
                      <w:szCs w:val="21"/>
                    </w:rPr>
                    <w:t>六价铬</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硫化物</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总氮</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1.43</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1.55</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总磷</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0.06</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0.08</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石油类</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0.03</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氟化物（氟离子）</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0.178</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0.172</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锌</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粪大肠菌群</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MPN/L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8.0</w:t>
                  </w:r>
                  <w:r>
                    <w:rPr>
                      <w:rFonts w:ascii="Times New Roman" w:hAnsi="Times New Roman" w:eastAsia="宋体" w:cs="Times New Roman"/>
                      <w:bCs/>
                      <w:sz w:val="21"/>
                      <w:szCs w:val="21"/>
                    </w:rPr>
                    <w:t>×10</w:t>
                  </w:r>
                  <w:r>
                    <w:rPr>
                      <w:rFonts w:ascii="Times New Roman" w:hAnsi="Times New Roman" w:eastAsia="宋体" w:cs="Times New Roman"/>
                      <w:bCs/>
                      <w:sz w:val="21"/>
                      <w:szCs w:val="21"/>
                      <w:vertAlign w:val="superscript"/>
                    </w:rPr>
                    <w:t>2</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4.0</w:t>
                  </w:r>
                  <w:r>
                    <w:rPr>
                      <w:rFonts w:ascii="Times New Roman" w:hAnsi="Times New Roman" w:eastAsia="宋体" w:cs="Times New Roman"/>
                      <w:bCs/>
                      <w:sz w:val="21"/>
                      <w:szCs w:val="21"/>
                    </w:rPr>
                    <w:t>×10</w:t>
                  </w:r>
                  <w:r>
                    <w:rPr>
                      <w:rFonts w:ascii="Times New Roman" w:hAnsi="Times New Roman" w:eastAsia="宋体" w:cs="Times New Roman"/>
                      <w:bCs/>
                      <w:sz w:val="21"/>
                      <w:szCs w:val="21"/>
                      <w:vertAlign w:val="superscript"/>
                    </w:rPr>
                    <w:t>2</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≤10000个/L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restar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br w:type="page"/>
                  </w:r>
                  <w:r>
                    <w:rPr>
                      <w:rFonts w:ascii="Times New Roman" w:hAnsi="Times New Roman" w:eastAsia="宋体" w:cs="Times New Roman"/>
                      <w:bCs/>
                      <w:kern w:val="0"/>
                      <w:sz w:val="21"/>
                      <w:szCs w:val="21"/>
                    </w:rPr>
                    <w:t>1月5日</w:t>
                  </w:r>
                </w:p>
              </w:tc>
              <w:tc>
                <w:tcPr>
                  <w:tcW w:w="743"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pH</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无量纲</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7.1</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7.0</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溶解氧</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6.6</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悬浮物</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9</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色度</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度</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化学需氧量</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10</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13</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cs="Times New Roman"/>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高锰酸盐指数</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0.7</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五日生化需氧量</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2.7</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2.9</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氨氮</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0.170</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0.113</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阴离子表面活性剂</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氰化物</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br w:type="page"/>
                  </w:r>
                  <w:r>
                    <w:rPr>
                      <w:rFonts w:ascii="Times New Roman" w:hAnsi="Times New Roman" w:eastAsia="宋体" w:cs="Times New Roman"/>
                      <w:bCs/>
                      <w:sz w:val="21"/>
                      <w:szCs w:val="21"/>
                    </w:rPr>
                    <w:t>六价铬</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硫化物</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总氮</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1.68</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1.71</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总磷</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0.05</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0.10</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石油类</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0.02</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氟化物（氟离子）</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0.172</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0.167</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锌</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汞</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砷</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μg/L</w:t>
                  </w:r>
                </w:p>
              </w:tc>
              <w:tc>
                <w:tcPr>
                  <w:tcW w:w="103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129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未检出</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粪大肠菌群</w:t>
                  </w:r>
                </w:p>
              </w:tc>
              <w:tc>
                <w:tcPr>
                  <w:tcW w:w="53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MPN/L</w:t>
                  </w:r>
                </w:p>
              </w:tc>
              <w:tc>
                <w:tcPr>
                  <w:tcW w:w="103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7.0</w:t>
                  </w:r>
                  <w:r>
                    <w:rPr>
                      <w:rFonts w:ascii="Times New Roman" w:hAnsi="Times New Roman" w:eastAsia="宋体" w:cs="Times New Roman"/>
                      <w:bCs/>
                      <w:sz w:val="21"/>
                      <w:szCs w:val="21"/>
                    </w:rPr>
                    <w:t>×10</w:t>
                  </w:r>
                  <w:r>
                    <w:rPr>
                      <w:rFonts w:ascii="Times New Roman" w:hAnsi="Times New Roman" w:eastAsia="宋体" w:cs="Times New Roman"/>
                      <w:bCs/>
                      <w:sz w:val="21"/>
                      <w:szCs w:val="21"/>
                      <w:vertAlign w:val="superscript"/>
                    </w:rPr>
                    <w:t>2</w:t>
                  </w:r>
                </w:p>
              </w:tc>
              <w:tc>
                <w:tcPr>
                  <w:tcW w:w="1294"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5.0</w:t>
                  </w:r>
                  <w:r>
                    <w:rPr>
                      <w:rFonts w:ascii="Times New Roman" w:hAnsi="Times New Roman" w:eastAsia="宋体" w:cs="Times New Roman"/>
                      <w:bCs/>
                      <w:sz w:val="21"/>
                      <w:szCs w:val="21"/>
                    </w:rPr>
                    <w:t>×10</w:t>
                  </w:r>
                  <w:r>
                    <w:rPr>
                      <w:rFonts w:ascii="Times New Roman" w:hAnsi="Times New Roman" w:eastAsia="宋体" w:cs="Times New Roman"/>
                      <w:bCs/>
                      <w:sz w:val="21"/>
                      <w:szCs w:val="21"/>
                      <w:vertAlign w:val="superscript"/>
                    </w:rPr>
                    <w:t>2</w:t>
                  </w:r>
                </w:p>
              </w:tc>
              <w:tc>
                <w:tcPr>
                  <w:tcW w:w="85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≤10000个/L</w:t>
                  </w:r>
                </w:p>
              </w:tc>
            </w:tr>
          </w:tbl>
          <w:p>
            <w:pPr>
              <w:pStyle w:val="240"/>
              <w:ind w:firstLine="482"/>
            </w:pPr>
            <w:r>
              <w:rPr>
                <w:rFonts w:hint="eastAsia"/>
              </w:rPr>
              <w:t>（5）评价方法</w:t>
            </w:r>
          </w:p>
          <w:p>
            <w:pPr>
              <w:pStyle w:val="104"/>
              <w:ind w:firstLine="480"/>
              <w:rPr>
                <w:rFonts w:hint="default" w:ascii="Times New Roman" w:hAnsi="Times New Roman" w:cs="Times New Roman"/>
                <w:szCs w:val="24"/>
              </w:rPr>
            </w:pPr>
            <w:r>
              <w:rPr>
                <w:rFonts w:hint="default" w:ascii="Times New Roman" w:hAnsi="Times New Roman" w:cs="Times New Roman"/>
              </w:rPr>
              <w:t>根据《环境影响评价技术导则 地表水环境》（HJ2.3-2018）附录D，水环境质量评价方法如下：</w:t>
            </w:r>
          </w:p>
          <w:p>
            <w:pPr>
              <w:pStyle w:val="104"/>
              <w:ind w:firstLine="480"/>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b/>
                <w:bCs/>
              </w:rPr>
              <w:t>一般水质因子</w:t>
            </w:r>
            <w:r>
              <w:rPr>
                <w:rFonts w:hint="default" w:ascii="Times New Roman" w:hAnsi="Times New Roman" w:cs="Times New Roman"/>
              </w:rPr>
              <w:t>（随着浓度增加而水质变差的水质因子）的指数计算公式：</w:t>
            </w:r>
          </w:p>
          <w:p>
            <w:pPr>
              <w:pStyle w:val="18"/>
              <w:widowControl w:val="0"/>
              <w:jc w:val="center"/>
              <w:rPr>
                <w:rFonts w:hint="default" w:ascii="Times New Roman" w:hAnsi="Times New Roman" w:cs="Times New Roman"/>
              </w:rPr>
            </w:pPr>
            <w:r>
              <w:rPr>
                <w:rFonts w:hint="default" w:ascii="Times New Roman" w:hAnsi="Times New Roman" w:cs="Times New Roman"/>
                <w:kern w:val="2"/>
                <w:sz w:val="21"/>
                <w:szCs w:val="24"/>
              </w:rPr>
              <w:object>
                <v:shape id="_x0000_i1030" o:spt="75" type="#_x0000_t75" style="height:22.5pt;width:72.7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p>
          <w:p>
            <w:pPr>
              <w:pStyle w:val="104"/>
              <w:ind w:firstLine="480"/>
              <w:rPr>
                <w:rFonts w:hint="default" w:ascii="Times New Roman" w:hAnsi="Times New Roman" w:cs="Times New Roman"/>
              </w:rPr>
            </w:pPr>
            <w:r>
              <w:rPr>
                <w:rFonts w:hint="default" w:ascii="Times New Roman" w:hAnsi="Times New Roman" w:cs="Times New Roman"/>
              </w:rPr>
              <w:t>式中：</w:t>
            </w:r>
          </w:p>
          <w:p>
            <w:pPr>
              <w:pStyle w:val="104"/>
              <w:ind w:firstLine="480"/>
              <w:rPr>
                <w:rFonts w:hint="default" w:ascii="Times New Roman" w:hAnsi="Times New Roman" w:cs="Times New Roman"/>
              </w:rPr>
            </w:pPr>
            <w:r>
              <w:rPr>
                <w:rFonts w:hint="default" w:ascii="Times New Roman" w:hAnsi="Times New Roman" w:cs="Times New Roman"/>
              </w:rPr>
              <w:t>S</w:t>
            </w:r>
            <w:r>
              <w:rPr>
                <w:rFonts w:hint="default" w:ascii="Times New Roman" w:hAnsi="Times New Roman" w:cs="Times New Roman"/>
                <w:vertAlign w:val="subscript"/>
              </w:rPr>
              <w:t>i,j</w:t>
            </w:r>
            <w:r>
              <w:rPr>
                <w:rFonts w:hint="default" w:ascii="Times New Roman" w:hAnsi="Times New Roman" w:cs="Times New Roman"/>
              </w:rPr>
              <w:t>—评价因子i的水质指数，大于1表明该水质因子超标；</w:t>
            </w:r>
          </w:p>
          <w:p>
            <w:pPr>
              <w:pStyle w:val="104"/>
              <w:ind w:firstLine="480"/>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vertAlign w:val="subscript"/>
              </w:rPr>
              <w:t>i，j</w:t>
            </w:r>
            <w:r>
              <w:rPr>
                <w:rFonts w:hint="default" w:ascii="Times New Roman" w:hAnsi="Times New Roman" w:cs="Times New Roman"/>
              </w:rPr>
              <w:t>—评价因子i在j点的实测统计代表值，mg/L；</w:t>
            </w:r>
          </w:p>
          <w:p>
            <w:pPr>
              <w:pStyle w:val="104"/>
              <w:ind w:firstLine="480"/>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vertAlign w:val="subscript"/>
              </w:rPr>
              <w:t>si</w:t>
            </w:r>
            <w:r>
              <w:rPr>
                <w:rFonts w:hint="default" w:ascii="Times New Roman" w:hAnsi="Times New Roman" w:cs="Times New Roman"/>
              </w:rPr>
              <w:t>—评价因子i的水质评价标准限值，mg/L。</w:t>
            </w:r>
          </w:p>
          <w:p>
            <w:pPr>
              <w:pStyle w:val="104"/>
              <w:ind w:firstLine="482"/>
              <w:rPr>
                <w:rFonts w:hint="default" w:ascii="Times New Roman" w:hAnsi="Times New Roman" w:cs="Times New Roman"/>
              </w:rPr>
            </w:pPr>
            <w:r>
              <w:rPr>
                <w:rFonts w:hint="default" w:ascii="Times New Roman" w:hAnsi="Times New Roman" w:cs="Times New Roman"/>
                <w:b/>
                <w:bCs/>
              </w:rPr>
              <w:t>B、溶解氧（DO）</w:t>
            </w:r>
            <w:r>
              <w:rPr>
                <w:rFonts w:hint="default" w:ascii="Times New Roman" w:hAnsi="Times New Roman" w:cs="Times New Roman"/>
              </w:rPr>
              <w:t>的标准指数计算公式：</w:t>
            </w:r>
          </w:p>
          <w:p>
            <w:pPr>
              <w:pStyle w:val="18"/>
              <w:widowControl w:val="0"/>
              <w:jc w:val="center"/>
              <w:rPr>
                <w:rFonts w:hint="default" w:ascii="Times New Roman" w:hAnsi="Times New Roman" w:cs="Times New Roman"/>
              </w:rPr>
            </w:pPr>
            <w:r>
              <w:rPr>
                <w:rFonts w:hint="default" w:ascii="Times New Roman" w:hAnsi="Times New Roman" w:cs="Times New Roman"/>
                <w:kern w:val="2"/>
                <w:position w:val="-14"/>
                <w:sz w:val="21"/>
                <w:szCs w:val="24"/>
              </w:rPr>
              <w:object>
                <v:shape id="_x0000_i1031" o:spt="75" type="#_x0000_t75" style="height:15.75pt;width:87.7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rFonts w:hint="default" w:ascii="Times New Roman" w:hAnsi="Times New Roman" w:cs="Times New Roman"/>
              </w:rPr>
              <w:t xml:space="preserve">     DO</w:t>
            </w:r>
            <w:r>
              <w:rPr>
                <w:rFonts w:hint="default" w:ascii="Times New Roman" w:hAnsi="Times New Roman" w:cs="Times New Roman"/>
                <w:vertAlign w:val="subscript"/>
              </w:rPr>
              <w:t>j</w:t>
            </w:r>
            <w:r>
              <w:rPr>
                <w:rFonts w:hint="default" w:ascii="Times New Roman" w:hAnsi="Times New Roman" w:cs="Times New Roman"/>
              </w:rPr>
              <w:t>≤DO</w:t>
            </w:r>
            <w:r>
              <w:rPr>
                <w:rFonts w:hint="default" w:ascii="Times New Roman" w:hAnsi="Times New Roman" w:cs="Times New Roman"/>
                <w:vertAlign w:val="subscript"/>
              </w:rPr>
              <w:t>f</w:t>
            </w:r>
          </w:p>
          <w:p>
            <w:pPr>
              <w:pStyle w:val="18"/>
              <w:widowControl w:val="0"/>
              <w:jc w:val="center"/>
            </w:pPr>
            <w:r>
              <w:rPr>
                <w:kern w:val="2"/>
                <w:sz w:val="21"/>
                <w:szCs w:val="24"/>
              </w:rPr>
              <w:object>
                <v:shape id="_x0000_i1032" o:spt="75" type="#_x0000_t75" style="height:33pt;width:102pt;" o:ole="t" fillcolor="#000005" filled="f" o:preferrelative="t" stroked="f" coordsize="21600,21600">
                  <v:path/>
                  <v:fill on="f" focussize="0,0"/>
                  <v:stroke on="f" joinstyle="miter"/>
                  <v:imagedata r:id="rId32" o:title=""/>
                  <o:lock v:ext="edit" aspectratio="t"/>
                  <w10:wrap type="none"/>
                  <w10:anchorlock/>
                </v:shape>
                <o:OLEObject Type="Embed" ProgID="Equation.3" ShapeID="_x0000_i1032" DrawAspect="Content" ObjectID="_1468075732" r:id="rId31">
                  <o:LockedField>false</o:LockedField>
                </o:OLEObject>
              </w:object>
            </w:r>
            <w:r>
              <w:t xml:space="preserve">   DO</w:t>
            </w:r>
            <w:r>
              <w:rPr>
                <w:vertAlign w:val="subscript"/>
              </w:rPr>
              <w:t>j</w:t>
            </w:r>
            <w:r>
              <w:rPr>
                <w:rFonts w:hint="eastAsia"/>
              </w:rPr>
              <w:t>＞</w:t>
            </w:r>
            <w:r>
              <w:t>DO</w:t>
            </w:r>
            <w:r>
              <w:rPr>
                <w:vertAlign w:val="subscript"/>
              </w:rPr>
              <w:t>f</w:t>
            </w:r>
          </w:p>
          <w:p>
            <w:pPr>
              <w:pStyle w:val="104"/>
              <w:ind w:firstLine="480"/>
            </w:pPr>
            <w:r>
              <w:rPr>
                <w:rFonts w:hint="eastAsia"/>
              </w:rPr>
              <w:t>式中：</w:t>
            </w:r>
            <w:r>
              <w:t>S</w:t>
            </w:r>
            <w:r>
              <w:rPr>
                <w:vertAlign w:val="subscript"/>
              </w:rPr>
              <w:t>DO,j</w:t>
            </w:r>
            <w:r>
              <w:t>——</w:t>
            </w:r>
            <w:r>
              <w:rPr>
                <w:rFonts w:hint="eastAsia"/>
              </w:rPr>
              <w:t>溶解氧的标准指数，大于</w:t>
            </w:r>
            <w:r>
              <w:t>1</w:t>
            </w:r>
            <w:r>
              <w:rPr>
                <w:rFonts w:hint="eastAsia"/>
              </w:rPr>
              <w:t>表明该水质因子超标；</w:t>
            </w:r>
          </w:p>
          <w:p>
            <w:pPr>
              <w:pStyle w:val="104"/>
              <w:ind w:firstLine="480"/>
            </w:pPr>
            <w:r>
              <w:t>DO</w:t>
            </w:r>
            <w:r>
              <w:rPr>
                <w:vertAlign w:val="subscript"/>
              </w:rPr>
              <w:t>j</w:t>
            </w:r>
            <w:r>
              <w:t>——</w:t>
            </w:r>
            <w:r>
              <w:rPr>
                <w:rFonts w:hint="eastAsia"/>
              </w:rPr>
              <w:t>溶解氧在</w:t>
            </w:r>
            <w:r>
              <w:t>j</w:t>
            </w:r>
            <w:r>
              <w:rPr>
                <w:rFonts w:hint="eastAsia"/>
              </w:rPr>
              <w:t>点的实测统计代表值，</w:t>
            </w:r>
            <w:r>
              <w:t>mg/L</w:t>
            </w:r>
            <w:r>
              <w:rPr>
                <w:rFonts w:hint="eastAsia"/>
              </w:rPr>
              <w:t>；</w:t>
            </w:r>
          </w:p>
          <w:p>
            <w:pPr>
              <w:pStyle w:val="104"/>
              <w:ind w:firstLine="480"/>
            </w:pPr>
            <w:r>
              <w:t>DO</w:t>
            </w:r>
            <w:r>
              <w:rPr>
                <w:vertAlign w:val="subscript"/>
              </w:rPr>
              <w:t>s</w:t>
            </w:r>
            <w:r>
              <w:t>——</w:t>
            </w:r>
            <w:r>
              <w:rPr>
                <w:rFonts w:hint="eastAsia"/>
              </w:rPr>
              <w:t>溶解氧的水质评价标准限值，</w:t>
            </w:r>
            <w:r>
              <w:t>mg/L</w:t>
            </w:r>
            <w:r>
              <w:rPr>
                <w:rFonts w:hint="eastAsia"/>
              </w:rPr>
              <w:t>；</w:t>
            </w:r>
          </w:p>
          <w:p>
            <w:pPr>
              <w:pStyle w:val="104"/>
              <w:ind w:firstLine="480"/>
            </w:pPr>
            <w:r>
              <w:t>DO</w:t>
            </w:r>
            <w:r>
              <w:rPr>
                <w:vertAlign w:val="subscript"/>
              </w:rPr>
              <w:t>f</w:t>
            </w:r>
            <w:r>
              <w:t>——</w:t>
            </w:r>
            <w:r>
              <w:rPr>
                <w:rFonts w:hint="eastAsia"/>
              </w:rPr>
              <w:t>饱和溶解氧浓度，</w:t>
            </w:r>
            <w:r>
              <w:t>mg/L</w:t>
            </w:r>
            <w:r>
              <w:rPr>
                <w:rFonts w:hint="eastAsia"/>
              </w:rPr>
              <w:t>，对于河流，</w:t>
            </w:r>
            <w:r>
              <w:rPr>
                <w:rFonts w:ascii="Times New Roman" w:hAnsi="Times New Roman"/>
                <w:position w:val="-28"/>
                <w:szCs w:val="24"/>
              </w:rPr>
              <w:object>
                <v:shape id="_x0000_i1033" o:spt="75" type="#_x0000_t75" style="height:34.5pt;width:87.75pt;" o:ole="t" filled="f" o:preferrelative="t" stroked="f" coordsize="21600,21600">
                  <v:path/>
                  <v:fill on="f" focussize="0,0"/>
                  <v:stroke on="f" joinstyle="miter"/>
                  <v:imagedata r:id="rId34" o:title=""/>
                  <o:lock v:ext="edit" aspectratio="t"/>
                  <w10:wrap type="none"/>
                  <w10:anchorlock/>
                </v:shape>
                <o:OLEObject Type="Embed" ProgID="Equation.3" ShapeID="_x0000_i1033" DrawAspect="Content" ObjectID="_1468075733" r:id="rId33">
                  <o:LockedField>false</o:LockedField>
                </o:OLEObject>
              </w:object>
            </w:r>
          </w:p>
          <w:p>
            <w:pPr>
              <w:pStyle w:val="104"/>
              <w:ind w:firstLine="482"/>
              <w:rPr>
                <w:rFonts w:hint="default" w:ascii="Times New Roman" w:hAnsi="Times New Roman" w:cs="Times New Roman"/>
                <w:szCs w:val="24"/>
              </w:rPr>
            </w:pPr>
            <w:r>
              <w:rPr>
                <w:rFonts w:hint="default" w:ascii="Times New Roman" w:hAnsi="Times New Roman" w:cs="Times New Roman"/>
                <w:b/>
                <w:bCs/>
              </w:rPr>
              <w:t>C、pH值</w:t>
            </w:r>
            <w:r>
              <w:rPr>
                <w:rFonts w:hint="default" w:ascii="Times New Roman" w:hAnsi="Times New Roman" w:cs="Times New Roman"/>
              </w:rPr>
              <w:t>的指数计算公式</w:t>
            </w:r>
          </w:p>
          <w:p>
            <w:pPr>
              <w:pStyle w:val="18"/>
              <w:widowControl w:val="0"/>
              <w:jc w:val="center"/>
              <w:rPr>
                <w:rFonts w:hint="default" w:ascii="Times New Roman" w:hAnsi="Times New Roman" w:cs="Times New Roman"/>
              </w:rPr>
            </w:pPr>
            <w:r>
              <w:rPr>
                <w:rFonts w:hint="default" w:ascii="Times New Roman" w:hAnsi="Times New Roman" w:cs="Times New Roman"/>
                <w:kern w:val="2"/>
                <w:sz w:val="21"/>
                <w:szCs w:val="24"/>
              </w:rPr>
              <w:object>
                <v:shape id="_x0000_i1034" o:spt="75" type="#_x0000_t75" style="height:39pt;width:87.75pt;" o:ole="t" filled="f" o:preferrelative="t" stroked="f" coordsize="21600,21600">
                  <v:path/>
                  <v:fill on="f" focussize="0,0"/>
                  <v:stroke on="f" joinstyle="miter"/>
                  <v:imagedata r:id="rId36" o:title=""/>
                  <o:lock v:ext="edit" aspectratio="t"/>
                  <w10:wrap type="none"/>
                  <w10:anchorlock/>
                </v:shape>
                <o:OLEObject Type="Embed" ProgID="Equation.3" ShapeID="_x0000_i1034" DrawAspect="Content" ObjectID="_1468075734" r:id="rId35">
                  <o:LockedField>false</o:LockedField>
                </o:OLEObject>
              </w:object>
            </w:r>
            <w:r>
              <w:rPr>
                <w:rFonts w:hint="default" w:ascii="Times New Roman" w:hAnsi="Times New Roman" w:cs="Times New Roman"/>
              </w:rPr>
              <w:t xml:space="preserve">  </w:t>
            </w:r>
            <w:r>
              <w:rPr>
                <w:rFonts w:hint="default" w:ascii="Times New Roman" w:hAnsi="Times New Roman" w:cs="Times New Roman"/>
                <w:kern w:val="2"/>
                <w:position w:val="-14"/>
                <w:sz w:val="21"/>
                <w:szCs w:val="24"/>
              </w:rPr>
              <w:object>
                <v:shape id="_x0000_i1035" o:spt="75" type="#_x0000_t75" style="height:15.75pt;width:50.25pt;" o:ole="t" filled="f" o:preferrelative="t" stroked="f" coordsize="21600,21600">
                  <v:path/>
                  <v:fill on="f" focussize="0,0"/>
                  <v:stroke on="f" joinstyle="miter"/>
                  <v:imagedata r:id="rId38" o:title=""/>
                  <o:lock v:ext="edit" aspectratio="t"/>
                  <w10:wrap type="none"/>
                  <w10:anchorlock/>
                </v:shape>
                <o:OLEObject Type="Embed" ProgID="Equation.3" ShapeID="_x0000_i1035" DrawAspect="Content" ObjectID="_1468075735" r:id="rId37">
                  <o:LockedField>false</o:LockedField>
                </o:OLEObject>
              </w:object>
            </w:r>
          </w:p>
          <w:p>
            <w:pPr>
              <w:pStyle w:val="18"/>
              <w:widowControl w:val="0"/>
              <w:jc w:val="center"/>
              <w:rPr>
                <w:rFonts w:hint="default" w:ascii="Times New Roman" w:hAnsi="Times New Roman" w:cs="Times New Roman"/>
              </w:rPr>
            </w:pPr>
            <w:r>
              <w:rPr>
                <w:rFonts w:hint="default" w:ascii="Times New Roman" w:hAnsi="Times New Roman" w:cs="Times New Roman"/>
                <w:kern w:val="2"/>
                <w:sz w:val="21"/>
                <w:szCs w:val="24"/>
              </w:rPr>
              <w:object>
                <v:shape id="_x0000_i1036" o:spt="75" type="#_x0000_t75" style="height:39pt;width:87.75pt;" o:ole="t" filled="f" o:preferrelative="t" stroked="f" coordsize="21600,21600">
                  <v:path/>
                  <v:fill on="f" focussize="0,0"/>
                  <v:stroke on="f" joinstyle="miter"/>
                  <v:imagedata r:id="rId40" o:title=""/>
                  <o:lock v:ext="edit" aspectratio="t"/>
                  <w10:wrap type="none"/>
                  <w10:anchorlock/>
                </v:shape>
                <o:OLEObject Type="Embed" ProgID="Equation.3" ShapeID="_x0000_i1036" DrawAspect="Content" ObjectID="_1468075736" r:id="rId39">
                  <o:LockedField>false</o:LockedField>
                </o:OLEObject>
              </w:object>
            </w:r>
            <w:r>
              <w:rPr>
                <w:rFonts w:hint="default" w:ascii="Times New Roman" w:hAnsi="Times New Roman" w:cs="Times New Roman"/>
              </w:rPr>
              <w:t xml:space="preserve">  </w:t>
            </w:r>
            <w:r>
              <w:rPr>
                <w:rFonts w:hint="default" w:ascii="Times New Roman" w:hAnsi="Times New Roman" w:cs="Times New Roman"/>
                <w:kern w:val="2"/>
                <w:sz w:val="21"/>
                <w:szCs w:val="24"/>
              </w:rPr>
              <w:object>
                <v:shape id="_x0000_i1037" o:spt="75" type="#_x0000_t75" style="height:15.75pt;width:42pt;" o:ole="t" filled="f" o:preferrelative="t" stroked="f" coordsize="21600,21600">
                  <v:path/>
                  <v:fill on="f" focussize="0,0"/>
                  <v:stroke on="f" joinstyle="miter"/>
                  <v:imagedata r:id="rId42" o:title=""/>
                  <o:lock v:ext="edit" aspectratio="t"/>
                  <w10:wrap type="none"/>
                  <w10:anchorlock/>
                </v:shape>
                <o:OLEObject Type="Embed" ProgID="Equation.3" ShapeID="_x0000_i1037" DrawAspect="Content" ObjectID="_1468075737" r:id="rId41">
                  <o:LockedField>false</o:LockedField>
                </o:OLEObject>
              </w:object>
            </w:r>
          </w:p>
          <w:p>
            <w:pPr>
              <w:pStyle w:val="104"/>
              <w:ind w:firstLine="480"/>
            </w:pPr>
            <w:r>
              <w:rPr>
                <w:rFonts w:hint="eastAsia"/>
              </w:rPr>
              <w:t>式中：</w:t>
            </w:r>
          </w:p>
          <w:p>
            <w:pPr>
              <w:pStyle w:val="104"/>
              <w:ind w:firstLine="480"/>
            </w:pPr>
            <w:r>
              <w:rPr>
                <w:rFonts w:ascii="Times New Roman" w:hAnsi="Times New Roman"/>
                <w:szCs w:val="24"/>
              </w:rPr>
              <w:object>
                <v:shape id="_x0000_i1038" o:spt="75" type="#_x0000_t75" style="height:22.5pt;width:33pt;" o:ole="t" filled="f" o:preferrelative="t" stroked="f" coordsize="21600,21600">
                  <v:path/>
                  <v:fill on="f" focussize="0,0"/>
                  <v:stroke on="f" joinstyle="miter"/>
                  <v:imagedata r:id="rId44" o:title=""/>
                  <o:lock v:ext="edit" aspectratio="t"/>
                  <w10:wrap type="none"/>
                  <w10:anchorlock/>
                </v:shape>
                <o:OLEObject Type="Embed" ProgID="Equation.3" ShapeID="_x0000_i1038" DrawAspect="Content" ObjectID="_1468075738" r:id="rId43">
                  <o:LockedField>false</o:LockedField>
                </o:OLEObject>
              </w:object>
            </w:r>
            <w:r>
              <w:t>—pH</w:t>
            </w:r>
            <w:r>
              <w:rPr>
                <w:rFonts w:hint="eastAsia"/>
              </w:rPr>
              <w:t>值的指数，大于</w:t>
            </w:r>
            <w:r>
              <w:t>1</w:t>
            </w:r>
            <w:r>
              <w:rPr>
                <w:rFonts w:hint="eastAsia"/>
              </w:rPr>
              <w:t>表明该水质因子超标；</w:t>
            </w:r>
          </w:p>
          <w:p>
            <w:pPr>
              <w:pStyle w:val="104"/>
              <w:ind w:firstLine="480"/>
            </w:pPr>
            <w:r>
              <w:rPr>
                <w:position w:val="-6"/>
              </w:rPr>
              <w:t>pH</w:t>
            </w:r>
            <w:r>
              <w:rPr>
                <w:position w:val="-6"/>
                <w:vertAlign w:val="subscript"/>
              </w:rPr>
              <w:t>j</w:t>
            </w:r>
            <w:r>
              <w:t>—pH</w:t>
            </w:r>
            <w:r>
              <w:rPr>
                <w:rFonts w:hint="eastAsia"/>
              </w:rPr>
              <w:t>值的实测统计代表值；</w:t>
            </w:r>
          </w:p>
          <w:p>
            <w:pPr>
              <w:pStyle w:val="104"/>
              <w:ind w:firstLine="480"/>
            </w:pPr>
            <w:r>
              <w:t>pH</w:t>
            </w:r>
            <w:r>
              <w:rPr>
                <w:vertAlign w:val="subscript"/>
              </w:rPr>
              <w:t>sd</w:t>
            </w:r>
            <w:r>
              <w:t>—</w:t>
            </w:r>
            <w:r>
              <w:rPr>
                <w:rFonts w:hint="eastAsia"/>
              </w:rPr>
              <w:t>评价标准中</w:t>
            </w:r>
            <w:r>
              <w:t>PH</w:t>
            </w:r>
            <w:r>
              <w:rPr>
                <w:rFonts w:hint="eastAsia"/>
              </w:rPr>
              <w:t>值的下限值；</w:t>
            </w:r>
          </w:p>
          <w:p>
            <w:pPr>
              <w:pStyle w:val="104"/>
              <w:ind w:firstLine="480"/>
            </w:pPr>
            <w:r>
              <w:t>pH</w:t>
            </w:r>
            <w:r>
              <w:rPr>
                <w:vertAlign w:val="subscript"/>
              </w:rPr>
              <w:t>su</w:t>
            </w:r>
            <w:r>
              <w:t>—</w:t>
            </w:r>
            <w:r>
              <w:rPr>
                <w:rFonts w:hint="eastAsia"/>
              </w:rPr>
              <w:t>评价标准中</w:t>
            </w:r>
            <w:r>
              <w:t>PH</w:t>
            </w:r>
            <w:r>
              <w:rPr>
                <w:rFonts w:hint="eastAsia"/>
              </w:rPr>
              <w:t>值的上限值。</w:t>
            </w:r>
          </w:p>
          <w:p>
            <w:pPr>
              <w:pStyle w:val="104"/>
              <w:ind w:firstLine="480"/>
            </w:pPr>
            <w:r>
              <w:rPr>
                <w:rFonts w:hint="eastAsia"/>
              </w:rPr>
              <w:t>评价标准为《地表水环境质量标准》（</w:t>
            </w:r>
            <w:r>
              <w:t>GB3838-2002</w:t>
            </w:r>
            <w:r>
              <w:rPr>
                <w:rFonts w:hint="eastAsia"/>
              </w:rPr>
              <w:t>）中</w:t>
            </w:r>
            <w:r>
              <w:rPr>
                <w:rFonts w:hint="eastAsia" w:ascii="宋体" w:hAnsi="宋体" w:cs="宋体"/>
              </w:rPr>
              <w:t>Ⅲ</w:t>
            </w:r>
            <w:r>
              <w:rPr>
                <w:rFonts w:hint="eastAsia"/>
              </w:rPr>
              <w:t>类水质标准。</w:t>
            </w:r>
          </w:p>
          <w:p>
            <w:pPr>
              <w:pStyle w:val="18"/>
              <w:widowControl w:val="0"/>
            </w:pPr>
          </w:p>
          <w:p>
            <w:pPr>
              <w:widowControl w:val="0"/>
              <w:jc w:val="both"/>
            </w:pPr>
          </w:p>
          <w:p>
            <w:pPr>
              <w:pStyle w:val="18"/>
              <w:widowControl w:val="0"/>
            </w:pPr>
          </w:p>
          <w:p>
            <w:pPr>
              <w:widowControl w:val="0"/>
              <w:jc w:val="both"/>
            </w:pPr>
          </w:p>
        </w:tc>
      </w:tr>
    </w:tbl>
    <w:p>
      <w:pPr>
        <w:pStyle w:val="40"/>
        <w:outlineLvl w:val="0"/>
        <w:rPr>
          <w:rFonts w:ascii="黑体" w:hAnsi="黑体" w:eastAsia="黑体"/>
          <w:snapToGrid w:val="0"/>
          <w:sz w:val="30"/>
          <w:szCs w:val="30"/>
          <w:lang w:val="zh-CN"/>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type="lines" w:linePitch="326" w:charSpace="0"/>
        </w:sectPr>
      </w:pP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4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452" w:type="dxa"/>
          </w:tcPr>
          <w:p>
            <w:pPr>
              <w:pStyle w:val="40"/>
              <w:widowControl w:val="0"/>
              <w:jc w:val="both"/>
              <w:outlineLvl w:val="0"/>
              <w:rPr>
                <w:rFonts w:ascii="黑体" w:hAnsi="黑体" w:eastAsia="黑体"/>
                <w:snapToGrid w:val="0"/>
                <w:sz w:val="30"/>
                <w:szCs w:val="30"/>
                <w:lang w:val="zh-CN"/>
              </w:rPr>
            </w:pPr>
          </w:p>
        </w:tc>
        <w:tc>
          <w:tcPr>
            <w:tcW w:w="8382" w:type="dxa"/>
          </w:tcPr>
          <w:p>
            <w:pPr>
              <w:pStyle w:val="240"/>
              <w:ind w:firstLine="482"/>
            </w:pPr>
            <w:r>
              <w:rPr>
                <w:rFonts w:hint="eastAsia"/>
              </w:rPr>
              <w:t>（6）现状评价结果</w:t>
            </w:r>
          </w:p>
          <w:p>
            <w:pPr>
              <w:pStyle w:val="104"/>
              <w:ind w:firstLine="480"/>
            </w:pPr>
            <w:r>
              <w:rPr>
                <w:rFonts w:hint="eastAsia"/>
              </w:rPr>
              <w:t>河补充监测评价结果见下表。</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地表水补充监测断面监测因子的水质指数Si统计表1</w:t>
            </w:r>
          </w:p>
          <w:tbl>
            <w:tblPr>
              <w:tblStyle w:val="130"/>
              <w:tblpPr w:leftFromText="180" w:rightFromText="180" w:vertAnchor="text" w:tblpXSpec="center" w:tblpY="1"/>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6"/>
              <w:gridCol w:w="1357"/>
              <w:gridCol w:w="880"/>
              <w:gridCol w:w="1227"/>
              <w:gridCol w:w="1227"/>
              <w:gridCol w:w="1233"/>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restar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检测点位</w:t>
                  </w:r>
                </w:p>
              </w:tc>
              <w:tc>
                <w:tcPr>
                  <w:tcW w:w="822" w:type="pct"/>
                  <w:vMerge w:val="restar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检测项目</w:t>
                  </w:r>
                </w:p>
              </w:tc>
              <w:tc>
                <w:tcPr>
                  <w:tcW w:w="533" w:type="pct"/>
                  <w:vMerge w:val="restar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单位</w:t>
                  </w:r>
                </w:p>
              </w:tc>
              <w:tc>
                <w:tcPr>
                  <w:tcW w:w="2233" w:type="pct"/>
                  <w:gridSpan w:val="3"/>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评价</w:t>
                  </w:r>
                  <w:r>
                    <w:rPr>
                      <w:rFonts w:ascii="Times New Roman" w:hAnsi="Times New Roman" w:eastAsia="宋体" w:cs="Times New Roman"/>
                      <w:b/>
                      <w:sz w:val="21"/>
                      <w:szCs w:val="21"/>
                    </w:rPr>
                    <w:t>结果</w:t>
                  </w:r>
                  <w:r>
                    <w:rPr>
                      <w:rFonts w:hint="eastAsia" w:ascii="Times New Roman" w:hAnsi="Times New Roman" w:eastAsia="宋体" w:cs="Times New Roman"/>
                      <w:b/>
                      <w:sz w:val="21"/>
                      <w:szCs w:val="21"/>
                    </w:rPr>
                    <w:t>Si</w:t>
                  </w:r>
                </w:p>
              </w:tc>
              <w:tc>
                <w:tcPr>
                  <w:tcW w:w="849" w:type="pct"/>
                  <w:vMerge w:val="restar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vAlign w:val="center"/>
                </w:tcPr>
                <w:p>
                  <w:pPr>
                    <w:spacing w:line="240" w:lineRule="auto"/>
                    <w:jc w:val="center"/>
                    <w:rPr>
                      <w:rFonts w:ascii="Times New Roman" w:hAnsi="Times New Roman" w:eastAsia="宋体" w:cs="Times New Roman"/>
                      <w:bCs/>
                      <w:sz w:val="21"/>
                      <w:szCs w:val="21"/>
                    </w:rPr>
                  </w:pPr>
                </w:p>
              </w:tc>
              <w:tc>
                <w:tcPr>
                  <w:tcW w:w="822" w:type="pct"/>
                  <w:vMerge w:val="continue"/>
                  <w:vAlign w:val="center"/>
                </w:tcPr>
                <w:p>
                  <w:pPr>
                    <w:spacing w:line="240" w:lineRule="auto"/>
                    <w:jc w:val="center"/>
                    <w:rPr>
                      <w:rFonts w:ascii="Times New Roman" w:hAnsi="Times New Roman" w:eastAsia="宋体" w:cs="Times New Roman"/>
                      <w:bCs/>
                      <w:sz w:val="21"/>
                      <w:szCs w:val="21"/>
                    </w:rPr>
                  </w:pPr>
                </w:p>
              </w:tc>
              <w:tc>
                <w:tcPr>
                  <w:tcW w:w="533" w:type="pct"/>
                  <w:vMerge w:val="continue"/>
                  <w:vAlign w:val="center"/>
                </w:tcPr>
                <w:p>
                  <w:pPr>
                    <w:spacing w:line="240" w:lineRule="auto"/>
                    <w:jc w:val="center"/>
                    <w:rPr>
                      <w:rFonts w:ascii="Times New Roman" w:hAnsi="Times New Roman" w:eastAsia="宋体" w:cs="Times New Roman"/>
                      <w:bCs/>
                      <w:sz w:val="21"/>
                      <w:szCs w:val="21"/>
                    </w:rPr>
                  </w:pPr>
                </w:p>
              </w:tc>
              <w:tc>
                <w:tcPr>
                  <w:tcW w:w="743" w:type="pct"/>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4</w:t>
                  </w:r>
                  <w:r>
                    <w:rPr>
                      <w:rFonts w:ascii="Times New Roman" w:hAnsi="Times New Roman" w:eastAsia="宋体" w:cs="Times New Roman"/>
                      <w:b/>
                      <w:sz w:val="21"/>
                      <w:szCs w:val="21"/>
                    </w:rPr>
                    <w:t>月8日</w:t>
                  </w:r>
                </w:p>
              </w:tc>
              <w:tc>
                <w:tcPr>
                  <w:tcW w:w="743" w:type="pct"/>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4</w:t>
                  </w:r>
                  <w:r>
                    <w:rPr>
                      <w:rFonts w:ascii="Times New Roman" w:hAnsi="Times New Roman" w:eastAsia="宋体" w:cs="Times New Roman"/>
                      <w:b/>
                      <w:sz w:val="21"/>
                      <w:szCs w:val="21"/>
                    </w:rPr>
                    <w:t>月</w:t>
                  </w:r>
                  <w:r>
                    <w:rPr>
                      <w:rFonts w:hint="eastAsia" w:ascii="Times New Roman" w:hAnsi="Times New Roman" w:eastAsia="宋体" w:cs="Times New Roman"/>
                      <w:b/>
                      <w:sz w:val="21"/>
                      <w:szCs w:val="21"/>
                    </w:rPr>
                    <w:t>9</w:t>
                  </w:r>
                  <w:r>
                    <w:rPr>
                      <w:rFonts w:ascii="Times New Roman" w:hAnsi="Times New Roman" w:eastAsia="宋体" w:cs="Times New Roman"/>
                      <w:b/>
                      <w:sz w:val="21"/>
                      <w:szCs w:val="21"/>
                    </w:rPr>
                    <w:t>日</w:t>
                  </w:r>
                </w:p>
              </w:tc>
              <w:tc>
                <w:tcPr>
                  <w:tcW w:w="746" w:type="pct"/>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4</w:t>
                  </w:r>
                  <w:r>
                    <w:rPr>
                      <w:rFonts w:ascii="Times New Roman" w:hAnsi="Times New Roman" w:eastAsia="宋体" w:cs="Times New Roman"/>
                      <w:b/>
                      <w:sz w:val="21"/>
                      <w:szCs w:val="21"/>
                    </w:rPr>
                    <w:t>月</w:t>
                  </w:r>
                  <w:r>
                    <w:rPr>
                      <w:rFonts w:hint="eastAsia" w:ascii="Times New Roman" w:hAnsi="Times New Roman" w:eastAsia="宋体" w:cs="Times New Roman"/>
                      <w:b/>
                      <w:sz w:val="21"/>
                      <w:szCs w:val="21"/>
                    </w:rPr>
                    <w:t>10</w:t>
                  </w:r>
                  <w:r>
                    <w:rPr>
                      <w:rFonts w:ascii="Times New Roman" w:hAnsi="Times New Roman" w:eastAsia="宋体" w:cs="Times New Roman"/>
                      <w:b/>
                      <w:sz w:val="21"/>
                      <w:szCs w:val="21"/>
                    </w:rPr>
                    <w:t>日</w:t>
                  </w:r>
                </w:p>
              </w:tc>
              <w:tc>
                <w:tcPr>
                  <w:tcW w:w="849" w:type="pct"/>
                  <w:vMerge w:val="continue"/>
                  <w:vAlign w:val="center"/>
                </w:tcPr>
                <w:p>
                  <w:pPr>
                    <w:spacing w:line="240" w:lineRule="auto"/>
                    <w:jc w:val="center"/>
                    <w:rPr>
                      <w:rFonts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restar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1#明月坝污水处理厂尾水排口下游1000m处</w:t>
                  </w:r>
                </w:p>
              </w:tc>
              <w:tc>
                <w:tcPr>
                  <w:tcW w:w="822"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pH</w:t>
                  </w:r>
                </w:p>
              </w:tc>
              <w:tc>
                <w:tcPr>
                  <w:tcW w:w="53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无量纲</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0.25 </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0.15 </w:t>
                  </w:r>
                </w:p>
              </w:tc>
              <w:tc>
                <w:tcPr>
                  <w:tcW w:w="74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0.10 </w:t>
                  </w:r>
                </w:p>
              </w:tc>
              <w:tc>
                <w:tcPr>
                  <w:tcW w:w="849"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vAlign w:val="center"/>
                </w:tcPr>
                <w:p>
                  <w:pPr>
                    <w:spacing w:line="240" w:lineRule="auto"/>
                    <w:jc w:val="center"/>
                    <w:rPr>
                      <w:rFonts w:ascii="Times New Roman" w:hAnsi="Times New Roman" w:eastAsia="宋体" w:cs="Times New Roman"/>
                      <w:bCs/>
                      <w:sz w:val="21"/>
                      <w:szCs w:val="21"/>
                    </w:rPr>
                  </w:pPr>
                </w:p>
              </w:tc>
              <w:tc>
                <w:tcPr>
                  <w:tcW w:w="822"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溶解氧</w:t>
                  </w:r>
                </w:p>
              </w:tc>
              <w:tc>
                <w:tcPr>
                  <w:tcW w:w="53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0.78 </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0.76 </w:t>
                  </w:r>
                </w:p>
              </w:tc>
              <w:tc>
                <w:tcPr>
                  <w:tcW w:w="74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0.79 </w:t>
                  </w:r>
                </w:p>
              </w:tc>
              <w:tc>
                <w:tcPr>
                  <w:tcW w:w="849"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vAlign w:val="center"/>
                </w:tcPr>
                <w:p>
                  <w:pPr>
                    <w:spacing w:line="240" w:lineRule="auto"/>
                    <w:jc w:val="center"/>
                    <w:rPr>
                      <w:rFonts w:ascii="Times New Roman" w:hAnsi="Times New Roman" w:eastAsia="宋体" w:cs="Times New Roman"/>
                      <w:bCs/>
                      <w:sz w:val="21"/>
                      <w:szCs w:val="21"/>
                    </w:rPr>
                  </w:pPr>
                </w:p>
              </w:tc>
              <w:tc>
                <w:tcPr>
                  <w:tcW w:w="82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化学需氧量</w:t>
                  </w:r>
                </w:p>
              </w:tc>
              <w:tc>
                <w:tcPr>
                  <w:tcW w:w="53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0.750 </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0.650 </w:t>
                  </w:r>
                </w:p>
              </w:tc>
              <w:tc>
                <w:tcPr>
                  <w:tcW w:w="74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0.800 </w:t>
                  </w:r>
                </w:p>
              </w:tc>
              <w:tc>
                <w:tcPr>
                  <w:tcW w:w="849"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vAlign w:val="center"/>
                </w:tcPr>
                <w:p>
                  <w:pPr>
                    <w:spacing w:line="240" w:lineRule="auto"/>
                    <w:jc w:val="center"/>
                    <w:rPr>
                      <w:rFonts w:ascii="Times New Roman" w:hAnsi="Times New Roman" w:eastAsia="宋体" w:cs="Times New Roman"/>
                      <w:bCs/>
                      <w:sz w:val="21"/>
                      <w:szCs w:val="21"/>
                    </w:rPr>
                  </w:pPr>
                </w:p>
              </w:tc>
              <w:tc>
                <w:tcPr>
                  <w:tcW w:w="822"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高锰酸盐指数</w:t>
                  </w:r>
                </w:p>
              </w:tc>
              <w:tc>
                <w:tcPr>
                  <w:tcW w:w="53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0.567 </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0.483 </w:t>
                  </w:r>
                </w:p>
              </w:tc>
              <w:tc>
                <w:tcPr>
                  <w:tcW w:w="74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0.533 </w:t>
                  </w:r>
                </w:p>
              </w:tc>
              <w:tc>
                <w:tcPr>
                  <w:tcW w:w="849"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vAlign w:val="center"/>
                </w:tcPr>
                <w:p>
                  <w:pPr>
                    <w:spacing w:line="240" w:lineRule="auto"/>
                    <w:jc w:val="center"/>
                    <w:rPr>
                      <w:rFonts w:ascii="Times New Roman" w:hAnsi="Times New Roman" w:eastAsia="宋体" w:cs="Times New Roman"/>
                      <w:bCs/>
                      <w:sz w:val="21"/>
                      <w:szCs w:val="21"/>
                    </w:rPr>
                  </w:pPr>
                </w:p>
              </w:tc>
              <w:tc>
                <w:tcPr>
                  <w:tcW w:w="822"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五日生化需氧量</w:t>
                  </w:r>
                </w:p>
              </w:tc>
              <w:tc>
                <w:tcPr>
                  <w:tcW w:w="53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0.850 </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0.875 </w:t>
                  </w:r>
                </w:p>
              </w:tc>
              <w:tc>
                <w:tcPr>
                  <w:tcW w:w="74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0.925 </w:t>
                  </w:r>
                </w:p>
              </w:tc>
              <w:tc>
                <w:tcPr>
                  <w:tcW w:w="849"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vAlign w:val="center"/>
                </w:tcPr>
                <w:p>
                  <w:pPr>
                    <w:spacing w:line="240" w:lineRule="auto"/>
                    <w:jc w:val="center"/>
                    <w:rPr>
                      <w:rFonts w:ascii="Times New Roman" w:hAnsi="Times New Roman" w:eastAsia="宋体" w:cs="Times New Roman"/>
                      <w:bCs/>
                      <w:sz w:val="21"/>
                      <w:szCs w:val="21"/>
                    </w:rPr>
                  </w:pPr>
                </w:p>
              </w:tc>
              <w:tc>
                <w:tcPr>
                  <w:tcW w:w="82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氨氮</w:t>
                  </w:r>
                </w:p>
              </w:tc>
              <w:tc>
                <w:tcPr>
                  <w:tcW w:w="53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0.394 </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0.358 </w:t>
                  </w:r>
                </w:p>
              </w:tc>
              <w:tc>
                <w:tcPr>
                  <w:tcW w:w="74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0.414 </w:t>
                  </w:r>
                </w:p>
              </w:tc>
              <w:tc>
                <w:tcPr>
                  <w:tcW w:w="849"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vAlign w:val="center"/>
                </w:tcPr>
                <w:p>
                  <w:pPr>
                    <w:spacing w:line="240" w:lineRule="auto"/>
                    <w:jc w:val="center"/>
                    <w:rPr>
                      <w:rFonts w:ascii="Times New Roman" w:hAnsi="Times New Roman" w:eastAsia="宋体" w:cs="Times New Roman"/>
                      <w:bCs/>
                      <w:sz w:val="21"/>
                      <w:szCs w:val="21"/>
                    </w:rPr>
                  </w:pPr>
                </w:p>
              </w:tc>
              <w:tc>
                <w:tcPr>
                  <w:tcW w:w="822"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总磷</w:t>
                  </w:r>
                </w:p>
              </w:tc>
              <w:tc>
                <w:tcPr>
                  <w:tcW w:w="53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0.300 </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0.300 </w:t>
                  </w:r>
                </w:p>
              </w:tc>
              <w:tc>
                <w:tcPr>
                  <w:tcW w:w="74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0.250 </w:t>
                  </w:r>
                </w:p>
              </w:tc>
              <w:tc>
                <w:tcPr>
                  <w:tcW w:w="849"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vAlign w:val="center"/>
                </w:tcPr>
                <w:p>
                  <w:pPr>
                    <w:spacing w:line="240" w:lineRule="auto"/>
                    <w:jc w:val="center"/>
                    <w:rPr>
                      <w:rFonts w:ascii="Times New Roman" w:hAnsi="Times New Roman" w:eastAsia="宋体" w:cs="Times New Roman"/>
                      <w:bCs/>
                      <w:sz w:val="21"/>
                      <w:szCs w:val="21"/>
                    </w:rPr>
                  </w:pPr>
                </w:p>
              </w:tc>
              <w:tc>
                <w:tcPr>
                  <w:tcW w:w="822"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石油类</w:t>
                  </w:r>
                </w:p>
              </w:tc>
              <w:tc>
                <w:tcPr>
                  <w:tcW w:w="53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0.400 </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0.200 </w:t>
                  </w:r>
                </w:p>
              </w:tc>
              <w:tc>
                <w:tcPr>
                  <w:tcW w:w="74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0.400 </w:t>
                  </w:r>
                </w:p>
              </w:tc>
              <w:tc>
                <w:tcPr>
                  <w:tcW w:w="849"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vAlign w:val="center"/>
                </w:tcPr>
                <w:p>
                  <w:pPr>
                    <w:spacing w:line="240" w:lineRule="auto"/>
                    <w:jc w:val="center"/>
                    <w:rPr>
                      <w:rFonts w:ascii="Times New Roman" w:hAnsi="Times New Roman" w:eastAsia="宋体" w:cs="Times New Roman"/>
                      <w:bCs/>
                      <w:sz w:val="21"/>
                      <w:szCs w:val="21"/>
                    </w:rPr>
                  </w:pPr>
                </w:p>
              </w:tc>
              <w:tc>
                <w:tcPr>
                  <w:tcW w:w="82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氟化物（氟离子）</w:t>
                  </w:r>
                </w:p>
              </w:tc>
              <w:tc>
                <w:tcPr>
                  <w:tcW w:w="53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0.059 </w:t>
                  </w:r>
                </w:p>
              </w:tc>
              <w:tc>
                <w:tcPr>
                  <w:tcW w:w="74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0.196 </w:t>
                  </w:r>
                </w:p>
              </w:tc>
              <w:tc>
                <w:tcPr>
                  <w:tcW w:w="746"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0.075 </w:t>
                  </w:r>
                </w:p>
              </w:tc>
              <w:tc>
                <w:tcPr>
                  <w:tcW w:w="849"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61" w:type="pct"/>
                  <w:vMerge w:val="continue"/>
                  <w:vAlign w:val="center"/>
                </w:tcPr>
                <w:p>
                  <w:pPr>
                    <w:spacing w:line="240" w:lineRule="auto"/>
                    <w:jc w:val="center"/>
                    <w:rPr>
                      <w:rFonts w:ascii="Times New Roman" w:hAnsi="Times New Roman" w:eastAsia="宋体" w:cs="Times New Roman"/>
                      <w:bCs/>
                      <w:sz w:val="21"/>
                      <w:szCs w:val="21"/>
                    </w:rPr>
                  </w:pPr>
                </w:p>
              </w:tc>
              <w:tc>
                <w:tcPr>
                  <w:tcW w:w="822"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粪大肠菌群</w:t>
                  </w:r>
                </w:p>
              </w:tc>
              <w:tc>
                <w:tcPr>
                  <w:tcW w:w="533"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MPN/L</w:t>
                  </w:r>
                </w:p>
              </w:tc>
              <w:tc>
                <w:tcPr>
                  <w:tcW w:w="743"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w:t>
                  </w:r>
                  <w:r>
                    <w:rPr>
                      <w:rFonts w:ascii="Times New Roman" w:hAnsi="Times New Roman" w:eastAsia="宋体" w:cs="Times New Roman"/>
                      <w:bCs/>
                      <w:sz w:val="21"/>
                      <w:szCs w:val="21"/>
                    </w:rPr>
                    <w:t>.400</w:t>
                  </w:r>
                </w:p>
              </w:tc>
              <w:tc>
                <w:tcPr>
                  <w:tcW w:w="743"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w:t>
                  </w:r>
                  <w:r>
                    <w:rPr>
                      <w:rFonts w:ascii="Times New Roman" w:hAnsi="Times New Roman" w:eastAsia="宋体" w:cs="Times New Roman"/>
                      <w:bCs/>
                      <w:sz w:val="21"/>
                      <w:szCs w:val="21"/>
                    </w:rPr>
                    <w:t>.700</w:t>
                  </w:r>
                </w:p>
              </w:tc>
              <w:tc>
                <w:tcPr>
                  <w:tcW w:w="746"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w:t>
                  </w:r>
                  <w:r>
                    <w:rPr>
                      <w:rFonts w:ascii="Times New Roman" w:hAnsi="Times New Roman" w:eastAsia="宋体" w:cs="Times New Roman"/>
                      <w:bCs/>
                      <w:sz w:val="21"/>
                      <w:szCs w:val="21"/>
                    </w:rPr>
                    <w:t>.600</w:t>
                  </w:r>
                </w:p>
              </w:tc>
              <w:tc>
                <w:tcPr>
                  <w:tcW w:w="849"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≤10000个/L</w:t>
                  </w:r>
                </w:p>
              </w:tc>
            </w:tr>
          </w:tbl>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地表水补充监测断面监测因子的水质指数Si统计表</w:t>
            </w:r>
            <w:r>
              <w:rPr>
                <w:rFonts w:ascii="黑体" w:hAnsi="黑体" w:eastAsia="黑体"/>
                <w:b w:val="0"/>
                <w:bCs w:val="0"/>
                <w:color w:val="auto"/>
              </w:rPr>
              <w:t>2</w:t>
            </w:r>
          </w:p>
          <w:tbl>
            <w:tblPr>
              <w:tblStyle w:val="1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443"/>
              <w:gridCol w:w="887"/>
              <w:gridCol w:w="2061"/>
              <w:gridCol w:w="2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restar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采样日期</w:t>
                  </w:r>
                </w:p>
              </w:tc>
              <w:tc>
                <w:tcPr>
                  <w:tcW w:w="874" w:type="pct"/>
                  <w:vMerge w:val="restar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检测项目</w:t>
                  </w:r>
                </w:p>
              </w:tc>
              <w:tc>
                <w:tcPr>
                  <w:tcW w:w="537" w:type="pct"/>
                  <w:vMerge w:val="restar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单位</w:t>
                  </w:r>
                </w:p>
              </w:tc>
              <w:tc>
                <w:tcPr>
                  <w:tcW w:w="2850" w:type="pct"/>
                  <w:gridSpan w:val="2"/>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评价</w:t>
                  </w:r>
                  <w:r>
                    <w:rPr>
                      <w:rFonts w:ascii="Times New Roman" w:hAnsi="Times New Roman" w:eastAsia="宋体" w:cs="Times New Roman"/>
                      <w:b/>
                      <w:sz w:val="21"/>
                      <w:szCs w:val="21"/>
                    </w:rPr>
                    <w:t>结果</w:t>
                  </w:r>
                  <w:r>
                    <w:rPr>
                      <w:rFonts w:hint="eastAsia" w:ascii="Times New Roman" w:hAnsi="Times New Roman" w:eastAsia="宋体" w:cs="Times New Roman"/>
                      <w:b/>
                      <w:sz w:val="21"/>
                      <w:szCs w:val="21"/>
                    </w:rPr>
                    <w:t>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Merge w:val="continue"/>
                  <w:vAlign w:val="center"/>
                </w:tcPr>
                <w:p>
                  <w:pPr>
                    <w:spacing w:line="240" w:lineRule="auto"/>
                    <w:jc w:val="center"/>
                    <w:rPr>
                      <w:rFonts w:ascii="Times New Roman" w:hAnsi="Times New Roman" w:eastAsia="宋体" w:cs="Times New Roman"/>
                      <w:bCs/>
                      <w:sz w:val="21"/>
                      <w:szCs w:val="21"/>
                    </w:rPr>
                  </w:pPr>
                </w:p>
              </w:tc>
              <w:tc>
                <w:tcPr>
                  <w:tcW w:w="537" w:type="pct"/>
                  <w:vMerge w:val="continue"/>
                  <w:vAlign w:val="center"/>
                </w:tcPr>
                <w:p>
                  <w:pPr>
                    <w:spacing w:line="240" w:lineRule="auto"/>
                    <w:jc w:val="center"/>
                    <w:rPr>
                      <w:rFonts w:ascii="Times New Roman" w:hAnsi="Times New Roman" w:eastAsia="宋体" w:cs="Times New Roman"/>
                      <w:bCs/>
                      <w:sz w:val="21"/>
                      <w:szCs w:val="21"/>
                    </w:rPr>
                  </w:pPr>
                </w:p>
              </w:tc>
              <w:tc>
                <w:tcPr>
                  <w:tcW w:w="1248" w:type="pct"/>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2# 前河与后河交汇处上游500m处</w:t>
                  </w:r>
                </w:p>
              </w:tc>
              <w:tc>
                <w:tcPr>
                  <w:tcW w:w="1601" w:type="pct"/>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3#明月坝污水处理厂尾水排口上游500m处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restar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1月3日</w:t>
                  </w:r>
                </w:p>
              </w:tc>
              <w:tc>
                <w:tcPr>
                  <w:tcW w:w="874"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pH</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无量纲</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0.05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溶解氧</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0.76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化学需氧量</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0.450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高锰酸盐指数</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0.133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五日生化需氧量</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0.650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氨氮</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0.176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0.079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总磷</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0.300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0.450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石油类</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0.600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氟化物（氟离子）</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0.176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粪大肠菌群</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MPN/L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0.700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restar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1月4日</w:t>
                  </w:r>
                </w:p>
              </w:tc>
              <w:tc>
                <w:tcPr>
                  <w:tcW w:w="874"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pH</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无量纲</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0.05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溶解氧</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0.72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化学需氧量</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0.500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0.650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高锰酸盐指数</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0.167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0.233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五日生化需氧量</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0.675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氨氮</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0.156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总磷</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0.300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石油类</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0.600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氟化物（氟离子）</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0.178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粪大肠菌群</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MPN/L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0.800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restar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1月</w:t>
                  </w:r>
                  <w:r>
                    <w:rPr>
                      <w:rFonts w:hint="eastAsia" w:ascii="Times New Roman" w:hAnsi="Times New Roman" w:eastAsia="宋体" w:cs="Times New Roman"/>
                      <w:bCs/>
                      <w:kern w:val="0"/>
                      <w:sz w:val="21"/>
                      <w:szCs w:val="21"/>
                    </w:rPr>
                    <w:t>5</w:t>
                  </w:r>
                  <w:r>
                    <w:rPr>
                      <w:rFonts w:ascii="Times New Roman" w:hAnsi="Times New Roman" w:eastAsia="宋体" w:cs="Times New Roman"/>
                      <w:bCs/>
                      <w:kern w:val="0"/>
                      <w:sz w:val="21"/>
                      <w:szCs w:val="21"/>
                    </w:rPr>
                    <w:t>日</w:t>
                  </w:r>
                </w:p>
              </w:tc>
              <w:tc>
                <w:tcPr>
                  <w:tcW w:w="874"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pH</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无量纲</w:t>
                  </w:r>
                </w:p>
              </w:tc>
              <w:tc>
                <w:tcPr>
                  <w:tcW w:w="1248"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w:t>
                  </w:r>
                  <w:r>
                    <w:rPr>
                      <w:rFonts w:ascii="Times New Roman" w:hAnsi="Times New Roman" w:eastAsia="宋体" w:cs="Times New Roman"/>
                      <w:bCs/>
                      <w:sz w:val="21"/>
                      <w:szCs w:val="21"/>
                    </w:rPr>
                    <w:t>.05</w:t>
                  </w:r>
                </w:p>
              </w:tc>
              <w:tc>
                <w:tcPr>
                  <w:tcW w:w="1601"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溶解氧</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0.77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化学需氧量</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0.500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0.650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高锰酸盐指数</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0.117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五日生化需氧量</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0.675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0.725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氨氮</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0.170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总磷</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0.250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石油类</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0.400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kern w:val="0"/>
                      <w:sz w:val="21"/>
                      <w:szCs w:val="21"/>
                    </w:rPr>
                    <w:t>氟化物（氟离子）</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124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0.172 </w:t>
                  </w:r>
                </w:p>
              </w:tc>
              <w:tc>
                <w:tcPr>
                  <w:tcW w:w="1601"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737" w:type="pct"/>
                  <w:vMerge w:val="continue"/>
                  <w:vAlign w:val="center"/>
                </w:tcPr>
                <w:p>
                  <w:pPr>
                    <w:spacing w:line="240" w:lineRule="auto"/>
                    <w:jc w:val="center"/>
                    <w:rPr>
                      <w:rFonts w:ascii="Times New Roman" w:hAnsi="Times New Roman" w:eastAsia="宋体" w:cs="Times New Roman"/>
                      <w:bCs/>
                      <w:sz w:val="21"/>
                      <w:szCs w:val="21"/>
                    </w:rPr>
                  </w:pPr>
                </w:p>
              </w:tc>
              <w:tc>
                <w:tcPr>
                  <w:tcW w:w="87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粪大肠菌群</w:t>
                  </w:r>
                </w:p>
              </w:tc>
              <w:tc>
                <w:tcPr>
                  <w:tcW w:w="537"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MPN/L</w:t>
                  </w:r>
                </w:p>
              </w:tc>
              <w:tc>
                <w:tcPr>
                  <w:tcW w:w="1248"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w:t>
                  </w:r>
                  <w:r>
                    <w:rPr>
                      <w:rFonts w:ascii="Times New Roman" w:hAnsi="Times New Roman" w:eastAsia="宋体" w:cs="Times New Roman"/>
                      <w:bCs/>
                      <w:sz w:val="21"/>
                      <w:szCs w:val="21"/>
                    </w:rPr>
                    <w:t>.700</w:t>
                  </w:r>
                </w:p>
              </w:tc>
              <w:tc>
                <w:tcPr>
                  <w:tcW w:w="1601"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w:t>
                  </w:r>
                  <w:r>
                    <w:rPr>
                      <w:rFonts w:ascii="Times New Roman" w:hAnsi="Times New Roman" w:eastAsia="宋体" w:cs="Times New Roman"/>
                      <w:bCs/>
                      <w:sz w:val="21"/>
                      <w:szCs w:val="21"/>
                    </w:rPr>
                    <w:t>.500</w:t>
                  </w:r>
                </w:p>
              </w:tc>
            </w:tr>
          </w:tbl>
          <w:p>
            <w:pPr>
              <w:pStyle w:val="104"/>
              <w:ind w:firstLine="480"/>
              <w:rPr>
                <w:rFonts w:hint="default" w:ascii="Times New Roman" w:hAnsi="Times New Roman" w:cs="Times New Roman"/>
                <w:szCs w:val="24"/>
              </w:rPr>
            </w:pPr>
            <w:r>
              <w:rPr>
                <w:rFonts w:hint="default" w:ascii="Times New Roman" w:hAnsi="Times New Roman" w:cs="Times New Roman"/>
              </w:rPr>
              <w:t>由上表可知，监测期间，监测指标均满足《地表水环境质量标准》（GB3838-2002）中Ⅲ类水质标准。</w:t>
            </w:r>
          </w:p>
          <w:p>
            <w:pPr>
              <w:widowControl/>
              <w:ind w:firstLine="482" w:firstLineChars="200"/>
              <w:jc w:val="left"/>
              <w:rPr>
                <w:rFonts w:cs="Times New Roman" w:asciiTheme="majorHAnsi" w:hAnsiTheme="majorHAnsi"/>
                <w:b/>
                <w:bCs/>
                <w:kern w:val="0"/>
                <w:szCs w:val="20"/>
              </w:rPr>
            </w:pPr>
            <w:r>
              <w:rPr>
                <w:rFonts w:cs="Times New Roman" w:asciiTheme="majorHAnsi" w:hAnsiTheme="majorHAnsi"/>
                <w:b/>
                <w:bCs/>
                <w:kern w:val="0"/>
                <w:szCs w:val="20"/>
              </w:rPr>
              <w:t>3</w:t>
            </w:r>
            <w:r>
              <w:rPr>
                <w:rFonts w:hint="eastAsia" w:cs="Times New Roman" w:asciiTheme="majorHAnsi" w:hAnsiTheme="majorHAnsi"/>
                <w:b/>
                <w:bCs/>
                <w:kern w:val="0"/>
                <w:szCs w:val="20"/>
              </w:rPr>
              <w:t>、河流底泥现状监测及评价</w:t>
            </w:r>
          </w:p>
          <w:p>
            <w:pPr>
              <w:widowControl/>
              <w:ind w:firstLine="480" w:firstLineChars="200"/>
              <w:jc w:val="left"/>
              <w:rPr>
                <w:szCs w:val="26"/>
              </w:rPr>
            </w:pPr>
            <w:r>
              <w:rPr>
                <w:rFonts w:hint="eastAsia"/>
                <w:szCs w:val="26"/>
              </w:rPr>
              <w:t>四川锡水金山环保科技有限公司于</w:t>
            </w:r>
            <w:r>
              <w:rPr>
                <w:szCs w:val="26"/>
              </w:rPr>
              <w:t>2023</w:t>
            </w:r>
            <w:r>
              <w:rPr>
                <w:rFonts w:hint="eastAsia"/>
                <w:szCs w:val="26"/>
              </w:rPr>
              <w:t>年</w:t>
            </w:r>
            <w:r>
              <w:rPr>
                <w:szCs w:val="26"/>
              </w:rPr>
              <w:t>1</w:t>
            </w:r>
            <w:r>
              <w:rPr>
                <w:rFonts w:hint="eastAsia"/>
                <w:szCs w:val="26"/>
              </w:rPr>
              <w:t>月</w:t>
            </w:r>
            <w:r>
              <w:rPr>
                <w:szCs w:val="26"/>
              </w:rPr>
              <w:t>3</w:t>
            </w:r>
            <w:r>
              <w:rPr>
                <w:rFonts w:hint="eastAsia"/>
                <w:szCs w:val="26"/>
              </w:rPr>
              <w:t>日对拟建项目尾水排口下游5</w:t>
            </w:r>
            <w:r>
              <w:rPr>
                <w:szCs w:val="26"/>
              </w:rPr>
              <w:t>00</w:t>
            </w:r>
            <w:r>
              <w:rPr>
                <w:rFonts w:hint="eastAsia"/>
                <w:szCs w:val="26"/>
              </w:rPr>
              <w:t>m处的河流沉积物进行了现状监测。</w:t>
            </w:r>
          </w:p>
          <w:p>
            <w:pPr>
              <w:widowControl w:val="0"/>
              <w:snapToGrid w:val="0"/>
              <w:ind w:firstLine="482" w:firstLineChars="200"/>
              <w:jc w:val="both"/>
              <w:rPr>
                <w:rFonts w:ascii="Times New Roman" w:hAnsi="Times New Roman" w:eastAsia="宋体" w:cs="Times New Roman"/>
                <w:b/>
                <w:bCs/>
                <w:kern w:val="21"/>
                <w:sz w:val="21"/>
                <w:szCs w:val="20"/>
              </w:rPr>
            </w:pPr>
            <w:r>
              <w:rPr>
                <w:rFonts w:hint="eastAsia"/>
                <w:b/>
                <w:bCs/>
              </w:rPr>
              <w:t>（1）监测断面</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底泥监测点位布点</w:t>
            </w:r>
          </w:p>
          <w:tbl>
            <w:tblPr>
              <w:tblStyle w:val="1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7"/>
              <w:gridCol w:w="897"/>
              <w:gridCol w:w="6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tcPr>
                <w:p>
                  <w:pPr>
                    <w:jc w:val="center"/>
                    <w:rPr>
                      <w:b/>
                      <w:bCs/>
                      <w:sz w:val="21"/>
                      <w:szCs w:val="21"/>
                    </w:rPr>
                  </w:pPr>
                  <w:r>
                    <w:rPr>
                      <w:rFonts w:hAnsi="宋体"/>
                      <w:b/>
                      <w:bCs/>
                      <w:sz w:val="21"/>
                      <w:szCs w:val="21"/>
                    </w:rPr>
                    <w:t>名</w:t>
                  </w:r>
                  <w:r>
                    <w:rPr>
                      <w:b/>
                      <w:bCs/>
                      <w:sz w:val="21"/>
                      <w:szCs w:val="21"/>
                    </w:rPr>
                    <w:t xml:space="preserve">    </w:t>
                  </w:r>
                  <w:r>
                    <w:rPr>
                      <w:rFonts w:hAnsi="宋体"/>
                      <w:b/>
                      <w:bCs/>
                      <w:sz w:val="21"/>
                      <w:szCs w:val="21"/>
                    </w:rPr>
                    <w:t>称</w:t>
                  </w:r>
                </w:p>
              </w:tc>
              <w:tc>
                <w:tcPr>
                  <w:tcW w:w="543" w:type="pct"/>
                </w:tcPr>
                <w:p>
                  <w:pPr>
                    <w:ind w:firstLine="105" w:firstLineChars="50"/>
                    <w:jc w:val="center"/>
                    <w:rPr>
                      <w:b/>
                      <w:bCs/>
                      <w:sz w:val="21"/>
                      <w:szCs w:val="21"/>
                    </w:rPr>
                  </w:pPr>
                  <w:r>
                    <w:rPr>
                      <w:rFonts w:hAnsi="宋体"/>
                      <w:b/>
                      <w:bCs/>
                      <w:sz w:val="21"/>
                      <w:szCs w:val="21"/>
                    </w:rPr>
                    <w:t>编号</w:t>
                  </w:r>
                </w:p>
              </w:tc>
              <w:tc>
                <w:tcPr>
                  <w:tcW w:w="3646" w:type="pct"/>
                </w:tcPr>
                <w:p>
                  <w:pPr>
                    <w:ind w:firstLine="422" w:firstLineChars="200"/>
                    <w:jc w:val="center"/>
                    <w:rPr>
                      <w:b/>
                      <w:bCs/>
                      <w:sz w:val="21"/>
                      <w:szCs w:val="21"/>
                    </w:rPr>
                  </w:pPr>
                  <w:r>
                    <w:rPr>
                      <w:rFonts w:hAnsi="宋体"/>
                      <w:b/>
                      <w:bCs/>
                      <w:sz w:val="21"/>
                      <w:szCs w:val="21"/>
                    </w:rPr>
                    <w:t>位</w:t>
                  </w:r>
                  <w:r>
                    <w:rPr>
                      <w:b/>
                      <w:bCs/>
                      <w:sz w:val="21"/>
                      <w:szCs w:val="21"/>
                    </w:rPr>
                    <w:t xml:space="preserve">    </w:t>
                  </w:r>
                  <w:r>
                    <w:rPr>
                      <w:rFonts w:hAnsi="宋体"/>
                      <w:b/>
                      <w:bCs/>
                      <w:sz w:val="21"/>
                      <w:szCs w:val="21"/>
                    </w:rPr>
                    <w:t>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tcPr>
                <w:p>
                  <w:pPr>
                    <w:jc w:val="center"/>
                    <w:rPr>
                      <w:sz w:val="21"/>
                      <w:szCs w:val="21"/>
                    </w:rPr>
                  </w:pPr>
                  <w:r>
                    <w:rPr>
                      <w:rFonts w:hint="eastAsia"/>
                      <w:sz w:val="21"/>
                      <w:szCs w:val="21"/>
                    </w:rPr>
                    <w:t>底泥监测</w:t>
                  </w:r>
                </w:p>
              </w:tc>
              <w:tc>
                <w:tcPr>
                  <w:tcW w:w="543" w:type="pct"/>
                </w:tcPr>
                <w:p>
                  <w:pPr>
                    <w:jc w:val="center"/>
                    <w:rPr>
                      <w:sz w:val="21"/>
                      <w:szCs w:val="21"/>
                    </w:rPr>
                  </w:pPr>
                  <w:r>
                    <w:rPr>
                      <w:sz w:val="21"/>
                      <w:szCs w:val="21"/>
                    </w:rPr>
                    <w:t>I</w:t>
                  </w:r>
                </w:p>
              </w:tc>
              <w:tc>
                <w:tcPr>
                  <w:tcW w:w="3646" w:type="pct"/>
                </w:tcPr>
                <w:p>
                  <w:pPr>
                    <w:ind w:firstLine="420" w:firstLineChars="200"/>
                    <w:jc w:val="center"/>
                    <w:rPr>
                      <w:sz w:val="21"/>
                      <w:szCs w:val="21"/>
                    </w:rPr>
                  </w:pPr>
                  <w:r>
                    <w:rPr>
                      <w:rFonts w:hAnsi="宋体"/>
                      <w:sz w:val="21"/>
                      <w:szCs w:val="21"/>
                    </w:rPr>
                    <w:t>明月坝污水处理厂尾水排口</w:t>
                  </w:r>
                  <w:r>
                    <w:rPr>
                      <w:rFonts w:hint="eastAsia" w:hAnsi="宋体"/>
                      <w:sz w:val="21"/>
                      <w:szCs w:val="21"/>
                    </w:rPr>
                    <w:t>下</w:t>
                  </w:r>
                  <w:r>
                    <w:rPr>
                      <w:rFonts w:hAnsi="宋体"/>
                      <w:sz w:val="21"/>
                      <w:szCs w:val="21"/>
                    </w:rPr>
                    <w:t>游</w:t>
                  </w:r>
                  <w:r>
                    <w:rPr>
                      <w:sz w:val="21"/>
                      <w:szCs w:val="21"/>
                    </w:rPr>
                    <w:t>500m</w:t>
                  </w:r>
                  <w:r>
                    <w:rPr>
                      <w:rFonts w:hAnsi="宋体"/>
                      <w:sz w:val="21"/>
                      <w:szCs w:val="21"/>
                    </w:rPr>
                    <w:t>处</w:t>
                  </w:r>
                </w:p>
              </w:tc>
            </w:tr>
          </w:tbl>
          <w:p>
            <w:pPr>
              <w:pStyle w:val="240"/>
              <w:ind w:firstLine="482"/>
            </w:pPr>
            <w:r>
              <w:rPr>
                <w:rFonts w:hint="eastAsia"/>
              </w:rPr>
              <w:t>（2）监测因子</w:t>
            </w:r>
          </w:p>
          <w:p>
            <w:pPr>
              <w:widowControl w:val="0"/>
              <w:adjustRightInd w:val="0"/>
              <w:snapToGrid w:val="0"/>
              <w:ind w:firstLine="480" w:firstLineChars="200"/>
              <w:jc w:val="both"/>
              <w:rPr>
                <w:bCs/>
              </w:rPr>
            </w:pPr>
            <w:r>
              <w:rPr>
                <w:rFonts w:hint="eastAsia"/>
              </w:rPr>
              <w:t>pH、铅、汞、镉、砷、铜、镍、铬、锌，共计9项。</w:t>
            </w:r>
          </w:p>
          <w:p>
            <w:pPr>
              <w:pStyle w:val="240"/>
              <w:ind w:firstLine="482"/>
            </w:pPr>
            <w:r>
              <w:rPr>
                <w:rFonts w:hint="eastAsia"/>
              </w:rPr>
              <w:t>（</w:t>
            </w:r>
            <w:r>
              <w:t>3</w:t>
            </w:r>
            <w:r>
              <w:rPr>
                <w:rFonts w:hint="eastAsia"/>
              </w:rPr>
              <w:t>）监测频次</w:t>
            </w:r>
            <w:r>
              <w:t xml:space="preserve"> </w:t>
            </w:r>
          </w:p>
          <w:p>
            <w:pPr>
              <w:pStyle w:val="240"/>
              <w:ind w:firstLine="480"/>
              <w:rPr>
                <w:b w:val="0"/>
                <w:bCs w:val="0"/>
                <w:kern w:val="0"/>
              </w:rPr>
            </w:pPr>
            <w:r>
              <w:rPr>
                <w:rFonts w:hint="eastAsia"/>
                <w:b w:val="0"/>
                <w:bCs w:val="0"/>
                <w:kern w:val="0"/>
              </w:rPr>
              <w:t>共监测1天，每天监测1次。</w:t>
            </w:r>
          </w:p>
          <w:p>
            <w:pPr>
              <w:pStyle w:val="240"/>
              <w:ind w:firstLine="482"/>
            </w:pPr>
            <w:r>
              <w:rPr>
                <w:rFonts w:hint="eastAsia"/>
              </w:rPr>
              <w:t>（</w:t>
            </w:r>
            <w:r>
              <w:t>4</w:t>
            </w:r>
            <w:r>
              <w:rPr>
                <w:rFonts w:hint="eastAsia"/>
              </w:rPr>
              <w:t>）监测结果</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底泥检测结果</w:t>
            </w:r>
          </w:p>
          <w:tbl>
            <w:tblPr>
              <w:tblStyle w:val="1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1202"/>
              <w:gridCol w:w="1352"/>
              <w:gridCol w:w="1202"/>
              <w:gridCol w:w="1202"/>
              <w:gridCol w:w="1352"/>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91"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hint="eastAsia" w:ascii="Times New Roman" w:hAnsi="Times New Roman"/>
                      <w:b/>
                      <w:sz w:val="21"/>
                      <w:szCs w:val="21"/>
                    </w:rPr>
                    <w:t>检测点位</w:t>
                  </w:r>
                </w:p>
              </w:tc>
              <w:tc>
                <w:tcPr>
                  <w:tcW w:w="728"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rPr>
                    <w:t>采样日期</w:t>
                  </w:r>
                </w:p>
              </w:tc>
              <w:tc>
                <w:tcPr>
                  <w:tcW w:w="819"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rPr>
                    <w:t>检测项目</w:t>
                  </w:r>
                </w:p>
              </w:tc>
              <w:tc>
                <w:tcPr>
                  <w:tcW w:w="728"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rPr>
                    <w:t>单位</w:t>
                  </w:r>
                </w:p>
              </w:tc>
              <w:tc>
                <w:tcPr>
                  <w:tcW w:w="728"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rPr>
                    <w:t>检测结果</w:t>
                  </w:r>
                </w:p>
              </w:tc>
              <w:tc>
                <w:tcPr>
                  <w:tcW w:w="819"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rPr>
                    <w:t>标准限值（mg/kg）</w:t>
                  </w:r>
                </w:p>
              </w:tc>
              <w:tc>
                <w:tcPr>
                  <w:tcW w:w="585"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hint="eastAsia" w:ascii="Times New Roman" w:hAnsi="Times New Roman"/>
                      <w:b/>
                      <w:sz w:val="21"/>
                      <w:szCs w:val="21"/>
                    </w:rPr>
                    <w:t>P</w:t>
                  </w:r>
                  <w:r>
                    <w:rPr>
                      <w:rFonts w:ascii="Times New Roman" w:hAnsi="Times New Roman"/>
                      <w:b/>
                      <w:sz w:val="21"/>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91" w:type="pct"/>
                  <w:vMerge w:val="restart"/>
                  <w:vAlign w:val="center"/>
                </w:tcPr>
                <w:p>
                  <w:pPr>
                    <w:spacing w:line="240" w:lineRule="auto"/>
                    <w:jc w:val="center"/>
                    <w:textAlignment w:val="center"/>
                    <w:rPr>
                      <w:rFonts w:ascii="Times New Roman" w:hAnsi="Times New Roman" w:eastAsia="宋体" w:cs="Times New Roman"/>
                      <w:sz w:val="21"/>
                      <w:szCs w:val="21"/>
                    </w:rPr>
                  </w:pPr>
                  <w:r>
                    <w:rPr>
                      <w:rFonts w:hint="eastAsia"/>
                      <w:sz w:val="21"/>
                      <w:szCs w:val="21"/>
                    </w:rPr>
                    <w:t>1# 明月坝污水处理厂尾水排口下游500米处</w:t>
                  </w:r>
                </w:p>
              </w:tc>
              <w:tc>
                <w:tcPr>
                  <w:tcW w:w="728" w:type="pct"/>
                  <w:vMerge w:val="restart"/>
                  <w:vAlign w:val="center"/>
                </w:tcPr>
                <w:p>
                  <w:pPr>
                    <w:spacing w:line="240" w:lineRule="auto"/>
                    <w:jc w:val="center"/>
                    <w:textAlignment w:val="center"/>
                    <w:rPr>
                      <w:rFonts w:ascii="Times New Roman" w:hAnsi="Times New Roman" w:cs="Times New Roman"/>
                      <w:sz w:val="21"/>
                      <w:szCs w:val="21"/>
                    </w:rPr>
                  </w:pPr>
                  <w:r>
                    <w:rPr>
                      <w:rFonts w:ascii="Times New Roman" w:hAnsi="Times New Roman" w:eastAsia="宋体" w:cs="Times New Roman"/>
                      <w:bCs/>
                      <w:kern w:val="0"/>
                      <w:sz w:val="21"/>
                      <w:szCs w:val="21"/>
                    </w:rPr>
                    <w:t>4月8日</w:t>
                  </w:r>
                </w:p>
              </w:tc>
              <w:tc>
                <w:tcPr>
                  <w:tcW w:w="819"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kern w:val="0"/>
                      <w:sz w:val="21"/>
                      <w:szCs w:val="21"/>
                    </w:rPr>
                    <w:t>pH</w:t>
                  </w:r>
                </w:p>
              </w:tc>
              <w:tc>
                <w:tcPr>
                  <w:tcW w:w="728"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cs="Times New Roman"/>
                      <w:bCs/>
                      <w:sz w:val="21"/>
                      <w:szCs w:val="21"/>
                    </w:rPr>
                    <w:t>无量纲</w:t>
                  </w:r>
                </w:p>
              </w:tc>
              <w:tc>
                <w:tcPr>
                  <w:tcW w:w="728"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8.3</w:t>
                  </w:r>
                </w:p>
              </w:tc>
              <w:tc>
                <w:tcPr>
                  <w:tcW w:w="81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c>
                <w:tcPr>
                  <w:tcW w:w="585"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91" w:type="pct"/>
                  <w:vMerge w:val="continue"/>
                  <w:vAlign w:val="center"/>
                </w:tcPr>
                <w:p>
                  <w:pPr>
                    <w:spacing w:line="240" w:lineRule="auto"/>
                    <w:jc w:val="center"/>
                    <w:textAlignment w:val="center"/>
                    <w:rPr>
                      <w:rFonts w:ascii="Times New Roman" w:hAnsi="Times New Roman" w:cs="Times New Roman"/>
                      <w:sz w:val="21"/>
                      <w:szCs w:val="21"/>
                    </w:rPr>
                  </w:pPr>
                </w:p>
              </w:tc>
              <w:tc>
                <w:tcPr>
                  <w:tcW w:w="728" w:type="pct"/>
                  <w:vMerge w:val="continue"/>
                  <w:vAlign w:val="center"/>
                </w:tcPr>
                <w:p>
                  <w:pPr>
                    <w:spacing w:line="240" w:lineRule="auto"/>
                    <w:jc w:val="center"/>
                    <w:textAlignment w:val="center"/>
                    <w:rPr>
                      <w:rFonts w:ascii="Times New Roman" w:hAnsi="Times New Roman" w:cs="Times New Roman"/>
                      <w:sz w:val="21"/>
                      <w:szCs w:val="21"/>
                    </w:rPr>
                  </w:pPr>
                </w:p>
              </w:tc>
              <w:tc>
                <w:tcPr>
                  <w:tcW w:w="819" w:type="pct"/>
                  <w:vAlign w:val="center"/>
                </w:tcPr>
                <w:p>
                  <w:pPr>
                    <w:spacing w:line="240" w:lineRule="auto"/>
                    <w:jc w:val="center"/>
                    <w:textAlignment w:val="center"/>
                    <w:rPr>
                      <w:rFonts w:ascii="Times New Roman" w:hAnsi="Times New Roman" w:eastAsia="宋体" w:cs="Times New Roman"/>
                      <w:sz w:val="21"/>
                      <w:szCs w:val="21"/>
                    </w:rPr>
                  </w:pPr>
                  <w:r>
                    <w:rPr>
                      <w:rStyle w:val="138"/>
                      <w:rFonts w:hint="default" w:ascii="Times New Roman" w:hAnsi="Times New Roman" w:cs="Times New Roman"/>
                      <w:color w:val="auto"/>
                      <w:sz w:val="21"/>
                      <w:szCs w:val="21"/>
                    </w:rPr>
                    <w:t>铅</w:t>
                  </w:r>
                </w:p>
              </w:tc>
              <w:tc>
                <w:tcPr>
                  <w:tcW w:w="728"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mg/kg</w:t>
                  </w:r>
                </w:p>
              </w:tc>
              <w:tc>
                <w:tcPr>
                  <w:tcW w:w="728"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7.6</w:t>
                  </w:r>
                </w:p>
              </w:tc>
              <w:tc>
                <w:tcPr>
                  <w:tcW w:w="81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120</w:t>
                  </w:r>
                </w:p>
              </w:tc>
              <w:tc>
                <w:tcPr>
                  <w:tcW w:w="585"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91" w:type="pct"/>
                  <w:vMerge w:val="continue"/>
                  <w:vAlign w:val="center"/>
                </w:tcPr>
                <w:p>
                  <w:pPr>
                    <w:spacing w:line="240" w:lineRule="auto"/>
                    <w:jc w:val="center"/>
                    <w:textAlignment w:val="center"/>
                    <w:rPr>
                      <w:rFonts w:ascii="Times New Roman" w:hAnsi="Times New Roman" w:eastAsia="宋体" w:cs="Times New Roman"/>
                      <w:sz w:val="21"/>
                      <w:szCs w:val="21"/>
                    </w:rPr>
                  </w:pPr>
                </w:p>
              </w:tc>
              <w:tc>
                <w:tcPr>
                  <w:tcW w:w="728" w:type="pct"/>
                  <w:vMerge w:val="continue"/>
                  <w:vAlign w:val="center"/>
                </w:tcPr>
                <w:p>
                  <w:pPr>
                    <w:spacing w:line="240" w:lineRule="auto"/>
                    <w:jc w:val="center"/>
                    <w:rPr>
                      <w:rFonts w:ascii="Times New Roman" w:hAnsi="Times New Roman" w:cs="Times New Roman"/>
                      <w:sz w:val="21"/>
                      <w:szCs w:val="21"/>
                    </w:rPr>
                  </w:pPr>
                </w:p>
              </w:tc>
              <w:tc>
                <w:tcPr>
                  <w:tcW w:w="819" w:type="pct"/>
                  <w:vAlign w:val="center"/>
                </w:tcPr>
                <w:p>
                  <w:pPr>
                    <w:spacing w:line="240" w:lineRule="auto"/>
                    <w:jc w:val="center"/>
                    <w:rPr>
                      <w:rFonts w:ascii="Times New Roman" w:hAnsi="Times New Roman" w:eastAsia="宋体" w:cs="Times New Roman"/>
                      <w:sz w:val="21"/>
                      <w:szCs w:val="21"/>
                    </w:rPr>
                  </w:pPr>
                  <w:r>
                    <w:rPr>
                      <w:rStyle w:val="138"/>
                      <w:rFonts w:hint="default" w:ascii="Times New Roman" w:hAnsi="Times New Roman" w:cs="Times New Roman"/>
                      <w:color w:val="auto"/>
                      <w:sz w:val="21"/>
                      <w:szCs w:val="21"/>
                    </w:rPr>
                    <w:t>镉</w:t>
                  </w:r>
                </w:p>
              </w:tc>
              <w:tc>
                <w:tcPr>
                  <w:tcW w:w="728"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mg/kg</w:t>
                  </w:r>
                </w:p>
              </w:tc>
              <w:tc>
                <w:tcPr>
                  <w:tcW w:w="728"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0.24</w:t>
                  </w:r>
                </w:p>
              </w:tc>
              <w:tc>
                <w:tcPr>
                  <w:tcW w:w="81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0.3</w:t>
                  </w:r>
                </w:p>
              </w:tc>
              <w:tc>
                <w:tcPr>
                  <w:tcW w:w="585"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91" w:type="pct"/>
                  <w:vMerge w:val="continue"/>
                  <w:vAlign w:val="center"/>
                </w:tcPr>
                <w:p>
                  <w:pPr>
                    <w:spacing w:line="240" w:lineRule="auto"/>
                    <w:jc w:val="center"/>
                    <w:textAlignment w:val="center"/>
                    <w:rPr>
                      <w:rFonts w:ascii="Times New Roman" w:hAnsi="Times New Roman" w:eastAsia="宋体" w:cs="Times New Roman"/>
                      <w:sz w:val="21"/>
                      <w:szCs w:val="21"/>
                    </w:rPr>
                  </w:pPr>
                </w:p>
              </w:tc>
              <w:tc>
                <w:tcPr>
                  <w:tcW w:w="728" w:type="pct"/>
                  <w:vMerge w:val="continue"/>
                  <w:vAlign w:val="center"/>
                </w:tcPr>
                <w:p>
                  <w:pPr>
                    <w:spacing w:line="240" w:lineRule="auto"/>
                    <w:jc w:val="center"/>
                    <w:textAlignment w:val="center"/>
                    <w:rPr>
                      <w:rStyle w:val="138"/>
                      <w:rFonts w:hint="default" w:ascii="Times New Roman" w:hAnsi="Times New Roman" w:cs="Times New Roman"/>
                      <w:color w:val="auto"/>
                      <w:sz w:val="21"/>
                      <w:szCs w:val="21"/>
                    </w:rPr>
                  </w:pPr>
                </w:p>
              </w:tc>
              <w:tc>
                <w:tcPr>
                  <w:tcW w:w="819"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728"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mg/kg</w:t>
                  </w:r>
                </w:p>
              </w:tc>
              <w:tc>
                <w:tcPr>
                  <w:tcW w:w="728"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17</w:t>
                  </w:r>
                </w:p>
              </w:tc>
              <w:tc>
                <w:tcPr>
                  <w:tcW w:w="819" w:type="pct"/>
                  <w:vAlign w:val="center"/>
                </w:tcPr>
                <w:p>
                  <w:pPr>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100</w:t>
                  </w:r>
                </w:p>
              </w:tc>
              <w:tc>
                <w:tcPr>
                  <w:tcW w:w="585" w:type="pct"/>
                  <w:vAlign w:val="center"/>
                </w:tcPr>
                <w:p>
                  <w:pPr>
                    <w:jc w:val="center"/>
                    <w:textAlignment w:val="center"/>
                    <w:rPr>
                      <w:rFonts w:ascii="Times New Roman" w:hAnsi="Times New Roman" w:eastAsia="宋体" w:cs="Times New Roman"/>
                      <w:kern w:val="0"/>
                      <w:sz w:val="21"/>
                      <w:szCs w:val="21"/>
                    </w:rPr>
                  </w:pPr>
                  <w:r>
                    <w:rPr>
                      <w:rFonts w:ascii="Times New Roman" w:hAnsi="Times New Roman" w:eastAsia="等线" w:cs="Times New Roman"/>
                      <w:sz w:val="21"/>
                      <w:szCs w:val="21"/>
                    </w:rPr>
                    <w:t xml:space="preserve">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91" w:type="pct"/>
                  <w:vMerge w:val="continue"/>
                  <w:vAlign w:val="center"/>
                </w:tcPr>
                <w:p>
                  <w:pPr>
                    <w:spacing w:line="240" w:lineRule="auto"/>
                    <w:jc w:val="center"/>
                    <w:rPr>
                      <w:rFonts w:ascii="Times New Roman" w:hAnsi="Times New Roman" w:eastAsia="宋体" w:cs="Times New Roman"/>
                      <w:sz w:val="21"/>
                      <w:szCs w:val="21"/>
                    </w:rPr>
                  </w:pPr>
                </w:p>
              </w:tc>
              <w:tc>
                <w:tcPr>
                  <w:tcW w:w="728" w:type="pct"/>
                  <w:vMerge w:val="continue"/>
                  <w:vAlign w:val="center"/>
                </w:tcPr>
                <w:p>
                  <w:pPr>
                    <w:spacing w:line="240" w:lineRule="auto"/>
                    <w:jc w:val="center"/>
                    <w:rPr>
                      <w:rFonts w:ascii="Times New Roman" w:hAnsi="Times New Roman" w:eastAsia="宋体" w:cs="Times New Roman"/>
                      <w:sz w:val="21"/>
                      <w:szCs w:val="21"/>
                    </w:rPr>
                  </w:pPr>
                </w:p>
              </w:tc>
              <w:tc>
                <w:tcPr>
                  <w:tcW w:w="819"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镍</w:t>
                  </w:r>
                </w:p>
              </w:tc>
              <w:tc>
                <w:tcPr>
                  <w:tcW w:w="728"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mg/kg</w:t>
                  </w:r>
                </w:p>
              </w:tc>
              <w:tc>
                <w:tcPr>
                  <w:tcW w:w="728"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26</w:t>
                  </w:r>
                </w:p>
              </w:tc>
              <w:tc>
                <w:tcPr>
                  <w:tcW w:w="819" w:type="pct"/>
                  <w:vAlign w:val="center"/>
                </w:tcPr>
                <w:p>
                  <w:pPr>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100</w:t>
                  </w:r>
                </w:p>
              </w:tc>
              <w:tc>
                <w:tcPr>
                  <w:tcW w:w="585" w:type="pct"/>
                  <w:vAlign w:val="center"/>
                </w:tcPr>
                <w:p>
                  <w:pPr>
                    <w:jc w:val="center"/>
                    <w:textAlignment w:val="center"/>
                    <w:rPr>
                      <w:rFonts w:ascii="Times New Roman" w:hAnsi="Times New Roman" w:eastAsia="宋体" w:cs="Times New Roman"/>
                      <w:kern w:val="0"/>
                      <w:sz w:val="21"/>
                      <w:szCs w:val="21"/>
                    </w:rPr>
                  </w:pPr>
                  <w:r>
                    <w:rPr>
                      <w:rFonts w:ascii="Times New Roman" w:hAnsi="Times New Roman" w:eastAsia="等线" w:cs="Times New Roman"/>
                      <w:sz w:val="21"/>
                      <w:szCs w:val="21"/>
                    </w:rPr>
                    <w:t xml:space="preserve">0.26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91"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728"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819"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锌</w:t>
                  </w:r>
                </w:p>
              </w:tc>
              <w:tc>
                <w:tcPr>
                  <w:tcW w:w="728"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mg/kg</w:t>
                  </w:r>
                </w:p>
              </w:tc>
              <w:tc>
                <w:tcPr>
                  <w:tcW w:w="728"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66</w:t>
                  </w:r>
                </w:p>
              </w:tc>
              <w:tc>
                <w:tcPr>
                  <w:tcW w:w="819" w:type="pct"/>
                  <w:vAlign w:val="center"/>
                </w:tcPr>
                <w:p>
                  <w:pPr>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250</w:t>
                  </w:r>
                </w:p>
              </w:tc>
              <w:tc>
                <w:tcPr>
                  <w:tcW w:w="585" w:type="pct"/>
                  <w:vAlign w:val="center"/>
                </w:tcPr>
                <w:p>
                  <w:pPr>
                    <w:jc w:val="center"/>
                    <w:textAlignment w:val="center"/>
                    <w:rPr>
                      <w:rFonts w:ascii="Times New Roman" w:hAnsi="Times New Roman" w:eastAsia="宋体" w:cs="Times New Roman"/>
                      <w:kern w:val="0"/>
                      <w:sz w:val="21"/>
                      <w:szCs w:val="21"/>
                    </w:rPr>
                  </w:pPr>
                  <w:r>
                    <w:rPr>
                      <w:rFonts w:ascii="Times New Roman" w:hAnsi="Times New Roman" w:eastAsia="等线" w:cs="Times New Roman"/>
                      <w:sz w:val="21"/>
                      <w:szCs w:val="21"/>
                    </w:rPr>
                    <w:t xml:space="preserve">0.26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91"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728"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819"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铬</w:t>
                  </w:r>
                </w:p>
              </w:tc>
              <w:tc>
                <w:tcPr>
                  <w:tcW w:w="728" w:type="pct"/>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bCs/>
                      <w:sz w:val="21"/>
                      <w:szCs w:val="21"/>
                    </w:rPr>
                    <w:t>mg/kg</w:t>
                  </w:r>
                </w:p>
              </w:tc>
              <w:tc>
                <w:tcPr>
                  <w:tcW w:w="728"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50</w:t>
                  </w:r>
                </w:p>
              </w:tc>
              <w:tc>
                <w:tcPr>
                  <w:tcW w:w="81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200</w:t>
                  </w:r>
                </w:p>
              </w:tc>
              <w:tc>
                <w:tcPr>
                  <w:tcW w:w="585"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91"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728"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819" w:type="pct"/>
                  <w:vAlign w:val="center"/>
                </w:tcPr>
                <w:p>
                  <w:pPr>
                    <w:spacing w:line="240" w:lineRule="auto"/>
                    <w:jc w:val="center"/>
                    <w:textAlignment w:val="center"/>
                    <w:rPr>
                      <w:rFonts w:ascii="Times New Roman" w:hAnsi="Times New Roman" w:eastAsia="宋体" w:cs="Times New Roman"/>
                      <w:sz w:val="21"/>
                      <w:szCs w:val="21"/>
                    </w:rPr>
                  </w:pPr>
                  <w:r>
                    <w:rPr>
                      <w:rStyle w:val="138"/>
                      <w:rFonts w:hint="default" w:ascii="Times New Roman" w:hAnsi="Times New Roman" w:cs="Times New Roman"/>
                      <w:color w:val="auto"/>
                      <w:sz w:val="21"/>
                      <w:szCs w:val="21"/>
                    </w:rPr>
                    <w:t>汞</w:t>
                  </w:r>
                </w:p>
              </w:tc>
              <w:tc>
                <w:tcPr>
                  <w:tcW w:w="728"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mg/kg</w:t>
                  </w:r>
                </w:p>
              </w:tc>
              <w:tc>
                <w:tcPr>
                  <w:tcW w:w="728"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0.413</w:t>
                  </w:r>
                </w:p>
              </w:tc>
              <w:tc>
                <w:tcPr>
                  <w:tcW w:w="81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2.4</w:t>
                  </w:r>
                </w:p>
              </w:tc>
              <w:tc>
                <w:tcPr>
                  <w:tcW w:w="585"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91"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728"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819" w:type="pct"/>
                  <w:vAlign w:val="center"/>
                </w:tcPr>
                <w:p>
                  <w:pPr>
                    <w:spacing w:line="240" w:lineRule="auto"/>
                    <w:jc w:val="center"/>
                    <w:textAlignment w:val="center"/>
                    <w:rPr>
                      <w:rFonts w:ascii="Times New Roman" w:hAnsi="Times New Roman" w:eastAsia="宋体" w:cs="Times New Roman"/>
                      <w:sz w:val="21"/>
                      <w:szCs w:val="21"/>
                    </w:rPr>
                  </w:pPr>
                  <w:r>
                    <w:rPr>
                      <w:rStyle w:val="138"/>
                      <w:rFonts w:hint="default" w:ascii="Times New Roman" w:hAnsi="Times New Roman" w:cs="Times New Roman"/>
                      <w:color w:val="auto"/>
                      <w:sz w:val="21"/>
                      <w:szCs w:val="21"/>
                    </w:rPr>
                    <w:t>砷</w:t>
                  </w:r>
                </w:p>
              </w:tc>
              <w:tc>
                <w:tcPr>
                  <w:tcW w:w="728"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mg/kg</w:t>
                  </w:r>
                </w:p>
              </w:tc>
              <w:tc>
                <w:tcPr>
                  <w:tcW w:w="728"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5.32</w:t>
                  </w:r>
                </w:p>
              </w:tc>
              <w:tc>
                <w:tcPr>
                  <w:tcW w:w="819" w:type="pct"/>
                  <w:vAlign w:val="center"/>
                </w:tcPr>
                <w:p>
                  <w:pPr>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30</w:t>
                  </w:r>
                </w:p>
              </w:tc>
              <w:tc>
                <w:tcPr>
                  <w:tcW w:w="585" w:type="pct"/>
                  <w:vAlign w:val="center"/>
                </w:tcPr>
                <w:p>
                  <w:pPr>
                    <w:jc w:val="center"/>
                    <w:textAlignment w:val="center"/>
                    <w:rPr>
                      <w:rFonts w:ascii="Times New Roman" w:hAnsi="Times New Roman" w:eastAsia="宋体" w:cs="Times New Roman"/>
                      <w:kern w:val="0"/>
                      <w:sz w:val="21"/>
                      <w:szCs w:val="21"/>
                    </w:rPr>
                  </w:pPr>
                  <w:r>
                    <w:rPr>
                      <w:rFonts w:ascii="Times New Roman" w:hAnsi="Times New Roman" w:eastAsia="等线" w:cs="Times New Roman"/>
                      <w:sz w:val="21"/>
                      <w:szCs w:val="21"/>
                    </w:rPr>
                    <w:t xml:space="preserve">0.18 </w:t>
                  </w:r>
                </w:p>
              </w:tc>
            </w:tr>
          </w:tbl>
          <w:p>
            <w:pPr>
              <w:widowControl/>
              <w:ind w:firstLine="480" w:firstLineChars="200"/>
              <w:jc w:val="left"/>
              <w:rPr>
                <w:szCs w:val="26"/>
              </w:rPr>
            </w:pPr>
            <w:r>
              <w:rPr>
                <w:rFonts w:hint="eastAsia"/>
                <w:szCs w:val="26"/>
              </w:rPr>
              <w:t>监测结果显示，监测的底泥满足《土壤环境质量农用地土壤污染风险管控标准》（GB15618-2018）。</w:t>
            </w:r>
          </w:p>
          <w:p>
            <w:pPr>
              <w:widowControl/>
              <w:ind w:firstLine="482" w:firstLineChars="200"/>
              <w:jc w:val="left"/>
              <w:rPr>
                <w:rFonts w:cs="Times New Roman" w:asciiTheme="majorHAnsi" w:hAnsiTheme="majorHAnsi"/>
                <w:b/>
                <w:bCs/>
                <w:kern w:val="0"/>
                <w:szCs w:val="20"/>
              </w:rPr>
            </w:pPr>
            <w:r>
              <w:rPr>
                <w:rFonts w:cs="Times New Roman" w:asciiTheme="majorHAnsi" w:hAnsiTheme="majorHAnsi"/>
                <w:b/>
                <w:bCs/>
                <w:kern w:val="0"/>
                <w:szCs w:val="20"/>
              </w:rPr>
              <w:t>4</w:t>
            </w:r>
            <w:r>
              <w:rPr>
                <w:rFonts w:hint="eastAsia" w:cs="Times New Roman" w:asciiTheme="majorHAnsi" w:hAnsiTheme="majorHAnsi"/>
                <w:b/>
                <w:bCs/>
                <w:kern w:val="0"/>
                <w:szCs w:val="20"/>
              </w:rPr>
              <w:t>、声环境质量现状</w:t>
            </w:r>
          </w:p>
          <w:p>
            <w:pPr>
              <w:widowControl w:val="0"/>
              <w:ind w:firstLine="480" w:firstLineChars="200"/>
              <w:jc w:val="both"/>
            </w:pPr>
            <w:r>
              <w:rPr>
                <w:rFonts w:hint="eastAsia"/>
              </w:rPr>
              <w:t>（1）监测布点</w:t>
            </w:r>
          </w:p>
          <w:p>
            <w:pPr>
              <w:widowControl w:val="0"/>
              <w:ind w:firstLine="480" w:firstLineChars="200"/>
              <w:jc w:val="both"/>
            </w:pPr>
            <w:r>
              <w:rPr>
                <w:rFonts w:hint="eastAsia" w:cs="Times New Roman" w:asciiTheme="majorHAnsi" w:hAnsiTheme="majorHAnsi"/>
                <w:kern w:val="0"/>
                <w:szCs w:val="20"/>
              </w:rPr>
              <w:t>根据现场踏勘可知，</w:t>
            </w:r>
            <w:r>
              <w:rPr>
                <w:rFonts w:cs="Times New Roman" w:asciiTheme="majorHAnsi" w:hAnsiTheme="majorHAnsi"/>
                <w:kern w:val="0"/>
                <w:szCs w:val="20"/>
              </w:rPr>
              <w:t>本项目</w:t>
            </w:r>
            <w:r>
              <w:rPr>
                <w:rFonts w:hint="eastAsia" w:cs="Times New Roman" w:asciiTheme="majorHAnsi" w:hAnsiTheme="majorHAnsi"/>
                <w:kern w:val="0"/>
                <w:szCs w:val="20"/>
              </w:rPr>
              <w:t>污水处理厂</w:t>
            </w:r>
            <w:r>
              <w:rPr>
                <w:rFonts w:cs="Times New Roman" w:asciiTheme="majorHAnsi" w:hAnsiTheme="majorHAnsi"/>
                <w:kern w:val="0"/>
                <w:szCs w:val="20"/>
              </w:rPr>
              <w:t>周边50m范围内不存在声环境保护目标，根据《建设项目环境影响报告表编制技术指南（污染影响类）（试行）》，</w:t>
            </w:r>
            <w:r>
              <w:rPr>
                <w:rFonts w:hint="eastAsia" w:cs="Times New Roman" w:asciiTheme="majorHAnsi" w:hAnsiTheme="majorHAnsi"/>
                <w:kern w:val="0"/>
                <w:szCs w:val="20"/>
              </w:rPr>
              <w:t>污水处理厂周边</w:t>
            </w:r>
            <w:r>
              <w:rPr>
                <w:rFonts w:cs="Times New Roman" w:asciiTheme="majorHAnsi" w:hAnsiTheme="majorHAnsi"/>
                <w:kern w:val="0"/>
                <w:szCs w:val="20"/>
              </w:rPr>
              <w:t>不需开展声环境质量现状监测</w:t>
            </w:r>
            <w:r>
              <w:rPr>
                <w:rFonts w:hint="eastAsia" w:cs="Times New Roman" w:asciiTheme="majorHAnsi" w:hAnsiTheme="majorHAnsi"/>
                <w:kern w:val="0"/>
                <w:szCs w:val="20"/>
              </w:rPr>
              <w:t>；项目污水收集管网周围分布少量住户，</w:t>
            </w:r>
            <w:r>
              <w:t>为了了解项目所在区域声环境质量现状，</w:t>
            </w:r>
            <w:r>
              <w:rPr>
                <w:rFonts w:hint="eastAsia" w:cs="Times New Roman" w:asciiTheme="majorHAnsi" w:hAnsiTheme="majorHAnsi"/>
                <w:kern w:val="0"/>
                <w:szCs w:val="20"/>
              </w:rPr>
              <w:t>对管网周边零散居民进行了噪声现状监测</w:t>
            </w:r>
            <w:r>
              <w:t>。具体监测</w:t>
            </w:r>
            <w:r>
              <w:rPr>
                <w:rFonts w:hint="eastAsia"/>
              </w:rPr>
              <w:t>点位</w:t>
            </w:r>
            <w:r>
              <w:t>详见下表</w:t>
            </w:r>
            <w:r>
              <w:rPr>
                <w:rFonts w:hint="eastAsia"/>
              </w:rPr>
              <w:t>：</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噪声监测布点</w:t>
            </w:r>
          </w:p>
          <w:tbl>
            <w:tblPr>
              <w:tblStyle w:val="1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3357"/>
              <w:gridCol w:w="3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vAlign w:val="center"/>
                </w:tcPr>
                <w:p>
                  <w:pPr>
                    <w:jc w:val="center"/>
                    <w:rPr>
                      <w:b/>
                      <w:bCs/>
                      <w:sz w:val="21"/>
                      <w:szCs w:val="21"/>
                    </w:rPr>
                  </w:pPr>
                  <w:r>
                    <w:rPr>
                      <w:rFonts w:hAnsi="宋体"/>
                      <w:b/>
                      <w:bCs/>
                      <w:sz w:val="21"/>
                      <w:szCs w:val="21"/>
                    </w:rPr>
                    <w:t>编号</w:t>
                  </w:r>
                </w:p>
              </w:tc>
              <w:tc>
                <w:tcPr>
                  <w:tcW w:w="2033" w:type="pct"/>
                  <w:vAlign w:val="center"/>
                </w:tcPr>
                <w:p>
                  <w:pPr>
                    <w:ind w:firstLine="105" w:firstLineChars="50"/>
                    <w:jc w:val="center"/>
                    <w:rPr>
                      <w:b/>
                      <w:bCs/>
                      <w:sz w:val="21"/>
                      <w:szCs w:val="21"/>
                    </w:rPr>
                  </w:pPr>
                  <w:r>
                    <w:rPr>
                      <w:b/>
                      <w:bCs/>
                      <w:sz w:val="21"/>
                      <w:szCs w:val="21"/>
                    </w:rPr>
                    <w:t>监测点位置</w:t>
                  </w:r>
                </w:p>
              </w:tc>
              <w:tc>
                <w:tcPr>
                  <w:tcW w:w="2155" w:type="pct"/>
                  <w:vAlign w:val="center"/>
                </w:tcPr>
                <w:p>
                  <w:pPr>
                    <w:ind w:firstLine="422" w:firstLineChars="200"/>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vAlign w:val="center"/>
                </w:tcPr>
                <w:p>
                  <w:pPr>
                    <w:jc w:val="center"/>
                    <w:rPr>
                      <w:sz w:val="21"/>
                      <w:szCs w:val="21"/>
                    </w:rPr>
                  </w:pPr>
                  <w:r>
                    <w:rPr>
                      <w:rFonts w:hint="eastAsia"/>
                      <w:sz w:val="21"/>
                      <w:szCs w:val="21"/>
                    </w:rPr>
                    <w:t>1</w:t>
                  </w:r>
                  <w:r>
                    <w:rPr>
                      <w:sz w:val="21"/>
                      <w:szCs w:val="21"/>
                    </w:rPr>
                    <w:t>#</w:t>
                  </w:r>
                </w:p>
              </w:tc>
              <w:tc>
                <w:tcPr>
                  <w:tcW w:w="2033" w:type="pct"/>
                  <w:vAlign w:val="center"/>
                </w:tcPr>
                <w:p>
                  <w:pPr>
                    <w:jc w:val="center"/>
                    <w:rPr>
                      <w:sz w:val="21"/>
                      <w:szCs w:val="21"/>
                    </w:rPr>
                  </w:pPr>
                  <w:r>
                    <w:rPr>
                      <w:rFonts w:hint="eastAsia"/>
                      <w:sz w:val="21"/>
                      <w:szCs w:val="21"/>
                    </w:rPr>
                    <w:t>污水收集管北侧敏感点</w:t>
                  </w:r>
                </w:p>
              </w:tc>
              <w:tc>
                <w:tcPr>
                  <w:tcW w:w="2155" w:type="pct"/>
                  <w:vMerge w:val="restart"/>
                  <w:vAlign w:val="center"/>
                </w:tcPr>
                <w:p>
                  <w:pPr>
                    <w:ind w:firstLine="420" w:firstLineChars="200"/>
                    <w:jc w:val="center"/>
                    <w:rPr>
                      <w:sz w:val="21"/>
                      <w:szCs w:val="21"/>
                    </w:rPr>
                  </w:pPr>
                  <w:r>
                    <w:rPr>
                      <w:rFonts w:hint="eastAsia"/>
                      <w:sz w:val="21"/>
                      <w:szCs w:val="21"/>
                    </w:rPr>
                    <w:t>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vAlign w:val="center"/>
                </w:tcPr>
                <w:p>
                  <w:pPr>
                    <w:jc w:val="center"/>
                    <w:rPr>
                      <w:sz w:val="21"/>
                      <w:szCs w:val="21"/>
                    </w:rPr>
                  </w:pPr>
                  <w:r>
                    <w:rPr>
                      <w:rFonts w:hint="eastAsia"/>
                      <w:sz w:val="21"/>
                      <w:szCs w:val="21"/>
                    </w:rPr>
                    <w:t>2</w:t>
                  </w:r>
                  <w:r>
                    <w:rPr>
                      <w:sz w:val="21"/>
                      <w:szCs w:val="21"/>
                    </w:rPr>
                    <w:t>#</w:t>
                  </w:r>
                </w:p>
              </w:tc>
              <w:tc>
                <w:tcPr>
                  <w:tcW w:w="2033" w:type="pct"/>
                  <w:vAlign w:val="center"/>
                </w:tcPr>
                <w:p>
                  <w:pPr>
                    <w:jc w:val="center"/>
                    <w:rPr>
                      <w:sz w:val="21"/>
                      <w:szCs w:val="21"/>
                    </w:rPr>
                  </w:pPr>
                  <w:r>
                    <w:rPr>
                      <w:rFonts w:hint="eastAsia"/>
                      <w:sz w:val="21"/>
                      <w:szCs w:val="21"/>
                    </w:rPr>
                    <w:t>污水收集管北侧敏感点</w:t>
                  </w:r>
                </w:p>
              </w:tc>
              <w:tc>
                <w:tcPr>
                  <w:tcW w:w="2155" w:type="pct"/>
                  <w:vMerge w:val="continue"/>
                  <w:vAlign w:val="center"/>
                </w:tcPr>
                <w:p>
                  <w:pPr>
                    <w:ind w:firstLine="420" w:firstLineChars="20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vAlign w:val="center"/>
                </w:tcPr>
                <w:p>
                  <w:pPr>
                    <w:jc w:val="center"/>
                    <w:rPr>
                      <w:sz w:val="21"/>
                      <w:szCs w:val="21"/>
                    </w:rPr>
                  </w:pPr>
                  <w:r>
                    <w:rPr>
                      <w:rFonts w:hint="eastAsia"/>
                      <w:sz w:val="21"/>
                      <w:szCs w:val="21"/>
                    </w:rPr>
                    <w:t>3</w:t>
                  </w:r>
                  <w:r>
                    <w:rPr>
                      <w:sz w:val="21"/>
                      <w:szCs w:val="21"/>
                    </w:rPr>
                    <w:t>#</w:t>
                  </w:r>
                </w:p>
              </w:tc>
              <w:tc>
                <w:tcPr>
                  <w:tcW w:w="2033" w:type="pct"/>
                  <w:vAlign w:val="center"/>
                </w:tcPr>
                <w:p>
                  <w:pPr>
                    <w:jc w:val="center"/>
                    <w:rPr>
                      <w:sz w:val="21"/>
                      <w:szCs w:val="21"/>
                    </w:rPr>
                  </w:pPr>
                  <w:r>
                    <w:rPr>
                      <w:rFonts w:hint="eastAsia"/>
                      <w:sz w:val="21"/>
                      <w:szCs w:val="21"/>
                    </w:rPr>
                    <w:t>污水收集管北侧敏感点</w:t>
                  </w:r>
                </w:p>
              </w:tc>
              <w:tc>
                <w:tcPr>
                  <w:tcW w:w="2155" w:type="pct"/>
                  <w:vMerge w:val="continue"/>
                  <w:vAlign w:val="center"/>
                </w:tcPr>
                <w:p>
                  <w:pPr>
                    <w:ind w:firstLine="420" w:firstLineChars="200"/>
                    <w:jc w:val="center"/>
                    <w:rPr>
                      <w:sz w:val="21"/>
                      <w:szCs w:val="21"/>
                    </w:rPr>
                  </w:pPr>
                </w:p>
              </w:tc>
            </w:tr>
          </w:tbl>
          <w:p>
            <w:pPr>
              <w:widowControl w:val="0"/>
              <w:ind w:firstLine="480" w:firstLineChars="200"/>
              <w:jc w:val="both"/>
            </w:pPr>
            <w:r>
              <w:rPr>
                <w:rFonts w:hint="eastAsia"/>
              </w:rPr>
              <w:t>（2）监测项目及监测方法</w:t>
            </w:r>
          </w:p>
          <w:p>
            <w:pPr>
              <w:widowControl w:val="0"/>
              <w:ind w:firstLine="480" w:firstLineChars="200"/>
              <w:jc w:val="both"/>
            </w:pPr>
            <w:r>
              <w:t>监测项目：各测点处的等效连续A声级值。</w:t>
            </w:r>
          </w:p>
          <w:p>
            <w:pPr>
              <w:widowControl w:val="0"/>
              <w:ind w:firstLine="480" w:firstLineChars="200"/>
              <w:jc w:val="both"/>
            </w:pPr>
            <w:r>
              <w:t xml:space="preserve">监测方法：监测方法采用国家环保局颁布的《环境监测技术规范》规定 </w:t>
            </w:r>
          </w:p>
          <w:p>
            <w:pPr>
              <w:widowControl w:val="0"/>
              <w:ind w:firstLine="480" w:firstLineChars="200"/>
              <w:jc w:val="both"/>
            </w:pPr>
            <w:r>
              <w:t>的测试方法。</w:t>
            </w:r>
          </w:p>
          <w:p>
            <w:pPr>
              <w:widowControl w:val="0"/>
              <w:ind w:firstLine="480" w:firstLineChars="200"/>
              <w:jc w:val="both"/>
            </w:pPr>
            <w:r>
              <w:rPr>
                <w:rFonts w:hint="eastAsia"/>
              </w:rPr>
              <w:t>（3）监测结果</w:t>
            </w:r>
          </w:p>
          <w:p>
            <w:pPr>
              <w:widowControl w:val="0"/>
              <w:ind w:firstLine="480" w:firstLineChars="200"/>
              <w:jc w:val="both"/>
            </w:pPr>
            <w:r>
              <w:t>监测结果统计如下表：</w:t>
            </w:r>
          </w:p>
          <w:p>
            <w:pPr>
              <w:pStyle w:val="237"/>
              <w:numPr>
                <w:ilvl w:val="0"/>
                <w:numId w:val="6"/>
              </w:numPr>
              <w:spacing w:line="240" w:lineRule="auto"/>
              <w:rPr>
                <w:rFonts w:ascii="黑体" w:hAnsi="黑体" w:eastAsia="黑体"/>
                <w:b w:val="0"/>
                <w:bCs w:val="0"/>
                <w:color w:val="auto"/>
              </w:rPr>
            </w:pPr>
            <w:r>
              <w:rPr>
                <w:rFonts w:ascii="黑体" w:hAnsi="黑体" w:eastAsia="黑体"/>
                <w:b w:val="0"/>
                <w:bCs w:val="0"/>
                <w:color w:val="auto"/>
              </w:rPr>
              <w:t>声环境噪声监测结果表</w:t>
            </w:r>
            <w:r>
              <w:rPr>
                <w:rFonts w:hint="eastAsia" w:ascii="黑体" w:hAnsi="黑体" w:eastAsia="黑体"/>
                <w:b w:val="0"/>
                <w:bCs w:val="0"/>
                <w:color w:val="auto"/>
              </w:rPr>
              <w:t xml:space="preserve"> </w:t>
            </w:r>
            <w:r>
              <w:rPr>
                <w:rFonts w:ascii="黑体" w:hAnsi="黑体" w:eastAsia="黑体"/>
                <w:b w:val="0"/>
                <w:bCs w:val="0"/>
                <w:color w:val="auto"/>
              </w:rPr>
              <w:t xml:space="preserve"> 等效声级LAeq：dB（A）</w:t>
            </w:r>
          </w:p>
          <w:tbl>
            <w:tblPr>
              <w:tblStyle w:val="130"/>
              <w:tblW w:w="8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6"/>
              <w:gridCol w:w="1303"/>
              <w:gridCol w:w="1963"/>
              <w:gridCol w:w="1424"/>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146" w:type="dxa"/>
                  <w:vAlign w:val="center"/>
                </w:tcPr>
                <w:p>
                  <w:pPr>
                    <w:pStyle w:val="40"/>
                    <w:adjustRightInd w:val="0"/>
                    <w:snapToGrid w:val="0"/>
                    <w:spacing w:before="0" w:beforeAutospacing="0" w:after="0" w:afterAutospacing="0"/>
                    <w:ind w:left="480" w:right="240"/>
                    <w:jc w:val="center"/>
                    <w:rPr>
                      <w:rFonts w:ascii="Times New Roman" w:hAnsi="Times New Roman"/>
                      <w:b/>
                      <w:sz w:val="21"/>
                      <w:szCs w:val="21"/>
                    </w:rPr>
                  </w:pPr>
                  <w:r>
                    <w:rPr>
                      <w:rFonts w:ascii="Times New Roman" w:hAnsi="Times New Roman"/>
                      <w:b/>
                      <w:sz w:val="21"/>
                      <w:szCs w:val="21"/>
                    </w:rPr>
                    <w:t>检测点位</w:t>
                  </w:r>
                </w:p>
              </w:tc>
              <w:tc>
                <w:tcPr>
                  <w:tcW w:w="1303" w:type="dxa"/>
                  <w:vAlign w:val="center"/>
                </w:tcPr>
                <w:p>
                  <w:pPr>
                    <w:pStyle w:val="40"/>
                    <w:adjustRightInd w:val="0"/>
                    <w:snapToGrid w:val="0"/>
                    <w:spacing w:before="0" w:beforeAutospacing="0" w:after="0" w:afterAutospacing="0"/>
                    <w:ind w:right="240"/>
                    <w:rPr>
                      <w:rFonts w:ascii="Times New Roman" w:hAnsi="Times New Roman"/>
                      <w:b/>
                      <w:sz w:val="21"/>
                      <w:szCs w:val="21"/>
                    </w:rPr>
                  </w:pPr>
                  <w:r>
                    <w:rPr>
                      <w:rFonts w:ascii="Times New Roman" w:hAnsi="Times New Roman"/>
                      <w:b/>
                      <w:sz w:val="21"/>
                      <w:szCs w:val="21"/>
                    </w:rPr>
                    <w:t>检测日期</w:t>
                  </w:r>
                </w:p>
              </w:tc>
              <w:tc>
                <w:tcPr>
                  <w:tcW w:w="1963" w:type="dxa"/>
                  <w:vAlign w:val="center"/>
                </w:tcPr>
                <w:p>
                  <w:pPr>
                    <w:pStyle w:val="40"/>
                    <w:adjustRightInd w:val="0"/>
                    <w:snapToGrid w:val="0"/>
                    <w:spacing w:before="0" w:beforeAutospacing="0" w:after="0" w:afterAutospacing="0"/>
                    <w:ind w:left="480" w:right="240"/>
                    <w:rPr>
                      <w:rFonts w:ascii="Times New Roman" w:hAnsi="Times New Roman"/>
                      <w:b/>
                      <w:sz w:val="21"/>
                      <w:szCs w:val="21"/>
                    </w:rPr>
                  </w:pPr>
                  <w:r>
                    <w:rPr>
                      <w:rFonts w:ascii="Times New Roman" w:hAnsi="Times New Roman"/>
                      <w:b/>
                      <w:sz w:val="21"/>
                      <w:szCs w:val="21"/>
                    </w:rPr>
                    <w:t>检测时间</w:t>
                  </w:r>
                </w:p>
              </w:tc>
              <w:tc>
                <w:tcPr>
                  <w:tcW w:w="1424" w:type="dxa"/>
                  <w:vAlign w:val="center"/>
                </w:tcPr>
                <w:p>
                  <w:pPr>
                    <w:pStyle w:val="108"/>
                    <w:adjustRightInd w:val="0"/>
                    <w:snapToGrid w:val="0"/>
                    <w:spacing w:line="240" w:lineRule="auto"/>
                    <w:rPr>
                      <w:rFonts w:ascii="Times New Roman" w:hAnsi="Times New Roman"/>
                      <w:szCs w:val="21"/>
                    </w:rPr>
                  </w:pPr>
                  <w:r>
                    <w:rPr>
                      <w:rFonts w:ascii="Times New Roman" w:hAnsi="Times New Roman"/>
                      <w:szCs w:val="21"/>
                    </w:rPr>
                    <w:t>检测结果dB(A)</w:t>
                  </w:r>
                </w:p>
              </w:tc>
              <w:tc>
                <w:tcPr>
                  <w:tcW w:w="1374" w:type="dxa"/>
                  <w:vAlign w:val="center"/>
                </w:tcPr>
                <w:p>
                  <w:pPr>
                    <w:pStyle w:val="108"/>
                    <w:adjustRightInd w:val="0"/>
                    <w:snapToGrid w:val="0"/>
                    <w:spacing w:line="240" w:lineRule="auto"/>
                    <w:rPr>
                      <w:rFonts w:ascii="Times New Roman" w:hAnsi="Times New Roman"/>
                      <w:szCs w:val="21"/>
                    </w:rPr>
                  </w:pPr>
                  <w:r>
                    <w:rPr>
                      <w:rFonts w:ascii="Times New Roman" w:hAnsi="Times New Roman"/>
                      <w:szCs w:val="21"/>
                    </w:rPr>
                    <w:t>标准限值dB(A)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146" w:type="dxa"/>
                  <w:vMerge w:val="restart"/>
                  <w:vAlign w:val="center"/>
                </w:tcPr>
                <w:p>
                  <w:pPr>
                    <w:spacing w:line="240" w:lineRule="auto"/>
                    <w:jc w:val="center"/>
                    <w:textAlignment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 污水收集管北侧居民处A</w:t>
                  </w:r>
                </w:p>
              </w:tc>
              <w:tc>
                <w:tcPr>
                  <w:tcW w:w="1303" w:type="dxa"/>
                  <w:vMerge w:val="restart"/>
                  <w:vAlign w:val="center"/>
                </w:tcPr>
                <w:p>
                  <w:pPr>
                    <w:tabs>
                      <w:tab w:val="left" w:pos="1890"/>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4月8日</w:t>
                  </w:r>
                </w:p>
              </w:tc>
              <w:tc>
                <w:tcPr>
                  <w:tcW w:w="1963"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14:15-14:25</w:t>
                  </w:r>
                  <w:r>
                    <w:rPr>
                      <w:rFonts w:hint="eastAsia" w:ascii="Times New Roman" w:hAnsi="Times New Roman" w:eastAsia="宋体" w:cs="Times New Roman"/>
                      <w:sz w:val="21"/>
                      <w:szCs w:val="21"/>
                    </w:rPr>
                    <w:t>（昼）</w:t>
                  </w:r>
                </w:p>
              </w:tc>
              <w:tc>
                <w:tcPr>
                  <w:tcW w:w="1424"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52</w:t>
                  </w:r>
                </w:p>
              </w:tc>
              <w:tc>
                <w:tcPr>
                  <w:tcW w:w="1374" w:type="dxa"/>
                  <w:vMerge w:val="restart"/>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昼间≤60</w:t>
                  </w:r>
                </w:p>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夜间≤50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146" w:type="dxa"/>
                  <w:vMerge w:val="continue"/>
                  <w:vAlign w:val="center"/>
                </w:tcPr>
                <w:p>
                  <w:pPr>
                    <w:spacing w:line="240" w:lineRule="auto"/>
                    <w:jc w:val="center"/>
                    <w:textAlignment w:val="center"/>
                    <w:rPr>
                      <w:rFonts w:ascii="Times New Roman" w:hAnsi="Times New Roman" w:eastAsia="宋体" w:cs="Times New Roman"/>
                      <w:sz w:val="21"/>
                      <w:szCs w:val="21"/>
                    </w:rPr>
                  </w:pPr>
                </w:p>
              </w:tc>
              <w:tc>
                <w:tcPr>
                  <w:tcW w:w="1303" w:type="dxa"/>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1963"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22:02-22:12</w:t>
                  </w:r>
                  <w:r>
                    <w:rPr>
                      <w:rFonts w:hint="eastAsia" w:ascii="Times New Roman" w:hAnsi="Times New Roman" w:eastAsia="宋体" w:cs="Times New Roman"/>
                      <w:sz w:val="21"/>
                      <w:szCs w:val="21"/>
                    </w:rPr>
                    <w:t>（夜）</w:t>
                  </w:r>
                </w:p>
              </w:tc>
              <w:tc>
                <w:tcPr>
                  <w:tcW w:w="1424"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37</w:t>
                  </w:r>
                </w:p>
              </w:tc>
              <w:tc>
                <w:tcPr>
                  <w:tcW w:w="1374" w:type="dxa"/>
                  <w:vMerge w:val="continue"/>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146" w:type="dxa"/>
                  <w:vMerge w:val="restar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2#污水收集管北侧居民处B</w:t>
                  </w:r>
                </w:p>
              </w:tc>
              <w:tc>
                <w:tcPr>
                  <w:tcW w:w="1303" w:type="dxa"/>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1963"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14:41-14:51</w:t>
                  </w:r>
                  <w:r>
                    <w:rPr>
                      <w:rFonts w:hint="eastAsia" w:ascii="Times New Roman" w:hAnsi="Times New Roman" w:eastAsia="宋体" w:cs="Times New Roman"/>
                      <w:sz w:val="21"/>
                      <w:szCs w:val="21"/>
                    </w:rPr>
                    <w:t>（昼）</w:t>
                  </w:r>
                </w:p>
              </w:tc>
              <w:tc>
                <w:tcPr>
                  <w:tcW w:w="1424"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53</w:t>
                  </w:r>
                </w:p>
              </w:tc>
              <w:tc>
                <w:tcPr>
                  <w:tcW w:w="1374" w:type="dxa"/>
                  <w:vMerge w:val="continue"/>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146" w:type="dxa"/>
                  <w:vMerge w:val="continue"/>
                  <w:vAlign w:val="center"/>
                </w:tcPr>
                <w:p>
                  <w:pPr>
                    <w:spacing w:line="240" w:lineRule="auto"/>
                    <w:jc w:val="center"/>
                    <w:textAlignment w:val="center"/>
                    <w:rPr>
                      <w:rFonts w:ascii="Times New Roman" w:hAnsi="Times New Roman" w:eastAsia="宋体" w:cs="Times New Roman"/>
                      <w:sz w:val="21"/>
                      <w:szCs w:val="21"/>
                    </w:rPr>
                  </w:pPr>
                </w:p>
              </w:tc>
              <w:tc>
                <w:tcPr>
                  <w:tcW w:w="1303" w:type="dxa"/>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1963"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22:34-22:44</w:t>
                  </w:r>
                  <w:r>
                    <w:rPr>
                      <w:rFonts w:hint="eastAsia" w:ascii="Times New Roman" w:hAnsi="Times New Roman" w:eastAsia="宋体" w:cs="Times New Roman"/>
                      <w:sz w:val="21"/>
                      <w:szCs w:val="21"/>
                    </w:rPr>
                    <w:t>（夜）</w:t>
                  </w:r>
                </w:p>
              </w:tc>
              <w:tc>
                <w:tcPr>
                  <w:tcW w:w="1424"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39</w:t>
                  </w:r>
                </w:p>
              </w:tc>
              <w:tc>
                <w:tcPr>
                  <w:tcW w:w="1374" w:type="dxa"/>
                  <w:vMerge w:val="continue"/>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146" w:type="dxa"/>
                  <w:vMerge w:val="restar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3#污水收集管北侧居民处C</w:t>
                  </w:r>
                </w:p>
              </w:tc>
              <w:tc>
                <w:tcPr>
                  <w:tcW w:w="1303" w:type="dxa"/>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1963"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15:16-15:26</w:t>
                  </w:r>
                  <w:r>
                    <w:rPr>
                      <w:rFonts w:hint="eastAsia" w:ascii="Times New Roman" w:hAnsi="Times New Roman" w:eastAsia="宋体" w:cs="Times New Roman"/>
                      <w:sz w:val="21"/>
                      <w:szCs w:val="21"/>
                    </w:rPr>
                    <w:t>（昼）</w:t>
                  </w:r>
                </w:p>
              </w:tc>
              <w:tc>
                <w:tcPr>
                  <w:tcW w:w="1424"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53</w:t>
                  </w:r>
                </w:p>
              </w:tc>
              <w:tc>
                <w:tcPr>
                  <w:tcW w:w="1374" w:type="dxa"/>
                  <w:vMerge w:val="continue"/>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2146" w:type="dxa"/>
                  <w:vMerge w:val="continue"/>
                  <w:vAlign w:val="center"/>
                </w:tcPr>
                <w:p>
                  <w:pPr>
                    <w:spacing w:line="240" w:lineRule="auto"/>
                    <w:jc w:val="center"/>
                    <w:textAlignment w:val="center"/>
                    <w:rPr>
                      <w:rFonts w:ascii="Times New Roman" w:hAnsi="Times New Roman" w:eastAsia="宋体" w:cs="Times New Roman"/>
                      <w:sz w:val="21"/>
                      <w:szCs w:val="21"/>
                    </w:rPr>
                  </w:pPr>
                </w:p>
              </w:tc>
              <w:tc>
                <w:tcPr>
                  <w:tcW w:w="1303" w:type="dxa"/>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1963"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23:07-23:17</w:t>
                  </w:r>
                  <w:r>
                    <w:rPr>
                      <w:rFonts w:hint="eastAsia" w:ascii="Times New Roman" w:hAnsi="Times New Roman" w:eastAsia="宋体" w:cs="Times New Roman"/>
                      <w:sz w:val="21"/>
                      <w:szCs w:val="21"/>
                    </w:rPr>
                    <w:t>（夜）</w:t>
                  </w:r>
                </w:p>
              </w:tc>
              <w:tc>
                <w:tcPr>
                  <w:tcW w:w="1424"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37</w:t>
                  </w:r>
                </w:p>
              </w:tc>
              <w:tc>
                <w:tcPr>
                  <w:tcW w:w="1374" w:type="dxa"/>
                  <w:vMerge w:val="continue"/>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146" w:type="dxa"/>
                  <w:vMerge w:val="restar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1# 污水收集管北侧居民处A</w:t>
                  </w:r>
                </w:p>
              </w:tc>
              <w:tc>
                <w:tcPr>
                  <w:tcW w:w="1303" w:type="dxa"/>
                  <w:vMerge w:val="restart"/>
                  <w:vAlign w:val="center"/>
                </w:tcPr>
                <w:p>
                  <w:pPr>
                    <w:tabs>
                      <w:tab w:val="left" w:pos="1890"/>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4月9日</w:t>
                  </w:r>
                </w:p>
              </w:tc>
              <w:tc>
                <w:tcPr>
                  <w:tcW w:w="1963"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10:32-10:42</w:t>
                  </w:r>
                  <w:r>
                    <w:rPr>
                      <w:rFonts w:hint="eastAsia" w:ascii="Times New Roman" w:hAnsi="Times New Roman" w:eastAsia="宋体" w:cs="Times New Roman"/>
                      <w:sz w:val="21"/>
                      <w:szCs w:val="21"/>
                    </w:rPr>
                    <w:t>（昼）</w:t>
                  </w:r>
                </w:p>
              </w:tc>
              <w:tc>
                <w:tcPr>
                  <w:tcW w:w="1424"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53</w:t>
                  </w:r>
                </w:p>
              </w:tc>
              <w:tc>
                <w:tcPr>
                  <w:tcW w:w="1374" w:type="dxa"/>
                  <w:vMerge w:val="continue"/>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146" w:type="dxa"/>
                  <w:vMerge w:val="continue"/>
                  <w:vAlign w:val="center"/>
                </w:tcPr>
                <w:p>
                  <w:pPr>
                    <w:spacing w:line="240" w:lineRule="auto"/>
                    <w:jc w:val="center"/>
                    <w:textAlignment w:val="center"/>
                    <w:rPr>
                      <w:rFonts w:ascii="Times New Roman" w:hAnsi="Times New Roman" w:eastAsia="宋体" w:cs="Times New Roman"/>
                      <w:sz w:val="21"/>
                      <w:szCs w:val="21"/>
                    </w:rPr>
                  </w:pPr>
                </w:p>
              </w:tc>
              <w:tc>
                <w:tcPr>
                  <w:tcW w:w="1303" w:type="dxa"/>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1963"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22:03-22:13</w:t>
                  </w:r>
                  <w:r>
                    <w:rPr>
                      <w:rFonts w:hint="eastAsia" w:ascii="Times New Roman" w:hAnsi="Times New Roman" w:eastAsia="宋体" w:cs="Times New Roman"/>
                      <w:sz w:val="21"/>
                      <w:szCs w:val="21"/>
                    </w:rPr>
                    <w:t>（夜）</w:t>
                  </w:r>
                </w:p>
              </w:tc>
              <w:tc>
                <w:tcPr>
                  <w:tcW w:w="1424"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39</w:t>
                  </w:r>
                </w:p>
              </w:tc>
              <w:tc>
                <w:tcPr>
                  <w:tcW w:w="1374" w:type="dxa"/>
                  <w:vMerge w:val="continue"/>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2146" w:type="dxa"/>
                  <w:vMerge w:val="restar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2#污水收集管北侧居民处B</w:t>
                  </w:r>
                </w:p>
              </w:tc>
              <w:tc>
                <w:tcPr>
                  <w:tcW w:w="1303" w:type="dxa"/>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1963"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11:07-11:17</w:t>
                  </w:r>
                  <w:r>
                    <w:rPr>
                      <w:rFonts w:hint="eastAsia" w:ascii="Times New Roman" w:hAnsi="Times New Roman" w:eastAsia="宋体" w:cs="Times New Roman"/>
                      <w:sz w:val="21"/>
                      <w:szCs w:val="21"/>
                    </w:rPr>
                    <w:t>（昼）</w:t>
                  </w:r>
                </w:p>
              </w:tc>
              <w:tc>
                <w:tcPr>
                  <w:tcW w:w="1424"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50</w:t>
                  </w:r>
                </w:p>
              </w:tc>
              <w:tc>
                <w:tcPr>
                  <w:tcW w:w="1374" w:type="dxa"/>
                  <w:vMerge w:val="continue"/>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146" w:type="dxa"/>
                  <w:vMerge w:val="continue"/>
                  <w:vAlign w:val="center"/>
                </w:tcPr>
                <w:p>
                  <w:pPr>
                    <w:spacing w:line="240" w:lineRule="auto"/>
                    <w:jc w:val="center"/>
                    <w:textAlignment w:val="center"/>
                    <w:rPr>
                      <w:rFonts w:ascii="Times New Roman" w:hAnsi="Times New Roman" w:eastAsia="宋体" w:cs="Times New Roman"/>
                      <w:sz w:val="21"/>
                      <w:szCs w:val="21"/>
                    </w:rPr>
                  </w:pPr>
                </w:p>
              </w:tc>
              <w:tc>
                <w:tcPr>
                  <w:tcW w:w="1303" w:type="dxa"/>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1963"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23:02-23:12</w:t>
                  </w:r>
                  <w:r>
                    <w:rPr>
                      <w:rFonts w:hint="eastAsia" w:ascii="Times New Roman" w:hAnsi="Times New Roman" w:eastAsia="宋体" w:cs="Times New Roman"/>
                      <w:sz w:val="21"/>
                      <w:szCs w:val="21"/>
                    </w:rPr>
                    <w:t>（夜）</w:t>
                  </w:r>
                </w:p>
              </w:tc>
              <w:tc>
                <w:tcPr>
                  <w:tcW w:w="1424"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38</w:t>
                  </w:r>
                </w:p>
              </w:tc>
              <w:tc>
                <w:tcPr>
                  <w:tcW w:w="1374" w:type="dxa"/>
                  <w:vMerge w:val="continue"/>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146" w:type="dxa"/>
                  <w:vMerge w:val="restar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3#污水收集管北侧居民处C</w:t>
                  </w:r>
                </w:p>
              </w:tc>
              <w:tc>
                <w:tcPr>
                  <w:tcW w:w="1303" w:type="dxa"/>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1963"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11:40-11:50</w:t>
                  </w:r>
                  <w:r>
                    <w:rPr>
                      <w:rFonts w:hint="eastAsia" w:ascii="Times New Roman" w:hAnsi="Times New Roman" w:eastAsia="宋体" w:cs="Times New Roman"/>
                      <w:sz w:val="21"/>
                      <w:szCs w:val="21"/>
                    </w:rPr>
                    <w:t>（昼）</w:t>
                  </w:r>
                </w:p>
              </w:tc>
              <w:tc>
                <w:tcPr>
                  <w:tcW w:w="1424"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50</w:t>
                  </w:r>
                </w:p>
              </w:tc>
              <w:tc>
                <w:tcPr>
                  <w:tcW w:w="1374" w:type="dxa"/>
                  <w:vMerge w:val="continue"/>
                  <w:vAlign w:val="center"/>
                </w:tcPr>
                <w:p>
                  <w:pPr>
                    <w:spacing w:line="240" w:lineRule="auto"/>
                    <w:jc w:val="center"/>
                    <w:textAlignment w:val="center"/>
                    <w:rPr>
                      <w:rFonts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146" w:type="dxa"/>
                  <w:vMerge w:val="continue"/>
                  <w:vAlign w:val="center"/>
                </w:tcPr>
                <w:p>
                  <w:pPr>
                    <w:spacing w:line="240" w:lineRule="auto"/>
                    <w:jc w:val="center"/>
                    <w:textAlignment w:val="center"/>
                    <w:rPr>
                      <w:rFonts w:ascii="Times New Roman" w:hAnsi="Times New Roman" w:eastAsia="宋体" w:cs="Times New Roman"/>
                      <w:sz w:val="21"/>
                      <w:szCs w:val="21"/>
                    </w:rPr>
                  </w:pPr>
                </w:p>
              </w:tc>
              <w:tc>
                <w:tcPr>
                  <w:tcW w:w="1303" w:type="dxa"/>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1963"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23:38-23:48</w:t>
                  </w:r>
                  <w:r>
                    <w:rPr>
                      <w:rFonts w:hint="eastAsia" w:ascii="Times New Roman" w:hAnsi="Times New Roman" w:eastAsia="宋体" w:cs="Times New Roman"/>
                      <w:sz w:val="21"/>
                      <w:szCs w:val="21"/>
                    </w:rPr>
                    <w:t>（夜）</w:t>
                  </w:r>
                </w:p>
              </w:tc>
              <w:tc>
                <w:tcPr>
                  <w:tcW w:w="1424" w:type="dxa"/>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sz w:val="21"/>
                      <w:szCs w:val="21"/>
                    </w:rPr>
                    <w:t>38</w:t>
                  </w:r>
                </w:p>
              </w:tc>
              <w:tc>
                <w:tcPr>
                  <w:tcW w:w="1374" w:type="dxa"/>
                  <w:vMerge w:val="continue"/>
                  <w:vAlign w:val="center"/>
                </w:tcPr>
                <w:p>
                  <w:pPr>
                    <w:spacing w:line="240" w:lineRule="auto"/>
                    <w:jc w:val="center"/>
                    <w:textAlignment w:val="center"/>
                    <w:rPr>
                      <w:rFonts w:ascii="Times New Roman" w:hAnsi="Times New Roman" w:eastAsia="宋体" w:cs="Times New Roman"/>
                      <w:sz w:val="21"/>
                      <w:szCs w:val="21"/>
                    </w:rPr>
                  </w:pPr>
                </w:p>
              </w:tc>
            </w:tr>
          </w:tbl>
          <w:p>
            <w:pPr>
              <w:widowControl w:val="0"/>
              <w:ind w:firstLine="480" w:firstLineChars="200"/>
              <w:jc w:val="both"/>
            </w:pPr>
            <w:r>
              <w:rPr>
                <w:rFonts w:hint="eastAsia"/>
              </w:rPr>
              <w:t>由上表可知，</w:t>
            </w:r>
            <w:r>
              <w:t>各监测点昼夜间噪声值能够满足《声环境质量标准》（GB3096-2008）中的2类标准。</w:t>
            </w:r>
          </w:p>
          <w:p>
            <w:pPr>
              <w:widowControl w:val="0"/>
              <w:spacing w:line="240" w:lineRule="auto"/>
              <w:ind w:firstLine="482" w:firstLineChars="200"/>
              <w:jc w:val="both"/>
              <w:rPr>
                <w:rFonts w:cs="Times New Roman" w:asciiTheme="majorHAnsi" w:hAnsiTheme="majorHAnsi"/>
                <w:b/>
                <w:bCs/>
                <w:kern w:val="0"/>
                <w:szCs w:val="20"/>
              </w:rPr>
            </w:pPr>
            <w:r>
              <w:rPr>
                <w:rFonts w:cs="Times New Roman" w:asciiTheme="majorHAnsi" w:hAnsiTheme="majorHAnsi"/>
                <w:b/>
                <w:bCs/>
                <w:kern w:val="0"/>
                <w:szCs w:val="20"/>
              </w:rPr>
              <w:t>5</w:t>
            </w:r>
            <w:r>
              <w:rPr>
                <w:rFonts w:hint="eastAsia" w:cs="Times New Roman" w:asciiTheme="majorHAnsi" w:hAnsiTheme="majorHAnsi"/>
                <w:b/>
                <w:bCs/>
                <w:kern w:val="0"/>
                <w:szCs w:val="20"/>
              </w:rPr>
              <w:t>、地下水环境质量现状</w:t>
            </w:r>
          </w:p>
          <w:p>
            <w:pPr>
              <w:widowControl w:val="0"/>
              <w:ind w:firstLine="480"/>
              <w:jc w:val="both"/>
              <w:rPr>
                <w:rFonts w:ascii="Times New Roman" w:hAnsi="Times New Roman" w:eastAsia="宋体" w:cs="Times New Roman"/>
                <w:kern w:val="21"/>
                <w:sz w:val="21"/>
                <w:szCs w:val="20"/>
              </w:rPr>
            </w:pPr>
            <w:r>
              <w:rPr>
                <w:rFonts w:hint="eastAsia"/>
                <w:szCs w:val="26"/>
              </w:rPr>
              <w:t>四川锡水金山环保科技有限公司于</w:t>
            </w:r>
            <w:r>
              <w:rPr>
                <w:szCs w:val="26"/>
              </w:rPr>
              <w:t>2023</w:t>
            </w:r>
            <w:r>
              <w:rPr>
                <w:rFonts w:hint="eastAsia"/>
                <w:szCs w:val="26"/>
              </w:rPr>
              <w:t>年</w:t>
            </w:r>
            <w:r>
              <w:rPr>
                <w:szCs w:val="26"/>
              </w:rPr>
              <w:t>1</w:t>
            </w:r>
            <w:r>
              <w:rPr>
                <w:rFonts w:hint="eastAsia"/>
                <w:szCs w:val="26"/>
              </w:rPr>
              <w:t>月</w:t>
            </w:r>
            <w:r>
              <w:rPr>
                <w:szCs w:val="26"/>
              </w:rPr>
              <w:t>3</w:t>
            </w:r>
            <w:r>
              <w:rPr>
                <w:rFonts w:hint="eastAsia"/>
                <w:szCs w:val="26"/>
              </w:rPr>
              <w:t>日对拟建项目周边敏感点进行地下水环境质量现状监测，以便了解本项目区域内地下水环境质量现状。</w:t>
            </w:r>
          </w:p>
          <w:p>
            <w:pPr>
              <w:widowControl w:val="0"/>
              <w:snapToGrid w:val="0"/>
              <w:ind w:firstLine="482" w:firstLineChars="200"/>
              <w:jc w:val="both"/>
              <w:rPr>
                <w:b/>
                <w:bCs/>
              </w:rPr>
            </w:pPr>
            <w:r>
              <w:rPr>
                <w:rFonts w:hint="eastAsia"/>
                <w:b/>
                <w:bCs/>
              </w:rPr>
              <w:t>（1）监测点位及监测因子</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地下水监测点位</w:t>
            </w:r>
          </w:p>
          <w:tbl>
            <w:tblPr>
              <w:tblStyle w:val="44"/>
              <w:tblW w:w="826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992"/>
              <w:gridCol w:w="1134"/>
              <w:gridCol w:w="61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51" w:hRule="atLeast"/>
                <w:jc w:val="center"/>
              </w:trPr>
              <w:tc>
                <w:tcPr>
                  <w:tcW w:w="992"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b/>
                      <w:bCs/>
                      <w:sz w:val="21"/>
                      <w:szCs w:val="21"/>
                      <w:shd w:val="clear" w:color="auto" w:fill="auto"/>
                    </w:rPr>
                  </w:pPr>
                  <w:r>
                    <w:rPr>
                      <w:rFonts w:hint="eastAsia"/>
                      <w:b/>
                      <w:bCs/>
                      <w:sz w:val="21"/>
                      <w:szCs w:val="21"/>
                      <w:shd w:val="clear" w:color="auto" w:fill="auto"/>
                    </w:rPr>
                    <w:t>点位编号</w:t>
                  </w:r>
                </w:p>
              </w:tc>
              <w:tc>
                <w:tcPr>
                  <w:tcW w:w="1134" w:type="dxa"/>
                  <w:tcBorders>
                    <w:top w:val="single" w:color="000000" w:sz="8" w:space="0"/>
                    <w:left w:val="single" w:color="000000" w:sz="8" w:space="0"/>
                    <w:bottom w:val="single" w:color="000000" w:sz="8" w:space="0"/>
                    <w:right w:val="single" w:color="auto" w:sz="4" w:space="0"/>
                  </w:tcBorders>
                  <w:shd w:val="clear" w:color="auto" w:fill="auto"/>
                  <w:vAlign w:val="center"/>
                </w:tcPr>
                <w:p>
                  <w:pPr>
                    <w:jc w:val="center"/>
                    <w:rPr>
                      <w:b/>
                      <w:bCs/>
                      <w:sz w:val="21"/>
                      <w:szCs w:val="21"/>
                      <w:shd w:val="clear" w:color="auto" w:fill="auto"/>
                    </w:rPr>
                  </w:pPr>
                  <w:r>
                    <w:rPr>
                      <w:b/>
                      <w:bCs/>
                      <w:sz w:val="21"/>
                      <w:szCs w:val="21"/>
                      <w:shd w:val="clear" w:color="auto" w:fill="auto"/>
                    </w:rPr>
                    <w:t>监测点名称</w:t>
                  </w:r>
                </w:p>
              </w:tc>
              <w:tc>
                <w:tcPr>
                  <w:tcW w:w="6140" w:type="dxa"/>
                  <w:tcBorders>
                    <w:top w:val="single" w:color="000000" w:sz="8" w:space="0"/>
                    <w:left w:val="single" w:color="auto" w:sz="4" w:space="0"/>
                    <w:bottom w:val="single" w:color="000000" w:sz="8" w:space="0"/>
                    <w:right w:val="single" w:color="000000" w:sz="8" w:space="0"/>
                  </w:tcBorders>
                  <w:shd w:val="clear" w:color="auto" w:fill="auto"/>
                  <w:vAlign w:val="center"/>
                </w:tcPr>
                <w:p>
                  <w:pPr>
                    <w:jc w:val="center"/>
                    <w:rPr>
                      <w:b/>
                      <w:bCs/>
                      <w:sz w:val="21"/>
                      <w:szCs w:val="21"/>
                      <w:shd w:val="clear" w:color="auto" w:fill="auto"/>
                    </w:rPr>
                  </w:pPr>
                  <w:r>
                    <w:rPr>
                      <w:b/>
                      <w:bCs/>
                      <w:sz w:val="21"/>
                      <w:szCs w:val="21"/>
                      <w:shd w:val="clear" w:color="auto" w:fill="auto"/>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 w:hRule="atLeast"/>
                <w:jc w:val="center"/>
              </w:trPr>
              <w:tc>
                <w:tcPr>
                  <w:tcW w:w="992"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sz w:val="21"/>
                      <w:szCs w:val="21"/>
                      <w:shd w:val="clear" w:color="auto" w:fill="auto"/>
                    </w:rPr>
                  </w:pPr>
                  <w:r>
                    <w:rPr>
                      <w:rFonts w:hint="eastAsia"/>
                      <w:sz w:val="21"/>
                      <w:szCs w:val="21"/>
                      <w:shd w:val="clear" w:color="auto" w:fill="auto"/>
                    </w:rPr>
                    <w:t>1#</w:t>
                  </w:r>
                </w:p>
              </w:tc>
              <w:tc>
                <w:tcPr>
                  <w:tcW w:w="1134" w:type="dxa"/>
                  <w:tcBorders>
                    <w:top w:val="single" w:color="000000" w:sz="8" w:space="0"/>
                    <w:left w:val="single" w:color="000000" w:sz="8" w:space="0"/>
                    <w:bottom w:val="single" w:color="000000" w:sz="8" w:space="0"/>
                    <w:right w:val="single" w:color="auto" w:sz="4" w:space="0"/>
                  </w:tcBorders>
                  <w:shd w:val="clear" w:color="auto" w:fill="auto"/>
                  <w:vAlign w:val="center"/>
                </w:tcPr>
                <w:p>
                  <w:pPr>
                    <w:jc w:val="center"/>
                    <w:rPr>
                      <w:sz w:val="21"/>
                      <w:szCs w:val="21"/>
                      <w:shd w:val="clear" w:color="auto" w:fill="auto"/>
                    </w:rPr>
                  </w:pPr>
                  <w:r>
                    <w:rPr>
                      <w:rFonts w:hint="eastAsia"/>
                      <w:sz w:val="21"/>
                      <w:szCs w:val="21"/>
                      <w:shd w:val="clear" w:color="auto" w:fill="auto"/>
                    </w:rPr>
                    <w:t>项目周边民井</w:t>
                  </w:r>
                </w:p>
              </w:tc>
              <w:tc>
                <w:tcPr>
                  <w:tcW w:w="6140" w:type="dxa"/>
                  <w:tcBorders>
                    <w:top w:val="single" w:color="000000" w:sz="8" w:space="0"/>
                    <w:left w:val="single" w:color="auto" w:sz="4" w:space="0"/>
                    <w:bottom w:val="single" w:color="000000" w:sz="8" w:space="0"/>
                    <w:right w:val="single" w:color="000000" w:sz="8" w:space="0"/>
                  </w:tcBorders>
                  <w:shd w:val="clear" w:color="auto" w:fill="auto"/>
                  <w:vAlign w:val="center"/>
                </w:tcPr>
                <w:p>
                  <w:pPr>
                    <w:jc w:val="center"/>
                    <w:rPr>
                      <w:sz w:val="21"/>
                      <w:szCs w:val="21"/>
                      <w:shd w:val="clear" w:color="auto" w:fill="auto"/>
                    </w:rPr>
                  </w:pPr>
                  <w:r>
                    <w:rPr>
                      <w:rFonts w:hint="eastAsia"/>
                      <w:sz w:val="21"/>
                      <w:szCs w:val="21"/>
                      <w:shd w:val="clear" w:color="auto" w:fill="auto"/>
                    </w:rPr>
                    <w:t>基本因子：</w:t>
                  </w:r>
                  <w:r>
                    <w:rPr>
                      <w:sz w:val="21"/>
                      <w:szCs w:val="21"/>
                      <w:shd w:val="clear" w:color="auto" w:fill="auto"/>
                    </w:rPr>
                    <w:t>K</w:t>
                  </w:r>
                  <w:r>
                    <w:rPr>
                      <w:sz w:val="21"/>
                      <w:szCs w:val="21"/>
                      <w:shd w:val="clear" w:color="auto" w:fill="auto"/>
                      <w:vertAlign w:val="superscript"/>
                    </w:rPr>
                    <w:t>+</w:t>
                  </w:r>
                  <w:r>
                    <w:rPr>
                      <w:sz w:val="21"/>
                      <w:szCs w:val="21"/>
                      <w:shd w:val="clear" w:color="auto" w:fill="auto"/>
                    </w:rPr>
                    <w:t>、Na</w:t>
                  </w:r>
                  <w:r>
                    <w:rPr>
                      <w:sz w:val="21"/>
                      <w:szCs w:val="21"/>
                      <w:shd w:val="clear" w:color="auto" w:fill="auto"/>
                      <w:vertAlign w:val="superscript"/>
                    </w:rPr>
                    <w:t>+</w:t>
                  </w:r>
                  <w:r>
                    <w:rPr>
                      <w:sz w:val="21"/>
                      <w:szCs w:val="21"/>
                      <w:shd w:val="clear" w:color="auto" w:fill="auto"/>
                    </w:rPr>
                    <w:t>、Ca</w:t>
                  </w:r>
                  <w:r>
                    <w:rPr>
                      <w:sz w:val="21"/>
                      <w:szCs w:val="21"/>
                      <w:shd w:val="clear" w:color="auto" w:fill="auto"/>
                      <w:vertAlign w:val="superscript"/>
                    </w:rPr>
                    <w:t>2+</w:t>
                  </w:r>
                  <w:r>
                    <w:rPr>
                      <w:sz w:val="21"/>
                      <w:szCs w:val="21"/>
                      <w:shd w:val="clear" w:color="auto" w:fill="auto"/>
                    </w:rPr>
                    <w:t>、Mg</w:t>
                  </w:r>
                  <w:r>
                    <w:rPr>
                      <w:sz w:val="21"/>
                      <w:szCs w:val="21"/>
                      <w:shd w:val="clear" w:color="auto" w:fill="auto"/>
                      <w:vertAlign w:val="superscript"/>
                    </w:rPr>
                    <w:t>2+</w:t>
                  </w:r>
                  <w:r>
                    <w:rPr>
                      <w:sz w:val="21"/>
                      <w:szCs w:val="21"/>
                      <w:shd w:val="clear" w:color="auto" w:fill="auto"/>
                    </w:rPr>
                    <w:t>、Cl</w:t>
                  </w:r>
                  <w:r>
                    <w:rPr>
                      <w:sz w:val="21"/>
                      <w:szCs w:val="21"/>
                      <w:shd w:val="clear" w:color="auto" w:fill="auto"/>
                      <w:vertAlign w:val="superscript"/>
                    </w:rPr>
                    <w:t>-</w:t>
                  </w:r>
                  <w:r>
                    <w:rPr>
                      <w:sz w:val="21"/>
                      <w:szCs w:val="21"/>
                      <w:shd w:val="clear" w:color="auto" w:fill="auto"/>
                    </w:rPr>
                    <w:t>、SO</w:t>
                  </w:r>
                  <w:r>
                    <w:rPr>
                      <w:sz w:val="21"/>
                      <w:szCs w:val="21"/>
                      <w:shd w:val="clear" w:color="auto" w:fill="auto"/>
                      <w:vertAlign w:val="subscript"/>
                    </w:rPr>
                    <w:t>4</w:t>
                  </w:r>
                  <w:r>
                    <w:rPr>
                      <w:sz w:val="21"/>
                      <w:szCs w:val="21"/>
                      <w:shd w:val="clear" w:color="auto" w:fill="auto"/>
                      <w:vertAlign w:val="superscript"/>
                    </w:rPr>
                    <w:t>2-</w:t>
                  </w:r>
                  <w:r>
                    <w:rPr>
                      <w:sz w:val="21"/>
                      <w:szCs w:val="21"/>
                      <w:shd w:val="clear" w:color="auto" w:fill="auto"/>
                    </w:rPr>
                    <w:t>、HCO</w:t>
                  </w:r>
                  <w:r>
                    <w:rPr>
                      <w:sz w:val="21"/>
                      <w:szCs w:val="21"/>
                      <w:shd w:val="clear" w:color="auto" w:fill="auto"/>
                      <w:vertAlign w:val="superscript"/>
                    </w:rPr>
                    <w:t>3-</w:t>
                  </w:r>
                  <w:r>
                    <w:rPr>
                      <w:sz w:val="21"/>
                      <w:szCs w:val="21"/>
                      <w:shd w:val="clear" w:color="auto" w:fill="auto"/>
                    </w:rPr>
                    <w:t>、</w:t>
                  </w:r>
                  <w:r>
                    <w:rPr>
                      <w:rFonts w:hint="eastAsia"/>
                      <w:sz w:val="21"/>
                      <w:szCs w:val="21"/>
                      <w:shd w:val="clear" w:color="auto" w:fill="auto"/>
                    </w:rPr>
                    <w:t>CO</w:t>
                  </w:r>
                  <w:r>
                    <w:rPr>
                      <w:rFonts w:hint="eastAsia"/>
                      <w:sz w:val="21"/>
                      <w:szCs w:val="21"/>
                      <w:shd w:val="clear" w:color="auto" w:fill="auto"/>
                      <w:vertAlign w:val="subscript"/>
                    </w:rPr>
                    <w:t>3</w:t>
                  </w:r>
                  <w:r>
                    <w:rPr>
                      <w:rFonts w:hint="eastAsia"/>
                      <w:sz w:val="21"/>
                      <w:szCs w:val="21"/>
                      <w:shd w:val="clear" w:color="auto" w:fill="auto"/>
                      <w:vertAlign w:val="superscript"/>
                    </w:rPr>
                    <w:t>2</w:t>
                  </w:r>
                  <w:r>
                    <w:rPr>
                      <w:rFonts w:hint="eastAsia"/>
                      <w:sz w:val="21"/>
                      <w:szCs w:val="21"/>
                      <w:shd w:val="clear" w:color="auto" w:fill="auto"/>
                    </w:rPr>
                    <w:t>；</w:t>
                  </w:r>
                </w:p>
                <w:p>
                  <w:pPr>
                    <w:jc w:val="center"/>
                    <w:rPr>
                      <w:sz w:val="21"/>
                      <w:szCs w:val="21"/>
                      <w:shd w:val="clear" w:color="auto" w:fill="auto"/>
                    </w:rPr>
                  </w:pPr>
                  <w:r>
                    <w:rPr>
                      <w:rFonts w:hint="eastAsia"/>
                      <w:sz w:val="21"/>
                      <w:szCs w:val="21"/>
                      <w:shd w:val="clear" w:color="auto" w:fill="auto"/>
                    </w:rPr>
                    <w:t>基本水质因子：pH、氨氮、硝酸盐、亚硝酸盐、挥发性酚类、氰化物、砷、汞、六价铬、总硬度、铅、氟化物、镉、铁、锰、溶解性总固体、耗氧量、硫酸盐、氯化物、总大肠菌群、菌落总数。</w:t>
                  </w:r>
                </w:p>
              </w:tc>
            </w:tr>
          </w:tbl>
          <w:p>
            <w:pPr>
              <w:pStyle w:val="240"/>
              <w:ind w:firstLine="482"/>
            </w:pPr>
            <w:r>
              <w:rPr>
                <w:rFonts w:hint="eastAsia"/>
              </w:rPr>
              <w:t>（2）监测频次</w:t>
            </w:r>
            <w:r>
              <w:t xml:space="preserve"> </w:t>
            </w:r>
          </w:p>
          <w:p>
            <w:pPr>
              <w:pStyle w:val="240"/>
              <w:ind w:firstLine="480"/>
              <w:rPr>
                <w:b w:val="0"/>
                <w:bCs w:val="0"/>
                <w:kern w:val="0"/>
              </w:rPr>
            </w:pPr>
            <w:r>
              <w:rPr>
                <w:rFonts w:hint="eastAsia"/>
                <w:b w:val="0"/>
                <w:bCs w:val="0"/>
                <w:kern w:val="0"/>
              </w:rPr>
              <w:t>共监测1天，每天监测1次。</w:t>
            </w:r>
          </w:p>
          <w:p>
            <w:pPr>
              <w:pStyle w:val="240"/>
              <w:ind w:firstLine="482"/>
            </w:pPr>
            <w:r>
              <w:rPr>
                <w:rFonts w:hint="eastAsia"/>
              </w:rPr>
              <w:t>（</w:t>
            </w:r>
            <w:r>
              <w:t>3</w:t>
            </w:r>
            <w:r>
              <w:rPr>
                <w:rFonts w:hint="eastAsia"/>
              </w:rPr>
              <w:t>）评价方法</w:t>
            </w:r>
          </w:p>
          <w:p>
            <w:pPr>
              <w:pStyle w:val="104"/>
              <w:ind w:firstLine="480"/>
              <w:rPr>
                <w:rFonts w:ascii="Times New Roman" w:hAnsi="Times New Roman"/>
                <w:szCs w:val="24"/>
              </w:rPr>
            </w:pPr>
            <w:r>
              <w:rPr>
                <w:rFonts w:hint="eastAsia"/>
              </w:rPr>
              <w:t>本项目评价标准执行《地下水质量标准》（</w:t>
            </w:r>
            <w:r>
              <w:t>GB/T14848-2017</w:t>
            </w:r>
            <w:r>
              <w:rPr>
                <w:rFonts w:hint="eastAsia"/>
              </w:rPr>
              <w:t>）</w:t>
            </w:r>
            <w:r>
              <w:rPr>
                <w:rFonts w:hint="eastAsia" w:ascii="宋体" w:hAnsi="宋体" w:cs="宋体"/>
              </w:rPr>
              <w:t>Ⅲ</w:t>
            </w:r>
            <w:r>
              <w:rPr>
                <w:rFonts w:hint="eastAsia"/>
              </w:rPr>
              <w:t>类标准，评价采用单项标准指数法。</w:t>
            </w:r>
          </w:p>
          <w:p>
            <w:pPr>
              <w:pStyle w:val="104"/>
              <w:ind w:firstLine="480"/>
            </w:pPr>
            <w:r>
              <w:rPr>
                <w:rFonts w:hint="eastAsia"/>
              </w:rPr>
              <w:t>标准指数计算公式如下：</w:t>
            </w:r>
          </w:p>
          <w:p>
            <w:pPr>
              <w:pStyle w:val="104"/>
              <w:ind w:firstLine="480"/>
              <w:rPr>
                <w:rFonts w:ascii="Times New Roman" w:hAnsi="Times New Roman"/>
              </w:rPr>
            </w:pPr>
            <w:r>
              <w:rPr>
                <w:rFonts w:ascii="Times New Roman" w:hAnsi="Times New Roman"/>
              </w:rPr>
              <w:t>1）一般污染物</w:t>
            </w:r>
          </w:p>
          <w:p>
            <w:pPr>
              <w:pStyle w:val="18"/>
              <w:widowControl w:val="0"/>
              <w:jc w:val="center"/>
            </w:pPr>
            <w:r>
              <w:rPr>
                <w:kern w:val="2"/>
                <w:sz w:val="21"/>
                <w:szCs w:val="24"/>
              </w:rPr>
              <w:object>
                <v:shape id="_x0000_i1039" o:spt="75" type="#_x0000_t75" style="height:15.75pt;width:72pt;" o:ole="t" filled="f" o:preferrelative="t" stroked="f" coordsize="21600,21600">
                  <v:path/>
                  <v:fill on="f" focussize="0,0"/>
                  <v:stroke on="f" joinstyle="miter"/>
                  <v:imagedata r:id="rId46" o:title=""/>
                  <o:lock v:ext="edit" aspectratio="t"/>
                  <w10:wrap type="none"/>
                  <w10:anchorlock/>
                </v:shape>
                <o:OLEObject Type="Embed" ProgID="Equation.3" ShapeID="_x0000_i1039" DrawAspect="Content" ObjectID="_1468075739" r:id="rId45">
                  <o:LockedField>false</o:LockedField>
                </o:OLEObject>
              </w:object>
            </w:r>
          </w:p>
          <w:p>
            <w:pPr>
              <w:pStyle w:val="104"/>
              <w:ind w:firstLine="480"/>
              <w:rPr>
                <w:rFonts w:ascii="Times New Roman" w:hAnsi="Times New Roman"/>
              </w:rPr>
            </w:pPr>
            <w:r>
              <w:rPr>
                <w:rFonts w:ascii="Times New Roman" w:hAnsi="Times New Roman"/>
              </w:rPr>
              <w:t>式中：S</w:t>
            </w:r>
            <w:r>
              <w:rPr>
                <w:rFonts w:ascii="Times New Roman" w:hAnsi="Times New Roman"/>
                <w:vertAlign w:val="subscript"/>
              </w:rPr>
              <w:t>i,j</w:t>
            </w:r>
            <w:r>
              <w:rPr>
                <w:rFonts w:ascii="Times New Roman" w:hAnsi="Times New Roman"/>
              </w:rPr>
              <w:t>——标准指数；</w:t>
            </w:r>
          </w:p>
          <w:p>
            <w:pPr>
              <w:pStyle w:val="104"/>
              <w:ind w:firstLine="480"/>
              <w:rPr>
                <w:rFonts w:ascii="Times New Roman" w:hAnsi="Times New Roman"/>
              </w:rPr>
            </w:pPr>
            <w:r>
              <w:rPr>
                <w:rFonts w:ascii="Times New Roman" w:hAnsi="Times New Roman"/>
              </w:rPr>
              <w:t>C</w:t>
            </w:r>
            <w:r>
              <w:rPr>
                <w:rFonts w:ascii="Times New Roman" w:hAnsi="Times New Roman"/>
                <w:vertAlign w:val="subscript"/>
              </w:rPr>
              <w:t>i,j</w:t>
            </w:r>
            <w:r>
              <w:rPr>
                <w:rFonts w:ascii="Times New Roman" w:hAnsi="Times New Roman"/>
              </w:rPr>
              <w:t>——评价因子i在j点的实测统计代表值，mg/L；</w:t>
            </w:r>
          </w:p>
          <w:p>
            <w:pPr>
              <w:pStyle w:val="104"/>
              <w:ind w:firstLine="480"/>
              <w:rPr>
                <w:rFonts w:ascii="Times New Roman" w:hAnsi="Times New Roman"/>
              </w:rPr>
            </w:pPr>
            <w:r>
              <w:rPr>
                <w:rFonts w:ascii="Times New Roman" w:hAnsi="Times New Roman"/>
              </w:rPr>
              <w:t>C</w:t>
            </w:r>
            <w:r>
              <w:rPr>
                <w:rFonts w:ascii="Times New Roman" w:hAnsi="Times New Roman"/>
                <w:vertAlign w:val="subscript"/>
              </w:rPr>
              <w:t>s,j</w:t>
            </w:r>
            <w:r>
              <w:rPr>
                <w:rFonts w:ascii="Times New Roman" w:hAnsi="Times New Roman"/>
              </w:rPr>
              <w:t>——评价因子i的评价标准限值，mg/L。</w:t>
            </w:r>
          </w:p>
          <w:p>
            <w:pPr>
              <w:pStyle w:val="104"/>
              <w:ind w:firstLine="480"/>
              <w:rPr>
                <w:rFonts w:ascii="Times New Roman" w:hAnsi="Times New Roman"/>
              </w:rPr>
            </w:pPr>
            <w:r>
              <w:rPr>
                <w:rFonts w:ascii="Times New Roman" w:hAnsi="Times New Roman"/>
              </w:rPr>
              <w:t>2）特殊水质因子pH</w:t>
            </w:r>
          </w:p>
          <w:p>
            <w:pPr>
              <w:pStyle w:val="104"/>
              <w:ind w:firstLine="480"/>
              <w:rPr>
                <w:rFonts w:ascii="Times New Roman" w:hAnsi="Times New Roman"/>
              </w:rPr>
            </w:pPr>
            <w:r>
              <w:rPr>
                <w:rFonts w:ascii="Times New Roman" w:hAnsi="Times New Roman"/>
              </w:rPr>
              <w:t>当pHj≤7.0</w:t>
            </w:r>
          </w:p>
          <w:p>
            <w:pPr>
              <w:pStyle w:val="18"/>
              <w:widowControl w:val="0"/>
              <w:jc w:val="center"/>
            </w:pPr>
            <w:r>
              <w:rPr>
                <w:kern w:val="2"/>
                <w:sz w:val="21"/>
                <w:szCs w:val="24"/>
              </w:rPr>
              <w:object>
                <v:shape id="_x0000_i1040" o:spt="75" type="#_x0000_t75" style="height:39pt;width:91.5pt;" o:ole="t" filled="f" o:preferrelative="t" stroked="f" coordsize="21600,21600">
                  <v:path/>
                  <v:fill on="f" focussize="0,0"/>
                  <v:stroke on="f" joinstyle="miter"/>
                  <v:imagedata r:id="rId48" o:title=""/>
                  <o:lock v:ext="edit" aspectratio="t"/>
                  <w10:wrap type="none"/>
                  <w10:anchorlock/>
                </v:shape>
                <o:OLEObject Type="Embed" ProgID="Equation.3" ShapeID="_x0000_i1040" DrawAspect="Content" ObjectID="_1468075740" r:id="rId47">
                  <o:LockedField>false</o:LockedField>
                </o:OLEObject>
              </w:object>
            </w:r>
          </w:p>
          <w:p>
            <w:pPr>
              <w:pStyle w:val="104"/>
              <w:ind w:firstLine="480"/>
            </w:pPr>
            <w:r>
              <w:rPr>
                <w:rFonts w:hint="eastAsia"/>
                <w:iCs/>
              </w:rPr>
              <w:t>当</w:t>
            </w:r>
            <w:r>
              <w:rPr>
                <w:iCs/>
              </w:rPr>
              <w:t>pH</w:t>
            </w:r>
            <w:r>
              <w:rPr>
                <w:iCs/>
                <w:vertAlign w:val="subscript"/>
              </w:rPr>
              <w:t>j</w:t>
            </w:r>
            <w:r>
              <w:rPr>
                <w:rFonts w:hint="eastAsia"/>
              </w:rPr>
              <w:t>＞</w:t>
            </w:r>
            <w:r>
              <w:t>7.0</w:t>
            </w:r>
          </w:p>
          <w:p>
            <w:pPr>
              <w:pStyle w:val="18"/>
              <w:widowControl w:val="0"/>
              <w:jc w:val="center"/>
            </w:pPr>
            <w:r>
              <w:rPr>
                <w:kern w:val="2"/>
                <w:sz w:val="21"/>
                <w:szCs w:val="24"/>
              </w:rPr>
              <w:object>
                <v:shape id="_x0000_i1041" o:spt="75" type="#_x0000_t75" style="height:39pt;width:91.5pt;" o:ole="t" filled="f" o:preferrelative="t" stroked="f" coordsize="21600,21600">
                  <v:path/>
                  <v:fill on="f" focussize="0,0"/>
                  <v:stroke on="f" joinstyle="miter"/>
                  <v:imagedata r:id="rId50" o:title=""/>
                  <o:lock v:ext="edit" aspectratio="t"/>
                  <w10:wrap type="none"/>
                  <w10:anchorlock/>
                </v:shape>
                <o:OLEObject Type="Embed" ProgID="Equation.3" ShapeID="_x0000_i1041" DrawAspect="Content" ObjectID="_1468075741" r:id="rId49">
                  <o:LockedField>false</o:LockedField>
                </o:OLEObject>
              </w:object>
            </w:r>
          </w:p>
          <w:p>
            <w:pPr>
              <w:pStyle w:val="104"/>
              <w:ind w:firstLine="480"/>
              <w:rPr>
                <w:vertAlign w:val="subscript"/>
              </w:rPr>
            </w:pPr>
            <w:r>
              <w:rPr>
                <w:rFonts w:hint="eastAsia"/>
              </w:rPr>
              <w:t>式中：</w:t>
            </w:r>
            <w:r>
              <w:t>S</w:t>
            </w:r>
            <w:r>
              <w:rPr>
                <w:vertAlign w:val="subscript"/>
              </w:rPr>
              <w:t>pH,j</w:t>
            </w:r>
            <w:r>
              <w:t>——pH</w:t>
            </w:r>
            <w:r>
              <w:rPr>
                <w:rFonts w:hint="eastAsia"/>
              </w:rPr>
              <w:t>的标准指数；</w:t>
            </w:r>
          </w:p>
          <w:p>
            <w:pPr>
              <w:pStyle w:val="104"/>
              <w:ind w:firstLine="480"/>
            </w:pPr>
            <w:r>
              <w:t>pH</w:t>
            </w:r>
            <w:r>
              <w:rPr>
                <w:vertAlign w:val="subscript"/>
              </w:rPr>
              <w:t>j</w:t>
            </w:r>
            <w:r>
              <w:t>——pH</w:t>
            </w:r>
            <w:r>
              <w:rPr>
                <w:rFonts w:hint="eastAsia"/>
              </w:rPr>
              <w:t>的实测统计代表值；</w:t>
            </w:r>
          </w:p>
          <w:p>
            <w:pPr>
              <w:pStyle w:val="104"/>
              <w:ind w:firstLine="480"/>
            </w:pPr>
            <w:r>
              <w:t>pH</w:t>
            </w:r>
            <w:r>
              <w:rPr>
                <w:vertAlign w:val="subscript"/>
              </w:rPr>
              <w:t>sd</w:t>
            </w:r>
            <w:r>
              <w:t>——</w:t>
            </w:r>
            <w:r>
              <w:rPr>
                <w:rFonts w:hint="eastAsia"/>
              </w:rPr>
              <w:t>评价标准中</w:t>
            </w:r>
            <w:r>
              <w:t>pH</w:t>
            </w:r>
            <w:r>
              <w:rPr>
                <w:rFonts w:hint="eastAsia"/>
              </w:rPr>
              <w:t>值的下限值；</w:t>
            </w:r>
          </w:p>
          <w:p>
            <w:pPr>
              <w:pStyle w:val="104"/>
              <w:ind w:firstLine="480"/>
            </w:pPr>
            <w:r>
              <w:t>pH</w:t>
            </w:r>
            <w:r>
              <w:rPr>
                <w:vertAlign w:val="subscript"/>
              </w:rPr>
              <w:t>su</w:t>
            </w:r>
            <w:r>
              <w:t>——</w:t>
            </w:r>
            <w:r>
              <w:rPr>
                <w:rFonts w:hint="eastAsia"/>
              </w:rPr>
              <w:t>评价标准中</w:t>
            </w:r>
            <w:r>
              <w:t>pH</w:t>
            </w:r>
            <w:r>
              <w:rPr>
                <w:rFonts w:hint="eastAsia"/>
              </w:rPr>
              <w:t>值的上限值。</w:t>
            </w:r>
          </w:p>
          <w:p>
            <w:pPr>
              <w:pStyle w:val="240"/>
              <w:ind w:firstLine="482"/>
            </w:pPr>
            <w:r>
              <w:rPr>
                <w:rFonts w:hint="eastAsia"/>
              </w:rPr>
              <w:t>（</w:t>
            </w:r>
            <w:r>
              <w:t>4</w:t>
            </w:r>
            <w:r>
              <w:rPr>
                <w:rFonts w:hint="eastAsia"/>
              </w:rPr>
              <w:t>）监测结果及评价结果</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地下水监测以及评价结果</w:t>
            </w:r>
          </w:p>
          <w:tbl>
            <w:tblPr>
              <w:tblStyle w:val="1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732"/>
              <w:gridCol w:w="1601"/>
              <w:gridCol w:w="1388"/>
              <w:gridCol w:w="1104"/>
              <w:gridCol w:w="1675"/>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检测点位</w:t>
                  </w:r>
                  <w:r>
                    <w:rPr>
                      <w:rFonts w:ascii="Times New Roman" w:hAnsi="Times New Roman" w:eastAsia="宋体" w:cs="Times New Roman"/>
                      <w:b/>
                      <w:sz w:val="21"/>
                      <w:szCs w:val="21"/>
                    </w:rPr>
                    <w:br w:type="page"/>
                  </w:r>
                </w:p>
              </w:tc>
              <w:tc>
                <w:tcPr>
                  <w:tcW w:w="443" w:type="pc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采样日期</w:t>
                  </w:r>
                </w:p>
              </w:tc>
              <w:tc>
                <w:tcPr>
                  <w:tcW w:w="969" w:type="pc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检测项目</w:t>
                  </w:r>
                </w:p>
              </w:tc>
              <w:tc>
                <w:tcPr>
                  <w:tcW w:w="840" w:type="pc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单位</w:t>
                  </w:r>
                </w:p>
              </w:tc>
              <w:tc>
                <w:tcPr>
                  <w:tcW w:w="668" w:type="pc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检测结果</w:t>
                  </w:r>
                </w:p>
              </w:tc>
              <w:tc>
                <w:tcPr>
                  <w:tcW w:w="1014" w:type="pct"/>
                  <w:vAlign w:val="center"/>
                </w:tcPr>
                <w:p>
                  <w:pPr>
                    <w:spacing w:line="240" w:lineRule="auto"/>
                    <w:jc w:val="center"/>
                    <w:rPr>
                      <w:rFonts w:ascii="Times New Roman" w:hAnsi="Times New Roman" w:eastAsia="宋体" w:cs="Times New Roman"/>
                      <w:b/>
                      <w:sz w:val="21"/>
                      <w:szCs w:val="21"/>
                    </w:rPr>
                  </w:pPr>
                  <w:r>
                    <w:rPr>
                      <w:rFonts w:ascii="Times New Roman" w:hAnsi="Times New Roman" w:eastAsia="宋体" w:cs="Times New Roman"/>
                      <w:b/>
                      <w:sz w:val="21"/>
                      <w:szCs w:val="21"/>
                    </w:rPr>
                    <w:t>标准限值</w:t>
                  </w:r>
                </w:p>
              </w:tc>
              <w:tc>
                <w:tcPr>
                  <w:tcW w:w="600" w:type="pct"/>
                  <w:vAlign w:val="center"/>
                </w:tcPr>
                <w:p>
                  <w:pPr>
                    <w:spacing w:line="240" w:lineRule="auto"/>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S</w:t>
                  </w:r>
                  <w:r>
                    <w:rPr>
                      <w:rFonts w:ascii="Times New Roman" w:hAnsi="Times New Roman" w:eastAsia="宋体" w:cs="Times New Roman"/>
                      <w:b/>
                      <w:sz w:val="21"/>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restart"/>
                  <w:vAlign w:val="center"/>
                </w:tcPr>
                <w:p>
                  <w:pPr>
                    <w:spacing w:line="240" w:lineRule="auto"/>
                    <w:jc w:val="center"/>
                    <w:rPr>
                      <w:rFonts w:ascii="Times New Roman" w:hAnsi="Times New Roman" w:cs="Times New Roman"/>
                      <w:sz w:val="21"/>
                      <w:szCs w:val="21"/>
                    </w:rPr>
                  </w:pPr>
                  <w:r>
                    <w:rPr>
                      <w:rFonts w:hint="eastAsia" w:ascii="Times New Roman" w:hAnsi="Times New Roman" w:cs="Times New Roman"/>
                      <w:sz w:val="21"/>
                      <w:szCs w:val="21"/>
                    </w:rPr>
                    <w:t>1# 项目西北侧民井</w:t>
                  </w:r>
                </w:p>
              </w:tc>
              <w:tc>
                <w:tcPr>
                  <w:tcW w:w="443" w:type="pct"/>
                  <w:vMerge w:val="restart"/>
                  <w:vAlign w:val="center"/>
                </w:tcPr>
                <w:p>
                  <w:pPr>
                    <w:spacing w:line="240" w:lineRule="auto"/>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1月3日</w:t>
                  </w:r>
                </w:p>
              </w:tc>
              <w:tc>
                <w:tcPr>
                  <w:tcW w:w="969" w:type="pct"/>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kern w:val="0"/>
                      <w:sz w:val="21"/>
                      <w:szCs w:val="21"/>
                    </w:rPr>
                    <w:t>pH</w:t>
                  </w:r>
                </w:p>
              </w:tc>
              <w:tc>
                <w:tcPr>
                  <w:tcW w:w="84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无量纲</w:t>
                  </w:r>
                </w:p>
              </w:tc>
              <w:tc>
                <w:tcPr>
                  <w:tcW w:w="668"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7.2</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6.5-8.5</w:t>
                  </w:r>
                </w:p>
              </w:tc>
              <w:tc>
                <w:tcPr>
                  <w:tcW w:w="600"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0</w:t>
                  </w:r>
                  <w:r>
                    <w:rPr>
                      <w:rFonts w:ascii="Times New Roman" w:hAnsi="Times New Roman" w:eastAsia="宋体" w:cs="Times New Roman"/>
                      <w:bCs/>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969" w:type="pct"/>
                  <w:vAlign w:val="center"/>
                </w:tcPr>
                <w:p>
                  <w:pPr>
                    <w:tabs>
                      <w:tab w:val="left" w:pos="1890"/>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溶解性总固体</w:t>
                  </w:r>
                </w:p>
              </w:tc>
              <w:tc>
                <w:tcPr>
                  <w:tcW w:w="840" w:type="pct"/>
                  <w:vAlign w:val="center"/>
                </w:tcPr>
                <w:p>
                  <w:pPr>
                    <w:adjustRightInd w:val="0"/>
                    <w:spacing w:line="240" w:lineRule="auto"/>
                    <w:jc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mg/L</w:t>
                  </w:r>
                </w:p>
              </w:tc>
              <w:tc>
                <w:tcPr>
                  <w:tcW w:w="668" w:type="pct"/>
                  <w:vAlign w:val="center"/>
                </w:tcPr>
                <w:p>
                  <w:pPr>
                    <w:tabs>
                      <w:tab w:val="left" w:pos="1890"/>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189</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1000mg/L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0.189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spacing w:line="240" w:lineRule="auto"/>
                    <w:jc w:val="center"/>
                    <w:rPr>
                      <w:rFonts w:ascii="Times New Roman" w:hAnsi="Times New Roman" w:eastAsia="宋体" w:cs="Times New Roman"/>
                      <w:kern w:val="0"/>
                      <w:sz w:val="21"/>
                      <w:szCs w:val="21"/>
                    </w:rPr>
                  </w:pPr>
                </w:p>
              </w:tc>
              <w:tc>
                <w:tcPr>
                  <w:tcW w:w="969"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氨氮</w:t>
                  </w:r>
                </w:p>
              </w:tc>
              <w:tc>
                <w:tcPr>
                  <w:tcW w:w="840"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668" w:type="pct"/>
                  <w:vAlign w:val="center"/>
                </w:tcPr>
                <w:p>
                  <w:pPr>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0.286</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0.50mg/L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0.572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969" w:type="pct"/>
                  <w:vAlign w:val="center"/>
                </w:tcPr>
                <w:p>
                  <w:pPr>
                    <w:tabs>
                      <w:tab w:val="left" w:pos="1890"/>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铬（六价）</w:t>
                  </w:r>
                </w:p>
              </w:tc>
              <w:tc>
                <w:tcPr>
                  <w:tcW w:w="84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668" w:type="pct"/>
                  <w:vAlign w:val="center"/>
                </w:tcPr>
                <w:p>
                  <w:pPr>
                    <w:tabs>
                      <w:tab w:val="left" w:pos="1890"/>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969" w:type="pct"/>
                  <w:vAlign w:val="center"/>
                </w:tcPr>
                <w:p>
                  <w:pPr>
                    <w:tabs>
                      <w:tab w:val="left" w:pos="1890"/>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挥发酚</w:t>
                  </w:r>
                </w:p>
              </w:tc>
              <w:tc>
                <w:tcPr>
                  <w:tcW w:w="84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668" w:type="pct"/>
                  <w:vAlign w:val="center"/>
                </w:tcPr>
                <w:p>
                  <w:pPr>
                    <w:tabs>
                      <w:tab w:val="left" w:pos="1890"/>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0.002mg/L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widowControl w:val="0"/>
                    <w:tabs>
                      <w:tab w:val="left" w:pos="1890"/>
                    </w:tabs>
                    <w:spacing w:line="240" w:lineRule="auto"/>
                    <w:jc w:val="center"/>
                    <w:rPr>
                      <w:rFonts w:ascii="Times New Roman" w:hAnsi="Times New Roman" w:eastAsia="宋体" w:cs="Times New Roman"/>
                      <w:bCs/>
                      <w:sz w:val="21"/>
                      <w:szCs w:val="21"/>
                    </w:rPr>
                  </w:pPr>
                </w:p>
              </w:tc>
              <w:tc>
                <w:tcPr>
                  <w:tcW w:w="969"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氰化物</w:t>
                  </w:r>
                </w:p>
              </w:tc>
              <w:tc>
                <w:tcPr>
                  <w:tcW w:w="84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668"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未检出</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0.05mg/L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spacing w:line="240" w:lineRule="auto"/>
                    <w:jc w:val="center"/>
                    <w:rPr>
                      <w:rFonts w:ascii="Times New Roman" w:hAnsi="Times New Roman" w:eastAsia="宋体" w:cs="Times New Roman"/>
                      <w:bCs/>
                      <w:kern w:val="0"/>
                      <w:sz w:val="21"/>
                      <w:szCs w:val="21"/>
                    </w:rPr>
                  </w:pPr>
                </w:p>
              </w:tc>
              <w:tc>
                <w:tcPr>
                  <w:tcW w:w="969"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kern w:val="0"/>
                      <w:sz w:val="21"/>
                      <w:szCs w:val="21"/>
                    </w:rPr>
                    <w:t>耗氧量</w:t>
                  </w:r>
                </w:p>
              </w:tc>
              <w:tc>
                <w:tcPr>
                  <w:tcW w:w="84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668" w:type="pct"/>
                  <w:vAlign w:val="center"/>
                </w:tcPr>
                <w:p>
                  <w:pPr>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0.36</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spacing w:line="240" w:lineRule="auto"/>
                    <w:jc w:val="center"/>
                    <w:rPr>
                      <w:rFonts w:ascii="Times New Roman" w:hAnsi="Times New Roman" w:eastAsia="宋体" w:cs="Times New Roman"/>
                      <w:bCs/>
                      <w:sz w:val="21"/>
                      <w:szCs w:val="21"/>
                    </w:rPr>
                  </w:pPr>
                </w:p>
              </w:tc>
              <w:tc>
                <w:tcPr>
                  <w:tcW w:w="969"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总硬度</w:t>
                  </w:r>
                </w:p>
              </w:tc>
              <w:tc>
                <w:tcPr>
                  <w:tcW w:w="840"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668" w:type="pct"/>
                  <w:vAlign w:val="center"/>
                </w:tcPr>
                <w:p>
                  <w:pPr>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106</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450mg/L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spacing w:line="240" w:lineRule="auto"/>
                    <w:jc w:val="center"/>
                    <w:rPr>
                      <w:rFonts w:ascii="Times New Roman" w:hAnsi="Times New Roman" w:eastAsia="宋体" w:cs="Times New Roman"/>
                      <w:kern w:val="0"/>
                      <w:sz w:val="21"/>
                      <w:szCs w:val="21"/>
                    </w:rPr>
                  </w:pPr>
                </w:p>
              </w:tc>
              <w:tc>
                <w:tcPr>
                  <w:tcW w:w="969"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kern w:val="0"/>
                      <w:sz w:val="21"/>
                      <w:szCs w:val="21"/>
                    </w:rPr>
                    <w:t>碳酸根</w:t>
                  </w:r>
                </w:p>
              </w:tc>
              <w:tc>
                <w:tcPr>
                  <w:tcW w:w="840"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668"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未检出</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spacing w:line="240" w:lineRule="auto"/>
                    <w:jc w:val="center"/>
                    <w:rPr>
                      <w:rFonts w:ascii="Times New Roman" w:hAnsi="Times New Roman" w:eastAsia="宋体" w:cs="Times New Roman"/>
                      <w:kern w:val="0"/>
                      <w:sz w:val="21"/>
                      <w:szCs w:val="21"/>
                    </w:rPr>
                  </w:pPr>
                </w:p>
              </w:tc>
              <w:tc>
                <w:tcPr>
                  <w:tcW w:w="969"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kern w:val="0"/>
                      <w:sz w:val="21"/>
                      <w:szCs w:val="21"/>
                    </w:rPr>
                    <w:t>重碳酸根</w:t>
                  </w:r>
                </w:p>
              </w:tc>
              <w:tc>
                <w:tcPr>
                  <w:tcW w:w="84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668" w:type="pct"/>
                  <w:vAlign w:val="center"/>
                </w:tcPr>
                <w:p>
                  <w:pPr>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116</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spacing w:line="240" w:lineRule="auto"/>
                    <w:jc w:val="center"/>
                    <w:rPr>
                      <w:rFonts w:ascii="Times New Roman" w:hAnsi="Times New Roman" w:eastAsia="宋体" w:cs="Times New Roman"/>
                      <w:kern w:val="0"/>
                      <w:sz w:val="21"/>
                      <w:szCs w:val="21"/>
                    </w:rPr>
                  </w:pPr>
                </w:p>
              </w:tc>
              <w:tc>
                <w:tcPr>
                  <w:tcW w:w="969"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氟化物（氟离子）</w:t>
                  </w:r>
                </w:p>
              </w:tc>
              <w:tc>
                <w:tcPr>
                  <w:tcW w:w="840"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668" w:type="pct"/>
                  <w:vAlign w:val="center"/>
                </w:tcPr>
                <w:p>
                  <w:pPr>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0.323</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0.323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spacing w:line="240" w:lineRule="auto"/>
                    <w:jc w:val="center"/>
                    <w:rPr>
                      <w:rFonts w:ascii="Times New Roman" w:hAnsi="Times New Roman" w:eastAsia="宋体" w:cs="Times New Roman"/>
                      <w:kern w:val="0"/>
                      <w:sz w:val="21"/>
                      <w:szCs w:val="21"/>
                    </w:rPr>
                  </w:pPr>
                </w:p>
              </w:tc>
              <w:tc>
                <w:tcPr>
                  <w:tcW w:w="969" w:type="pct"/>
                  <w:vAlign w:val="center"/>
                </w:tcPr>
                <w:p>
                  <w:pPr>
                    <w:spacing w:line="240" w:lineRule="auto"/>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亚硝酸根（亚硝酸盐氮）</w:t>
                  </w:r>
                </w:p>
              </w:tc>
              <w:tc>
                <w:tcPr>
                  <w:tcW w:w="84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668" w:type="pct"/>
                  <w:vAlign w:val="center"/>
                </w:tcPr>
                <w:p>
                  <w:pPr>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spacing w:line="240" w:lineRule="auto"/>
                    <w:jc w:val="center"/>
                    <w:rPr>
                      <w:rFonts w:ascii="Times New Roman" w:hAnsi="Times New Roman" w:eastAsia="宋体" w:cs="Times New Roman"/>
                      <w:kern w:val="0"/>
                      <w:sz w:val="21"/>
                      <w:szCs w:val="21"/>
                    </w:rPr>
                  </w:pPr>
                </w:p>
              </w:tc>
              <w:tc>
                <w:tcPr>
                  <w:tcW w:w="969"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kern w:val="0"/>
                      <w:sz w:val="21"/>
                      <w:szCs w:val="21"/>
                    </w:rPr>
                    <w:t>硝酸根（硝酸盐氮）</w:t>
                  </w:r>
                </w:p>
              </w:tc>
              <w:tc>
                <w:tcPr>
                  <w:tcW w:w="840"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668" w:type="pct"/>
                  <w:vAlign w:val="center"/>
                </w:tcPr>
                <w:p>
                  <w:pPr>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0.444</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20.0mg/L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cs="Times New Roman"/>
                      <w:sz w:val="21"/>
                      <w:szCs w:val="21"/>
                    </w:rPr>
                  </w:pPr>
                </w:p>
              </w:tc>
              <w:tc>
                <w:tcPr>
                  <w:tcW w:w="443" w:type="pct"/>
                  <w:vMerge w:val="continue"/>
                  <w:vAlign w:val="center"/>
                </w:tcPr>
                <w:p>
                  <w:pPr>
                    <w:spacing w:line="240" w:lineRule="auto"/>
                    <w:jc w:val="center"/>
                    <w:rPr>
                      <w:rFonts w:ascii="Times New Roman" w:hAnsi="Times New Roman" w:eastAsia="宋体" w:cs="Times New Roman"/>
                      <w:sz w:val="21"/>
                      <w:szCs w:val="21"/>
                      <w:shd w:val="clear" w:color="auto" w:fill="FFFFFF"/>
                    </w:rPr>
                  </w:pPr>
                </w:p>
              </w:tc>
              <w:tc>
                <w:tcPr>
                  <w:tcW w:w="969"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shd w:val="clear" w:color="auto" w:fill="FFFFFF"/>
                    </w:rPr>
                    <w:t>氯化物（氯离子）</w:t>
                  </w:r>
                </w:p>
              </w:tc>
              <w:tc>
                <w:tcPr>
                  <w:tcW w:w="840"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668" w:type="pct"/>
                  <w:vAlign w:val="center"/>
                </w:tcPr>
                <w:p>
                  <w:pPr>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15.2</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250mg/L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spacing w:line="240" w:lineRule="auto"/>
                    <w:jc w:val="center"/>
                    <w:rPr>
                      <w:rFonts w:ascii="Times New Roman" w:hAnsi="Times New Roman" w:eastAsia="宋体" w:cs="Times New Roman"/>
                      <w:sz w:val="21"/>
                      <w:szCs w:val="21"/>
                      <w:shd w:val="clear" w:color="auto" w:fill="FFFFFF"/>
                    </w:rPr>
                  </w:pPr>
                </w:p>
              </w:tc>
              <w:tc>
                <w:tcPr>
                  <w:tcW w:w="969"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shd w:val="clear" w:color="auto" w:fill="FFFFFF"/>
                    </w:rPr>
                    <w:t>硫酸盐（硫酸根）</w:t>
                  </w:r>
                </w:p>
              </w:tc>
              <w:tc>
                <w:tcPr>
                  <w:tcW w:w="840"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mg/L</w:t>
                  </w:r>
                </w:p>
              </w:tc>
              <w:tc>
                <w:tcPr>
                  <w:tcW w:w="668" w:type="pct"/>
                  <w:vAlign w:val="center"/>
                </w:tcPr>
                <w:p>
                  <w:pPr>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10.2</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250mg/L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tabs>
                      <w:tab w:val="left" w:pos="1890"/>
                    </w:tabs>
                    <w:spacing w:line="240" w:lineRule="auto"/>
                    <w:jc w:val="center"/>
                    <w:textAlignment w:val="center"/>
                    <w:rPr>
                      <w:rFonts w:ascii="Times New Roman" w:hAnsi="Times New Roman" w:eastAsia="宋体" w:cs="Times New Roman"/>
                      <w:kern w:val="0"/>
                      <w:sz w:val="21"/>
                      <w:szCs w:val="21"/>
                    </w:rPr>
                  </w:pPr>
                </w:p>
              </w:tc>
              <w:tc>
                <w:tcPr>
                  <w:tcW w:w="969" w:type="pct"/>
                  <w:vAlign w:val="center"/>
                </w:tcPr>
                <w:p>
                  <w:pPr>
                    <w:tabs>
                      <w:tab w:val="left" w:pos="1890"/>
                    </w:tabs>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K</w:t>
                  </w:r>
                  <w:r>
                    <w:rPr>
                      <w:rFonts w:ascii="Times New Roman" w:hAnsi="Times New Roman" w:eastAsia="宋体" w:cs="Times New Roman"/>
                      <w:kern w:val="0"/>
                      <w:sz w:val="21"/>
                      <w:szCs w:val="21"/>
                      <w:vertAlign w:val="superscript"/>
                    </w:rPr>
                    <w:t>+</w:t>
                  </w:r>
                </w:p>
              </w:tc>
              <w:tc>
                <w:tcPr>
                  <w:tcW w:w="840" w:type="pct"/>
                  <w:vAlign w:val="center"/>
                </w:tcPr>
                <w:p>
                  <w:pPr>
                    <w:adjustRightInd w:val="0"/>
                    <w:spacing w:line="240" w:lineRule="auto"/>
                    <w:jc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mg/L</w:t>
                  </w:r>
                </w:p>
              </w:tc>
              <w:tc>
                <w:tcPr>
                  <w:tcW w:w="668" w:type="pct"/>
                  <w:vAlign w:val="center"/>
                </w:tcPr>
                <w:p>
                  <w:pPr>
                    <w:tabs>
                      <w:tab w:val="left" w:pos="1890"/>
                    </w:tabs>
                    <w:spacing w:line="240" w:lineRule="auto"/>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1.47</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sz w:val="21"/>
                      <w:szCs w:val="21"/>
                    </w:rPr>
                  </w:pPr>
                </w:p>
              </w:tc>
              <w:tc>
                <w:tcPr>
                  <w:tcW w:w="443" w:type="pct"/>
                  <w:vMerge w:val="continue"/>
                  <w:vAlign w:val="center"/>
                </w:tcPr>
                <w:p>
                  <w:pPr>
                    <w:spacing w:line="240" w:lineRule="auto"/>
                    <w:jc w:val="center"/>
                    <w:rPr>
                      <w:rFonts w:ascii="Times New Roman" w:hAnsi="Times New Roman" w:eastAsia="宋体" w:cs="Times New Roman"/>
                      <w:kern w:val="0"/>
                      <w:sz w:val="21"/>
                      <w:szCs w:val="21"/>
                    </w:rPr>
                  </w:pPr>
                </w:p>
              </w:tc>
              <w:tc>
                <w:tcPr>
                  <w:tcW w:w="969" w:type="pct"/>
                  <w:vAlign w:val="center"/>
                </w:tcPr>
                <w:p>
                  <w:pPr>
                    <w:tabs>
                      <w:tab w:val="left" w:pos="1890"/>
                    </w:tabs>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Na</w:t>
                  </w:r>
                  <w:r>
                    <w:rPr>
                      <w:rFonts w:ascii="Times New Roman" w:hAnsi="Times New Roman" w:eastAsia="宋体" w:cs="Times New Roman"/>
                      <w:kern w:val="0"/>
                      <w:sz w:val="21"/>
                      <w:szCs w:val="21"/>
                      <w:vertAlign w:val="superscript"/>
                    </w:rPr>
                    <w:t>+</w:t>
                  </w:r>
                </w:p>
              </w:tc>
              <w:tc>
                <w:tcPr>
                  <w:tcW w:w="840" w:type="pct"/>
                  <w:vAlign w:val="center"/>
                </w:tcPr>
                <w:p>
                  <w:pPr>
                    <w:adjustRightInd w:val="0"/>
                    <w:spacing w:line="240" w:lineRule="auto"/>
                    <w:jc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mg/L</w:t>
                  </w:r>
                </w:p>
              </w:tc>
              <w:tc>
                <w:tcPr>
                  <w:tcW w:w="668" w:type="pct"/>
                  <w:vAlign w:val="center"/>
                </w:tcPr>
                <w:p>
                  <w:pPr>
                    <w:tabs>
                      <w:tab w:val="left" w:pos="1890"/>
                    </w:tabs>
                    <w:spacing w:line="240" w:lineRule="auto"/>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12.3</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tabs>
                      <w:tab w:val="left" w:pos="1890"/>
                    </w:tabs>
                    <w:spacing w:line="240" w:lineRule="auto"/>
                    <w:jc w:val="center"/>
                    <w:textAlignment w:val="center"/>
                    <w:rPr>
                      <w:rFonts w:ascii="Times New Roman" w:hAnsi="Times New Roman" w:eastAsia="宋体" w:cs="Times New Roman"/>
                      <w:kern w:val="0"/>
                      <w:sz w:val="21"/>
                      <w:szCs w:val="21"/>
                    </w:rPr>
                  </w:pPr>
                </w:p>
              </w:tc>
              <w:tc>
                <w:tcPr>
                  <w:tcW w:w="969" w:type="pct"/>
                  <w:vAlign w:val="center"/>
                </w:tcPr>
                <w:p>
                  <w:pPr>
                    <w:tabs>
                      <w:tab w:val="left" w:pos="1890"/>
                    </w:tabs>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Ca</w:t>
                  </w:r>
                  <w:r>
                    <w:rPr>
                      <w:rFonts w:ascii="Times New Roman" w:hAnsi="Times New Roman" w:eastAsia="宋体" w:cs="Times New Roman"/>
                      <w:kern w:val="0"/>
                      <w:sz w:val="21"/>
                      <w:szCs w:val="21"/>
                      <w:vertAlign w:val="superscript"/>
                    </w:rPr>
                    <w:t>2+</w:t>
                  </w:r>
                </w:p>
              </w:tc>
              <w:tc>
                <w:tcPr>
                  <w:tcW w:w="840" w:type="pct"/>
                  <w:vAlign w:val="center"/>
                </w:tcPr>
                <w:p>
                  <w:pPr>
                    <w:adjustRightInd w:val="0"/>
                    <w:spacing w:line="240" w:lineRule="auto"/>
                    <w:jc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mg/L</w:t>
                  </w:r>
                </w:p>
              </w:tc>
              <w:tc>
                <w:tcPr>
                  <w:tcW w:w="668" w:type="pct"/>
                  <w:vAlign w:val="center"/>
                </w:tcPr>
                <w:p>
                  <w:pPr>
                    <w:tabs>
                      <w:tab w:val="left" w:pos="1890"/>
                    </w:tabs>
                    <w:spacing w:line="240" w:lineRule="auto"/>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34.6</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tabs>
                      <w:tab w:val="left" w:pos="1890"/>
                    </w:tabs>
                    <w:spacing w:line="240" w:lineRule="auto"/>
                    <w:jc w:val="center"/>
                    <w:textAlignment w:val="center"/>
                    <w:rPr>
                      <w:rFonts w:ascii="Times New Roman" w:hAnsi="Times New Roman" w:eastAsia="宋体" w:cs="Times New Roman"/>
                      <w:kern w:val="0"/>
                      <w:sz w:val="21"/>
                      <w:szCs w:val="21"/>
                    </w:rPr>
                  </w:pPr>
                </w:p>
              </w:tc>
              <w:tc>
                <w:tcPr>
                  <w:tcW w:w="969" w:type="pct"/>
                  <w:vAlign w:val="center"/>
                </w:tcPr>
                <w:p>
                  <w:pPr>
                    <w:tabs>
                      <w:tab w:val="left" w:pos="1890"/>
                    </w:tabs>
                    <w:spacing w:line="240" w:lineRule="auto"/>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Mg</w:t>
                  </w:r>
                  <w:r>
                    <w:rPr>
                      <w:rFonts w:ascii="Times New Roman" w:hAnsi="Times New Roman" w:eastAsia="宋体" w:cs="Times New Roman"/>
                      <w:kern w:val="0"/>
                      <w:sz w:val="21"/>
                      <w:szCs w:val="21"/>
                      <w:vertAlign w:val="superscript"/>
                    </w:rPr>
                    <w:t>2+</w:t>
                  </w:r>
                </w:p>
              </w:tc>
              <w:tc>
                <w:tcPr>
                  <w:tcW w:w="840" w:type="pct"/>
                  <w:vAlign w:val="center"/>
                </w:tcPr>
                <w:p>
                  <w:pPr>
                    <w:adjustRightInd w:val="0"/>
                    <w:spacing w:line="240" w:lineRule="auto"/>
                    <w:jc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mg/L</w:t>
                  </w:r>
                </w:p>
              </w:tc>
              <w:tc>
                <w:tcPr>
                  <w:tcW w:w="668" w:type="pct"/>
                  <w:vAlign w:val="center"/>
                </w:tcPr>
                <w:p>
                  <w:pPr>
                    <w:tabs>
                      <w:tab w:val="left" w:pos="1890"/>
                    </w:tabs>
                    <w:spacing w:line="240" w:lineRule="auto"/>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8.13</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969" w:type="pct"/>
                  <w:vAlign w:val="center"/>
                </w:tcPr>
                <w:p>
                  <w:pPr>
                    <w:tabs>
                      <w:tab w:val="left" w:pos="1890"/>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汞</w:t>
                  </w:r>
                </w:p>
              </w:tc>
              <w:tc>
                <w:tcPr>
                  <w:tcW w:w="840" w:type="pct"/>
                  <w:vAlign w:val="center"/>
                </w:tcPr>
                <w:p>
                  <w:pPr>
                    <w:adjustRightInd w:val="0"/>
                    <w:spacing w:line="240" w:lineRule="auto"/>
                    <w:jc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μg/L</w:t>
                  </w:r>
                </w:p>
              </w:tc>
              <w:tc>
                <w:tcPr>
                  <w:tcW w:w="668" w:type="pct"/>
                  <w:vAlign w:val="center"/>
                </w:tcPr>
                <w:p>
                  <w:pPr>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0.001mg/L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969" w:type="pct"/>
                  <w:vAlign w:val="center"/>
                </w:tcPr>
                <w:p>
                  <w:pPr>
                    <w:tabs>
                      <w:tab w:val="left" w:pos="1890"/>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砷</w:t>
                  </w:r>
                </w:p>
              </w:tc>
              <w:tc>
                <w:tcPr>
                  <w:tcW w:w="840" w:type="pct"/>
                  <w:vAlign w:val="center"/>
                </w:tcPr>
                <w:p>
                  <w:pPr>
                    <w:adjustRightInd w:val="0"/>
                    <w:spacing w:line="240" w:lineRule="auto"/>
                    <w:jc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μg/L</w:t>
                  </w:r>
                </w:p>
              </w:tc>
              <w:tc>
                <w:tcPr>
                  <w:tcW w:w="668" w:type="pct"/>
                  <w:vAlign w:val="center"/>
                </w:tcPr>
                <w:p>
                  <w:pPr>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widowControl w:val="0"/>
                    <w:tabs>
                      <w:tab w:val="left" w:pos="1890"/>
                    </w:tabs>
                    <w:spacing w:line="240" w:lineRule="auto"/>
                    <w:jc w:val="center"/>
                    <w:rPr>
                      <w:rFonts w:ascii="Times New Roman" w:hAnsi="Times New Roman" w:eastAsia="宋体" w:cs="Times New Roman"/>
                      <w:bCs/>
                      <w:sz w:val="21"/>
                      <w:szCs w:val="21"/>
                    </w:rPr>
                  </w:pPr>
                </w:p>
              </w:tc>
              <w:tc>
                <w:tcPr>
                  <w:tcW w:w="969"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铅</w:t>
                  </w:r>
                </w:p>
              </w:tc>
              <w:tc>
                <w:tcPr>
                  <w:tcW w:w="840" w:type="pct"/>
                  <w:vAlign w:val="center"/>
                </w:tcPr>
                <w:p>
                  <w:pPr>
                    <w:adjustRightInd w:val="0"/>
                    <w:spacing w:line="240" w:lineRule="auto"/>
                    <w:jc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μg/L</w:t>
                  </w:r>
                </w:p>
              </w:tc>
              <w:tc>
                <w:tcPr>
                  <w:tcW w:w="668"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未检出</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0.01mg/L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widowControl w:val="0"/>
                    <w:tabs>
                      <w:tab w:val="left" w:pos="1890"/>
                    </w:tabs>
                    <w:spacing w:line="240" w:lineRule="auto"/>
                    <w:jc w:val="center"/>
                    <w:rPr>
                      <w:rFonts w:ascii="Times New Roman" w:hAnsi="Times New Roman" w:eastAsia="宋体" w:cs="Times New Roman"/>
                      <w:bCs/>
                      <w:sz w:val="21"/>
                      <w:szCs w:val="21"/>
                    </w:rPr>
                  </w:pPr>
                </w:p>
              </w:tc>
              <w:tc>
                <w:tcPr>
                  <w:tcW w:w="969"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镉</w:t>
                  </w:r>
                </w:p>
              </w:tc>
              <w:tc>
                <w:tcPr>
                  <w:tcW w:w="840" w:type="pct"/>
                  <w:vAlign w:val="center"/>
                </w:tcPr>
                <w:p>
                  <w:pPr>
                    <w:adjustRightInd w:val="0"/>
                    <w:spacing w:line="240" w:lineRule="auto"/>
                    <w:jc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μg/L</w:t>
                  </w:r>
                </w:p>
              </w:tc>
              <w:tc>
                <w:tcPr>
                  <w:tcW w:w="668" w:type="pct"/>
                  <w:vAlign w:val="center"/>
                </w:tcPr>
                <w:p>
                  <w:pPr>
                    <w:widowControl w:val="0"/>
                    <w:tabs>
                      <w:tab w:val="left" w:pos="1890"/>
                    </w:tabs>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未检出</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0.005mg/L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tabs>
                      <w:tab w:val="left" w:pos="1890"/>
                    </w:tabs>
                    <w:spacing w:line="240" w:lineRule="auto"/>
                    <w:jc w:val="center"/>
                    <w:rPr>
                      <w:rFonts w:ascii="Times New Roman" w:hAnsi="Times New Roman" w:eastAsia="宋体" w:cs="Times New Roman"/>
                      <w:bCs/>
                      <w:sz w:val="21"/>
                      <w:szCs w:val="21"/>
                    </w:rPr>
                  </w:pPr>
                </w:p>
              </w:tc>
              <w:tc>
                <w:tcPr>
                  <w:tcW w:w="969"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铁</w:t>
                  </w:r>
                </w:p>
              </w:tc>
              <w:tc>
                <w:tcPr>
                  <w:tcW w:w="840" w:type="pct"/>
                  <w:vAlign w:val="center"/>
                </w:tcPr>
                <w:p>
                  <w:pPr>
                    <w:adjustRightInd w:val="0"/>
                    <w:spacing w:line="240" w:lineRule="auto"/>
                    <w:jc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mg/L</w:t>
                  </w:r>
                </w:p>
              </w:tc>
              <w:tc>
                <w:tcPr>
                  <w:tcW w:w="668" w:type="pct"/>
                  <w:vAlign w:val="center"/>
                </w:tcPr>
                <w:p>
                  <w:pPr>
                    <w:tabs>
                      <w:tab w:val="left" w:pos="1890"/>
                    </w:tabs>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未检出</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0.3mg/L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tabs>
                      <w:tab w:val="left" w:pos="1890"/>
                    </w:tabs>
                    <w:spacing w:line="240" w:lineRule="auto"/>
                    <w:jc w:val="center"/>
                    <w:rPr>
                      <w:rFonts w:ascii="Times New Roman" w:hAnsi="Times New Roman" w:eastAsia="宋体" w:cs="Times New Roman"/>
                      <w:bCs/>
                      <w:sz w:val="21"/>
                      <w:szCs w:val="21"/>
                    </w:rPr>
                  </w:pPr>
                </w:p>
              </w:tc>
              <w:tc>
                <w:tcPr>
                  <w:tcW w:w="969"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锰</w:t>
                  </w:r>
                </w:p>
              </w:tc>
              <w:tc>
                <w:tcPr>
                  <w:tcW w:w="840" w:type="pct"/>
                  <w:vAlign w:val="center"/>
                </w:tcPr>
                <w:p>
                  <w:pPr>
                    <w:adjustRightInd w:val="0"/>
                    <w:spacing w:line="240" w:lineRule="auto"/>
                    <w:jc w:val="center"/>
                    <w:rPr>
                      <w:rFonts w:ascii="Times New Roman" w:hAnsi="Times New Roman" w:eastAsia="宋体" w:cs="Times New Roman"/>
                      <w:bCs/>
                      <w:kern w:val="0"/>
                      <w:sz w:val="21"/>
                      <w:szCs w:val="21"/>
                    </w:rPr>
                  </w:pPr>
                  <w:r>
                    <w:rPr>
                      <w:rFonts w:ascii="Times New Roman" w:hAnsi="Times New Roman" w:eastAsia="宋体" w:cs="Times New Roman"/>
                      <w:bCs/>
                      <w:sz w:val="21"/>
                      <w:szCs w:val="21"/>
                    </w:rPr>
                    <w:t>mg/L</w:t>
                  </w:r>
                </w:p>
              </w:tc>
              <w:tc>
                <w:tcPr>
                  <w:tcW w:w="668" w:type="pct"/>
                  <w:vAlign w:val="center"/>
                </w:tcPr>
                <w:p>
                  <w:pPr>
                    <w:tabs>
                      <w:tab w:val="left" w:pos="1890"/>
                    </w:tabs>
                    <w:spacing w:line="240" w:lineRule="auto"/>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未检出</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0.10mg/L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969" w:type="pct"/>
                  <w:vAlign w:val="center"/>
                </w:tcPr>
                <w:p>
                  <w:pPr>
                    <w:tabs>
                      <w:tab w:val="left" w:pos="1890"/>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总大肠菌群</w:t>
                  </w:r>
                </w:p>
              </w:tc>
              <w:tc>
                <w:tcPr>
                  <w:tcW w:w="840"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MPN/100mL</w:t>
                  </w:r>
                </w:p>
              </w:tc>
              <w:tc>
                <w:tcPr>
                  <w:tcW w:w="668" w:type="pct"/>
                  <w:vAlign w:val="center"/>
                </w:tcPr>
                <w:p>
                  <w:pPr>
                    <w:tabs>
                      <w:tab w:val="left" w:pos="1890"/>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w:t>
                  </w:r>
                  <w:r>
                    <w:rPr>
                      <w:rFonts w:hint="eastAsia" w:ascii="Times New Roman" w:hAnsi="Times New Roman" w:eastAsia="宋体" w:cs="Times New Roman"/>
                      <w:sz w:val="21"/>
                      <w:szCs w:val="21"/>
                    </w:rPr>
                    <w:t>2</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3.0MPN/100mL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61" w:type="pct"/>
                  <w:vMerge w:val="continue"/>
                  <w:vAlign w:val="center"/>
                </w:tcPr>
                <w:p>
                  <w:pPr>
                    <w:spacing w:line="240" w:lineRule="auto"/>
                    <w:jc w:val="center"/>
                    <w:rPr>
                      <w:rFonts w:ascii="Times New Roman" w:hAnsi="Times New Roman" w:eastAsia="宋体" w:cs="Times New Roman"/>
                      <w:bCs/>
                      <w:sz w:val="21"/>
                      <w:szCs w:val="21"/>
                    </w:rPr>
                  </w:pPr>
                </w:p>
              </w:tc>
              <w:tc>
                <w:tcPr>
                  <w:tcW w:w="443" w:type="pct"/>
                  <w:vMerge w:val="continue"/>
                  <w:vAlign w:val="center"/>
                </w:tcPr>
                <w:p>
                  <w:pPr>
                    <w:tabs>
                      <w:tab w:val="left" w:pos="1890"/>
                    </w:tabs>
                    <w:spacing w:line="240" w:lineRule="auto"/>
                    <w:jc w:val="center"/>
                    <w:rPr>
                      <w:rFonts w:ascii="Times New Roman" w:hAnsi="Times New Roman" w:eastAsia="宋体" w:cs="Times New Roman"/>
                      <w:sz w:val="21"/>
                      <w:szCs w:val="21"/>
                    </w:rPr>
                  </w:pPr>
                </w:p>
              </w:tc>
              <w:tc>
                <w:tcPr>
                  <w:tcW w:w="969" w:type="pct"/>
                  <w:vAlign w:val="center"/>
                </w:tcPr>
                <w:p>
                  <w:pPr>
                    <w:tabs>
                      <w:tab w:val="left" w:pos="1890"/>
                    </w:tabs>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细菌总数</w:t>
                  </w:r>
                </w:p>
              </w:tc>
              <w:tc>
                <w:tcPr>
                  <w:tcW w:w="840"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CFU/mL</w:t>
                  </w:r>
                </w:p>
              </w:tc>
              <w:tc>
                <w:tcPr>
                  <w:tcW w:w="668" w:type="pct"/>
                  <w:vAlign w:val="center"/>
                </w:tcPr>
                <w:p>
                  <w:pPr>
                    <w:tabs>
                      <w:tab w:val="left" w:pos="1890"/>
                    </w:tabs>
                    <w:spacing w:line="240" w:lineRule="auto"/>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60</w:t>
                  </w:r>
                </w:p>
              </w:tc>
              <w:tc>
                <w:tcPr>
                  <w:tcW w:w="10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100CFU/mL</w:t>
                  </w:r>
                </w:p>
              </w:tc>
              <w:tc>
                <w:tcPr>
                  <w:tcW w:w="600"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等线" w:cs="Times New Roman"/>
                      <w:sz w:val="21"/>
                      <w:szCs w:val="21"/>
                    </w:rPr>
                    <w:t xml:space="preserve">0.02 </w:t>
                  </w:r>
                </w:p>
              </w:tc>
            </w:tr>
          </w:tbl>
          <w:p>
            <w:pPr>
              <w:pStyle w:val="104"/>
              <w:ind w:firstLine="480"/>
              <w:rPr>
                <w:rFonts w:ascii="Times New Roman" w:hAnsi="Times New Roman"/>
                <w:szCs w:val="24"/>
              </w:rPr>
            </w:pPr>
            <w:r>
              <w:rPr>
                <w:rFonts w:hint="eastAsia"/>
              </w:rPr>
              <w:t>由上表可知，各监测点位地下水各项指标均满足《地下水质量标准》（</w:t>
            </w:r>
            <w:r>
              <w:t>GB/T14848-2017</w:t>
            </w:r>
            <w:r>
              <w:rPr>
                <w:rFonts w:hint="eastAsia"/>
              </w:rPr>
              <w:t>）</w:t>
            </w:r>
            <w:r>
              <w:rPr>
                <w:rFonts w:hint="eastAsia" w:ascii="宋体" w:hAnsi="宋体" w:cs="宋体"/>
              </w:rPr>
              <w:t>Ⅲ</w:t>
            </w:r>
            <w:r>
              <w:rPr>
                <w:rFonts w:hint="eastAsia"/>
              </w:rPr>
              <w:t>类标准。</w:t>
            </w:r>
          </w:p>
          <w:p>
            <w:pPr>
              <w:widowControl w:val="0"/>
              <w:spacing w:line="240" w:lineRule="auto"/>
              <w:ind w:firstLine="482" w:firstLineChars="200"/>
              <w:jc w:val="both"/>
              <w:rPr>
                <w:rFonts w:cs="Times New Roman" w:asciiTheme="majorHAnsi" w:hAnsiTheme="majorHAnsi"/>
                <w:b/>
                <w:bCs/>
                <w:kern w:val="0"/>
                <w:szCs w:val="20"/>
              </w:rPr>
            </w:pPr>
            <w:r>
              <w:rPr>
                <w:rFonts w:cs="Times New Roman" w:asciiTheme="majorHAnsi" w:hAnsiTheme="majorHAnsi"/>
                <w:b/>
                <w:bCs/>
                <w:kern w:val="0"/>
                <w:szCs w:val="20"/>
              </w:rPr>
              <w:t>6</w:t>
            </w:r>
            <w:r>
              <w:rPr>
                <w:rFonts w:hint="eastAsia" w:cs="Times New Roman" w:asciiTheme="majorHAnsi" w:hAnsiTheme="majorHAnsi"/>
                <w:b/>
                <w:bCs/>
                <w:kern w:val="0"/>
                <w:szCs w:val="20"/>
              </w:rPr>
              <w:t>、土壤环境质量现状</w:t>
            </w:r>
          </w:p>
          <w:p>
            <w:pPr>
              <w:widowControl w:val="0"/>
              <w:ind w:firstLine="480"/>
              <w:jc w:val="both"/>
              <w:rPr>
                <w:szCs w:val="26"/>
              </w:rPr>
            </w:pPr>
            <w:r>
              <w:rPr>
                <w:rFonts w:hint="eastAsia"/>
                <w:szCs w:val="26"/>
              </w:rPr>
              <w:t>四川锡水金山环保科技有限公司于</w:t>
            </w:r>
            <w:r>
              <w:rPr>
                <w:szCs w:val="26"/>
              </w:rPr>
              <w:t>2023</w:t>
            </w:r>
            <w:r>
              <w:rPr>
                <w:rFonts w:hint="eastAsia"/>
                <w:szCs w:val="26"/>
              </w:rPr>
              <w:t>年</w:t>
            </w:r>
            <w:r>
              <w:rPr>
                <w:szCs w:val="26"/>
              </w:rPr>
              <w:t>1</w:t>
            </w:r>
            <w:r>
              <w:rPr>
                <w:rFonts w:hint="eastAsia"/>
                <w:szCs w:val="26"/>
              </w:rPr>
              <w:t>月</w:t>
            </w:r>
            <w:r>
              <w:rPr>
                <w:szCs w:val="26"/>
              </w:rPr>
              <w:t>3</w:t>
            </w:r>
            <w:r>
              <w:rPr>
                <w:rFonts w:hint="eastAsia"/>
                <w:szCs w:val="26"/>
              </w:rPr>
              <w:t>日对拟建项目区域进行土壤环境质量现状监测，以便了解本项目区域内土壤环境质量现状。</w:t>
            </w:r>
          </w:p>
          <w:p>
            <w:pPr>
              <w:widowControl w:val="0"/>
              <w:ind w:firstLine="480"/>
              <w:jc w:val="both"/>
              <w:rPr>
                <w:b/>
                <w:bCs/>
              </w:rPr>
            </w:pPr>
            <w:r>
              <w:rPr>
                <w:rFonts w:hint="eastAsia"/>
                <w:b/>
                <w:bCs/>
              </w:rPr>
              <w:t>（1）监测点位及监测因子</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土壤监测点位</w:t>
            </w:r>
          </w:p>
          <w:tbl>
            <w:tblPr>
              <w:tblStyle w:val="44"/>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678"/>
              <w:gridCol w:w="1333"/>
              <w:gridCol w:w="1601"/>
              <w:gridCol w:w="22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835" w:type="pct"/>
                  <w:tcBorders>
                    <w:left w:val="single" w:color="auto" w:sz="4" w:space="0"/>
                  </w:tcBorders>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编号</w:t>
                  </w:r>
                </w:p>
              </w:tc>
              <w:tc>
                <w:tcPr>
                  <w:tcW w:w="1015" w:type="pct"/>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位置</w:t>
                  </w:r>
                </w:p>
              </w:tc>
              <w:tc>
                <w:tcPr>
                  <w:tcW w:w="806" w:type="pct"/>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采样深度</w:t>
                  </w:r>
                </w:p>
              </w:tc>
              <w:tc>
                <w:tcPr>
                  <w:tcW w:w="968" w:type="pct"/>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样点类型</w:t>
                  </w:r>
                </w:p>
              </w:tc>
              <w:tc>
                <w:tcPr>
                  <w:tcW w:w="1373" w:type="pct"/>
                  <w:tcBorders>
                    <w:right w:val="single" w:color="auto" w:sz="4" w:space="0"/>
                  </w:tcBorders>
                  <w:vAlign w:val="center"/>
                </w:tcPr>
                <w:p>
                  <w:pPr>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监测项目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835" w:type="pct"/>
                  <w:tcBorders>
                    <w:left w:val="single" w:color="auto" w:sz="4" w:space="0"/>
                  </w:tcBorders>
                  <w:shd w:val="clear" w:color="auto" w:fill="auto"/>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1015"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项目空地内</w:t>
                  </w:r>
                </w:p>
              </w:tc>
              <w:tc>
                <w:tcPr>
                  <w:tcW w:w="806" w:type="pct"/>
                  <w:vAlign w:val="center"/>
                </w:tcPr>
                <w:p>
                  <w:pPr>
                    <w:ind w:left="-96" w:leftChars="-40" w:right="-96" w:rightChars="-40"/>
                    <w:jc w:val="center"/>
                    <w:rPr>
                      <w:rFonts w:ascii="Times New Roman" w:hAnsi="Times New Roman" w:eastAsia="宋体" w:cs="Times New Roman"/>
                      <w:sz w:val="21"/>
                      <w:szCs w:val="21"/>
                    </w:rPr>
                  </w:pPr>
                  <w:r>
                    <w:rPr>
                      <w:rFonts w:ascii="Times New Roman" w:hAnsi="Times New Roman" w:eastAsia="宋体" w:cs="Times New Roman"/>
                      <w:sz w:val="21"/>
                      <w:szCs w:val="21"/>
                    </w:rPr>
                    <w:t>0~0.2m</w:t>
                  </w:r>
                </w:p>
              </w:tc>
              <w:tc>
                <w:tcPr>
                  <w:tcW w:w="968" w:type="pct"/>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表层样点</w:t>
                  </w:r>
                  <w:r>
                    <w:rPr>
                      <w:rFonts w:ascii="Times New Roman" w:hAnsi="Times New Roman" w:eastAsia="宋体" w:cs="Times New Roman"/>
                      <w:sz w:val="21"/>
                      <w:szCs w:val="21"/>
                      <w:vertAlign w:val="superscript"/>
                    </w:rPr>
                    <w:t>a</w:t>
                  </w:r>
                </w:p>
              </w:tc>
              <w:tc>
                <w:tcPr>
                  <w:tcW w:w="1373" w:type="pct"/>
                  <w:tcBorders>
                    <w:right w:val="single" w:color="auto" w:sz="4" w:space="0"/>
                  </w:tcBorders>
                  <w:vAlign w:val="center"/>
                </w:tcPr>
                <w:p>
                  <w:pPr>
                    <w:jc w:val="center"/>
                    <w:rPr>
                      <w:rFonts w:ascii="Times New Roman" w:hAnsi="Times New Roman" w:eastAsia="宋体" w:cs="Times New Roman"/>
                      <w:sz w:val="21"/>
                      <w:szCs w:val="21"/>
                    </w:rPr>
                  </w:pPr>
                  <w:r>
                    <w:rPr>
                      <w:rFonts w:ascii="Times New Roman" w:hAnsi="Times New Roman" w:eastAsia="宋体" w:cs="Times New Roman"/>
                      <w:sz w:val="21"/>
                      <w:szCs w:val="21"/>
                    </w:rPr>
                    <w:t>GB36600 表一中规定的45项基本因子</w:t>
                  </w:r>
                </w:p>
              </w:tc>
            </w:tr>
          </w:tbl>
          <w:p>
            <w:pPr>
              <w:pStyle w:val="240"/>
              <w:ind w:firstLine="482"/>
            </w:pPr>
            <w:r>
              <w:rPr>
                <w:rFonts w:hint="eastAsia"/>
              </w:rPr>
              <w:t>（2）监测频次</w:t>
            </w:r>
            <w:r>
              <w:t xml:space="preserve"> </w:t>
            </w:r>
          </w:p>
          <w:p>
            <w:pPr>
              <w:pStyle w:val="240"/>
              <w:ind w:firstLine="480"/>
              <w:rPr>
                <w:b w:val="0"/>
                <w:bCs w:val="0"/>
                <w:kern w:val="0"/>
              </w:rPr>
            </w:pPr>
            <w:r>
              <w:rPr>
                <w:rFonts w:hint="eastAsia"/>
                <w:b w:val="0"/>
                <w:bCs w:val="0"/>
                <w:kern w:val="0"/>
              </w:rPr>
              <w:t>共监测1天，每天监测1次。</w:t>
            </w:r>
          </w:p>
          <w:p>
            <w:pPr>
              <w:pStyle w:val="240"/>
              <w:ind w:firstLine="482"/>
            </w:pPr>
            <w:r>
              <w:rPr>
                <w:rFonts w:hint="eastAsia"/>
              </w:rPr>
              <w:t>（</w:t>
            </w:r>
            <w:r>
              <w:t>3</w:t>
            </w:r>
            <w:r>
              <w:rPr>
                <w:rFonts w:hint="eastAsia"/>
              </w:rPr>
              <w:t>）监测结果及评价结果</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土壤监测结果以及评价结果</w:t>
            </w:r>
          </w:p>
          <w:tbl>
            <w:tblPr>
              <w:tblStyle w:val="1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012"/>
              <w:gridCol w:w="1591"/>
              <w:gridCol w:w="1014"/>
              <w:gridCol w:w="1154"/>
              <w:gridCol w:w="1231"/>
              <w:gridCol w:w="1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rPr>
                    <w:t>检测点位</w:t>
                  </w:r>
                </w:p>
              </w:tc>
              <w:tc>
                <w:tcPr>
                  <w:tcW w:w="613"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rPr>
                    <w:t>采样日期</w:t>
                  </w:r>
                </w:p>
              </w:tc>
              <w:tc>
                <w:tcPr>
                  <w:tcW w:w="964"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rPr>
                    <w:t>检测项目</w:t>
                  </w:r>
                </w:p>
              </w:tc>
              <w:tc>
                <w:tcPr>
                  <w:tcW w:w="614"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rPr>
                    <w:t>单位</w:t>
                  </w:r>
                </w:p>
              </w:tc>
              <w:tc>
                <w:tcPr>
                  <w:tcW w:w="699"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rPr>
                    <w:t>检测结果</w:t>
                  </w:r>
                </w:p>
              </w:tc>
              <w:tc>
                <w:tcPr>
                  <w:tcW w:w="746"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ascii="Times New Roman" w:hAnsi="Times New Roman"/>
                      <w:b/>
                      <w:sz w:val="21"/>
                      <w:szCs w:val="21"/>
                    </w:rPr>
                    <w:t>标准限值（mg/kg）</w:t>
                  </w:r>
                </w:p>
              </w:tc>
              <w:tc>
                <w:tcPr>
                  <w:tcW w:w="749" w:type="pct"/>
                  <w:vAlign w:val="center"/>
                </w:tcPr>
                <w:p>
                  <w:pPr>
                    <w:pStyle w:val="40"/>
                    <w:adjustRightInd w:val="0"/>
                    <w:snapToGrid w:val="0"/>
                    <w:spacing w:before="0" w:beforeAutospacing="0" w:after="0" w:afterAutospacing="0"/>
                    <w:jc w:val="center"/>
                    <w:rPr>
                      <w:rFonts w:ascii="Times New Roman" w:hAnsi="Times New Roman"/>
                      <w:b/>
                      <w:sz w:val="21"/>
                      <w:szCs w:val="21"/>
                    </w:rPr>
                  </w:pPr>
                  <w:r>
                    <w:rPr>
                      <w:rFonts w:hint="eastAsia" w:ascii="Times New Roman" w:hAnsi="Times New Roman"/>
                      <w:b/>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restar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cs="Times New Roman"/>
                      <w:sz w:val="21"/>
                      <w:szCs w:val="21"/>
                    </w:rPr>
                    <w:t>1# 项目空地内</w:t>
                  </w:r>
                </w:p>
              </w:tc>
              <w:tc>
                <w:tcPr>
                  <w:tcW w:w="613" w:type="pct"/>
                  <w:vMerge w:val="restar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kern w:val="0"/>
                      <w:sz w:val="21"/>
                      <w:szCs w:val="21"/>
                    </w:rPr>
                    <w:t>1月3日</w:t>
                  </w:r>
                </w:p>
              </w:tc>
              <w:tc>
                <w:tcPr>
                  <w:tcW w:w="964" w:type="pct"/>
                  <w:vAlign w:val="center"/>
                </w:tcPr>
                <w:p>
                  <w:pPr>
                    <w:spacing w:line="240" w:lineRule="auto"/>
                    <w:jc w:val="center"/>
                    <w:textAlignment w:val="center"/>
                    <w:rPr>
                      <w:rFonts w:ascii="Times New Roman" w:hAnsi="Times New Roman" w:eastAsia="宋体" w:cs="Times New Roman"/>
                      <w:sz w:val="21"/>
                      <w:szCs w:val="21"/>
                    </w:rPr>
                  </w:pPr>
                  <w:r>
                    <w:rPr>
                      <w:rStyle w:val="138"/>
                      <w:rFonts w:hint="default" w:ascii="Times New Roman" w:hAnsi="Times New Roman" w:cs="Times New Roman"/>
                      <w:color w:val="auto"/>
                      <w:sz w:val="21"/>
                      <w:szCs w:val="21"/>
                    </w:rPr>
                    <w:t>铅</w:t>
                  </w:r>
                </w:p>
              </w:tc>
              <w:tc>
                <w:tcPr>
                  <w:tcW w:w="614"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9.9</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800</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spacing w:line="240" w:lineRule="auto"/>
                    <w:jc w:val="center"/>
                    <w:textAlignment w:val="center"/>
                    <w:rPr>
                      <w:rFonts w:ascii="Times New Roman" w:hAnsi="Times New Roman" w:eastAsia="宋体" w:cs="Times New Roman"/>
                      <w:sz w:val="21"/>
                      <w:szCs w:val="21"/>
                    </w:rPr>
                  </w:pPr>
                </w:p>
              </w:tc>
              <w:tc>
                <w:tcPr>
                  <w:tcW w:w="613" w:type="pct"/>
                  <w:vMerge w:val="continue"/>
                  <w:vAlign w:val="center"/>
                </w:tcPr>
                <w:p>
                  <w:pPr>
                    <w:spacing w:line="240" w:lineRule="auto"/>
                    <w:jc w:val="center"/>
                    <w:textAlignment w:val="center"/>
                    <w:rPr>
                      <w:rFonts w:ascii="Times New Roman" w:hAnsi="Times New Roman" w:eastAsia="宋体" w:cs="Times New Roman"/>
                      <w:sz w:val="21"/>
                      <w:szCs w:val="21"/>
                    </w:rPr>
                  </w:pPr>
                </w:p>
              </w:tc>
              <w:tc>
                <w:tcPr>
                  <w:tcW w:w="964" w:type="pct"/>
                  <w:vAlign w:val="center"/>
                </w:tcPr>
                <w:p>
                  <w:pPr>
                    <w:spacing w:line="240" w:lineRule="auto"/>
                    <w:jc w:val="center"/>
                    <w:rPr>
                      <w:rFonts w:ascii="Times New Roman" w:hAnsi="Times New Roman" w:eastAsia="宋体" w:cs="Times New Roman"/>
                      <w:sz w:val="21"/>
                      <w:szCs w:val="21"/>
                    </w:rPr>
                  </w:pPr>
                  <w:r>
                    <w:rPr>
                      <w:rStyle w:val="138"/>
                      <w:rFonts w:hint="default" w:ascii="Times New Roman" w:hAnsi="Times New Roman" w:cs="Times New Roman"/>
                      <w:color w:val="auto"/>
                      <w:sz w:val="21"/>
                      <w:szCs w:val="21"/>
                    </w:rPr>
                    <w:t>镉</w:t>
                  </w:r>
                </w:p>
              </w:tc>
              <w:tc>
                <w:tcPr>
                  <w:tcW w:w="614"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0.11</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65</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spacing w:line="240" w:lineRule="auto"/>
                    <w:jc w:val="center"/>
                    <w:rPr>
                      <w:rStyle w:val="138"/>
                      <w:rFonts w:hint="default" w:ascii="Times New Roman" w:hAnsi="Times New Roman" w:cs="Times New Roman"/>
                      <w:color w:val="auto"/>
                      <w:sz w:val="21"/>
                      <w:szCs w:val="21"/>
                    </w:rPr>
                  </w:pPr>
                </w:p>
              </w:tc>
              <w:tc>
                <w:tcPr>
                  <w:tcW w:w="613" w:type="pct"/>
                  <w:vMerge w:val="continue"/>
                  <w:vAlign w:val="center"/>
                </w:tcPr>
                <w:p>
                  <w:pPr>
                    <w:spacing w:line="240" w:lineRule="auto"/>
                    <w:jc w:val="center"/>
                    <w:rPr>
                      <w:rStyle w:val="138"/>
                      <w:rFonts w:hint="default" w:ascii="Times New Roman" w:hAnsi="Times New Roman" w:cs="Times New Roman"/>
                      <w:color w:val="auto"/>
                      <w:sz w:val="21"/>
                      <w:szCs w:val="21"/>
                    </w:rPr>
                  </w:pPr>
                </w:p>
              </w:tc>
              <w:tc>
                <w:tcPr>
                  <w:tcW w:w="964"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铜</w:t>
                  </w:r>
                </w:p>
              </w:tc>
              <w:tc>
                <w:tcPr>
                  <w:tcW w:w="614" w:type="pct"/>
                  <w:vAlign w:val="center"/>
                </w:tcPr>
                <w:p>
                  <w:pPr>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9</w:t>
                  </w:r>
                </w:p>
              </w:tc>
              <w:tc>
                <w:tcPr>
                  <w:tcW w:w="746" w:type="pct"/>
                  <w:vAlign w:val="center"/>
                </w:tcPr>
                <w:p>
                  <w:pPr>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18000</w:t>
                  </w:r>
                </w:p>
              </w:tc>
              <w:tc>
                <w:tcPr>
                  <w:tcW w:w="749" w:type="pct"/>
                  <w:vAlign w:val="center"/>
                </w:tcPr>
                <w:p>
                  <w:pPr>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spacing w:line="240" w:lineRule="auto"/>
                    <w:jc w:val="center"/>
                    <w:textAlignment w:val="center"/>
                    <w:rPr>
                      <w:rStyle w:val="138"/>
                      <w:rFonts w:hint="default" w:ascii="Times New Roman" w:hAnsi="Times New Roman" w:cs="Times New Roman"/>
                      <w:color w:val="auto"/>
                      <w:sz w:val="21"/>
                      <w:szCs w:val="21"/>
                    </w:rPr>
                  </w:pPr>
                </w:p>
              </w:tc>
              <w:tc>
                <w:tcPr>
                  <w:tcW w:w="613" w:type="pct"/>
                  <w:vMerge w:val="continue"/>
                  <w:vAlign w:val="center"/>
                </w:tcPr>
                <w:p>
                  <w:pPr>
                    <w:spacing w:line="240" w:lineRule="auto"/>
                    <w:jc w:val="center"/>
                    <w:textAlignment w:val="center"/>
                    <w:rPr>
                      <w:rStyle w:val="138"/>
                      <w:rFonts w:hint="default" w:ascii="Times New Roman" w:hAnsi="Times New Roman" w:cs="Times New Roman"/>
                      <w:color w:val="auto"/>
                      <w:sz w:val="21"/>
                      <w:szCs w:val="21"/>
                    </w:rPr>
                  </w:pPr>
                </w:p>
              </w:tc>
              <w:tc>
                <w:tcPr>
                  <w:tcW w:w="964" w:type="pct"/>
                  <w:vAlign w:val="center"/>
                </w:tcPr>
                <w:p>
                  <w:pPr>
                    <w:tabs>
                      <w:tab w:val="left" w:pos="1890"/>
                    </w:tabs>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镍</w:t>
                  </w:r>
                </w:p>
              </w:tc>
              <w:tc>
                <w:tcPr>
                  <w:tcW w:w="614"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38</w:t>
                  </w:r>
                </w:p>
              </w:tc>
              <w:tc>
                <w:tcPr>
                  <w:tcW w:w="746" w:type="pct"/>
                  <w:vAlign w:val="center"/>
                </w:tcPr>
                <w:p>
                  <w:pPr>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900</w:t>
                  </w:r>
                </w:p>
              </w:tc>
              <w:tc>
                <w:tcPr>
                  <w:tcW w:w="749" w:type="pct"/>
                  <w:vAlign w:val="center"/>
                </w:tcPr>
                <w:p>
                  <w:pPr>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六价铬</w:t>
                  </w:r>
                </w:p>
              </w:tc>
              <w:tc>
                <w:tcPr>
                  <w:tcW w:w="614" w:type="pct"/>
                  <w:vAlign w:val="center"/>
                </w:tcPr>
                <w:p>
                  <w:pPr>
                    <w:spacing w:line="240" w:lineRule="auto"/>
                    <w:jc w:val="center"/>
                    <w:textAlignment w:val="center"/>
                    <w:rPr>
                      <w:rFonts w:ascii="Times New Roman" w:hAnsi="Times New Roman" w:eastAsia="宋体" w:cs="Times New Roman"/>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5.7</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spacing w:line="240" w:lineRule="auto"/>
                    <w:jc w:val="center"/>
                    <w:textAlignment w:val="center"/>
                    <w:rPr>
                      <w:rFonts w:ascii="Times New Roman" w:hAnsi="Times New Roman" w:eastAsia="宋体" w:cs="Times New Roman"/>
                      <w:sz w:val="21"/>
                      <w:szCs w:val="21"/>
                    </w:rPr>
                  </w:pPr>
                  <w:r>
                    <w:rPr>
                      <w:rStyle w:val="138"/>
                      <w:rFonts w:hint="default" w:ascii="Times New Roman" w:hAnsi="Times New Roman" w:cs="Times New Roman"/>
                      <w:color w:val="auto"/>
                      <w:sz w:val="21"/>
                      <w:szCs w:val="21"/>
                    </w:rPr>
                    <w:t>汞</w:t>
                  </w:r>
                </w:p>
              </w:tc>
              <w:tc>
                <w:tcPr>
                  <w:tcW w:w="614"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0.108</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38</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spacing w:line="240" w:lineRule="auto"/>
                    <w:jc w:val="center"/>
                    <w:textAlignment w:val="center"/>
                    <w:rPr>
                      <w:rFonts w:ascii="Times New Roman" w:hAnsi="Times New Roman" w:eastAsia="宋体" w:cs="Times New Roman"/>
                      <w:sz w:val="21"/>
                      <w:szCs w:val="21"/>
                    </w:rPr>
                  </w:pPr>
                  <w:r>
                    <w:rPr>
                      <w:rStyle w:val="138"/>
                      <w:rFonts w:hint="default" w:ascii="Times New Roman" w:hAnsi="Times New Roman" w:cs="Times New Roman"/>
                      <w:color w:val="auto"/>
                      <w:sz w:val="21"/>
                      <w:szCs w:val="21"/>
                    </w:rPr>
                    <w:t>砷</w:t>
                  </w:r>
                </w:p>
              </w:tc>
              <w:tc>
                <w:tcPr>
                  <w:tcW w:w="614" w:type="pct"/>
                  <w:vAlign w:val="center"/>
                </w:tcPr>
                <w:p>
                  <w:pPr>
                    <w:adjustRightInd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4.44</w:t>
                  </w:r>
                </w:p>
              </w:tc>
              <w:tc>
                <w:tcPr>
                  <w:tcW w:w="746" w:type="pct"/>
                  <w:vAlign w:val="center"/>
                </w:tcPr>
                <w:p>
                  <w:pPr>
                    <w:jc w:val="center"/>
                    <w:textAlignment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60</w:t>
                  </w:r>
                </w:p>
              </w:tc>
              <w:tc>
                <w:tcPr>
                  <w:tcW w:w="749" w:type="pct"/>
                  <w:vAlign w:val="center"/>
                </w:tcPr>
                <w:p>
                  <w:pPr>
                    <w:jc w:val="center"/>
                    <w:textAlignment w:val="center"/>
                    <w:rPr>
                      <w:rFonts w:ascii="Times New Roman" w:hAnsi="Times New Roman" w:eastAsia="宋体" w:cs="Times New Roman"/>
                      <w:kern w:val="0"/>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氯甲烷</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37</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氯乙烯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0.43</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1,1-二氯乙烯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66</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spacing w:line="240" w:lineRule="auto"/>
                    <w:jc w:val="center"/>
                    <w:textAlignment w:val="center"/>
                    <w:rPr>
                      <w:rFonts w:ascii="Times New Roman" w:hAnsi="Times New Roman" w:eastAsia="宋体" w:cs="Times New Roman"/>
                      <w:bCs/>
                      <w:sz w:val="21"/>
                      <w:szCs w:val="21"/>
                    </w:rPr>
                  </w:pPr>
                </w:p>
              </w:tc>
              <w:tc>
                <w:tcPr>
                  <w:tcW w:w="613" w:type="pct"/>
                  <w:vMerge w:val="continue"/>
                  <w:vAlign w:val="center"/>
                </w:tcPr>
                <w:p>
                  <w:pPr>
                    <w:spacing w:line="240" w:lineRule="auto"/>
                    <w:jc w:val="center"/>
                    <w:textAlignment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二氯甲烷</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616</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反式-1,2-二氯乙烯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54</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1,1-二氯乙烷</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顺式-1,2-二氯乙烯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596</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bCs/>
                      <w:sz w:val="21"/>
                      <w:szCs w:val="21"/>
                    </w:rPr>
                  </w:pPr>
                  <w:r>
                    <w:rPr>
                      <w:rFonts w:ascii="Times New Roman" w:hAnsi="Times New Roman" w:eastAsia="宋体" w:cs="Times New Roman"/>
                      <w:sz w:val="21"/>
                      <w:szCs w:val="21"/>
                    </w:rPr>
                    <w:t>氯仿</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0.9</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1,1,1-三氯乙烷</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840</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spacing w:line="240" w:lineRule="auto"/>
                    <w:jc w:val="center"/>
                    <w:textAlignment w:val="center"/>
                    <w:rPr>
                      <w:rFonts w:ascii="Times New Roman" w:hAnsi="Times New Roman" w:eastAsia="宋体" w:cs="Times New Roman"/>
                      <w:sz w:val="21"/>
                      <w:szCs w:val="21"/>
                    </w:rPr>
                  </w:pPr>
                </w:p>
              </w:tc>
              <w:tc>
                <w:tcPr>
                  <w:tcW w:w="613" w:type="pct"/>
                  <w:vMerge w:val="continue"/>
                  <w:vAlign w:val="center"/>
                </w:tcPr>
                <w:p>
                  <w:pPr>
                    <w:spacing w:line="240" w:lineRule="auto"/>
                    <w:jc w:val="center"/>
                    <w:textAlignment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四氯化碳</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2.8</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1,2-二氯乙烷</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三氯乙烯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2.8</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1,2-二氯丙烷</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甲苯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1200</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1,1,2-三氯乙烷</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2.8</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四氯乙烯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53</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氯苯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270</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1,1,1,2-四氯乙烷</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乙苯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28</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spacing w:line="240" w:lineRule="auto"/>
                    <w:jc w:val="center"/>
                    <w:textAlignment w:val="center"/>
                    <w:rPr>
                      <w:rFonts w:ascii="Times New Roman" w:hAnsi="Times New Roman" w:eastAsia="宋体" w:cs="Times New Roman"/>
                      <w:bCs/>
                      <w:sz w:val="21"/>
                      <w:szCs w:val="21"/>
                    </w:rPr>
                  </w:pPr>
                </w:p>
              </w:tc>
              <w:tc>
                <w:tcPr>
                  <w:tcW w:w="613" w:type="pct"/>
                  <w:vMerge w:val="continue"/>
                  <w:vAlign w:val="center"/>
                </w:tcPr>
                <w:p>
                  <w:pPr>
                    <w:spacing w:line="240" w:lineRule="auto"/>
                    <w:jc w:val="center"/>
                    <w:textAlignment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间,对-二甲苯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570</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spacing w:line="240" w:lineRule="auto"/>
                    <w:jc w:val="center"/>
                    <w:textAlignment w:val="center"/>
                    <w:rPr>
                      <w:rFonts w:ascii="Times New Roman" w:hAnsi="Times New Roman" w:eastAsia="宋体" w:cs="Times New Roman"/>
                      <w:bCs/>
                      <w:sz w:val="21"/>
                      <w:szCs w:val="21"/>
                    </w:rPr>
                  </w:pPr>
                </w:p>
              </w:tc>
              <w:tc>
                <w:tcPr>
                  <w:tcW w:w="613" w:type="pct"/>
                  <w:vMerge w:val="continue"/>
                  <w:vAlign w:val="center"/>
                </w:tcPr>
                <w:p>
                  <w:pPr>
                    <w:spacing w:line="240" w:lineRule="auto"/>
                    <w:jc w:val="center"/>
                    <w:textAlignment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邻-二甲苯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640</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苯乙烯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1290</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1,1,2,2-四氯乙烷</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6.8</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1,2,3-三氯丙烷</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0.5</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1,4-二氯苯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20</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widowControl w:val="0"/>
                    <w:spacing w:line="24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1,2-二氯苯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µg/kg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560</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sz w:val="21"/>
                      <w:szCs w:val="21"/>
                    </w:rPr>
                    <w:t>2-氯苯酚</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2256</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sz w:val="21"/>
                      <w:szCs w:val="21"/>
                    </w:rPr>
                    <w:t>萘</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70</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sz w:val="21"/>
                      <w:szCs w:val="21"/>
                    </w:rPr>
                    <w:t>苯并(a)蒽</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sz w:val="21"/>
                      <w:szCs w:val="21"/>
                    </w:rPr>
                    <w:t>䓛</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1293</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spacing w:line="240" w:lineRule="auto"/>
                    <w:jc w:val="center"/>
                    <w:textAlignment w:val="center"/>
                    <w:rPr>
                      <w:rFonts w:ascii="Times New Roman" w:hAnsi="Times New Roman" w:eastAsia="宋体" w:cs="Times New Roman"/>
                      <w:bCs/>
                      <w:sz w:val="21"/>
                      <w:szCs w:val="21"/>
                    </w:rPr>
                  </w:pPr>
                </w:p>
              </w:tc>
              <w:tc>
                <w:tcPr>
                  <w:tcW w:w="613" w:type="pct"/>
                  <w:vMerge w:val="continue"/>
                  <w:vAlign w:val="center"/>
                </w:tcPr>
                <w:p>
                  <w:pPr>
                    <w:spacing w:line="240" w:lineRule="auto"/>
                    <w:jc w:val="center"/>
                    <w:textAlignment w:val="center"/>
                    <w:rPr>
                      <w:rFonts w:ascii="Times New Roman" w:hAnsi="Times New Roman" w:eastAsia="宋体" w:cs="Times New Roman"/>
                      <w:sz w:val="21"/>
                      <w:szCs w:val="21"/>
                    </w:rPr>
                  </w:pPr>
                </w:p>
              </w:tc>
              <w:tc>
                <w:tcPr>
                  <w:tcW w:w="964"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sz w:val="21"/>
                      <w:szCs w:val="21"/>
                    </w:rPr>
                    <w:t>苯并(b)荧蒽</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sz w:val="21"/>
                      <w:szCs w:val="21"/>
                    </w:rPr>
                    <w:t>苯并(k)荧蒽</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151</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spacing w:line="240" w:lineRule="auto"/>
                    <w:jc w:val="center"/>
                    <w:textAlignment w:val="center"/>
                    <w:rPr>
                      <w:rFonts w:ascii="Times New Roman" w:hAnsi="Times New Roman" w:eastAsia="宋体" w:cs="Times New Roman"/>
                      <w:bCs/>
                      <w:kern w:val="0"/>
                      <w:sz w:val="21"/>
                      <w:szCs w:val="21"/>
                    </w:rPr>
                  </w:pPr>
                  <w:r>
                    <w:rPr>
                      <w:rFonts w:ascii="Times New Roman" w:hAnsi="Times New Roman" w:eastAsia="宋体" w:cs="Times New Roman"/>
                      <w:sz w:val="21"/>
                      <w:szCs w:val="21"/>
                    </w:rPr>
                    <w:t>苯并(a)芘</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sz w:val="21"/>
                      <w:szCs w:val="21"/>
                    </w:rPr>
                    <w:t>茚并(1,2,3-cd)芘</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sz w:val="21"/>
                      <w:szCs w:val="21"/>
                    </w:rPr>
                    <w:t>二苯并(ah)蒽</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sz w:val="21"/>
                      <w:szCs w:val="21"/>
                    </w:rPr>
                    <w:t>硝基苯</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76</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612"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613" w:type="pct"/>
                  <w:vMerge w:val="continue"/>
                  <w:vAlign w:val="center"/>
                </w:tcPr>
                <w:p>
                  <w:pPr>
                    <w:widowControl w:val="0"/>
                    <w:spacing w:line="240" w:lineRule="auto"/>
                    <w:jc w:val="center"/>
                    <w:rPr>
                      <w:rFonts w:ascii="Times New Roman" w:hAnsi="Times New Roman" w:eastAsia="宋体" w:cs="Times New Roman"/>
                      <w:sz w:val="21"/>
                      <w:szCs w:val="21"/>
                    </w:rPr>
                  </w:pPr>
                </w:p>
              </w:tc>
              <w:tc>
                <w:tcPr>
                  <w:tcW w:w="964"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sz w:val="21"/>
                      <w:szCs w:val="21"/>
                    </w:rPr>
                    <w:t>苯胺</w:t>
                  </w:r>
                </w:p>
              </w:tc>
              <w:tc>
                <w:tcPr>
                  <w:tcW w:w="614" w:type="pct"/>
                  <w:vAlign w:val="center"/>
                </w:tcPr>
                <w:p>
                  <w:pPr>
                    <w:spacing w:line="240" w:lineRule="auto"/>
                    <w:jc w:val="center"/>
                    <w:rPr>
                      <w:rFonts w:ascii="Times New Roman" w:hAnsi="Times New Roman" w:eastAsia="宋体" w:cs="Times New Roman"/>
                      <w:sz w:val="21"/>
                      <w:szCs w:val="21"/>
                    </w:rPr>
                  </w:pPr>
                  <w:r>
                    <w:rPr>
                      <w:rFonts w:ascii="Times New Roman" w:hAnsi="Times New Roman" w:eastAsia="宋体" w:cs="Times New Roman"/>
                      <w:bCs/>
                      <w:sz w:val="21"/>
                      <w:szCs w:val="21"/>
                    </w:rPr>
                    <w:t>mg/kg</w:t>
                  </w:r>
                </w:p>
              </w:tc>
              <w:tc>
                <w:tcPr>
                  <w:tcW w:w="699" w:type="pct"/>
                  <w:vAlign w:val="center"/>
                </w:tcPr>
                <w:p>
                  <w:pPr>
                    <w:spacing w:line="240" w:lineRule="auto"/>
                    <w:jc w:val="center"/>
                    <w:textAlignment w:val="center"/>
                    <w:rPr>
                      <w:rFonts w:ascii="Times New Roman" w:hAnsi="Times New Roman" w:eastAsia="宋体" w:cs="Times New Roman"/>
                      <w:sz w:val="21"/>
                      <w:szCs w:val="21"/>
                    </w:rPr>
                  </w:pPr>
                  <w:r>
                    <w:rPr>
                      <w:rFonts w:hint="eastAsia" w:ascii="Times New Roman" w:hAnsi="Times New Roman" w:eastAsia="宋体" w:cs="Times New Roman"/>
                      <w:sz w:val="21"/>
                      <w:szCs w:val="21"/>
                    </w:rPr>
                    <w:t>未检出</w:t>
                  </w:r>
                </w:p>
              </w:tc>
              <w:tc>
                <w:tcPr>
                  <w:tcW w:w="746" w:type="pct"/>
                  <w:vAlign w:val="center"/>
                </w:tcPr>
                <w:p>
                  <w:pPr>
                    <w:spacing w:line="240" w:lineRule="auto"/>
                    <w:jc w:val="center"/>
                    <w:textAlignment w:val="center"/>
                    <w:rPr>
                      <w:rFonts w:ascii="Times New Roman" w:hAnsi="Times New Roman" w:eastAsia="宋体" w:cs="Times New Roman"/>
                      <w:bCs/>
                      <w:sz w:val="21"/>
                      <w:szCs w:val="21"/>
                    </w:rPr>
                  </w:pPr>
                  <w:r>
                    <w:rPr>
                      <w:rFonts w:ascii="Times New Roman" w:hAnsi="Times New Roman" w:eastAsia="宋体" w:cs="Times New Roman"/>
                      <w:bCs/>
                      <w:sz w:val="21"/>
                      <w:szCs w:val="21"/>
                    </w:rPr>
                    <w:t>260</w:t>
                  </w:r>
                </w:p>
              </w:tc>
              <w:tc>
                <w:tcPr>
                  <w:tcW w:w="749" w:type="pct"/>
                  <w:vAlign w:val="center"/>
                </w:tcPr>
                <w:p>
                  <w:pPr>
                    <w:spacing w:line="240" w:lineRule="auto"/>
                    <w:jc w:val="center"/>
                    <w:textAlignment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是</w:t>
                  </w:r>
                </w:p>
              </w:tc>
            </w:tr>
          </w:tbl>
          <w:p>
            <w:pPr>
              <w:widowControl/>
              <w:ind w:firstLine="480" w:firstLineChars="200"/>
              <w:jc w:val="both"/>
              <w:rPr>
                <w:rFonts w:cs="Times New Roman" w:asciiTheme="majorHAnsi" w:hAnsiTheme="majorHAnsi"/>
                <w:kern w:val="0"/>
                <w:szCs w:val="20"/>
              </w:rPr>
            </w:pPr>
            <w:r>
              <w:rPr>
                <w:rFonts w:hint="eastAsia" w:cs="Times New Roman" w:asciiTheme="majorHAnsi" w:hAnsiTheme="majorHAnsi"/>
                <w:kern w:val="0"/>
                <w:szCs w:val="20"/>
              </w:rPr>
              <w:t>由上表可知，本项目厂址区域土壤中各污染物含量均低于《土壤环境质量 建设用地土壤污染风险管控标准（试行）》（GB36600-2018）中表1规定的第二类用地风险筛选值，说明本项目所在厂址处土壤污染风险低。</w:t>
            </w:r>
          </w:p>
          <w:p>
            <w:pPr>
              <w:widowControl/>
              <w:ind w:firstLine="482" w:firstLineChars="200"/>
              <w:jc w:val="left"/>
              <w:rPr>
                <w:rFonts w:cs="Times New Roman" w:asciiTheme="majorHAnsi" w:hAnsiTheme="majorHAnsi"/>
                <w:b/>
                <w:bCs/>
                <w:kern w:val="0"/>
                <w:szCs w:val="20"/>
              </w:rPr>
            </w:pPr>
            <w:r>
              <w:rPr>
                <w:rFonts w:cs="Times New Roman" w:asciiTheme="majorHAnsi" w:hAnsiTheme="majorHAnsi"/>
                <w:b/>
                <w:bCs/>
                <w:kern w:val="0"/>
                <w:szCs w:val="20"/>
              </w:rPr>
              <w:t>7</w:t>
            </w:r>
            <w:r>
              <w:rPr>
                <w:rFonts w:hint="eastAsia" w:cs="Times New Roman" w:asciiTheme="majorHAnsi" w:hAnsiTheme="majorHAnsi"/>
                <w:b/>
                <w:bCs/>
                <w:kern w:val="0"/>
                <w:szCs w:val="20"/>
              </w:rPr>
              <w:t>、生态环境质量现状</w:t>
            </w:r>
          </w:p>
          <w:p>
            <w:pPr>
              <w:widowControl w:val="0"/>
              <w:ind w:firstLine="480" w:firstLineChars="200"/>
              <w:jc w:val="left"/>
              <w:rPr>
                <w:rFonts w:ascii="Times New Roman" w:hAnsi="Times New Roman" w:eastAsia="宋体" w:cs="Times New Roman"/>
                <w:bCs/>
                <w:kern w:val="21"/>
                <w:szCs w:val="20"/>
              </w:rPr>
            </w:pPr>
            <w:r>
              <w:rPr>
                <w:rFonts w:hint="eastAsia"/>
                <w:bCs/>
              </w:rPr>
              <w:t>采用现场调查和资料收集等方法进行调查。</w:t>
            </w:r>
          </w:p>
          <w:p>
            <w:pPr>
              <w:widowControl w:val="0"/>
              <w:ind w:firstLine="480" w:firstLineChars="200"/>
              <w:jc w:val="left"/>
              <w:rPr>
                <w:bCs/>
              </w:rPr>
            </w:pPr>
            <w:r>
              <w:rPr>
                <w:rFonts w:hint="eastAsia"/>
                <w:bCs/>
              </w:rPr>
              <w:t>项目所在区域现状为农村环境，附近主要为自然和人工相结合的生态体系，是由山地、耕地、道路、建筑等各类生态系统有规律的相间组成。</w:t>
            </w:r>
          </w:p>
          <w:p>
            <w:pPr>
              <w:widowControl w:val="0"/>
              <w:ind w:firstLine="480" w:firstLineChars="200"/>
              <w:jc w:val="left"/>
              <w:rPr>
                <w:bCs/>
              </w:rPr>
            </w:pPr>
            <w:r>
              <w:rPr>
                <w:rFonts w:hint="eastAsia"/>
                <w:bCs/>
              </w:rPr>
              <w:t>项目用地范围内的土地为公用设施用地，周边为山地，现状为荒地，有杂草分布。</w:t>
            </w:r>
          </w:p>
          <w:p>
            <w:pPr>
              <w:widowControl w:val="0"/>
              <w:ind w:firstLine="480" w:firstLineChars="200"/>
              <w:jc w:val="left"/>
              <w:rPr>
                <w:bCs/>
              </w:rPr>
            </w:pPr>
            <w:r>
              <w:rPr>
                <w:rFonts w:hint="eastAsia"/>
                <w:bCs/>
              </w:rPr>
              <w:t>本项目生态评价范围内没有需要重点保护的珍稀、濒危动植物及古、大、珍、奇树木。</w:t>
            </w:r>
            <w:r>
              <w:rPr>
                <w:rFonts w:asciiTheme="majorHAnsi" w:hAnsiTheme="majorHAnsi"/>
                <w:bCs/>
              </w:rPr>
              <w:t>因此，不开展生态环境现状调查与评价。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452" w:type="dxa"/>
          </w:tcPr>
          <w:p>
            <w:pPr>
              <w:pStyle w:val="40"/>
              <w:widowControl w:val="0"/>
              <w:jc w:val="both"/>
              <w:outlineLvl w:val="0"/>
              <w:rPr>
                <w:rFonts w:ascii="黑体" w:hAnsi="黑体" w:eastAsia="黑体"/>
                <w:snapToGrid w:val="0"/>
                <w:sz w:val="30"/>
                <w:szCs w:val="30"/>
                <w:lang w:val="zh-CN"/>
              </w:rPr>
            </w:pPr>
            <w:r>
              <w:rPr>
                <w:rFonts w:hint="eastAsia" w:asciiTheme="majorHAnsi" w:hAnsiTheme="majorHAnsi"/>
              </w:rPr>
              <w:t>环境保护目标</w:t>
            </w:r>
          </w:p>
        </w:tc>
        <w:tc>
          <w:tcPr>
            <w:tcW w:w="8382" w:type="dxa"/>
          </w:tcPr>
          <w:p>
            <w:pPr>
              <w:widowControl/>
              <w:ind w:firstLine="480" w:firstLineChars="200"/>
              <w:jc w:val="left"/>
              <w:rPr>
                <w:rFonts w:cs="Times New Roman" w:asciiTheme="majorHAnsi" w:hAnsiTheme="majorHAnsi"/>
                <w:kern w:val="0"/>
                <w:szCs w:val="20"/>
              </w:rPr>
            </w:pPr>
            <w:r>
              <w:rPr>
                <w:rFonts w:cs="Times New Roman" w:asciiTheme="majorHAnsi" w:hAnsiTheme="majorHAnsi"/>
                <w:kern w:val="0"/>
                <w:szCs w:val="20"/>
              </w:rPr>
              <w:t>根据项目外环境关系，确定本项目主要环境保护目标见下表。</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 xml:space="preserve">环境保护目标一览表 </w:t>
            </w:r>
          </w:p>
          <w:tbl>
            <w:tblPr>
              <w:tblStyle w:val="44"/>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64"/>
              <w:gridCol w:w="1210"/>
              <w:gridCol w:w="1210"/>
              <w:gridCol w:w="1154"/>
              <w:gridCol w:w="865"/>
              <w:gridCol w:w="1502"/>
              <w:gridCol w:w="144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24" w:type="pct"/>
                  <w:vAlign w:val="center"/>
                </w:tcPr>
                <w:p>
                  <w:pPr>
                    <w:pStyle w:val="56"/>
                    <w:rPr>
                      <w:rFonts w:asciiTheme="majorHAnsi" w:hAnsiTheme="majorHAnsi" w:eastAsiaTheme="minorEastAsia"/>
                      <w:b/>
                      <w:bCs/>
                      <w:szCs w:val="21"/>
                    </w:rPr>
                  </w:pPr>
                  <w:r>
                    <w:rPr>
                      <w:rFonts w:asciiTheme="majorHAnsi" w:hAnsiTheme="majorHAnsi" w:eastAsiaTheme="minorEastAsia"/>
                      <w:b/>
                      <w:bCs/>
                      <w:szCs w:val="21"/>
                    </w:rPr>
                    <w:t>环境</w:t>
                  </w:r>
                </w:p>
                <w:p>
                  <w:pPr>
                    <w:pStyle w:val="56"/>
                    <w:rPr>
                      <w:rFonts w:asciiTheme="majorHAnsi" w:hAnsiTheme="majorHAnsi" w:eastAsiaTheme="minorEastAsia"/>
                      <w:b/>
                      <w:bCs/>
                      <w:szCs w:val="21"/>
                    </w:rPr>
                  </w:pPr>
                  <w:r>
                    <w:rPr>
                      <w:rFonts w:asciiTheme="majorHAnsi" w:hAnsiTheme="majorHAnsi" w:eastAsiaTheme="minorEastAsia"/>
                      <w:b/>
                      <w:bCs/>
                      <w:szCs w:val="21"/>
                    </w:rPr>
                    <w:t>要素</w:t>
                  </w:r>
                </w:p>
              </w:tc>
              <w:tc>
                <w:tcPr>
                  <w:tcW w:w="733" w:type="pct"/>
                  <w:vAlign w:val="center"/>
                </w:tcPr>
                <w:p>
                  <w:pPr>
                    <w:pStyle w:val="56"/>
                    <w:rPr>
                      <w:rFonts w:asciiTheme="majorHAnsi" w:hAnsiTheme="majorHAnsi" w:eastAsiaTheme="minorEastAsia"/>
                      <w:b/>
                      <w:bCs/>
                      <w:szCs w:val="21"/>
                    </w:rPr>
                  </w:pPr>
                  <w:r>
                    <w:rPr>
                      <w:rFonts w:asciiTheme="majorHAnsi" w:hAnsiTheme="majorHAnsi" w:eastAsiaTheme="minorEastAsia"/>
                      <w:b/>
                      <w:bCs/>
                      <w:szCs w:val="21"/>
                    </w:rPr>
                    <w:t>保护目标</w:t>
                  </w:r>
                </w:p>
              </w:tc>
              <w:tc>
                <w:tcPr>
                  <w:tcW w:w="1432" w:type="pct"/>
                  <w:gridSpan w:val="2"/>
                  <w:vAlign w:val="center"/>
                </w:tcPr>
                <w:p>
                  <w:pPr>
                    <w:pStyle w:val="56"/>
                    <w:rPr>
                      <w:rFonts w:asciiTheme="majorHAnsi" w:hAnsiTheme="majorHAnsi" w:eastAsiaTheme="minorEastAsia"/>
                      <w:b/>
                      <w:bCs/>
                      <w:szCs w:val="21"/>
                    </w:rPr>
                  </w:pPr>
                  <w:r>
                    <w:rPr>
                      <w:rFonts w:asciiTheme="majorHAnsi" w:hAnsiTheme="majorHAnsi" w:eastAsiaTheme="minorEastAsia"/>
                      <w:b/>
                      <w:bCs/>
                      <w:szCs w:val="21"/>
                    </w:rPr>
                    <w:t>与厂界的相对位置</w:t>
                  </w:r>
                </w:p>
              </w:tc>
              <w:tc>
                <w:tcPr>
                  <w:tcW w:w="524" w:type="pct"/>
                  <w:tcBorders>
                    <w:right w:val="single" w:color="auto" w:sz="4" w:space="0"/>
                  </w:tcBorders>
                  <w:vAlign w:val="center"/>
                </w:tcPr>
                <w:p>
                  <w:pPr>
                    <w:pStyle w:val="56"/>
                    <w:rPr>
                      <w:rFonts w:asciiTheme="majorHAnsi" w:hAnsiTheme="majorHAnsi" w:eastAsiaTheme="minorEastAsia"/>
                      <w:b/>
                      <w:bCs/>
                      <w:szCs w:val="21"/>
                    </w:rPr>
                  </w:pPr>
                  <w:r>
                    <w:rPr>
                      <w:rFonts w:asciiTheme="majorHAnsi" w:hAnsiTheme="majorHAnsi" w:eastAsiaTheme="minorEastAsia"/>
                      <w:b/>
                      <w:bCs/>
                      <w:szCs w:val="21"/>
                    </w:rPr>
                    <w:t>性质</w:t>
                  </w:r>
                </w:p>
              </w:tc>
              <w:tc>
                <w:tcPr>
                  <w:tcW w:w="908" w:type="pct"/>
                  <w:tcBorders>
                    <w:left w:val="single" w:color="auto" w:sz="4" w:space="0"/>
                  </w:tcBorders>
                  <w:vAlign w:val="center"/>
                </w:tcPr>
                <w:p>
                  <w:pPr>
                    <w:pStyle w:val="56"/>
                    <w:rPr>
                      <w:rFonts w:asciiTheme="majorHAnsi" w:hAnsiTheme="majorHAnsi" w:eastAsiaTheme="minorEastAsia"/>
                      <w:b/>
                      <w:bCs/>
                      <w:szCs w:val="21"/>
                    </w:rPr>
                  </w:pPr>
                  <w:r>
                    <w:rPr>
                      <w:rFonts w:asciiTheme="majorHAnsi" w:hAnsiTheme="majorHAnsi" w:eastAsiaTheme="minorEastAsia"/>
                      <w:b/>
                      <w:bCs/>
                      <w:szCs w:val="21"/>
                    </w:rPr>
                    <w:t>规模</w:t>
                  </w:r>
                </w:p>
              </w:tc>
              <w:tc>
                <w:tcPr>
                  <w:tcW w:w="875" w:type="pct"/>
                  <w:vAlign w:val="center"/>
                </w:tcPr>
                <w:p>
                  <w:pPr>
                    <w:pStyle w:val="56"/>
                    <w:rPr>
                      <w:rFonts w:asciiTheme="majorHAnsi" w:hAnsiTheme="majorHAnsi" w:eastAsiaTheme="minorEastAsia"/>
                      <w:b/>
                      <w:bCs/>
                      <w:szCs w:val="21"/>
                    </w:rPr>
                  </w:pPr>
                  <w:r>
                    <w:rPr>
                      <w:rFonts w:asciiTheme="majorHAnsi" w:hAnsiTheme="majorHAnsi" w:eastAsiaTheme="minorEastAsia"/>
                      <w:b/>
                      <w:bCs/>
                      <w:szCs w:val="21"/>
                    </w:rPr>
                    <w:t>保护级别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24" w:type="pct"/>
                  <w:vMerge w:val="restart"/>
                  <w:vAlign w:val="center"/>
                </w:tcPr>
                <w:p>
                  <w:pPr>
                    <w:pStyle w:val="56"/>
                    <w:rPr>
                      <w:rFonts w:asciiTheme="majorHAnsi" w:hAnsiTheme="majorHAnsi" w:eastAsiaTheme="minorEastAsia"/>
                      <w:szCs w:val="21"/>
                    </w:rPr>
                  </w:pPr>
                  <w:r>
                    <w:rPr>
                      <w:rFonts w:asciiTheme="majorHAnsi" w:hAnsiTheme="majorHAnsi" w:eastAsiaTheme="minorEastAsia"/>
                      <w:szCs w:val="21"/>
                    </w:rPr>
                    <w:t>大气</w:t>
                  </w:r>
                </w:p>
                <w:p>
                  <w:pPr>
                    <w:pStyle w:val="56"/>
                    <w:rPr>
                      <w:rFonts w:asciiTheme="majorHAnsi" w:hAnsiTheme="majorHAnsi" w:eastAsiaTheme="minorEastAsia"/>
                      <w:szCs w:val="21"/>
                    </w:rPr>
                  </w:pPr>
                  <w:r>
                    <w:rPr>
                      <w:rFonts w:asciiTheme="majorHAnsi" w:hAnsiTheme="majorHAnsi" w:eastAsiaTheme="minorEastAsia"/>
                      <w:szCs w:val="21"/>
                    </w:rPr>
                    <w:t>环境</w:t>
                  </w:r>
                </w:p>
              </w:tc>
              <w:tc>
                <w:tcPr>
                  <w:tcW w:w="733" w:type="pct"/>
                  <w:vAlign w:val="center"/>
                </w:tcPr>
                <w:p>
                  <w:pPr>
                    <w:pStyle w:val="56"/>
                    <w:rPr>
                      <w:rFonts w:asciiTheme="majorHAnsi" w:hAnsiTheme="majorHAnsi" w:eastAsiaTheme="minorEastAsia"/>
                      <w:szCs w:val="21"/>
                      <w:lang w:val="en-US"/>
                    </w:rPr>
                  </w:pPr>
                  <w:r>
                    <w:rPr>
                      <w:rFonts w:hint="eastAsia"/>
                      <w:szCs w:val="21"/>
                    </w:rPr>
                    <w:t>宣汉县多宝寺</w:t>
                  </w:r>
                </w:p>
              </w:tc>
              <w:tc>
                <w:tcPr>
                  <w:tcW w:w="733" w:type="pct"/>
                  <w:vAlign w:val="center"/>
                </w:tcPr>
                <w:p>
                  <w:pPr>
                    <w:pStyle w:val="56"/>
                    <w:rPr>
                      <w:rFonts w:asciiTheme="majorHAnsi" w:hAnsiTheme="majorHAnsi" w:eastAsiaTheme="minorEastAsia"/>
                      <w:szCs w:val="21"/>
                    </w:rPr>
                  </w:pPr>
                  <w:r>
                    <w:rPr>
                      <w:rFonts w:hint="eastAsia"/>
                      <w:szCs w:val="21"/>
                    </w:rPr>
                    <w:t>东南面</w:t>
                  </w:r>
                </w:p>
              </w:tc>
              <w:tc>
                <w:tcPr>
                  <w:tcW w:w="699" w:type="pct"/>
                  <w:vAlign w:val="center"/>
                </w:tcPr>
                <w:p>
                  <w:pPr>
                    <w:pStyle w:val="56"/>
                    <w:rPr>
                      <w:rFonts w:asciiTheme="majorHAnsi" w:hAnsiTheme="majorHAnsi" w:eastAsiaTheme="minorEastAsia"/>
                      <w:szCs w:val="21"/>
                      <w:lang w:val="en-US"/>
                    </w:rPr>
                  </w:pPr>
                  <w:r>
                    <w:rPr>
                      <w:rFonts w:hint="eastAsia"/>
                      <w:szCs w:val="21"/>
                    </w:rPr>
                    <w:t>200m</w:t>
                  </w:r>
                </w:p>
              </w:tc>
              <w:tc>
                <w:tcPr>
                  <w:tcW w:w="524" w:type="pct"/>
                  <w:tcBorders>
                    <w:right w:val="single" w:color="auto" w:sz="4" w:space="0"/>
                  </w:tcBorders>
                  <w:vAlign w:val="center"/>
                </w:tcPr>
                <w:p>
                  <w:pPr>
                    <w:pStyle w:val="56"/>
                    <w:rPr>
                      <w:rFonts w:asciiTheme="majorHAnsi" w:hAnsiTheme="majorHAnsi" w:eastAsiaTheme="minorEastAsia"/>
                      <w:szCs w:val="21"/>
                      <w:lang w:val="en-US"/>
                    </w:rPr>
                  </w:pPr>
                  <w:r>
                    <w:rPr>
                      <w:rFonts w:hint="eastAsia" w:asciiTheme="majorHAnsi" w:hAnsiTheme="majorHAnsi" w:eastAsiaTheme="minorEastAsia"/>
                      <w:szCs w:val="21"/>
                      <w:lang w:val="en-US"/>
                    </w:rPr>
                    <w:t>寺庙</w:t>
                  </w:r>
                </w:p>
              </w:tc>
              <w:tc>
                <w:tcPr>
                  <w:tcW w:w="908" w:type="pct"/>
                  <w:tcBorders>
                    <w:left w:val="single" w:color="auto" w:sz="4" w:space="0"/>
                  </w:tcBorders>
                  <w:vAlign w:val="center"/>
                </w:tcPr>
                <w:p>
                  <w:pPr>
                    <w:pStyle w:val="56"/>
                    <w:adjustRightInd w:val="0"/>
                    <w:snapToGrid w:val="0"/>
                    <w:rPr>
                      <w:rFonts w:asciiTheme="majorHAnsi" w:hAnsiTheme="majorHAnsi" w:eastAsiaTheme="minorEastAsia"/>
                      <w:szCs w:val="21"/>
                      <w:lang w:val="en-US"/>
                    </w:rPr>
                  </w:pPr>
                  <w:r>
                    <w:rPr>
                      <w:rFonts w:hint="eastAsia" w:asciiTheme="majorHAnsi" w:hAnsiTheme="majorHAnsi" w:eastAsiaTheme="minorEastAsia"/>
                      <w:szCs w:val="21"/>
                      <w:lang w:val="en-US"/>
                    </w:rPr>
                    <w:t>/</w:t>
                  </w:r>
                </w:p>
              </w:tc>
              <w:tc>
                <w:tcPr>
                  <w:tcW w:w="875" w:type="pct"/>
                  <w:vMerge w:val="restart"/>
                  <w:vAlign w:val="center"/>
                </w:tcPr>
                <w:p>
                  <w:pPr>
                    <w:pStyle w:val="56"/>
                    <w:adjustRightInd w:val="0"/>
                    <w:snapToGrid w:val="0"/>
                    <w:rPr>
                      <w:rFonts w:asciiTheme="majorHAnsi" w:hAnsiTheme="majorHAnsi" w:eastAsiaTheme="minorEastAsia"/>
                      <w:szCs w:val="21"/>
                    </w:rPr>
                  </w:pPr>
                  <w:r>
                    <w:rPr>
                      <w:rFonts w:asciiTheme="majorHAnsi" w:hAnsiTheme="majorHAnsi" w:eastAsiaTheme="minorEastAsia"/>
                      <w:szCs w:val="21"/>
                    </w:rPr>
                    <w:t>《环境空气质量标准》GB3095-2012二级标准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24" w:type="pct"/>
                  <w:vMerge w:val="continue"/>
                  <w:vAlign w:val="center"/>
                </w:tcPr>
                <w:p>
                  <w:pPr>
                    <w:pStyle w:val="56"/>
                    <w:rPr>
                      <w:rFonts w:asciiTheme="majorHAnsi" w:hAnsiTheme="majorHAnsi" w:eastAsiaTheme="minorEastAsia"/>
                      <w:szCs w:val="21"/>
                    </w:rPr>
                  </w:pPr>
                </w:p>
              </w:tc>
              <w:tc>
                <w:tcPr>
                  <w:tcW w:w="733" w:type="pct"/>
                  <w:vAlign w:val="center"/>
                </w:tcPr>
                <w:p>
                  <w:pPr>
                    <w:pStyle w:val="56"/>
                    <w:rPr>
                      <w:szCs w:val="21"/>
                    </w:rPr>
                  </w:pPr>
                  <w:r>
                    <w:rPr>
                      <w:rFonts w:hint="eastAsia" w:asciiTheme="majorHAnsi" w:hAnsiTheme="majorHAnsi" w:eastAsiaTheme="minorEastAsia"/>
                      <w:szCs w:val="21"/>
                      <w:lang w:val="en-US"/>
                    </w:rPr>
                    <w:t>零散住户</w:t>
                  </w:r>
                </w:p>
              </w:tc>
              <w:tc>
                <w:tcPr>
                  <w:tcW w:w="733" w:type="pct"/>
                  <w:vAlign w:val="center"/>
                </w:tcPr>
                <w:p>
                  <w:pPr>
                    <w:pStyle w:val="56"/>
                    <w:rPr>
                      <w:szCs w:val="21"/>
                    </w:rPr>
                  </w:pPr>
                  <w:r>
                    <w:rPr>
                      <w:rFonts w:hint="eastAsia"/>
                      <w:szCs w:val="21"/>
                    </w:rPr>
                    <w:t>东南面</w:t>
                  </w:r>
                </w:p>
              </w:tc>
              <w:tc>
                <w:tcPr>
                  <w:tcW w:w="699" w:type="pct"/>
                  <w:vAlign w:val="center"/>
                </w:tcPr>
                <w:p>
                  <w:pPr>
                    <w:pStyle w:val="56"/>
                    <w:rPr>
                      <w:szCs w:val="21"/>
                    </w:rPr>
                  </w:pPr>
                  <w:r>
                    <w:rPr>
                      <w:rFonts w:hint="eastAsia"/>
                      <w:szCs w:val="21"/>
                    </w:rPr>
                    <w:t>4</w:t>
                  </w:r>
                  <w:r>
                    <w:rPr>
                      <w:szCs w:val="21"/>
                    </w:rPr>
                    <w:t>30</w:t>
                  </w:r>
                  <w:r>
                    <w:rPr>
                      <w:rFonts w:hint="eastAsia"/>
                      <w:szCs w:val="21"/>
                    </w:rPr>
                    <w:t>m</w:t>
                  </w:r>
                </w:p>
              </w:tc>
              <w:tc>
                <w:tcPr>
                  <w:tcW w:w="524" w:type="pct"/>
                  <w:tcBorders>
                    <w:right w:val="single" w:color="auto" w:sz="4" w:space="0"/>
                  </w:tcBorders>
                  <w:vAlign w:val="center"/>
                </w:tcPr>
                <w:p>
                  <w:pPr>
                    <w:pStyle w:val="56"/>
                    <w:rPr>
                      <w:rFonts w:asciiTheme="majorHAnsi" w:hAnsiTheme="majorHAnsi" w:eastAsiaTheme="minorEastAsia"/>
                      <w:szCs w:val="21"/>
                      <w:lang w:val="en-US"/>
                    </w:rPr>
                  </w:pPr>
                  <w:r>
                    <w:rPr>
                      <w:rFonts w:hint="eastAsia" w:asciiTheme="majorHAnsi" w:hAnsiTheme="majorHAnsi" w:eastAsiaTheme="minorEastAsia"/>
                      <w:szCs w:val="21"/>
                      <w:lang w:val="en-US"/>
                    </w:rPr>
                    <w:t>居民</w:t>
                  </w:r>
                </w:p>
              </w:tc>
              <w:tc>
                <w:tcPr>
                  <w:tcW w:w="908" w:type="pct"/>
                  <w:tcBorders>
                    <w:left w:val="single" w:color="auto" w:sz="4" w:space="0"/>
                  </w:tcBorders>
                  <w:vAlign w:val="center"/>
                </w:tcPr>
                <w:p>
                  <w:pPr>
                    <w:pStyle w:val="56"/>
                    <w:adjustRightInd w:val="0"/>
                    <w:snapToGrid w:val="0"/>
                    <w:rPr>
                      <w:rFonts w:asciiTheme="majorHAnsi" w:hAnsiTheme="majorHAnsi" w:eastAsiaTheme="minorEastAsia"/>
                      <w:szCs w:val="21"/>
                      <w:lang w:val="en-US"/>
                    </w:rPr>
                  </w:pPr>
                  <w:r>
                    <w:rPr>
                      <w:rFonts w:hint="eastAsia" w:asciiTheme="majorHAnsi" w:hAnsiTheme="majorHAnsi" w:eastAsiaTheme="minorEastAsia"/>
                      <w:szCs w:val="21"/>
                      <w:lang w:val="en-US"/>
                    </w:rPr>
                    <w:t>约1</w:t>
                  </w:r>
                  <w:r>
                    <w:rPr>
                      <w:rFonts w:asciiTheme="majorHAnsi" w:hAnsiTheme="majorHAnsi" w:eastAsiaTheme="minorEastAsia"/>
                      <w:szCs w:val="21"/>
                      <w:lang w:val="en-US"/>
                    </w:rPr>
                    <w:t>5</w:t>
                  </w:r>
                  <w:r>
                    <w:rPr>
                      <w:rFonts w:hint="eastAsia" w:asciiTheme="majorHAnsi" w:hAnsiTheme="majorHAnsi" w:eastAsiaTheme="minorEastAsia"/>
                      <w:szCs w:val="21"/>
                      <w:lang w:val="en-US"/>
                    </w:rPr>
                    <w:t>户</w:t>
                  </w:r>
                </w:p>
              </w:tc>
              <w:tc>
                <w:tcPr>
                  <w:tcW w:w="875" w:type="pct"/>
                  <w:vMerge w:val="continue"/>
                  <w:vAlign w:val="center"/>
                </w:tcPr>
                <w:p>
                  <w:pPr>
                    <w:pStyle w:val="56"/>
                    <w:adjustRightInd w:val="0"/>
                    <w:snapToGrid w:val="0"/>
                    <w:rPr>
                      <w:rFonts w:asciiTheme="majorHAnsi" w:hAnsiTheme="majorHAnsi"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24" w:type="pct"/>
                  <w:vMerge w:val="continue"/>
                  <w:vAlign w:val="center"/>
                </w:tcPr>
                <w:p>
                  <w:pPr>
                    <w:pStyle w:val="56"/>
                    <w:rPr>
                      <w:rFonts w:asciiTheme="majorHAnsi" w:hAnsiTheme="majorHAnsi" w:eastAsiaTheme="minorEastAsia"/>
                      <w:szCs w:val="21"/>
                    </w:rPr>
                  </w:pPr>
                </w:p>
              </w:tc>
              <w:tc>
                <w:tcPr>
                  <w:tcW w:w="733" w:type="pct"/>
                  <w:vAlign w:val="center"/>
                </w:tcPr>
                <w:p>
                  <w:pPr>
                    <w:pStyle w:val="56"/>
                    <w:rPr>
                      <w:rFonts w:asciiTheme="majorHAnsi" w:hAnsiTheme="majorHAnsi" w:eastAsiaTheme="minorEastAsia"/>
                      <w:szCs w:val="21"/>
                      <w:lang w:val="en-US"/>
                    </w:rPr>
                  </w:pPr>
                  <w:r>
                    <w:rPr>
                      <w:rFonts w:hint="eastAsia" w:asciiTheme="majorHAnsi" w:hAnsiTheme="majorHAnsi" w:eastAsiaTheme="minorEastAsia"/>
                      <w:szCs w:val="21"/>
                      <w:lang w:val="en-US"/>
                    </w:rPr>
                    <w:t>东乡街道零散住户</w:t>
                  </w:r>
                </w:p>
              </w:tc>
              <w:tc>
                <w:tcPr>
                  <w:tcW w:w="733" w:type="pct"/>
                  <w:vAlign w:val="center"/>
                </w:tcPr>
                <w:p>
                  <w:pPr>
                    <w:pStyle w:val="56"/>
                    <w:rPr>
                      <w:rFonts w:asciiTheme="majorHAnsi" w:hAnsiTheme="majorHAnsi" w:eastAsiaTheme="minorEastAsia"/>
                      <w:szCs w:val="21"/>
                    </w:rPr>
                  </w:pPr>
                  <w:r>
                    <w:rPr>
                      <w:rFonts w:hint="eastAsia"/>
                      <w:szCs w:val="21"/>
                    </w:rPr>
                    <w:t>东北面</w:t>
                  </w:r>
                </w:p>
              </w:tc>
              <w:tc>
                <w:tcPr>
                  <w:tcW w:w="699" w:type="pct"/>
                  <w:vAlign w:val="center"/>
                </w:tcPr>
                <w:p>
                  <w:pPr>
                    <w:pStyle w:val="56"/>
                    <w:rPr>
                      <w:rFonts w:asciiTheme="majorHAnsi" w:hAnsiTheme="majorHAnsi" w:eastAsiaTheme="minorEastAsia"/>
                      <w:szCs w:val="21"/>
                      <w:lang w:val="en-US"/>
                    </w:rPr>
                  </w:pPr>
                  <w:r>
                    <w:rPr>
                      <w:rFonts w:hint="eastAsia"/>
                      <w:szCs w:val="21"/>
                    </w:rPr>
                    <w:t>270m</w:t>
                  </w:r>
                </w:p>
              </w:tc>
              <w:tc>
                <w:tcPr>
                  <w:tcW w:w="524" w:type="pct"/>
                  <w:tcBorders>
                    <w:right w:val="single" w:color="auto" w:sz="4" w:space="0"/>
                  </w:tcBorders>
                  <w:vAlign w:val="center"/>
                </w:tcPr>
                <w:p>
                  <w:pPr>
                    <w:pStyle w:val="56"/>
                    <w:rPr>
                      <w:rFonts w:asciiTheme="majorHAnsi" w:hAnsiTheme="majorHAnsi" w:eastAsiaTheme="minorEastAsia"/>
                      <w:szCs w:val="21"/>
                      <w:lang w:val="en-US"/>
                    </w:rPr>
                  </w:pPr>
                  <w:r>
                    <w:rPr>
                      <w:rFonts w:hint="eastAsia" w:asciiTheme="majorHAnsi" w:hAnsiTheme="majorHAnsi" w:eastAsiaTheme="minorEastAsia"/>
                      <w:szCs w:val="21"/>
                      <w:lang w:val="en-US"/>
                    </w:rPr>
                    <w:t>居民</w:t>
                  </w:r>
                </w:p>
              </w:tc>
              <w:tc>
                <w:tcPr>
                  <w:tcW w:w="908" w:type="pct"/>
                  <w:tcBorders>
                    <w:left w:val="single" w:color="auto" w:sz="4" w:space="0"/>
                  </w:tcBorders>
                  <w:vAlign w:val="center"/>
                </w:tcPr>
                <w:p>
                  <w:pPr>
                    <w:pStyle w:val="56"/>
                    <w:adjustRightInd w:val="0"/>
                    <w:snapToGrid w:val="0"/>
                    <w:rPr>
                      <w:rFonts w:asciiTheme="majorHAnsi" w:hAnsiTheme="majorHAnsi" w:eastAsiaTheme="minorEastAsia"/>
                      <w:szCs w:val="21"/>
                      <w:lang w:val="en-US"/>
                    </w:rPr>
                  </w:pPr>
                  <w:r>
                    <w:rPr>
                      <w:rFonts w:hint="eastAsia" w:asciiTheme="majorHAnsi" w:hAnsiTheme="majorHAnsi" w:eastAsiaTheme="minorEastAsia"/>
                      <w:szCs w:val="21"/>
                      <w:lang w:val="en-US"/>
                    </w:rPr>
                    <w:t>约</w:t>
                  </w:r>
                  <w:r>
                    <w:rPr>
                      <w:rFonts w:asciiTheme="majorHAnsi" w:hAnsiTheme="majorHAnsi" w:eastAsiaTheme="minorEastAsia"/>
                      <w:szCs w:val="21"/>
                      <w:lang w:val="en-US"/>
                    </w:rPr>
                    <w:t>30</w:t>
                  </w:r>
                  <w:r>
                    <w:rPr>
                      <w:rFonts w:hint="eastAsia" w:asciiTheme="majorHAnsi" w:hAnsiTheme="majorHAnsi" w:eastAsiaTheme="minorEastAsia"/>
                      <w:szCs w:val="21"/>
                      <w:lang w:val="en-US"/>
                    </w:rPr>
                    <w:t>户</w:t>
                  </w:r>
                </w:p>
              </w:tc>
              <w:tc>
                <w:tcPr>
                  <w:tcW w:w="875" w:type="pct"/>
                  <w:vMerge w:val="continue"/>
                  <w:vAlign w:val="center"/>
                </w:tcPr>
                <w:p>
                  <w:pPr>
                    <w:pStyle w:val="56"/>
                    <w:adjustRightInd w:val="0"/>
                    <w:snapToGrid w:val="0"/>
                    <w:rPr>
                      <w:rFonts w:asciiTheme="majorHAnsi" w:hAnsiTheme="majorHAnsi"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24" w:type="pct"/>
                  <w:vMerge w:val="continue"/>
                  <w:vAlign w:val="center"/>
                </w:tcPr>
                <w:p>
                  <w:pPr>
                    <w:pStyle w:val="56"/>
                    <w:rPr>
                      <w:rFonts w:asciiTheme="majorHAnsi" w:hAnsiTheme="majorHAnsi" w:eastAsiaTheme="minorEastAsia"/>
                      <w:szCs w:val="21"/>
                    </w:rPr>
                  </w:pPr>
                </w:p>
              </w:tc>
              <w:tc>
                <w:tcPr>
                  <w:tcW w:w="733" w:type="pct"/>
                  <w:vAlign w:val="center"/>
                </w:tcPr>
                <w:p>
                  <w:pPr>
                    <w:pStyle w:val="56"/>
                    <w:rPr>
                      <w:rFonts w:asciiTheme="majorHAnsi" w:hAnsiTheme="majorHAnsi" w:eastAsiaTheme="minorEastAsia"/>
                      <w:szCs w:val="21"/>
                      <w:lang w:val="en-US"/>
                    </w:rPr>
                  </w:pPr>
                  <w:r>
                    <w:rPr>
                      <w:rFonts w:hint="eastAsia" w:asciiTheme="majorHAnsi" w:hAnsiTheme="majorHAnsi" w:eastAsiaTheme="minorEastAsia"/>
                      <w:szCs w:val="21"/>
                      <w:lang w:val="en-US"/>
                    </w:rPr>
                    <w:t>零散住户</w:t>
                  </w:r>
                </w:p>
              </w:tc>
              <w:tc>
                <w:tcPr>
                  <w:tcW w:w="733" w:type="pct"/>
                  <w:vAlign w:val="center"/>
                </w:tcPr>
                <w:p>
                  <w:pPr>
                    <w:pStyle w:val="56"/>
                    <w:rPr>
                      <w:rFonts w:asciiTheme="majorHAnsi" w:hAnsiTheme="majorHAnsi" w:eastAsiaTheme="minorEastAsia"/>
                      <w:szCs w:val="21"/>
                    </w:rPr>
                  </w:pPr>
                  <w:r>
                    <w:rPr>
                      <w:rFonts w:hint="eastAsia"/>
                      <w:szCs w:val="21"/>
                    </w:rPr>
                    <w:t>西北面</w:t>
                  </w:r>
                </w:p>
              </w:tc>
              <w:tc>
                <w:tcPr>
                  <w:tcW w:w="699" w:type="pct"/>
                  <w:vAlign w:val="center"/>
                </w:tcPr>
                <w:p>
                  <w:pPr>
                    <w:pStyle w:val="56"/>
                    <w:rPr>
                      <w:rFonts w:asciiTheme="majorHAnsi" w:hAnsiTheme="majorHAnsi" w:eastAsiaTheme="minorEastAsia"/>
                      <w:szCs w:val="21"/>
                      <w:lang w:val="en-US"/>
                    </w:rPr>
                  </w:pPr>
                  <w:r>
                    <w:rPr>
                      <w:szCs w:val="21"/>
                    </w:rPr>
                    <w:t>240</w:t>
                  </w:r>
                  <w:r>
                    <w:rPr>
                      <w:rFonts w:hint="eastAsia"/>
                      <w:szCs w:val="21"/>
                    </w:rPr>
                    <w:t>m</w:t>
                  </w:r>
                </w:p>
              </w:tc>
              <w:tc>
                <w:tcPr>
                  <w:tcW w:w="524" w:type="pct"/>
                  <w:tcBorders>
                    <w:right w:val="single" w:color="auto" w:sz="4" w:space="0"/>
                  </w:tcBorders>
                  <w:vAlign w:val="center"/>
                </w:tcPr>
                <w:p>
                  <w:pPr>
                    <w:pStyle w:val="56"/>
                    <w:rPr>
                      <w:rFonts w:asciiTheme="majorHAnsi" w:hAnsiTheme="majorHAnsi" w:eastAsiaTheme="minorEastAsia"/>
                      <w:szCs w:val="21"/>
                      <w:lang w:val="en-US"/>
                    </w:rPr>
                  </w:pPr>
                  <w:r>
                    <w:rPr>
                      <w:rFonts w:hint="eastAsia" w:asciiTheme="majorHAnsi" w:hAnsiTheme="majorHAnsi" w:eastAsiaTheme="minorEastAsia"/>
                      <w:szCs w:val="21"/>
                      <w:lang w:val="en-US"/>
                    </w:rPr>
                    <w:t>居民</w:t>
                  </w:r>
                </w:p>
              </w:tc>
              <w:tc>
                <w:tcPr>
                  <w:tcW w:w="908" w:type="pct"/>
                  <w:tcBorders>
                    <w:left w:val="single" w:color="auto" w:sz="4" w:space="0"/>
                  </w:tcBorders>
                  <w:vAlign w:val="center"/>
                </w:tcPr>
                <w:p>
                  <w:pPr>
                    <w:pStyle w:val="56"/>
                    <w:adjustRightInd w:val="0"/>
                    <w:snapToGrid w:val="0"/>
                    <w:rPr>
                      <w:rFonts w:asciiTheme="majorHAnsi" w:hAnsiTheme="majorHAnsi" w:eastAsiaTheme="minorEastAsia"/>
                      <w:szCs w:val="21"/>
                    </w:rPr>
                  </w:pPr>
                  <w:r>
                    <w:rPr>
                      <w:rFonts w:hint="eastAsia" w:asciiTheme="majorHAnsi" w:hAnsiTheme="majorHAnsi" w:eastAsiaTheme="minorEastAsia"/>
                      <w:szCs w:val="21"/>
                    </w:rPr>
                    <w:t>约</w:t>
                  </w:r>
                  <w:r>
                    <w:rPr>
                      <w:rFonts w:asciiTheme="majorHAnsi" w:hAnsiTheme="majorHAnsi" w:eastAsiaTheme="minorEastAsia"/>
                      <w:szCs w:val="21"/>
                    </w:rPr>
                    <w:t>15</w:t>
                  </w:r>
                  <w:r>
                    <w:rPr>
                      <w:rFonts w:hint="eastAsia" w:asciiTheme="majorHAnsi" w:hAnsiTheme="majorHAnsi" w:eastAsiaTheme="minorEastAsia"/>
                      <w:szCs w:val="21"/>
                    </w:rPr>
                    <w:t>户</w:t>
                  </w:r>
                </w:p>
              </w:tc>
              <w:tc>
                <w:tcPr>
                  <w:tcW w:w="875" w:type="pct"/>
                  <w:vMerge w:val="continue"/>
                  <w:vAlign w:val="center"/>
                </w:tcPr>
                <w:p>
                  <w:pPr>
                    <w:pStyle w:val="56"/>
                    <w:adjustRightInd w:val="0"/>
                    <w:snapToGrid w:val="0"/>
                    <w:rPr>
                      <w:rFonts w:asciiTheme="majorHAnsi" w:hAnsiTheme="majorHAnsi"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24" w:type="pct"/>
                  <w:vAlign w:val="center"/>
                </w:tcPr>
                <w:p>
                  <w:pPr>
                    <w:pStyle w:val="56"/>
                    <w:rPr>
                      <w:rFonts w:asciiTheme="majorHAnsi" w:hAnsiTheme="majorHAnsi" w:eastAsiaTheme="minorEastAsia"/>
                      <w:szCs w:val="21"/>
                    </w:rPr>
                  </w:pPr>
                  <w:r>
                    <w:rPr>
                      <w:rFonts w:asciiTheme="majorHAnsi" w:hAnsiTheme="majorHAnsi" w:eastAsiaTheme="minorEastAsia"/>
                      <w:szCs w:val="21"/>
                    </w:rPr>
                    <w:t>声环境</w:t>
                  </w:r>
                </w:p>
              </w:tc>
              <w:tc>
                <w:tcPr>
                  <w:tcW w:w="3599" w:type="pct"/>
                  <w:gridSpan w:val="5"/>
                  <w:vAlign w:val="center"/>
                </w:tcPr>
                <w:p>
                  <w:pPr>
                    <w:pStyle w:val="56"/>
                    <w:rPr>
                      <w:rFonts w:asciiTheme="majorHAnsi" w:hAnsiTheme="majorHAnsi" w:eastAsiaTheme="minorEastAsia"/>
                      <w:szCs w:val="21"/>
                    </w:rPr>
                  </w:pPr>
                  <w:r>
                    <w:rPr>
                      <w:rFonts w:asciiTheme="majorHAnsi" w:hAnsiTheme="majorHAnsi" w:eastAsiaTheme="minorEastAsia"/>
                      <w:szCs w:val="21"/>
                    </w:rPr>
                    <w:t>项目厂界外50m范围内无声环境保护目标</w:t>
                  </w:r>
                </w:p>
              </w:tc>
              <w:tc>
                <w:tcPr>
                  <w:tcW w:w="875" w:type="pct"/>
                  <w:vAlign w:val="center"/>
                </w:tcPr>
                <w:p>
                  <w:pPr>
                    <w:pStyle w:val="56"/>
                    <w:adjustRightInd w:val="0"/>
                    <w:snapToGrid w:val="0"/>
                    <w:rPr>
                      <w:rFonts w:asciiTheme="majorHAnsi" w:hAnsiTheme="majorHAnsi" w:eastAsiaTheme="minorEastAsia"/>
                      <w:szCs w:val="21"/>
                    </w:rPr>
                  </w:pPr>
                  <w:r>
                    <w:rPr>
                      <w:rFonts w:asciiTheme="majorHAnsi" w:hAnsiTheme="majorHAnsi" w:eastAsiaTheme="minorEastAsia"/>
                      <w:szCs w:val="21"/>
                    </w:rPr>
                    <w:t>《声环境质量标准》</w:t>
                  </w:r>
                </w:p>
                <w:p>
                  <w:pPr>
                    <w:pStyle w:val="56"/>
                    <w:adjustRightInd w:val="0"/>
                    <w:snapToGrid w:val="0"/>
                    <w:rPr>
                      <w:rFonts w:asciiTheme="majorHAnsi" w:hAnsiTheme="majorHAnsi" w:eastAsiaTheme="minorEastAsia"/>
                      <w:szCs w:val="21"/>
                    </w:rPr>
                  </w:pPr>
                  <w:r>
                    <w:rPr>
                      <w:rFonts w:asciiTheme="majorHAnsi" w:hAnsiTheme="majorHAnsi" w:eastAsiaTheme="minorEastAsia"/>
                      <w:szCs w:val="21"/>
                    </w:rPr>
                    <w:t>GB3096-2008中2类标准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524" w:type="pct"/>
                  <w:vMerge w:val="restart"/>
                  <w:vAlign w:val="center"/>
                </w:tcPr>
                <w:p>
                  <w:pPr>
                    <w:pStyle w:val="56"/>
                    <w:rPr>
                      <w:rFonts w:asciiTheme="majorHAnsi" w:hAnsiTheme="majorHAnsi" w:eastAsiaTheme="minorEastAsia"/>
                      <w:szCs w:val="21"/>
                    </w:rPr>
                  </w:pPr>
                  <w:r>
                    <w:rPr>
                      <w:rFonts w:asciiTheme="majorHAnsi" w:hAnsiTheme="majorHAnsi" w:eastAsiaTheme="minorEastAsia"/>
                      <w:szCs w:val="21"/>
                    </w:rPr>
                    <w:t>地表水</w:t>
                  </w:r>
                </w:p>
                <w:p>
                  <w:pPr>
                    <w:pStyle w:val="56"/>
                    <w:rPr>
                      <w:rFonts w:asciiTheme="majorHAnsi" w:hAnsiTheme="majorHAnsi" w:eastAsiaTheme="minorEastAsia"/>
                      <w:szCs w:val="21"/>
                    </w:rPr>
                  </w:pPr>
                  <w:r>
                    <w:rPr>
                      <w:rFonts w:asciiTheme="majorHAnsi" w:hAnsiTheme="majorHAnsi" w:eastAsiaTheme="minorEastAsia"/>
                      <w:szCs w:val="21"/>
                    </w:rPr>
                    <w:t>环境</w:t>
                  </w:r>
                </w:p>
              </w:tc>
              <w:tc>
                <w:tcPr>
                  <w:tcW w:w="733" w:type="pct"/>
                  <w:vAlign w:val="center"/>
                </w:tcPr>
                <w:p>
                  <w:pPr>
                    <w:pStyle w:val="56"/>
                    <w:rPr>
                      <w:rFonts w:asciiTheme="majorHAnsi" w:hAnsiTheme="majorHAnsi" w:eastAsiaTheme="minorEastAsia"/>
                      <w:szCs w:val="21"/>
                    </w:rPr>
                  </w:pPr>
                  <w:r>
                    <w:rPr>
                      <w:rFonts w:hint="eastAsia" w:asciiTheme="majorHAnsi" w:hAnsiTheme="majorHAnsi" w:eastAsiaTheme="minorEastAsia"/>
                      <w:szCs w:val="21"/>
                    </w:rPr>
                    <w:t>后河</w:t>
                  </w:r>
                </w:p>
              </w:tc>
              <w:tc>
                <w:tcPr>
                  <w:tcW w:w="733" w:type="pct"/>
                  <w:vAlign w:val="center"/>
                </w:tcPr>
                <w:p>
                  <w:pPr>
                    <w:pStyle w:val="56"/>
                    <w:rPr>
                      <w:rFonts w:asciiTheme="majorHAnsi" w:hAnsiTheme="majorHAnsi" w:eastAsiaTheme="minorEastAsia"/>
                      <w:szCs w:val="21"/>
                    </w:rPr>
                  </w:pPr>
                  <w:r>
                    <w:rPr>
                      <w:rFonts w:hint="eastAsia" w:asciiTheme="majorHAnsi" w:hAnsiTheme="majorHAnsi" w:eastAsiaTheme="minorEastAsia"/>
                      <w:szCs w:val="21"/>
                    </w:rPr>
                    <w:t>西南侧</w:t>
                  </w:r>
                </w:p>
              </w:tc>
              <w:tc>
                <w:tcPr>
                  <w:tcW w:w="699" w:type="pct"/>
                  <w:vAlign w:val="center"/>
                </w:tcPr>
                <w:p>
                  <w:pPr>
                    <w:pStyle w:val="56"/>
                    <w:rPr>
                      <w:rFonts w:asciiTheme="majorHAnsi" w:hAnsiTheme="majorHAnsi" w:eastAsiaTheme="minorEastAsia"/>
                      <w:szCs w:val="21"/>
                    </w:rPr>
                  </w:pPr>
                  <w:r>
                    <w:rPr>
                      <w:rFonts w:hint="eastAsia" w:asciiTheme="majorHAnsi" w:hAnsiTheme="majorHAnsi" w:eastAsiaTheme="minorEastAsia"/>
                      <w:szCs w:val="21"/>
                    </w:rPr>
                    <w:t>紧邻</w:t>
                  </w:r>
                </w:p>
              </w:tc>
              <w:tc>
                <w:tcPr>
                  <w:tcW w:w="1432" w:type="pct"/>
                  <w:gridSpan w:val="2"/>
                  <w:tcBorders>
                    <w:bottom w:val="single" w:color="auto" w:sz="4" w:space="0"/>
                  </w:tcBorders>
                  <w:vAlign w:val="center"/>
                </w:tcPr>
                <w:p>
                  <w:pPr>
                    <w:pStyle w:val="56"/>
                    <w:rPr>
                      <w:rFonts w:asciiTheme="majorHAnsi" w:hAnsiTheme="majorHAnsi" w:eastAsiaTheme="minorEastAsia"/>
                      <w:szCs w:val="21"/>
                    </w:rPr>
                  </w:pPr>
                  <w:r>
                    <w:rPr>
                      <w:rFonts w:asciiTheme="majorHAnsi" w:hAnsiTheme="majorHAnsi" w:eastAsiaTheme="minorEastAsia"/>
                      <w:szCs w:val="21"/>
                    </w:rPr>
                    <w:t>Ⅲ类水体</w:t>
                  </w:r>
                </w:p>
              </w:tc>
              <w:tc>
                <w:tcPr>
                  <w:tcW w:w="875" w:type="pct"/>
                  <w:vMerge w:val="restart"/>
                  <w:vAlign w:val="center"/>
                </w:tcPr>
                <w:p>
                  <w:pPr>
                    <w:pStyle w:val="56"/>
                    <w:adjustRightInd w:val="0"/>
                    <w:snapToGrid w:val="0"/>
                    <w:rPr>
                      <w:rFonts w:asciiTheme="majorHAnsi" w:hAnsiTheme="majorHAnsi" w:eastAsiaTheme="minorEastAsia"/>
                      <w:szCs w:val="21"/>
                    </w:rPr>
                  </w:pPr>
                  <w:r>
                    <w:rPr>
                      <w:rFonts w:asciiTheme="majorHAnsi" w:hAnsiTheme="majorHAnsi" w:eastAsiaTheme="minorEastAsia"/>
                      <w:szCs w:val="21"/>
                    </w:rPr>
                    <w:t>《地表水环境质量标准》</w:t>
                  </w:r>
                </w:p>
                <w:p>
                  <w:pPr>
                    <w:pStyle w:val="56"/>
                    <w:adjustRightInd w:val="0"/>
                    <w:snapToGrid w:val="0"/>
                    <w:rPr>
                      <w:rFonts w:asciiTheme="majorHAnsi" w:hAnsiTheme="majorHAnsi" w:eastAsiaTheme="minorEastAsia"/>
                      <w:szCs w:val="21"/>
                    </w:rPr>
                  </w:pPr>
                  <w:r>
                    <w:rPr>
                      <w:rFonts w:asciiTheme="majorHAnsi" w:hAnsiTheme="majorHAnsi" w:eastAsiaTheme="minorEastAsia"/>
                      <w:szCs w:val="21"/>
                    </w:rPr>
                    <w:t>GB3038-2002中</w:t>
                  </w:r>
                  <w:r>
                    <w:rPr>
                      <w:rFonts w:asciiTheme="majorHAnsi" w:hAnsiTheme="majorHAnsi" w:eastAsiaTheme="minorEastAsia"/>
                      <w:szCs w:val="21"/>
                    </w:rPr>
                    <w:fldChar w:fldCharType="begin"/>
                  </w:r>
                  <w:r>
                    <w:rPr>
                      <w:rFonts w:asciiTheme="majorHAnsi" w:hAnsiTheme="majorHAnsi" w:eastAsiaTheme="minorEastAsia"/>
                      <w:szCs w:val="21"/>
                    </w:rPr>
                    <w:instrText xml:space="preserve"> = 3 \* ROMAN \* MERGEFORMAT </w:instrText>
                  </w:r>
                  <w:r>
                    <w:rPr>
                      <w:rFonts w:asciiTheme="majorHAnsi" w:hAnsiTheme="majorHAnsi" w:eastAsiaTheme="minorEastAsia"/>
                      <w:szCs w:val="21"/>
                    </w:rPr>
                    <w:fldChar w:fldCharType="separate"/>
                  </w:r>
                  <w:r>
                    <w:rPr>
                      <w:rFonts w:asciiTheme="majorHAnsi" w:hAnsiTheme="majorHAnsi" w:eastAsiaTheme="minorEastAsia"/>
                      <w:szCs w:val="21"/>
                    </w:rPr>
                    <w:t>III</w:t>
                  </w:r>
                  <w:r>
                    <w:rPr>
                      <w:rFonts w:asciiTheme="majorHAnsi" w:hAnsiTheme="majorHAnsi" w:eastAsiaTheme="minorEastAsia"/>
                      <w:szCs w:val="21"/>
                    </w:rPr>
                    <w:fldChar w:fldCharType="end"/>
                  </w:r>
                  <w:r>
                    <w:rPr>
                      <w:rFonts w:asciiTheme="majorHAnsi" w:hAnsiTheme="majorHAnsi" w:eastAsiaTheme="minorEastAsia"/>
                      <w:szCs w:val="21"/>
                    </w:rPr>
                    <w:t>类</w:t>
                  </w:r>
                  <w:r>
                    <w:rPr>
                      <w:rFonts w:hint="eastAsia" w:asciiTheme="majorHAnsi" w:hAnsiTheme="majorHAnsi" w:eastAsiaTheme="minorEastAsia"/>
                      <w:szCs w:val="21"/>
                    </w:rPr>
                    <w:t>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jc w:val="center"/>
              </w:trPr>
              <w:tc>
                <w:tcPr>
                  <w:tcW w:w="524" w:type="pct"/>
                  <w:vMerge w:val="continue"/>
                  <w:vAlign w:val="center"/>
                </w:tcPr>
                <w:p>
                  <w:pPr>
                    <w:pStyle w:val="56"/>
                    <w:rPr>
                      <w:rFonts w:asciiTheme="majorHAnsi" w:hAnsiTheme="majorHAnsi" w:eastAsiaTheme="minorEastAsia"/>
                      <w:szCs w:val="21"/>
                    </w:rPr>
                  </w:pPr>
                </w:p>
              </w:tc>
              <w:tc>
                <w:tcPr>
                  <w:tcW w:w="733" w:type="pct"/>
                  <w:vAlign w:val="center"/>
                </w:tcPr>
                <w:p>
                  <w:pPr>
                    <w:pStyle w:val="56"/>
                    <w:rPr>
                      <w:rFonts w:asciiTheme="majorHAnsi" w:hAnsiTheme="majorHAnsi" w:eastAsiaTheme="minorEastAsia"/>
                      <w:szCs w:val="21"/>
                    </w:rPr>
                  </w:pPr>
                  <w:r>
                    <w:rPr>
                      <w:rFonts w:hint="eastAsia" w:asciiTheme="majorHAnsi" w:hAnsiTheme="majorHAnsi" w:eastAsiaTheme="minorEastAsia"/>
                      <w:szCs w:val="21"/>
                    </w:rPr>
                    <w:t>州河</w:t>
                  </w:r>
                </w:p>
              </w:tc>
              <w:tc>
                <w:tcPr>
                  <w:tcW w:w="733" w:type="pct"/>
                  <w:vAlign w:val="center"/>
                </w:tcPr>
                <w:p>
                  <w:pPr>
                    <w:pStyle w:val="56"/>
                    <w:rPr>
                      <w:rFonts w:asciiTheme="majorHAnsi" w:hAnsiTheme="majorHAnsi" w:eastAsiaTheme="minorEastAsia"/>
                      <w:szCs w:val="21"/>
                    </w:rPr>
                  </w:pPr>
                  <w:r>
                    <w:rPr>
                      <w:rFonts w:hint="eastAsia" w:asciiTheme="majorHAnsi" w:hAnsiTheme="majorHAnsi" w:eastAsiaTheme="minorEastAsia"/>
                      <w:szCs w:val="21"/>
                    </w:rPr>
                    <w:t>南侧</w:t>
                  </w:r>
                </w:p>
              </w:tc>
              <w:tc>
                <w:tcPr>
                  <w:tcW w:w="699" w:type="pct"/>
                  <w:vAlign w:val="center"/>
                </w:tcPr>
                <w:p>
                  <w:pPr>
                    <w:pStyle w:val="56"/>
                    <w:rPr>
                      <w:rFonts w:asciiTheme="majorHAnsi" w:hAnsiTheme="majorHAnsi" w:eastAsiaTheme="minorEastAsia"/>
                      <w:szCs w:val="21"/>
                    </w:rPr>
                  </w:pPr>
                  <w:r>
                    <w:rPr>
                      <w:rFonts w:asciiTheme="majorHAnsi" w:hAnsiTheme="majorHAnsi" w:eastAsiaTheme="minorEastAsia"/>
                      <w:szCs w:val="21"/>
                    </w:rPr>
                    <w:t>550</w:t>
                  </w:r>
                  <w:r>
                    <w:rPr>
                      <w:rFonts w:hint="eastAsia" w:asciiTheme="majorHAnsi" w:hAnsiTheme="majorHAnsi" w:eastAsiaTheme="minorEastAsia"/>
                      <w:szCs w:val="21"/>
                    </w:rPr>
                    <w:t>m</w:t>
                  </w:r>
                </w:p>
              </w:tc>
              <w:tc>
                <w:tcPr>
                  <w:tcW w:w="1432" w:type="pct"/>
                  <w:gridSpan w:val="2"/>
                  <w:tcBorders>
                    <w:top w:val="single" w:color="auto" w:sz="4" w:space="0"/>
                  </w:tcBorders>
                  <w:vAlign w:val="center"/>
                </w:tcPr>
                <w:p>
                  <w:pPr>
                    <w:pStyle w:val="56"/>
                    <w:rPr>
                      <w:rFonts w:asciiTheme="majorHAnsi" w:hAnsiTheme="majorHAnsi" w:eastAsiaTheme="minorEastAsia"/>
                      <w:szCs w:val="21"/>
                    </w:rPr>
                  </w:pPr>
                  <w:r>
                    <w:rPr>
                      <w:rFonts w:hint="eastAsia" w:asciiTheme="majorHAnsi" w:hAnsiTheme="majorHAnsi" w:eastAsiaTheme="minorEastAsia"/>
                      <w:szCs w:val="21"/>
                    </w:rPr>
                    <w:t>受纳水体，</w:t>
                  </w:r>
                  <w:r>
                    <w:rPr>
                      <w:rFonts w:asciiTheme="majorHAnsi" w:hAnsiTheme="majorHAnsi" w:eastAsiaTheme="minorEastAsia"/>
                      <w:szCs w:val="21"/>
                    </w:rPr>
                    <w:t>Ⅲ类水体</w:t>
                  </w:r>
                </w:p>
              </w:tc>
              <w:tc>
                <w:tcPr>
                  <w:tcW w:w="875" w:type="pct"/>
                  <w:vMerge w:val="continue"/>
                  <w:vAlign w:val="center"/>
                </w:tcPr>
                <w:p>
                  <w:pPr>
                    <w:pStyle w:val="56"/>
                    <w:adjustRightInd w:val="0"/>
                    <w:snapToGrid w:val="0"/>
                    <w:rPr>
                      <w:rFonts w:asciiTheme="majorHAnsi" w:hAnsiTheme="majorHAnsi"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24" w:type="pct"/>
                  <w:vAlign w:val="center"/>
                </w:tcPr>
                <w:p>
                  <w:pPr>
                    <w:pStyle w:val="56"/>
                    <w:rPr>
                      <w:rFonts w:asciiTheme="majorHAnsi" w:hAnsiTheme="majorHAnsi" w:eastAsiaTheme="minorEastAsia"/>
                      <w:szCs w:val="21"/>
                    </w:rPr>
                  </w:pPr>
                  <w:r>
                    <w:rPr>
                      <w:rFonts w:asciiTheme="majorHAnsi" w:hAnsiTheme="majorHAnsi" w:eastAsiaTheme="minorEastAsia"/>
                      <w:szCs w:val="21"/>
                    </w:rPr>
                    <w:t>地下水环境</w:t>
                  </w:r>
                </w:p>
              </w:tc>
              <w:tc>
                <w:tcPr>
                  <w:tcW w:w="4475" w:type="pct"/>
                  <w:gridSpan w:val="6"/>
                  <w:vAlign w:val="center"/>
                </w:tcPr>
                <w:p>
                  <w:pPr>
                    <w:pStyle w:val="56"/>
                    <w:jc w:val="left"/>
                    <w:rPr>
                      <w:rFonts w:asciiTheme="majorHAnsi" w:hAnsiTheme="majorHAnsi" w:eastAsiaTheme="minorEastAsia"/>
                      <w:szCs w:val="21"/>
                    </w:rPr>
                  </w:pPr>
                  <w:r>
                    <w:rPr>
                      <w:rFonts w:asciiTheme="majorHAnsi" w:hAnsiTheme="majorHAnsi" w:eastAsiaTheme="minorEastAsia"/>
                      <w:szCs w:val="21"/>
                    </w:rPr>
                    <w:t>厂界外500m范围内无地下水集中式饮用水水源和热水、矿泉水、温泉等特殊地下水资源。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24" w:type="pct"/>
                  <w:vAlign w:val="center"/>
                </w:tcPr>
                <w:p>
                  <w:pPr>
                    <w:pStyle w:val="56"/>
                    <w:rPr>
                      <w:rFonts w:asciiTheme="majorHAnsi" w:hAnsiTheme="majorHAnsi" w:eastAsiaTheme="minorEastAsia"/>
                      <w:szCs w:val="21"/>
                    </w:rPr>
                  </w:pPr>
                  <w:r>
                    <w:rPr>
                      <w:rFonts w:asciiTheme="majorHAnsi" w:hAnsiTheme="majorHAnsi" w:eastAsiaTheme="minorEastAsia"/>
                      <w:szCs w:val="21"/>
                    </w:rPr>
                    <w:t>生态环境</w:t>
                  </w:r>
                </w:p>
              </w:tc>
              <w:tc>
                <w:tcPr>
                  <w:tcW w:w="4475" w:type="pct"/>
                  <w:gridSpan w:val="6"/>
                  <w:vAlign w:val="center"/>
                </w:tcPr>
                <w:p>
                  <w:pPr>
                    <w:pStyle w:val="56"/>
                    <w:jc w:val="left"/>
                    <w:rPr>
                      <w:rFonts w:asciiTheme="majorHAnsi" w:hAnsiTheme="majorHAnsi" w:eastAsiaTheme="minorEastAsia"/>
                      <w:szCs w:val="21"/>
                    </w:rPr>
                  </w:pPr>
                  <w:r>
                    <w:rPr>
                      <w:rFonts w:hint="eastAsia" w:asciiTheme="majorHAnsi" w:hAnsiTheme="majorHAnsi" w:eastAsiaTheme="minorEastAsia"/>
                      <w:szCs w:val="21"/>
                    </w:rPr>
                    <w:t>本项目污水处理厂用地范围为公共市政待建空地，无生态环境保护目标</w:t>
                  </w:r>
                </w:p>
              </w:tc>
            </w:tr>
          </w:tbl>
          <w:p>
            <w:pPr>
              <w:pStyle w:val="18"/>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452" w:type="dxa"/>
          </w:tcPr>
          <w:p>
            <w:pPr>
              <w:pStyle w:val="40"/>
              <w:widowControl w:val="0"/>
              <w:jc w:val="both"/>
              <w:outlineLvl w:val="0"/>
              <w:rPr>
                <w:rFonts w:ascii="黑体" w:hAnsi="黑体" w:eastAsia="黑体"/>
                <w:snapToGrid w:val="0"/>
                <w:sz w:val="30"/>
                <w:szCs w:val="30"/>
                <w:lang w:val="zh-CN"/>
              </w:rPr>
            </w:pPr>
            <w:r>
              <w:rPr>
                <w:rFonts w:hint="eastAsia" w:asciiTheme="majorHAnsi" w:hAnsiTheme="majorHAnsi"/>
              </w:rPr>
              <w:t>污染物排放控制标准</w:t>
            </w:r>
          </w:p>
        </w:tc>
        <w:tc>
          <w:tcPr>
            <w:tcW w:w="8382" w:type="dxa"/>
          </w:tcPr>
          <w:p>
            <w:pPr>
              <w:widowControl/>
              <w:ind w:firstLine="482" w:firstLineChars="200"/>
              <w:jc w:val="left"/>
              <w:rPr>
                <w:rFonts w:cs="Times New Roman" w:asciiTheme="majorHAnsi" w:hAnsiTheme="majorHAnsi"/>
                <w:b/>
                <w:bCs/>
                <w:kern w:val="0"/>
                <w:szCs w:val="20"/>
              </w:rPr>
            </w:pPr>
            <w:r>
              <w:rPr>
                <w:rFonts w:hint="eastAsia" w:cs="Times New Roman" w:asciiTheme="majorHAnsi" w:hAnsiTheme="majorHAnsi"/>
                <w:b/>
                <w:bCs/>
                <w:kern w:val="0"/>
                <w:szCs w:val="20"/>
              </w:rPr>
              <w:t>1、废气</w:t>
            </w:r>
          </w:p>
          <w:p>
            <w:pPr>
              <w:widowControl/>
              <w:ind w:firstLine="480" w:firstLineChars="200"/>
              <w:jc w:val="left"/>
              <w:rPr>
                <w:rFonts w:cs="Times New Roman" w:asciiTheme="majorHAnsi" w:hAnsiTheme="majorHAnsi"/>
                <w:kern w:val="0"/>
                <w:szCs w:val="20"/>
              </w:rPr>
            </w:pPr>
            <w:r>
              <w:rPr>
                <w:rFonts w:hint="eastAsia" w:cs="Times New Roman" w:asciiTheme="majorHAnsi" w:hAnsiTheme="majorHAnsi"/>
                <w:kern w:val="0"/>
                <w:szCs w:val="20"/>
              </w:rPr>
              <w:t>（1）施工期</w:t>
            </w:r>
          </w:p>
          <w:p>
            <w:pPr>
              <w:widowControl/>
              <w:ind w:firstLine="480" w:firstLineChars="200"/>
              <w:jc w:val="left"/>
              <w:rPr>
                <w:rFonts w:cs="Times New Roman" w:asciiTheme="majorHAnsi" w:hAnsiTheme="majorHAnsi"/>
                <w:kern w:val="0"/>
                <w:szCs w:val="20"/>
              </w:rPr>
            </w:pPr>
            <w:r>
              <w:rPr>
                <w:rFonts w:hint="eastAsia" w:cs="Times New Roman" w:asciiTheme="majorHAnsi" w:hAnsiTheme="majorHAnsi"/>
                <w:kern w:val="0"/>
                <w:szCs w:val="20"/>
              </w:rPr>
              <w:t>废气执行《四川省施工场地扬尘排放标准》（DB51/2682—2020）表1四川省施工场地扬尘排放限值，其标准值如下：</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四川省施工场地扬尘排放标准</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5"/>
              <w:gridCol w:w="1674"/>
              <w:gridCol w:w="1715"/>
              <w:gridCol w:w="1320"/>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12" w:type="pct"/>
                  <w:vAlign w:val="center"/>
                </w:tcPr>
                <w:p>
                  <w:pPr>
                    <w:pStyle w:val="56"/>
                    <w:rPr>
                      <w:rFonts w:asciiTheme="majorHAnsi" w:hAnsiTheme="majorHAnsi" w:eastAsiaTheme="minorEastAsia"/>
                      <w:b/>
                      <w:bCs/>
                    </w:rPr>
                  </w:pPr>
                  <w:r>
                    <w:rPr>
                      <w:rFonts w:asciiTheme="majorHAnsi" w:hAnsiTheme="majorHAnsi" w:eastAsiaTheme="minorEastAsia"/>
                      <w:b/>
                      <w:bCs/>
                    </w:rPr>
                    <w:t>序号</w:t>
                  </w:r>
                </w:p>
              </w:tc>
              <w:tc>
                <w:tcPr>
                  <w:tcW w:w="1014" w:type="pct"/>
                  <w:vAlign w:val="center"/>
                </w:tcPr>
                <w:p>
                  <w:pPr>
                    <w:pStyle w:val="56"/>
                    <w:rPr>
                      <w:rFonts w:asciiTheme="majorHAnsi" w:hAnsiTheme="majorHAnsi" w:eastAsiaTheme="minorEastAsia"/>
                      <w:b/>
                      <w:bCs/>
                    </w:rPr>
                  </w:pPr>
                  <w:r>
                    <w:rPr>
                      <w:rFonts w:asciiTheme="majorHAnsi" w:hAnsiTheme="majorHAnsi" w:eastAsiaTheme="minorEastAsia"/>
                      <w:b/>
                      <w:bCs/>
                    </w:rPr>
                    <w:t>项目</w:t>
                  </w:r>
                </w:p>
              </w:tc>
              <w:tc>
                <w:tcPr>
                  <w:tcW w:w="1039" w:type="pct"/>
                  <w:vAlign w:val="center"/>
                </w:tcPr>
                <w:p>
                  <w:pPr>
                    <w:pStyle w:val="56"/>
                    <w:rPr>
                      <w:rFonts w:asciiTheme="majorHAnsi" w:hAnsiTheme="majorHAnsi" w:eastAsiaTheme="minorEastAsia"/>
                      <w:b/>
                      <w:bCs/>
                    </w:rPr>
                  </w:pPr>
                  <w:r>
                    <w:rPr>
                      <w:rFonts w:asciiTheme="majorHAnsi" w:hAnsiTheme="majorHAnsi" w:eastAsiaTheme="minorEastAsia"/>
                      <w:b/>
                      <w:bCs/>
                    </w:rPr>
                    <w:t>施工阶段</w:t>
                  </w:r>
                </w:p>
              </w:tc>
              <w:tc>
                <w:tcPr>
                  <w:tcW w:w="800" w:type="pct"/>
                  <w:vAlign w:val="center"/>
                </w:tcPr>
                <w:p>
                  <w:pPr>
                    <w:pStyle w:val="56"/>
                    <w:rPr>
                      <w:rFonts w:asciiTheme="majorHAnsi" w:hAnsiTheme="majorHAnsi" w:eastAsiaTheme="minorEastAsia"/>
                      <w:b/>
                      <w:bCs/>
                    </w:rPr>
                  </w:pPr>
                  <w:r>
                    <w:rPr>
                      <w:rFonts w:asciiTheme="majorHAnsi" w:hAnsiTheme="majorHAnsi" w:eastAsiaTheme="minorEastAsia"/>
                      <w:b/>
                      <w:bCs/>
                    </w:rPr>
                    <w:t>单位</w:t>
                  </w:r>
                </w:p>
              </w:tc>
              <w:tc>
                <w:tcPr>
                  <w:tcW w:w="1635" w:type="pct"/>
                  <w:vAlign w:val="center"/>
                </w:tcPr>
                <w:p>
                  <w:pPr>
                    <w:pStyle w:val="56"/>
                    <w:rPr>
                      <w:rFonts w:asciiTheme="majorHAnsi" w:hAnsiTheme="majorHAnsi" w:eastAsiaTheme="minorEastAsia"/>
                      <w:b/>
                      <w:bCs/>
                    </w:rPr>
                  </w:pPr>
                  <w:r>
                    <w:rPr>
                      <w:rFonts w:asciiTheme="majorHAnsi" w:hAnsiTheme="majorHAnsi" w:eastAsiaTheme="minorEastAsia"/>
                      <w:b/>
                      <w:bCs/>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12" w:type="pct"/>
                  <w:vAlign w:val="center"/>
                </w:tcPr>
                <w:p>
                  <w:pPr>
                    <w:pStyle w:val="56"/>
                    <w:rPr>
                      <w:rFonts w:asciiTheme="majorHAnsi" w:hAnsiTheme="majorHAnsi" w:eastAsiaTheme="minorEastAsia"/>
                    </w:rPr>
                  </w:pPr>
                  <w:r>
                    <w:rPr>
                      <w:rFonts w:asciiTheme="majorHAnsi" w:hAnsiTheme="majorHAnsi" w:eastAsiaTheme="minorEastAsia"/>
                    </w:rPr>
                    <w:t>1</w:t>
                  </w:r>
                </w:p>
              </w:tc>
              <w:tc>
                <w:tcPr>
                  <w:tcW w:w="1014" w:type="pct"/>
                  <w:vMerge w:val="restart"/>
                  <w:vAlign w:val="center"/>
                </w:tcPr>
                <w:p>
                  <w:pPr>
                    <w:pStyle w:val="56"/>
                    <w:rPr>
                      <w:rFonts w:asciiTheme="majorHAnsi" w:hAnsiTheme="majorHAnsi" w:eastAsiaTheme="minorEastAsia"/>
                    </w:rPr>
                  </w:pPr>
                  <w:r>
                    <w:rPr>
                      <w:rFonts w:asciiTheme="majorHAnsi" w:hAnsiTheme="majorHAnsi" w:eastAsiaTheme="minorEastAsia"/>
                    </w:rPr>
                    <w:t>总悬浮颗粒物（TSP）</w:t>
                  </w:r>
                </w:p>
              </w:tc>
              <w:tc>
                <w:tcPr>
                  <w:tcW w:w="1039" w:type="pct"/>
                  <w:vAlign w:val="center"/>
                </w:tcPr>
                <w:p>
                  <w:pPr>
                    <w:pStyle w:val="56"/>
                    <w:rPr>
                      <w:rFonts w:asciiTheme="majorHAnsi" w:hAnsiTheme="majorHAnsi" w:eastAsiaTheme="minorEastAsia"/>
                    </w:rPr>
                  </w:pPr>
                  <w:r>
                    <w:rPr>
                      <w:rFonts w:asciiTheme="majorHAnsi" w:hAnsiTheme="majorHAnsi" w:eastAsiaTheme="minorEastAsia"/>
                    </w:rPr>
                    <w:t>拆除工程/土方开挖/土方回填阶段</w:t>
                  </w:r>
                </w:p>
              </w:tc>
              <w:tc>
                <w:tcPr>
                  <w:tcW w:w="800" w:type="pct"/>
                  <w:vAlign w:val="center"/>
                </w:tcPr>
                <w:p>
                  <w:pPr>
                    <w:pStyle w:val="56"/>
                    <w:rPr>
                      <w:rFonts w:asciiTheme="majorHAnsi" w:hAnsiTheme="majorHAnsi" w:eastAsiaTheme="minorEastAsia"/>
                    </w:rPr>
                  </w:pPr>
                  <w:r>
                    <w:rPr>
                      <w:rFonts w:asciiTheme="majorHAnsi" w:hAnsiTheme="majorHAnsi" w:eastAsiaTheme="minorEastAsia"/>
                    </w:rPr>
                    <w:t>mg/m</w:t>
                  </w:r>
                  <w:r>
                    <w:rPr>
                      <w:rFonts w:asciiTheme="majorHAnsi" w:hAnsiTheme="majorHAnsi" w:eastAsiaTheme="minorEastAsia"/>
                      <w:vertAlign w:val="superscript"/>
                    </w:rPr>
                    <w:t>3</w:t>
                  </w:r>
                </w:p>
              </w:tc>
              <w:tc>
                <w:tcPr>
                  <w:tcW w:w="1635" w:type="pct"/>
                  <w:vAlign w:val="center"/>
                </w:tcPr>
                <w:p>
                  <w:pPr>
                    <w:pStyle w:val="56"/>
                    <w:rPr>
                      <w:rFonts w:asciiTheme="majorHAnsi" w:hAnsiTheme="majorHAnsi" w:eastAsiaTheme="minorEastAsia"/>
                    </w:rPr>
                  </w:pPr>
                  <w:r>
                    <w:rPr>
                      <w:rFonts w:asciiTheme="majorHAnsi" w:hAnsiTheme="majorHAnsi" w:eastAsiaTheme="minorEastAsia"/>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12" w:type="pct"/>
                  <w:vAlign w:val="center"/>
                </w:tcPr>
                <w:p>
                  <w:pPr>
                    <w:pStyle w:val="56"/>
                    <w:rPr>
                      <w:rFonts w:asciiTheme="majorHAnsi" w:hAnsiTheme="majorHAnsi" w:eastAsiaTheme="minorEastAsia"/>
                    </w:rPr>
                  </w:pPr>
                  <w:r>
                    <w:rPr>
                      <w:rFonts w:asciiTheme="majorHAnsi" w:hAnsiTheme="majorHAnsi" w:eastAsiaTheme="minorEastAsia"/>
                    </w:rPr>
                    <w:t>2</w:t>
                  </w:r>
                </w:p>
              </w:tc>
              <w:tc>
                <w:tcPr>
                  <w:tcW w:w="1014" w:type="pct"/>
                  <w:vMerge w:val="continue"/>
                  <w:vAlign w:val="center"/>
                </w:tcPr>
                <w:p>
                  <w:pPr>
                    <w:pStyle w:val="56"/>
                    <w:rPr>
                      <w:rFonts w:asciiTheme="majorHAnsi" w:hAnsiTheme="majorHAnsi" w:eastAsiaTheme="minorEastAsia"/>
                    </w:rPr>
                  </w:pPr>
                </w:p>
              </w:tc>
              <w:tc>
                <w:tcPr>
                  <w:tcW w:w="1039" w:type="pct"/>
                  <w:vAlign w:val="center"/>
                </w:tcPr>
                <w:p>
                  <w:pPr>
                    <w:pStyle w:val="56"/>
                    <w:rPr>
                      <w:rFonts w:asciiTheme="majorHAnsi" w:hAnsiTheme="majorHAnsi" w:eastAsiaTheme="minorEastAsia"/>
                    </w:rPr>
                  </w:pPr>
                  <w:r>
                    <w:rPr>
                      <w:rFonts w:asciiTheme="majorHAnsi" w:hAnsiTheme="majorHAnsi" w:eastAsiaTheme="minorEastAsia"/>
                    </w:rPr>
                    <w:t>其他工程阶段</w:t>
                  </w:r>
                </w:p>
              </w:tc>
              <w:tc>
                <w:tcPr>
                  <w:tcW w:w="800" w:type="pct"/>
                  <w:vAlign w:val="center"/>
                </w:tcPr>
                <w:p>
                  <w:pPr>
                    <w:pStyle w:val="56"/>
                    <w:rPr>
                      <w:rFonts w:asciiTheme="majorHAnsi" w:hAnsiTheme="majorHAnsi" w:eastAsiaTheme="minorEastAsia"/>
                    </w:rPr>
                  </w:pPr>
                  <w:r>
                    <w:rPr>
                      <w:rFonts w:asciiTheme="majorHAnsi" w:hAnsiTheme="majorHAnsi" w:eastAsiaTheme="minorEastAsia"/>
                    </w:rPr>
                    <w:t>mg/m</w:t>
                  </w:r>
                  <w:r>
                    <w:rPr>
                      <w:rFonts w:asciiTheme="majorHAnsi" w:hAnsiTheme="majorHAnsi" w:eastAsiaTheme="minorEastAsia"/>
                      <w:vertAlign w:val="superscript"/>
                    </w:rPr>
                    <w:t>3</w:t>
                  </w:r>
                </w:p>
              </w:tc>
              <w:tc>
                <w:tcPr>
                  <w:tcW w:w="1635" w:type="pct"/>
                  <w:vAlign w:val="center"/>
                </w:tcPr>
                <w:p>
                  <w:pPr>
                    <w:pStyle w:val="56"/>
                    <w:rPr>
                      <w:rFonts w:asciiTheme="majorHAnsi" w:hAnsiTheme="majorHAnsi" w:eastAsiaTheme="minorEastAsia"/>
                    </w:rPr>
                  </w:pPr>
                  <w:r>
                    <w:rPr>
                      <w:rFonts w:asciiTheme="majorHAnsi" w:hAnsiTheme="majorHAnsi" w:eastAsiaTheme="minorEastAsia"/>
                    </w:rPr>
                    <w:t>0.25</w:t>
                  </w:r>
                </w:p>
              </w:tc>
            </w:tr>
          </w:tbl>
          <w:p>
            <w:pPr>
              <w:widowControl/>
              <w:ind w:firstLine="480" w:firstLineChars="200"/>
              <w:jc w:val="left"/>
              <w:rPr>
                <w:rFonts w:cs="Times New Roman" w:asciiTheme="majorHAnsi" w:hAnsiTheme="majorHAnsi"/>
                <w:kern w:val="0"/>
                <w:szCs w:val="20"/>
              </w:rPr>
            </w:pPr>
            <w:r>
              <w:rPr>
                <w:rFonts w:hint="eastAsia" w:cs="Times New Roman" w:asciiTheme="majorHAnsi" w:hAnsiTheme="majorHAnsi"/>
                <w:kern w:val="0"/>
                <w:szCs w:val="20"/>
              </w:rPr>
              <w:t>（2）运营期</w:t>
            </w:r>
          </w:p>
          <w:p>
            <w:pPr>
              <w:widowControl w:val="0"/>
              <w:autoSpaceDE w:val="0"/>
              <w:autoSpaceDN w:val="0"/>
              <w:spacing w:before="30" w:after="30"/>
              <w:ind w:firstLine="480" w:firstLineChars="200"/>
              <w:jc w:val="both"/>
              <w:rPr>
                <w:rFonts w:ascii="Times New Roman" w:hAnsi="Times New Roman" w:eastAsia="宋体" w:cs="Times New Roman"/>
              </w:rPr>
            </w:pPr>
            <w:r>
              <w:rPr>
                <w:rFonts w:hint="eastAsia"/>
              </w:rPr>
              <w:t>恶臭执行《恶臭污染物排放标准》（</w:t>
            </w:r>
            <w:r>
              <w:t>GB14554-93</w:t>
            </w:r>
            <w:r>
              <w:rPr>
                <w:rFonts w:hint="eastAsia"/>
              </w:rPr>
              <w:t>）表</w:t>
            </w:r>
            <w:r>
              <w:t>1</w:t>
            </w:r>
            <w:r>
              <w:rPr>
                <w:rFonts w:hint="eastAsia"/>
              </w:rPr>
              <w:t>中二级标准以及《城镇污水处理厂污染物排放标准》（GB18918-2002）中表4二级标准，见下表。</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项目恶臭排放标准</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628"/>
              <w:gridCol w:w="1696"/>
              <w:gridCol w:w="1701"/>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5" w:type="pct"/>
                  <w:vMerge w:val="restar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sz w:val="21"/>
                      <w:szCs w:val="21"/>
                    </w:rPr>
                  </w:pPr>
                  <w:r>
                    <w:rPr>
                      <w:b/>
                      <w:bCs/>
                      <w:sz w:val="21"/>
                      <w:szCs w:val="21"/>
                    </w:rPr>
                    <w:t>污染物名称</w:t>
                  </w:r>
                </w:p>
              </w:tc>
              <w:tc>
                <w:tcPr>
                  <w:tcW w:w="986" w:type="pct"/>
                  <w:vMerge w:val="restar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sz w:val="21"/>
                      <w:szCs w:val="21"/>
                    </w:rPr>
                  </w:pPr>
                  <w:r>
                    <w:rPr>
                      <w:b/>
                      <w:bCs/>
                      <w:sz w:val="21"/>
                      <w:szCs w:val="21"/>
                    </w:rPr>
                    <w:t>最高允许排放浓度（mg/m</w:t>
                  </w:r>
                  <w:r>
                    <w:rPr>
                      <w:b/>
                      <w:bCs/>
                      <w:sz w:val="21"/>
                      <w:szCs w:val="21"/>
                      <w:vertAlign w:val="superscript"/>
                    </w:rPr>
                    <w:t>3</w:t>
                  </w:r>
                  <w:r>
                    <w:rPr>
                      <w:b/>
                      <w:bCs/>
                      <w:sz w:val="21"/>
                      <w:szCs w:val="21"/>
                    </w:rPr>
                    <w:t>）</w:t>
                  </w:r>
                </w:p>
              </w:tc>
              <w:tc>
                <w:tcPr>
                  <w:tcW w:w="2057" w:type="pct"/>
                  <w:gridSpan w:val="2"/>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sz w:val="21"/>
                      <w:szCs w:val="21"/>
                    </w:rPr>
                  </w:pPr>
                  <w:r>
                    <w:rPr>
                      <w:b/>
                      <w:bCs/>
                      <w:sz w:val="21"/>
                      <w:szCs w:val="21"/>
                    </w:rPr>
                    <w:t>最高允许排放速率（kg/h）</w:t>
                  </w:r>
                </w:p>
              </w:tc>
              <w:tc>
                <w:tcPr>
                  <w:tcW w:w="1080" w:type="pct"/>
                  <w:vMerge w:val="restar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sz w:val="21"/>
                      <w:szCs w:val="21"/>
                    </w:rPr>
                  </w:pPr>
                  <w:r>
                    <w:rPr>
                      <w:b/>
                      <w:bCs/>
                      <w:sz w:val="21"/>
                      <w:szCs w:val="21"/>
                    </w:rPr>
                    <w:t>无组织排放浓度限值（mg/m</w:t>
                  </w:r>
                  <w:r>
                    <w:rPr>
                      <w:b/>
                      <w:bCs/>
                      <w:sz w:val="21"/>
                      <w:szCs w:val="21"/>
                      <w:vertAlign w:val="superscript"/>
                    </w:rPr>
                    <w:t>3</w:t>
                  </w:r>
                  <w:r>
                    <w:rPr>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75" w:type="pct"/>
                  <w:vMerge w:val="continue"/>
                  <w:tcBorders>
                    <w:top w:val="single" w:color="auto" w:sz="4" w:space="0"/>
                    <w:left w:val="single" w:color="auto" w:sz="4" w:space="0"/>
                    <w:bottom w:val="single" w:color="auto" w:sz="4" w:space="0"/>
                    <w:right w:val="single" w:color="auto" w:sz="4" w:space="0"/>
                  </w:tcBorders>
                  <w:vAlign w:val="center"/>
                </w:tcPr>
                <w:p>
                  <w:pPr>
                    <w:rPr>
                      <w:sz w:val="21"/>
                      <w:szCs w:val="21"/>
                    </w:rPr>
                  </w:pPr>
                </w:p>
              </w:tc>
              <w:tc>
                <w:tcPr>
                  <w:tcW w:w="986" w:type="pct"/>
                  <w:vMerge w:val="continue"/>
                  <w:tcBorders>
                    <w:top w:val="single" w:color="auto" w:sz="4" w:space="0"/>
                    <w:left w:val="single" w:color="auto" w:sz="4" w:space="0"/>
                    <w:bottom w:val="single" w:color="auto" w:sz="4" w:space="0"/>
                    <w:right w:val="single" w:color="auto" w:sz="4" w:space="0"/>
                  </w:tcBorders>
                  <w:vAlign w:val="center"/>
                </w:tcPr>
                <w:p>
                  <w:pPr>
                    <w:rPr>
                      <w:sz w:val="21"/>
                      <w:szCs w:val="21"/>
                    </w:rPr>
                  </w:pPr>
                </w:p>
              </w:tc>
              <w:tc>
                <w:tcPr>
                  <w:tcW w:w="1027"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sz w:val="21"/>
                      <w:szCs w:val="21"/>
                    </w:rPr>
                  </w:pPr>
                  <w:r>
                    <w:rPr>
                      <w:b/>
                      <w:bCs/>
                      <w:sz w:val="21"/>
                      <w:szCs w:val="21"/>
                    </w:rPr>
                    <w:t>排放高度（m）</w:t>
                  </w:r>
                </w:p>
              </w:tc>
              <w:tc>
                <w:tcPr>
                  <w:tcW w:w="1029"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b/>
                      <w:bCs/>
                      <w:sz w:val="21"/>
                      <w:szCs w:val="21"/>
                    </w:rPr>
                  </w:pPr>
                  <w:r>
                    <w:rPr>
                      <w:b/>
                      <w:bCs/>
                      <w:sz w:val="21"/>
                      <w:szCs w:val="21"/>
                    </w:rPr>
                    <w:t>二级</w:t>
                  </w:r>
                </w:p>
              </w:tc>
              <w:tc>
                <w:tcPr>
                  <w:tcW w:w="1080" w:type="pct"/>
                  <w:vMerge w:val="continue"/>
                  <w:tcBorders>
                    <w:top w:val="single" w:color="auto" w:sz="4" w:space="0"/>
                    <w:left w:val="single" w:color="auto" w:sz="4" w:space="0"/>
                    <w:bottom w:val="single" w:color="auto" w:sz="4" w:space="0"/>
                    <w:right w:val="single" w:color="auto" w:sz="4" w:space="0"/>
                  </w:tcBorders>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NH</w:t>
                  </w:r>
                  <w:r>
                    <w:rPr>
                      <w:sz w:val="21"/>
                      <w:szCs w:val="21"/>
                      <w:vertAlign w:val="subscript"/>
                    </w:rPr>
                    <w:t>3</w:t>
                  </w:r>
                </w:p>
              </w:tc>
              <w:tc>
                <w:tcPr>
                  <w:tcW w:w="986"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21"/>
                      <w:szCs w:val="21"/>
                    </w:rPr>
                  </w:pPr>
                  <w:r>
                    <w:rPr>
                      <w:sz w:val="21"/>
                      <w:szCs w:val="21"/>
                    </w:rPr>
                    <w:t>/</w:t>
                  </w:r>
                </w:p>
              </w:tc>
              <w:tc>
                <w:tcPr>
                  <w:tcW w:w="1027"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21"/>
                      <w:szCs w:val="21"/>
                    </w:rPr>
                  </w:pPr>
                  <w:r>
                    <w:rPr>
                      <w:sz w:val="21"/>
                      <w:szCs w:val="21"/>
                    </w:rPr>
                    <w:t>15</w:t>
                  </w:r>
                </w:p>
              </w:tc>
              <w:tc>
                <w:tcPr>
                  <w:tcW w:w="1029"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21"/>
                      <w:szCs w:val="21"/>
                    </w:rPr>
                  </w:pPr>
                  <w:r>
                    <w:rPr>
                      <w:sz w:val="21"/>
                      <w:szCs w:val="21"/>
                    </w:rPr>
                    <w:t>4.9</w:t>
                  </w:r>
                </w:p>
              </w:tc>
              <w:tc>
                <w:tcPr>
                  <w:tcW w:w="1080"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21"/>
                      <w:szCs w:val="21"/>
                    </w:rPr>
                  </w:pPr>
                  <w:r>
                    <w:rPr>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H</w:t>
                  </w:r>
                  <w:r>
                    <w:rPr>
                      <w:sz w:val="21"/>
                      <w:szCs w:val="21"/>
                      <w:vertAlign w:val="subscript"/>
                    </w:rPr>
                    <w:t>2</w:t>
                  </w:r>
                  <w:r>
                    <w:rPr>
                      <w:sz w:val="21"/>
                      <w:szCs w:val="21"/>
                    </w:rPr>
                    <w:t>S</w:t>
                  </w:r>
                </w:p>
              </w:tc>
              <w:tc>
                <w:tcPr>
                  <w:tcW w:w="986"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21"/>
                      <w:szCs w:val="21"/>
                    </w:rPr>
                  </w:pPr>
                  <w:r>
                    <w:rPr>
                      <w:sz w:val="21"/>
                      <w:szCs w:val="21"/>
                    </w:rPr>
                    <w:t>/</w:t>
                  </w:r>
                </w:p>
              </w:tc>
              <w:tc>
                <w:tcPr>
                  <w:tcW w:w="1027"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21"/>
                      <w:szCs w:val="21"/>
                    </w:rPr>
                  </w:pPr>
                  <w:r>
                    <w:rPr>
                      <w:sz w:val="21"/>
                      <w:szCs w:val="21"/>
                    </w:rPr>
                    <w:t>15</w:t>
                  </w:r>
                </w:p>
              </w:tc>
              <w:tc>
                <w:tcPr>
                  <w:tcW w:w="1029"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21"/>
                      <w:szCs w:val="21"/>
                    </w:rPr>
                  </w:pPr>
                  <w:r>
                    <w:rPr>
                      <w:sz w:val="21"/>
                      <w:szCs w:val="21"/>
                    </w:rPr>
                    <w:t>0.33</w:t>
                  </w:r>
                </w:p>
              </w:tc>
              <w:tc>
                <w:tcPr>
                  <w:tcW w:w="1080"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21"/>
                      <w:szCs w:val="21"/>
                    </w:rPr>
                  </w:pPr>
                  <w:r>
                    <w:rPr>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21"/>
                      <w:szCs w:val="21"/>
                    </w:rPr>
                  </w:pPr>
                  <w:r>
                    <w:rPr>
                      <w:sz w:val="21"/>
                      <w:szCs w:val="21"/>
                    </w:rPr>
                    <w:t>臭气浓度</w:t>
                  </w:r>
                </w:p>
              </w:tc>
              <w:tc>
                <w:tcPr>
                  <w:tcW w:w="986"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21"/>
                      <w:szCs w:val="21"/>
                    </w:rPr>
                  </w:pPr>
                  <w:r>
                    <w:rPr>
                      <w:sz w:val="21"/>
                      <w:szCs w:val="21"/>
                    </w:rPr>
                    <w:t>/</w:t>
                  </w:r>
                </w:p>
              </w:tc>
              <w:tc>
                <w:tcPr>
                  <w:tcW w:w="1027"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21"/>
                      <w:szCs w:val="21"/>
                    </w:rPr>
                  </w:pPr>
                  <w:r>
                    <w:rPr>
                      <w:sz w:val="21"/>
                      <w:szCs w:val="21"/>
                    </w:rPr>
                    <w:t>/</w:t>
                  </w:r>
                </w:p>
              </w:tc>
              <w:tc>
                <w:tcPr>
                  <w:tcW w:w="1029"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21"/>
                      <w:szCs w:val="21"/>
                    </w:rPr>
                  </w:pPr>
                  <w:r>
                    <w:rPr>
                      <w:sz w:val="21"/>
                      <w:szCs w:val="21"/>
                    </w:rPr>
                    <w:t>/</w:t>
                  </w:r>
                </w:p>
              </w:tc>
              <w:tc>
                <w:tcPr>
                  <w:tcW w:w="1080" w:type="pct"/>
                  <w:tcBorders>
                    <w:top w:val="single" w:color="auto" w:sz="4" w:space="0"/>
                    <w:left w:val="single" w:color="auto" w:sz="4" w:space="0"/>
                    <w:bottom w:val="single" w:color="auto" w:sz="4" w:space="0"/>
                    <w:right w:val="single" w:color="auto" w:sz="4" w:space="0"/>
                  </w:tcBorders>
                  <w:vAlign w:val="center"/>
                </w:tcPr>
                <w:p>
                  <w:pPr>
                    <w:spacing w:line="276" w:lineRule="auto"/>
                    <w:jc w:val="center"/>
                    <w:rPr>
                      <w:sz w:val="21"/>
                      <w:szCs w:val="21"/>
                    </w:rPr>
                  </w:pPr>
                  <w:r>
                    <w:rPr>
                      <w:sz w:val="21"/>
                      <w:szCs w:val="21"/>
                    </w:rPr>
                    <w:t>20（无量纲）</w:t>
                  </w:r>
                </w:p>
              </w:tc>
            </w:tr>
          </w:tbl>
          <w:p>
            <w:pPr>
              <w:widowControl/>
              <w:ind w:firstLine="482" w:firstLineChars="200"/>
              <w:jc w:val="left"/>
              <w:rPr>
                <w:rFonts w:cs="Times New Roman" w:asciiTheme="majorHAnsi" w:hAnsiTheme="majorHAnsi"/>
                <w:b/>
                <w:bCs/>
                <w:kern w:val="0"/>
                <w:szCs w:val="20"/>
              </w:rPr>
            </w:pPr>
            <w:r>
              <w:rPr>
                <w:rFonts w:hint="eastAsia" w:cs="Times New Roman" w:asciiTheme="majorHAnsi" w:hAnsiTheme="majorHAnsi"/>
                <w:b/>
                <w:bCs/>
                <w:kern w:val="0"/>
                <w:szCs w:val="20"/>
              </w:rPr>
              <w:t>2、废水</w:t>
            </w:r>
          </w:p>
          <w:p>
            <w:pPr>
              <w:widowControl w:val="0"/>
              <w:ind w:firstLine="480" w:firstLineChars="200"/>
              <w:jc w:val="both"/>
            </w:pPr>
            <w:r>
              <w:t>本项目污水处理厂尾水排放执行</w:t>
            </w:r>
            <w:r>
              <w:rPr>
                <w:rFonts w:ascii="Times New Roman" w:hAnsi="Times New Roman" w:cs="Times New Roman"/>
              </w:rPr>
              <w:t>《城镇污水处理厂污染物排放标准》（GB18918-2002）表1中一级A标准要求后排入</w:t>
            </w:r>
            <w:r>
              <w:rPr>
                <w:rFonts w:hint="eastAsia"/>
              </w:rPr>
              <w:t>州河</w:t>
            </w:r>
            <w:r>
              <w:t>。</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营运期废水排放标准</w:t>
            </w:r>
            <w:r>
              <w:rPr>
                <w:rFonts w:ascii="黑体" w:hAnsi="黑体" w:eastAsia="黑体"/>
                <w:b w:val="0"/>
                <w:bCs w:val="0"/>
                <w:color w:val="auto"/>
              </w:rPr>
              <w:t xml:space="preserve">  单位：mg/L，pH 无量纲</w:t>
            </w:r>
          </w:p>
          <w:tbl>
            <w:tblPr>
              <w:tblStyle w:val="4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246"/>
              <w:gridCol w:w="5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966" w:type="pct"/>
                  <w:vAlign w:val="center"/>
                </w:tcPr>
                <w:p>
                  <w:pPr>
                    <w:pStyle w:val="56"/>
                    <w:rPr>
                      <w:b/>
                      <w:bCs/>
                      <w:sz w:val="22"/>
                      <w:szCs w:val="22"/>
                      <w:lang w:bidi="zh-CN"/>
                    </w:rPr>
                  </w:pPr>
                  <w:r>
                    <w:rPr>
                      <w:b/>
                      <w:bCs/>
                      <w:lang w:bidi="zh-CN"/>
                    </w:rPr>
                    <w:t>污染物名称</w:t>
                  </w:r>
                </w:p>
              </w:tc>
              <w:tc>
                <w:tcPr>
                  <w:tcW w:w="3033" w:type="pct"/>
                  <w:vAlign w:val="center"/>
                </w:tcPr>
                <w:p>
                  <w:pPr>
                    <w:pStyle w:val="56"/>
                    <w:rPr>
                      <w:b/>
                      <w:bCs/>
                      <w:sz w:val="22"/>
                      <w:szCs w:val="22"/>
                      <w:lang w:bidi="zh-CN"/>
                    </w:rPr>
                  </w:pPr>
                  <w:r>
                    <w:rPr>
                      <w:b/>
                      <w:bCs/>
                    </w:rPr>
                    <w:t>《城镇污水处理厂污染物排放标准》（GB18918-2002）表1中一级A标准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966" w:type="pct"/>
                  <w:vAlign w:val="center"/>
                </w:tcPr>
                <w:p>
                  <w:pPr>
                    <w:pStyle w:val="56"/>
                    <w:rPr>
                      <w:sz w:val="22"/>
                      <w:szCs w:val="22"/>
                      <w:lang w:val="en-US" w:bidi="zh-CN"/>
                    </w:rPr>
                  </w:pPr>
                  <w:r>
                    <w:rPr>
                      <w:lang w:val="en-US" w:bidi="zh-CN"/>
                    </w:rPr>
                    <w:t>pH</w:t>
                  </w:r>
                </w:p>
              </w:tc>
              <w:tc>
                <w:tcPr>
                  <w:tcW w:w="3033" w:type="pct"/>
                  <w:vAlign w:val="center"/>
                </w:tcPr>
                <w:p>
                  <w:pPr>
                    <w:pStyle w:val="56"/>
                    <w:rPr>
                      <w:sz w:val="22"/>
                      <w:szCs w:val="22"/>
                      <w:lang w:val="en-US" w:bidi="zh-CN"/>
                    </w:rPr>
                  </w:pPr>
                  <w:r>
                    <w:rPr>
                      <w:lang w:val="en-US" w:bidi="zh-CN"/>
                    </w:rPr>
                    <w:t>6</w:t>
                  </w:r>
                  <w:r>
                    <w:rPr>
                      <w:lang w:bidi="zh-CN"/>
                    </w:rPr>
                    <w:t>～</w:t>
                  </w:r>
                  <w:r>
                    <w:rPr>
                      <w:lang w:val="en-US" w:bidi="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966" w:type="pct"/>
                  <w:vAlign w:val="center"/>
                </w:tcPr>
                <w:p>
                  <w:pPr>
                    <w:pStyle w:val="56"/>
                    <w:rPr>
                      <w:sz w:val="22"/>
                      <w:szCs w:val="22"/>
                      <w:lang w:val="en-US" w:bidi="zh-CN"/>
                    </w:rPr>
                  </w:pPr>
                  <w:r>
                    <w:rPr>
                      <w:lang w:val="en-US" w:bidi="zh-CN"/>
                    </w:rPr>
                    <w:t>COD</w:t>
                  </w:r>
                </w:p>
              </w:tc>
              <w:tc>
                <w:tcPr>
                  <w:tcW w:w="3033" w:type="pct"/>
                  <w:vAlign w:val="center"/>
                </w:tcPr>
                <w:p>
                  <w:pPr>
                    <w:pStyle w:val="56"/>
                    <w:rPr>
                      <w:sz w:val="22"/>
                      <w:szCs w:val="22"/>
                      <w:lang w:val="en-US" w:bidi="zh-CN"/>
                    </w:rPr>
                  </w:pPr>
                  <w:r>
                    <w:rPr>
                      <w:sz w:val="22"/>
                      <w:szCs w:val="22"/>
                      <w:lang w:val="en-US" w:bidi="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966" w:type="pct"/>
                  <w:vAlign w:val="center"/>
                </w:tcPr>
                <w:p>
                  <w:pPr>
                    <w:pStyle w:val="56"/>
                    <w:rPr>
                      <w:lang w:val="en-US" w:bidi="zh-CN"/>
                    </w:rPr>
                  </w:pPr>
                  <w:r>
                    <w:rPr>
                      <w:lang w:val="en-US" w:bidi="zh-CN"/>
                    </w:rPr>
                    <w:t>BOD</w:t>
                  </w:r>
                  <w:r>
                    <w:rPr>
                      <w:vertAlign w:val="subscript"/>
                      <w:lang w:val="en-US" w:bidi="zh-CN"/>
                    </w:rPr>
                    <w:t>5</w:t>
                  </w:r>
                </w:p>
              </w:tc>
              <w:tc>
                <w:tcPr>
                  <w:tcW w:w="3033" w:type="pct"/>
                  <w:vAlign w:val="center"/>
                </w:tcPr>
                <w:p>
                  <w:pPr>
                    <w:pStyle w:val="56"/>
                    <w:rPr>
                      <w:lang w:val="en-US" w:bidi="zh-CN"/>
                    </w:rPr>
                  </w:pPr>
                  <w:r>
                    <w:rPr>
                      <w:lang w:val="en-US" w:bidi="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966" w:type="pct"/>
                  <w:vAlign w:val="center"/>
                </w:tcPr>
                <w:p>
                  <w:pPr>
                    <w:pStyle w:val="56"/>
                    <w:rPr>
                      <w:sz w:val="22"/>
                      <w:szCs w:val="22"/>
                      <w:lang w:val="en-US" w:bidi="zh-CN"/>
                    </w:rPr>
                  </w:pPr>
                  <w:r>
                    <w:rPr>
                      <w:lang w:val="en-US" w:bidi="zh-CN"/>
                    </w:rPr>
                    <w:t>SS</w:t>
                  </w:r>
                </w:p>
              </w:tc>
              <w:tc>
                <w:tcPr>
                  <w:tcW w:w="3033" w:type="pct"/>
                  <w:vAlign w:val="center"/>
                </w:tcPr>
                <w:p>
                  <w:pPr>
                    <w:pStyle w:val="56"/>
                    <w:rPr>
                      <w:sz w:val="22"/>
                      <w:szCs w:val="22"/>
                      <w:lang w:val="en-US" w:bidi="zh-CN"/>
                    </w:rPr>
                  </w:pPr>
                  <w:r>
                    <w:rPr>
                      <w:sz w:val="22"/>
                      <w:szCs w:val="22"/>
                      <w:lang w:val="en-US" w:bidi="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966" w:type="pct"/>
                  <w:vAlign w:val="center"/>
                </w:tcPr>
                <w:p>
                  <w:pPr>
                    <w:pStyle w:val="56"/>
                    <w:rPr>
                      <w:sz w:val="22"/>
                      <w:szCs w:val="22"/>
                      <w:lang w:val="en-US" w:bidi="zh-CN"/>
                    </w:rPr>
                  </w:pPr>
                  <w:r>
                    <w:rPr>
                      <w:lang w:val="en-US" w:bidi="zh-CN"/>
                    </w:rPr>
                    <w:t>NH</w:t>
                  </w:r>
                  <w:r>
                    <w:rPr>
                      <w:vertAlign w:val="subscript"/>
                      <w:lang w:val="en-US" w:bidi="zh-CN"/>
                    </w:rPr>
                    <w:t>3</w:t>
                  </w:r>
                  <w:r>
                    <w:rPr>
                      <w:lang w:val="en-US" w:bidi="zh-CN"/>
                    </w:rPr>
                    <w:t>-N</w:t>
                  </w:r>
                </w:p>
              </w:tc>
              <w:tc>
                <w:tcPr>
                  <w:tcW w:w="3033" w:type="pct"/>
                  <w:vAlign w:val="center"/>
                </w:tcPr>
                <w:p>
                  <w:pPr>
                    <w:pStyle w:val="56"/>
                    <w:rPr>
                      <w:sz w:val="22"/>
                      <w:szCs w:val="22"/>
                      <w:lang w:val="en-US" w:bidi="zh-CN"/>
                    </w:rPr>
                  </w:pPr>
                  <w:r>
                    <w:rPr>
                      <w:sz w:val="22"/>
                      <w:szCs w:val="22"/>
                      <w:lang w:val="en-US" w:bidi="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966" w:type="pct"/>
                  <w:vAlign w:val="center"/>
                </w:tcPr>
                <w:p>
                  <w:pPr>
                    <w:pStyle w:val="56"/>
                    <w:rPr>
                      <w:lang w:val="en-US" w:bidi="zh-CN"/>
                    </w:rPr>
                  </w:pPr>
                  <w:r>
                    <w:rPr>
                      <w:lang w:val="en-US" w:bidi="zh-CN"/>
                    </w:rPr>
                    <w:t>TN</w:t>
                  </w:r>
                </w:p>
              </w:tc>
              <w:tc>
                <w:tcPr>
                  <w:tcW w:w="3033" w:type="pct"/>
                  <w:vAlign w:val="center"/>
                </w:tcPr>
                <w:p>
                  <w:pPr>
                    <w:pStyle w:val="56"/>
                    <w:rPr>
                      <w:lang w:val="en-US" w:bidi="zh-CN"/>
                    </w:rPr>
                  </w:pPr>
                  <w:r>
                    <w:rPr>
                      <w:lang w:val="en-US" w:bidi="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1966" w:type="pct"/>
                  <w:vAlign w:val="center"/>
                </w:tcPr>
                <w:p>
                  <w:pPr>
                    <w:pStyle w:val="56"/>
                    <w:rPr>
                      <w:lang w:val="en-US" w:bidi="zh-CN"/>
                    </w:rPr>
                  </w:pPr>
                  <w:r>
                    <w:rPr>
                      <w:lang w:val="en-US" w:bidi="zh-CN"/>
                    </w:rPr>
                    <w:t>TP</w:t>
                  </w:r>
                </w:p>
              </w:tc>
              <w:tc>
                <w:tcPr>
                  <w:tcW w:w="3033" w:type="pct"/>
                  <w:vAlign w:val="center"/>
                </w:tcPr>
                <w:p>
                  <w:pPr>
                    <w:pStyle w:val="56"/>
                    <w:rPr>
                      <w:lang w:val="en-US" w:bidi="zh-CN"/>
                    </w:rPr>
                  </w:pPr>
                  <w:r>
                    <w:rPr>
                      <w:lang w:val="en-US" w:bidi="zh-CN"/>
                    </w:rPr>
                    <w:t>0.5</w:t>
                  </w:r>
                </w:p>
              </w:tc>
            </w:tr>
          </w:tbl>
          <w:p>
            <w:pPr>
              <w:widowControl/>
              <w:ind w:firstLine="482" w:firstLineChars="200"/>
              <w:jc w:val="left"/>
              <w:rPr>
                <w:rFonts w:cs="Times New Roman" w:asciiTheme="majorHAnsi" w:hAnsiTheme="majorHAnsi"/>
                <w:b/>
                <w:bCs/>
                <w:kern w:val="0"/>
                <w:szCs w:val="20"/>
              </w:rPr>
            </w:pPr>
            <w:r>
              <w:rPr>
                <w:rFonts w:hint="eastAsia" w:cs="Times New Roman" w:asciiTheme="majorHAnsi" w:hAnsiTheme="majorHAnsi"/>
                <w:b/>
                <w:bCs/>
                <w:kern w:val="0"/>
                <w:szCs w:val="20"/>
              </w:rPr>
              <w:t>3、噪声</w:t>
            </w:r>
          </w:p>
          <w:p>
            <w:pPr>
              <w:widowControl/>
              <w:ind w:firstLine="480" w:firstLineChars="200"/>
              <w:jc w:val="left"/>
              <w:rPr>
                <w:rFonts w:cs="Times New Roman" w:asciiTheme="majorHAnsi" w:hAnsiTheme="majorHAnsi"/>
                <w:kern w:val="0"/>
                <w:lang w:bidi="zh-CN"/>
              </w:rPr>
            </w:pPr>
            <w:r>
              <w:rPr>
                <w:rFonts w:cs="Times New Roman" w:asciiTheme="majorHAnsi" w:hAnsiTheme="majorHAnsi"/>
                <w:kern w:val="0"/>
                <w:lang w:bidi="zh-CN"/>
              </w:rPr>
              <w:t>施工期噪声标准执行《建筑施工场界环境噪声排放标准》</w:t>
            </w:r>
            <w:r>
              <w:rPr>
                <w:rFonts w:hint="eastAsia" w:cs="Times New Roman" w:asciiTheme="majorHAnsi" w:hAnsiTheme="majorHAnsi"/>
                <w:kern w:val="0"/>
                <w:lang w:bidi="zh-CN"/>
              </w:rPr>
              <w:t>（</w:t>
            </w:r>
            <w:r>
              <w:rPr>
                <w:rFonts w:cs="Times New Roman" w:asciiTheme="majorHAnsi" w:hAnsiTheme="majorHAnsi"/>
                <w:kern w:val="0"/>
                <w:lang w:bidi="zh-CN"/>
              </w:rPr>
              <w:t>GB12523-2011</w:t>
            </w:r>
            <w:r>
              <w:rPr>
                <w:rFonts w:hint="eastAsia" w:cs="Times New Roman" w:asciiTheme="majorHAnsi" w:hAnsiTheme="majorHAnsi"/>
                <w:kern w:val="0"/>
                <w:lang w:bidi="zh-CN"/>
              </w:rPr>
              <w:t>）</w:t>
            </w:r>
            <w:r>
              <w:rPr>
                <w:rFonts w:cs="Times New Roman" w:asciiTheme="majorHAnsi" w:hAnsiTheme="majorHAnsi"/>
                <w:kern w:val="0"/>
                <w:lang w:bidi="zh-CN"/>
              </w:rPr>
              <w:t>，具体限值详见下表</w:t>
            </w:r>
            <w:r>
              <w:rPr>
                <w:rFonts w:hint="eastAsia" w:cs="Times New Roman" w:asciiTheme="majorHAnsi" w:hAnsiTheme="majorHAnsi"/>
                <w:kern w:val="0"/>
                <w:lang w:bidi="zh-CN"/>
              </w:rPr>
              <w:t>。</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建筑施工场界环境噪声排放标准</w:t>
            </w:r>
            <w:r>
              <w:rPr>
                <w:rFonts w:hint="eastAsia" w:ascii="黑体" w:hAnsi="黑体" w:eastAsia="黑体"/>
                <w:b w:val="0"/>
                <w:bCs w:val="0"/>
                <w:color w:val="auto"/>
              </w:rPr>
              <w:tab/>
            </w:r>
            <w:r>
              <w:rPr>
                <w:rFonts w:hint="eastAsia" w:ascii="黑体" w:hAnsi="黑体" w:eastAsia="黑体"/>
                <w:b w:val="0"/>
                <w:bCs w:val="0"/>
                <w:color w:val="auto"/>
              </w:rPr>
              <w:t>单位：dB(A)</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28"/>
              <w:gridCol w:w="4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23" w:type="dxa"/>
                </w:tcPr>
                <w:p>
                  <w:pPr>
                    <w:autoSpaceDE w:val="0"/>
                    <w:autoSpaceDN w:val="0"/>
                    <w:spacing w:line="0" w:lineRule="atLeast"/>
                    <w:jc w:val="center"/>
                    <w:rPr>
                      <w:rFonts w:asciiTheme="majorHAnsi" w:hAnsiTheme="majorHAnsi"/>
                      <w:b/>
                      <w:bCs/>
                      <w:kern w:val="0"/>
                      <w:sz w:val="22"/>
                      <w:szCs w:val="22"/>
                      <w:lang w:val="zh-CN" w:bidi="zh-CN"/>
                    </w:rPr>
                  </w:pPr>
                  <w:r>
                    <w:rPr>
                      <w:rFonts w:cs="Times New Roman" w:asciiTheme="majorHAnsi" w:hAnsiTheme="majorHAnsi"/>
                      <w:b/>
                      <w:bCs/>
                      <w:kern w:val="0"/>
                      <w:sz w:val="21"/>
                      <w:szCs w:val="21"/>
                      <w:lang w:val="zh-CN" w:bidi="zh-CN"/>
                    </w:rPr>
                    <w:t>昼间</w:t>
                  </w:r>
                </w:p>
              </w:tc>
              <w:tc>
                <w:tcPr>
                  <w:tcW w:w="4023" w:type="dxa"/>
                </w:tcPr>
                <w:p>
                  <w:pPr>
                    <w:autoSpaceDE w:val="0"/>
                    <w:autoSpaceDN w:val="0"/>
                    <w:spacing w:line="0" w:lineRule="atLeast"/>
                    <w:jc w:val="center"/>
                    <w:rPr>
                      <w:rFonts w:asciiTheme="majorHAnsi" w:hAnsiTheme="majorHAnsi"/>
                      <w:b/>
                      <w:bCs/>
                      <w:kern w:val="0"/>
                      <w:szCs w:val="21"/>
                      <w:lang w:val="zh-CN" w:bidi="zh-CN"/>
                    </w:rPr>
                  </w:pPr>
                  <w:r>
                    <w:rPr>
                      <w:rFonts w:cs="Times New Roman" w:asciiTheme="majorHAnsi" w:hAnsiTheme="majorHAnsi"/>
                      <w:b/>
                      <w:bCs/>
                      <w:kern w:val="0"/>
                      <w:sz w:val="21"/>
                      <w:szCs w:val="21"/>
                      <w:lang w:val="zh-CN" w:bidi="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23" w:type="dxa"/>
                </w:tcPr>
                <w:p>
                  <w:pPr>
                    <w:autoSpaceDE w:val="0"/>
                    <w:autoSpaceDN w:val="0"/>
                    <w:spacing w:line="0" w:lineRule="atLeast"/>
                    <w:jc w:val="center"/>
                    <w:rPr>
                      <w:rFonts w:asciiTheme="majorHAnsi" w:hAnsiTheme="majorHAnsi"/>
                      <w:kern w:val="0"/>
                      <w:sz w:val="22"/>
                      <w:szCs w:val="22"/>
                      <w:lang w:val="zh-CN" w:bidi="zh-CN"/>
                    </w:rPr>
                  </w:pPr>
                  <w:r>
                    <w:rPr>
                      <w:rFonts w:cs="Times New Roman" w:asciiTheme="majorHAnsi" w:hAnsiTheme="majorHAnsi"/>
                      <w:kern w:val="0"/>
                      <w:sz w:val="21"/>
                      <w:szCs w:val="21"/>
                      <w:lang w:val="zh-CN" w:bidi="zh-CN"/>
                    </w:rPr>
                    <w:t>70</w:t>
                  </w:r>
                </w:p>
              </w:tc>
              <w:tc>
                <w:tcPr>
                  <w:tcW w:w="4023" w:type="dxa"/>
                </w:tcPr>
                <w:p>
                  <w:pPr>
                    <w:autoSpaceDE w:val="0"/>
                    <w:autoSpaceDN w:val="0"/>
                    <w:spacing w:line="0" w:lineRule="atLeast"/>
                    <w:jc w:val="center"/>
                    <w:rPr>
                      <w:rFonts w:asciiTheme="majorHAnsi" w:hAnsiTheme="majorHAnsi"/>
                      <w:kern w:val="0"/>
                      <w:szCs w:val="21"/>
                      <w:lang w:val="zh-CN" w:bidi="zh-CN"/>
                    </w:rPr>
                  </w:pPr>
                  <w:r>
                    <w:rPr>
                      <w:rFonts w:cs="Times New Roman" w:asciiTheme="majorHAnsi" w:hAnsiTheme="majorHAnsi"/>
                      <w:kern w:val="0"/>
                      <w:sz w:val="21"/>
                      <w:szCs w:val="21"/>
                      <w:lang w:val="zh-CN" w:bidi="zh-CN"/>
                    </w:rPr>
                    <w:t>55</w:t>
                  </w:r>
                </w:p>
              </w:tc>
            </w:tr>
          </w:tbl>
          <w:p>
            <w:pPr>
              <w:widowControl/>
              <w:ind w:firstLine="480" w:firstLineChars="200"/>
              <w:jc w:val="left"/>
              <w:rPr>
                <w:rFonts w:cs="Times New Roman" w:asciiTheme="majorHAnsi" w:hAnsiTheme="majorHAnsi"/>
                <w:bCs/>
                <w:kern w:val="0"/>
                <w:szCs w:val="21"/>
              </w:rPr>
            </w:pPr>
            <w:r>
              <w:rPr>
                <w:rFonts w:cs="Times New Roman" w:asciiTheme="majorHAnsi" w:hAnsiTheme="majorHAnsi"/>
                <w:bCs/>
                <w:kern w:val="0"/>
                <w:szCs w:val="21"/>
              </w:rPr>
              <w:t>营运期执行《</w:t>
            </w:r>
            <w:r>
              <w:rPr>
                <w:rFonts w:cs="Times New Roman" w:asciiTheme="majorHAnsi" w:hAnsiTheme="majorHAnsi"/>
                <w:bCs/>
                <w:spacing w:val="-6"/>
                <w:kern w:val="0"/>
                <w:szCs w:val="21"/>
              </w:rPr>
              <w:t>工业企业厂界环境噪声排放标准</w:t>
            </w:r>
            <w:r>
              <w:rPr>
                <w:rFonts w:cs="Times New Roman" w:asciiTheme="majorHAnsi" w:hAnsiTheme="majorHAnsi"/>
                <w:bCs/>
                <w:kern w:val="0"/>
                <w:szCs w:val="21"/>
              </w:rPr>
              <w:t>》（</w:t>
            </w:r>
            <w:r>
              <w:rPr>
                <w:rFonts w:cs="Times New Roman" w:asciiTheme="majorHAnsi" w:hAnsiTheme="majorHAnsi"/>
                <w:bCs/>
                <w:spacing w:val="-6"/>
                <w:kern w:val="0"/>
                <w:szCs w:val="21"/>
              </w:rPr>
              <w:t>GB12348-2008</w:t>
            </w:r>
            <w:r>
              <w:rPr>
                <w:rFonts w:cs="Times New Roman" w:asciiTheme="majorHAnsi" w:hAnsiTheme="majorHAnsi"/>
                <w:bCs/>
                <w:kern w:val="0"/>
                <w:szCs w:val="21"/>
              </w:rPr>
              <w:t>）中2类标准：</w:t>
            </w:r>
          </w:p>
          <w:p>
            <w:pPr>
              <w:pStyle w:val="237"/>
              <w:numPr>
                <w:ilvl w:val="0"/>
                <w:numId w:val="6"/>
              </w:numPr>
              <w:spacing w:line="240" w:lineRule="auto"/>
              <w:rPr>
                <w:rFonts w:ascii="黑体" w:hAnsi="黑体" w:eastAsia="黑体"/>
                <w:b w:val="0"/>
                <w:bCs w:val="0"/>
                <w:color w:val="auto"/>
              </w:rPr>
            </w:pPr>
            <w:r>
              <w:rPr>
                <w:rFonts w:hint="eastAsia" w:ascii="黑体" w:hAnsi="黑体" w:eastAsia="黑体"/>
                <w:b w:val="0"/>
                <w:bCs w:val="0"/>
                <w:color w:val="auto"/>
              </w:rPr>
              <w:t>工业企业厂界环境噪声排放限值      单位：dB(A)</w:t>
            </w:r>
          </w:p>
          <w:tbl>
            <w:tblPr>
              <w:tblStyle w:val="4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1"/>
              <w:gridCol w:w="2751"/>
              <w:gridCol w:w="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1" w:type="dxa"/>
                  <w:vAlign w:val="center"/>
                </w:tcPr>
                <w:p>
                  <w:pPr>
                    <w:pStyle w:val="56"/>
                    <w:rPr>
                      <w:rFonts w:asciiTheme="majorHAnsi" w:hAnsiTheme="majorHAnsi" w:eastAsiaTheme="minorEastAsia"/>
                      <w:b/>
                      <w:bCs/>
                    </w:rPr>
                  </w:pPr>
                  <w:r>
                    <w:rPr>
                      <w:rFonts w:asciiTheme="majorHAnsi" w:hAnsiTheme="majorHAnsi" w:eastAsiaTheme="minorEastAsia"/>
                      <w:b/>
                      <w:bCs/>
                    </w:rPr>
                    <w:t>类别</w:t>
                  </w:r>
                </w:p>
              </w:tc>
              <w:tc>
                <w:tcPr>
                  <w:tcW w:w="2681" w:type="dxa"/>
                  <w:vAlign w:val="center"/>
                </w:tcPr>
                <w:p>
                  <w:pPr>
                    <w:pStyle w:val="56"/>
                    <w:rPr>
                      <w:rFonts w:asciiTheme="majorHAnsi" w:hAnsiTheme="majorHAnsi" w:eastAsiaTheme="minorEastAsia"/>
                      <w:b/>
                      <w:bCs/>
                    </w:rPr>
                  </w:pPr>
                  <w:r>
                    <w:rPr>
                      <w:rFonts w:asciiTheme="majorHAnsi" w:hAnsiTheme="majorHAnsi" w:eastAsiaTheme="minorEastAsia"/>
                      <w:b/>
                      <w:bCs/>
                    </w:rPr>
                    <w:t>昼间</w:t>
                  </w:r>
                </w:p>
              </w:tc>
              <w:tc>
                <w:tcPr>
                  <w:tcW w:w="2682" w:type="dxa"/>
                  <w:vAlign w:val="center"/>
                </w:tcPr>
                <w:p>
                  <w:pPr>
                    <w:pStyle w:val="56"/>
                    <w:rPr>
                      <w:rFonts w:asciiTheme="majorHAnsi" w:hAnsiTheme="majorHAnsi" w:eastAsiaTheme="minorEastAsia"/>
                      <w:b/>
                      <w:bCs/>
                    </w:rPr>
                  </w:pPr>
                  <w:r>
                    <w:rPr>
                      <w:rFonts w:asciiTheme="majorHAnsi" w:hAnsiTheme="majorHAnsi" w:eastAsiaTheme="minorEastAsia"/>
                      <w:b/>
                      <w:bCs/>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1" w:type="dxa"/>
                  <w:vAlign w:val="center"/>
                </w:tcPr>
                <w:p>
                  <w:pPr>
                    <w:pStyle w:val="56"/>
                    <w:rPr>
                      <w:rFonts w:asciiTheme="majorHAnsi" w:hAnsiTheme="majorHAnsi" w:eastAsiaTheme="minorEastAsia"/>
                    </w:rPr>
                  </w:pPr>
                  <w:r>
                    <w:rPr>
                      <w:rFonts w:asciiTheme="majorHAnsi" w:hAnsiTheme="majorHAnsi" w:eastAsiaTheme="minorEastAsia"/>
                      <w:spacing w:val="-6"/>
                    </w:rPr>
                    <w:t>2</w:t>
                  </w:r>
                  <w:r>
                    <w:rPr>
                      <w:rFonts w:asciiTheme="majorHAnsi" w:hAnsiTheme="majorHAnsi" w:eastAsiaTheme="minorEastAsia"/>
                    </w:rPr>
                    <w:t>类</w:t>
                  </w:r>
                </w:p>
              </w:tc>
              <w:tc>
                <w:tcPr>
                  <w:tcW w:w="2681" w:type="dxa"/>
                  <w:vAlign w:val="center"/>
                </w:tcPr>
                <w:p>
                  <w:pPr>
                    <w:pStyle w:val="56"/>
                    <w:rPr>
                      <w:rFonts w:asciiTheme="majorHAnsi" w:hAnsiTheme="majorHAnsi" w:eastAsiaTheme="minorEastAsia"/>
                    </w:rPr>
                  </w:pPr>
                  <w:r>
                    <w:rPr>
                      <w:rFonts w:asciiTheme="majorHAnsi" w:hAnsiTheme="majorHAnsi" w:eastAsiaTheme="minorEastAsia"/>
                    </w:rPr>
                    <w:t>60</w:t>
                  </w:r>
                </w:p>
              </w:tc>
              <w:tc>
                <w:tcPr>
                  <w:tcW w:w="2682" w:type="dxa"/>
                  <w:vAlign w:val="center"/>
                </w:tcPr>
                <w:p>
                  <w:pPr>
                    <w:pStyle w:val="56"/>
                    <w:rPr>
                      <w:rFonts w:asciiTheme="majorHAnsi" w:hAnsiTheme="majorHAnsi" w:eastAsiaTheme="minorEastAsia"/>
                    </w:rPr>
                  </w:pPr>
                  <w:r>
                    <w:rPr>
                      <w:rFonts w:asciiTheme="majorHAnsi" w:hAnsiTheme="majorHAnsi" w:eastAsiaTheme="minorEastAsia"/>
                    </w:rPr>
                    <w:t>50</w:t>
                  </w:r>
                </w:p>
              </w:tc>
            </w:tr>
          </w:tbl>
          <w:p>
            <w:pPr>
              <w:widowControl/>
              <w:ind w:firstLine="482" w:firstLineChars="200"/>
              <w:jc w:val="left"/>
              <w:rPr>
                <w:rFonts w:cs="Times New Roman" w:asciiTheme="majorHAnsi" w:hAnsiTheme="majorHAnsi"/>
                <w:b/>
                <w:bCs/>
                <w:kern w:val="0"/>
                <w:szCs w:val="20"/>
              </w:rPr>
            </w:pPr>
            <w:r>
              <w:rPr>
                <w:rFonts w:hint="eastAsia" w:cs="Times New Roman" w:asciiTheme="majorHAnsi" w:hAnsiTheme="majorHAnsi"/>
                <w:b/>
                <w:bCs/>
                <w:kern w:val="0"/>
                <w:szCs w:val="20"/>
              </w:rPr>
              <w:t>4、固体废弃物</w:t>
            </w:r>
          </w:p>
          <w:p>
            <w:pPr>
              <w:widowControl w:val="0"/>
              <w:ind w:firstLine="480" w:firstLineChars="200"/>
              <w:jc w:val="both"/>
              <w:rPr>
                <w:rFonts w:cs="Times New Roman" w:asciiTheme="majorHAnsi" w:hAnsiTheme="majorHAnsi"/>
                <w:kern w:val="0"/>
                <w:szCs w:val="20"/>
              </w:rPr>
            </w:pPr>
            <w:r>
              <w:rPr>
                <w:rFonts w:ascii="Times New Roman" w:hAnsi="Times New Roman" w:cs="Times New Roman"/>
              </w:rPr>
              <w:t>本项目固废处理及处置执行《一般工业固体废物贮存和填埋污染控制标准》(GB 18599-2020)相关标准，</w:t>
            </w:r>
            <w:r>
              <w:rPr>
                <w:rFonts w:hint="eastAsia" w:cs="Times New Roman" w:asciiTheme="majorHAnsi" w:hAnsiTheme="majorHAnsi"/>
                <w:kern w:val="0"/>
                <w:szCs w:val="20"/>
              </w:rPr>
              <w:t>暂存过程应满足相应防渗漏、防雨淋、防扬尘等环境保护要求，固体废物的处置应明确，不得形成二次污染；危险废物执行《危险废物贮存污染控制标准》（GB18597-20</w:t>
            </w:r>
            <w:r>
              <w:rPr>
                <w:rFonts w:cs="Times New Roman" w:asciiTheme="majorHAnsi" w:hAnsiTheme="majorHAnsi"/>
                <w:kern w:val="0"/>
                <w:szCs w:val="20"/>
              </w:rPr>
              <w:t>23</w:t>
            </w:r>
            <w:r>
              <w:rPr>
                <w:rFonts w:hint="eastAsia" w:cs="Times New Roman" w:asciiTheme="majorHAnsi" w:hAnsiTheme="majorHAnsi"/>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jc w:val="center"/>
        </w:trPr>
        <w:tc>
          <w:tcPr>
            <w:tcW w:w="452" w:type="dxa"/>
            <w:vAlign w:val="center"/>
          </w:tcPr>
          <w:p>
            <w:pPr>
              <w:pStyle w:val="40"/>
              <w:widowControl w:val="0"/>
              <w:jc w:val="both"/>
              <w:outlineLvl w:val="0"/>
              <w:rPr>
                <w:rFonts w:ascii="黑体" w:hAnsi="黑体" w:eastAsia="黑体"/>
                <w:snapToGrid w:val="0"/>
                <w:sz w:val="30"/>
                <w:szCs w:val="30"/>
                <w:lang w:val="zh-CN"/>
              </w:rPr>
            </w:pPr>
            <w:r>
              <w:rPr>
                <w:rFonts w:hint="eastAsia" w:cs="宋体" w:asciiTheme="majorHAnsi" w:hAnsiTheme="majorHAnsi"/>
              </w:rPr>
              <w:t>总量控制指标</w:t>
            </w:r>
          </w:p>
        </w:tc>
        <w:tc>
          <w:tcPr>
            <w:tcW w:w="8382" w:type="dxa"/>
            <w:vAlign w:val="center"/>
          </w:tcPr>
          <w:p>
            <w:pPr>
              <w:widowControl w:val="0"/>
              <w:adjustRightInd w:val="0"/>
              <w:snapToGrid w:val="0"/>
              <w:spacing w:before="163" w:beforeLines="50"/>
              <w:ind w:firstLine="480"/>
              <w:jc w:val="both"/>
              <w:rPr>
                <w:szCs w:val="28"/>
              </w:rPr>
            </w:pPr>
            <w:r>
              <w:rPr>
                <w:szCs w:val="28"/>
              </w:rPr>
              <w:t>本工程</w:t>
            </w:r>
            <w:r>
              <w:rPr>
                <w:rFonts w:hint="eastAsia"/>
                <w:szCs w:val="28"/>
              </w:rPr>
              <w:t>收纳</w:t>
            </w:r>
            <w:r>
              <w:rPr>
                <w:szCs w:val="28"/>
              </w:rPr>
              <w:t>废水经污水处理</w:t>
            </w:r>
            <w:r>
              <w:rPr>
                <w:rFonts w:hint="eastAsia"/>
                <w:szCs w:val="28"/>
              </w:rPr>
              <w:t>厂</w:t>
            </w:r>
            <w:r>
              <w:rPr>
                <w:szCs w:val="28"/>
              </w:rPr>
              <w:t>处理达标后</w:t>
            </w:r>
            <w:r>
              <w:rPr>
                <w:rFonts w:hint="eastAsia"/>
                <w:szCs w:val="28"/>
              </w:rPr>
              <w:t>，最终</w:t>
            </w:r>
            <w:r>
              <w:rPr>
                <w:szCs w:val="28"/>
              </w:rPr>
              <w:t>排入</w:t>
            </w:r>
            <w:r>
              <w:rPr>
                <w:rFonts w:hint="eastAsia"/>
                <w:szCs w:val="28"/>
              </w:rPr>
              <w:t>州河</w:t>
            </w:r>
            <w:r>
              <w:rPr>
                <w:szCs w:val="28"/>
              </w:rPr>
              <w:t>，出水水质</w:t>
            </w:r>
            <w:r>
              <w:t>执行</w:t>
            </w:r>
            <w:r>
              <w:rPr>
                <w:rFonts w:ascii="Times New Roman" w:hAnsi="Times New Roman"/>
              </w:rPr>
              <w:t>《城镇污水处理厂污染物排放标准》（GB18918-2002）一级A标准</w:t>
            </w:r>
            <w:r>
              <w:rPr>
                <w:rFonts w:hint="eastAsia" w:ascii="Times New Roman" w:hAnsi="Times New Roman"/>
              </w:rPr>
              <w:t>，</w:t>
            </w:r>
            <w:r>
              <w:rPr>
                <w:szCs w:val="28"/>
              </w:rPr>
              <w:t>评价单位建议采用如下总量控制指标，供环保行政管理部门审定，污染物总量控制指标：</w:t>
            </w:r>
          </w:p>
          <w:p>
            <w:pPr>
              <w:widowControl w:val="0"/>
              <w:adjustRightInd w:val="0"/>
              <w:snapToGrid w:val="0"/>
              <w:ind w:firstLine="480" w:firstLineChars="200"/>
              <w:jc w:val="both"/>
              <w:rPr>
                <w:szCs w:val="28"/>
              </w:rPr>
            </w:pPr>
            <w:r>
              <w:rPr>
                <w:rFonts w:hint="eastAsia" w:ascii="Times New Roman" w:hAnsi="Times New Roman"/>
              </w:rPr>
              <w:t>COD：365万t/a×50mg/L×10</w:t>
            </w:r>
            <w:r>
              <w:rPr>
                <w:rFonts w:hint="eastAsia" w:ascii="Times New Roman" w:hAnsi="Times New Roman"/>
                <w:vertAlign w:val="superscript"/>
              </w:rPr>
              <w:t>-6</w:t>
            </w:r>
            <w:r>
              <w:rPr>
                <w:rFonts w:hint="eastAsia" w:ascii="Times New Roman" w:hAnsi="Times New Roman"/>
              </w:rPr>
              <w:t xml:space="preserve"> =182.5（t/a）</w:t>
            </w:r>
          </w:p>
          <w:p>
            <w:pPr>
              <w:pStyle w:val="40"/>
              <w:widowControl w:val="0"/>
              <w:kinsoku w:val="0"/>
              <w:overflowPunct w:val="0"/>
              <w:autoSpaceDE w:val="0"/>
              <w:autoSpaceDN w:val="0"/>
              <w:adjustRightInd w:val="0"/>
              <w:spacing w:before="0" w:beforeAutospacing="0" w:after="0" w:afterAutospacing="0" w:line="360" w:lineRule="auto"/>
              <w:ind w:firstLine="480" w:firstLineChars="200"/>
              <w:jc w:val="both"/>
              <w:rPr>
                <w:rFonts w:ascii="Times New Roman" w:hAnsi="Times New Roman"/>
                <w:szCs w:val="24"/>
              </w:rPr>
            </w:pPr>
            <w:r>
              <w:rPr>
                <w:rFonts w:hint="eastAsia" w:ascii="Times New Roman" w:hAnsi="Times New Roman"/>
                <w:szCs w:val="24"/>
              </w:rPr>
              <w:t>NH</w:t>
            </w:r>
            <w:r>
              <w:rPr>
                <w:rFonts w:hint="eastAsia" w:ascii="Times New Roman" w:hAnsi="Times New Roman"/>
                <w:szCs w:val="24"/>
                <w:vertAlign w:val="subscript"/>
              </w:rPr>
              <w:t>3</w:t>
            </w:r>
            <w:r>
              <w:rPr>
                <w:rFonts w:hint="eastAsia" w:ascii="Times New Roman" w:hAnsi="Times New Roman"/>
                <w:szCs w:val="24"/>
              </w:rPr>
              <w:t>-N：365万t/a×5mg/L×10</w:t>
            </w:r>
            <w:r>
              <w:rPr>
                <w:rFonts w:hint="eastAsia" w:ascii="Times New Roman" w:hAnsi="Times New Roman"/>
                <w:szCs w:val="24"/>
                <w:vertAlign w:val="superscript"/>
              </w:rPr>
              <w:t>-6</w:t>
            </w:r>
            <w:r>
              <w:rPr>
                <w:rFonts w:hint="eastAsia" w:ascii="Times New Roman" w:hAnsi="Times New Roman"/>
                <w:szCs w:val="24"/>
              </w:rPr>
              <w:t xml:space="preserve"> =18.25（t/a）</w:t>
            </w:r>
          </w:p>
          <w:p>
            <w:pPr>
              <w:pStyle w:val="40"/>
              <w:widowControl w:val="0"/>
              <w:kinsoku w:val="0"/>
              <w:overflowPunct w:val="0"/>
              <w:autoSpaceDE w:val="0"/>
              <w:autoSpaceDN w:val="0"/>
              <w:adjustRightInd w:val="0"/>
              <w:spacing w:before="0" w:beforeAutospacing="0" w:after="0" w:afterAutospacing="0" w:line="360" w:lineRule="auto"/>
              <w:ind w:firstLine="480" w:firstLineChars="200"/>
              <w:jc w:val="both"/>
            </w:pPr>
            <w:r>
              <w:rPr>
                <w:rFonts w:hint="eastAsia" w:ascii="Times New Roman" w:hAnsi="Times New Roman"/>
                <w:szCs w:val="24"/>
              </w:rPr>
              <w:t>TP：365万t/a×0.5mg/L×10</w:t>
            </w:r>
            <w:r>
              <w:rPr>
                <w:rFonts w:hint="eastAsia" w:ascii="Times New Roman" w:hAnsi="Times New Roman"/>
                <w:szCs w:val="24"/>
                <w:vertAlign w:val="superscript"/>
              </w:rPr>
              <w:t>-6</w:t>
            </w:r>
            <w:r>
              <w:rPr>
                <w:rFonts w:hint="eastAsia" w:ascii="Times New Roman" w:hAnsi="Times New Roman"/>
                <w:szCs w:val="24"/>
              </w:rPr>
              <w:t xml:space="preserve"> =1.825（t/a）</w:t>
            </w:r>
          </w:p>
        </w:tc>
      </w:tr>
    </w:tbl>
    <w:p>
      <w:pPr>
        <w:spacing w:line="240" w:lineRule="auto"/>
        <w:rPr>
          <w:rFonts w:asciiTheme="majorHAnsi" w:hAnsiTheme="majorHAnsi"/>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type="lines" w:linePitch="326" w:charSpace="0"/>
        </w:sectPr>
      </w:pPr>
    </w:p>
    <w:p>
      <w:pPr>
        <w:pStyle w:val="40"/>
        <w:jc w:val="center"/>
        <w:outlineLvl w:val="0"/>
        <w:rPr>
          <w:rFonts w:ascii="黑体" w:hAnsi="黑体" w:eastAsia="黑体"/>
          <w:snapToGrid w:val="0"/>
          <w:sz w:val="30"/>
          <w:szCs w:val="30"/>
          <w:lang w:val="zh-CN"/>
        </w:rPr>
      </w:pPr>
      <w:bookmarkStart w:id="18" w:name="_Toc3697"/>
      <w:bookmarkStart w:id="19" w:name="_Toc12802"/>
      <w:bookmarkStart w:id="20" w:name="_Toc118974742"/>
      <w:r>
        <w:rPr>
          <w:rFonts w:ascii="黑体" w:hAnsi="黑体" w:eastAsia="黑体"/>
          <w:snapToGrid w:val="0"/>
          <w:sz w:val="30"/>
          <w:szCs w:val="30"/>
          <w:lang w:val="zh-CN"/>
        </w:rPr>
        <w:t>四、主要环境影响和保护措施</w:t>
      </w:r>
      <w:bookmarkEnd w:id="18"/>
      <w:bookmarkEnd w:id="19"/>
      <w:bookmarkEnd w:id="20"/>
    </w:p>
    <w:tbl>
      <w:tblPr>
        <w:tblStyle w:val="45"/>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pPr>
              <w:widowControl w:val="0"/>
              <w:jc w:val="center"/>
              <w:rPr>
                <w:rFonts w:hint="default" w:ascii="Times New Roman" w:hAnsi="Times New Roman" w:cs="Times New Roman"/>
                <w:kern w:val="0"/>
                <w:szCs w:val="20"/>
              </w:rPr>
            </w:pPr>
            <w:r>
              <w:rPr>
                <w:rFonts w:hint="default" w:ascii="Times New Roman" w:hAnsi="Times New Roman" w:cs="Times New Roman"/>
                <w:kern w:val="0"/>
                <w:szCs w:val="20"/>
              </w:rPr>
              <w:t>施工期环境保护措施</w:t>
            </w:r>
          </w:p>
        </w:tc>
        <w:tc>
          <w:tcPr>
            <w:tcW w:w="9320" w:type="dxa"/>
            <w:vAlign w:val="center"/>
          </w:tcPr>
          <w:p>
            <w:pPr>
              <w:widowControl/>
              <w:jc w:val="left"/>
              <w:rPr>
                <w:rFonts w:hint="default" w:ascii="Times New Roman" w:hAnsi="Times New Roman" w:cs="Times New Roman"/>
                <w:b/>
                <w:bCs/>
                <w:kern w:val="0"/>
                <w:szCs w:val="20"/>
              </w:rPr>
            </w:pPr>
            <w:r>
              <w:rPr>
                <w:rFonts w:hint="default" w:ascii="Times New Roman" w:hAnsi="Times New Roman" w:cs="Times New Roman"/>
                <w:b/>
                <w:bCs/>
                <w:kern w:val="0"/>
                <w:szCs w:val="20"/>
              </w:rPr>
              <w:t>4.1施工期环境影响和保护措施</w:t>
            </w:r>
          </w:p>
          <w:p>
            <w:pPr>
              <w:widowControl/>
              <w:ind w:firstLine="482" w:firstLineChars="200"/>
              <w:jc w:val="left"/>
              <w:rPr>
                <w:rFonts w:hint="default" w:ascii="Times New Roman" w:hAnsi="Times New Roman" w:cs="Times New Roman"/>
                <w:b/>
                <w:bCs/>
                <w:kern w:val="0"/>
                <w:szCs w:val="20"/>
              </w:rPr>
            </w:pPr>
            <w:r>
              <w:rPr>
                <w:rFonts w:hint="default" w:ascii="Times New Roman" w:hAnsi="Times New Roman" w:cs="Times New Roman"/>
                <w:b/>
                <w:bCs/>
                <w:kern w:val="0"/>
                <w:szCs w:val="20"/>
              </w:rPr>
              <w:t>1、施工期大气污染防治措施</w:t>
            </w:r>
          </w:p>
          <w:p>
            <w:pPr>
              <w:widowControl w:val="0"/>
              <w:ind w:firstLine="480"/>
              <w:jc w:val="left"/>
              <w:rPr>
                <w:rFonts w:hint="default" w:ascii="Times New Roman" w:hAnsi="Times New Roman" w:eastAsia="宋体" w:cs="Times New Roman"/>
                <w:szCs w:val="21"/>
              </w:rPr>
            </w:pPr>
            <w:r>
              <w:rPr>
                <w:rFonts w:hint="default" w:ascii="Times New Roman" w:hAnsi="Times New Roman" w:cs="Times New Roman"/>
                <w:szCs w:val="21"/>
              </w:rPr>
              <w:t>本项目采用商品混凝土，所需混凝土均外购，不在施工现场进行拌合。废气污染物主要为施工扬尘、施工粉尘（TSP）、施工机械废气、汽车尾气以及室内装修油漆废气。</w:t>
            </w:r>
          </w:p>
          <w:p>
            <w:pPr>
              <w:widowControl w:val="0"/>
              <w:ind w:firstLine="419" w:firstLineChars="174"/>
              <w:jc w:val="both"/>
              <w:rPr>
                <w:rFonts w:hint="default" w:ascii="Times New Roman" w:hAnsi="Times New Roman" w:cs="Times New Roman"/>
                <w:b/>
                <w:bCs/>
                <w:szCs w:val="21"/>
              </w:rPr>
            </w:pPr>
            <w:r>
              <w:rPr>
                <w:rFonts w:hint="default" w:ascii="Times New Roman" w:hAnsi="Times New Roman" w:cs="Times New Roman"/>
                <w:b/>
                <w:bCs/>
                <w:szCs w:val="21"/>
              </w:rPr>
              <w:t>（1）施工扬尘</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为减轻施工期扬尘对大气环境的影响，根据《住房和城乡建设部办公厅关于进一步加强施工工地和道路扬尘管控工作的通知》（建办质〔2019〕23号）、《四川省建筑工程扬尘污染防治技术导则（试行）》（川建发〔2019〕16号）的有关要求，施工现场应采取以下扬尘污染防治措施：</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治理措施：①施工现场应沿四周连续设置不低于2.5m高的封闭围挡，围挡采用硬质一次成型板材，现场模块化整体式拼装成型；围档顶端设置雾状喷淋，喷头水平间距≤3m，应安装在低于围挡顶部200mm处的围挡内侧，喷头朝内向上，并配备符合喷雾需求的变频高压水泵。封闭施工现场，采用密目安全网，以减少结构和装修过程中的粉尘飞扬现象，降低粉尘向大气中的排放；脚手架在拆除前，先将脚手板上的垃圾清理干净，清理时应避免扬尘。施工中必须使用商品混凝土，施工现场禁止设置搅拌站，禁止现场拌合。</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②要求施工单位文明施工，定期对地面洒水，并对撒落在路面的渣土尽快 清除；施工过程中使用的水泥、石灰、沙石、涂料等易起尘的建筑材料应设置围挡或堆砌围墙或者采用防尘布覆盖，最好是密闭存储。</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③在施工场地对施工车辆必须实施限速行驶，同时施工现场主要运输道路采用硬化路面并进行洒水抑尘。</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④施工现场出入口、主要道路以及与社会通行道路交叉通道必须采用（沥青）混凝土硬化，在物料、建渣运输车辆的出口设置洗车槽，放置防尘垫，车辆离开工地前，应在洗车平台清洗轮胎及车身，不得带泥上路。洗车平台四周设置防溢座，废水导流渠、废水收集池、沉砂池及其他防治设施，收集洗车、施工以及降水过程中产生的废水和泥浆。工地出口处铺装道路上可见粘带泥土不得超过10m，并应及时清扫冲洗。</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⑤施工过程中，楼上施工产生的建筑渣土，不得在楼上向下倾倒，必须运送地面。遇到干燥、易起尘的土方工程作业时，应辅以洒水压尘，减少扬尘。</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⑥禁止在风天进行渣土堆放作业，建材堆放地点要相对集中，临时弃渣堆场及时清运，并对堆场必须以毡布覆盖，不得有裸土，并且裸露地面进行硬化和绿化，减少建材的露天堆放时间；开挖出的土石方应加强围栏，表面用毡布覆盖，并及时将弃土回填。在风速大于四级时应停止施工，并采取有效措施，控制扬尘飞散。</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⑦应在施工建设中做的规范管理：加强施工现场管控，全面减少施工扬尘；全面禁止现场搅拌，避免水泥粉尘污染；全面推行海绵城市理念，减少扬尘污染面源；推行装配式建设方式，缩短工程施工周期；资源化利用建筑垃圾，减少建筑垃圾排放；积极推行施工新技术，提高绿色施工水平；精准监控工地扬尘，差异化管控建设工地。</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⑧施工场地扬尘应采用基于连续自动监测技术的颗粒物在线监测系统进行监测，确保施工各阶段产生的 TSP 达到《四川省施工场地扬尘排放标准》（DB51 2682 -2020）排放限值要求。</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⑨在施工过程中还应严格落实四川省人民政府办公厅发布的四川省〈中华人民共和国大气污染防治法〉实施办法（修订）》、《关于印发四川省大气污染防治行动计划实施细则》、《关于加强灰霾污染防治的通知》、《四川省重污染天气应急预案（试行）（川办发【2022】17号）》、《达州市2021年建筑工地扬尘治理工作实施方案》等相关施工现场污染防治中扬尘污染防治有关的规定。</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另外，业主及施工单位还应根据宣汉县人民政府办公室印发《宣汉县重污染天气应急预案（2017年修订）》，做好重污染天气状况下，大气污染物的应急处置。</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同时，施工单位需严格执行建筑工地现场管理“十必须”、“十不准”的要求，即：必须规范打围、保持干净整洁，必须设置出场车辆高压冲洗设施，必须硬化主要施工道路、出入口，必须湿法作业，必须及时清运建筑垃圾，必须使用800目密目网覆盖裸土、建渣，必须分类有序堆码施工材料，必须规范张贴非道路移动机械环保标识，必须安装扬尘在线监测设备，必须安装高清视频监控设备；不准车辆带泥出门，不准运渣车辆冒顶装载，不准使用名录外运渣车，不准现场搅拌混凝土、砂浆，不准露天切割，不准高处抛洒建筑垃圾，不准场地积水、积泥、积尘，不准焚烧废弃物，不准干扰扬尘监测设备运行，不准干扰视频监控设备。除此之外，施工单位必须严格按照《四川省建筑工程扬尘污染防治技术导则（试行）》（川建发〔2019〕16号）中要求，严格落实“六个百分百”，包括：工地周边围挡、物料堆放覆盖、出入车辆冲洗、施工现场道路及材料堆场硬化、工地湿法作业及渣土车辆密闭运输，确保施工场地扬尘达到《四川省施工场地扬尘排放标准》（DB51/2682-2020）中相关限值要求。</w:t>
            </w:r>
          </w:p>
          <w:p>
            <w:pPr>
              <w:widowControl w:val="0"/>
              <w:ind w:firstLine="419" w:firstLineChars="174"/>
              <w:jc w:val="both"/>
              <w:rPr>
                <w:rFonts w:hint="default" w:ascii="Times New Roman" w:hAnsi="Times New Roman" w:cs="Times New Roman"/>
                <w:b/>
                <w:bCs/>
                <w:szCs w:val="21"/>
              </w:rPr>
            </w:pPr>
            <w:r>
              <w:rPr>
                <w:rFonts w:hint="default" w:ascii="Times New Roman" w:hAnsi="Times New Roman" w:cs="Times New Roman"/>
                <w:b/>
                <w:bCs/>
                <w:szCs w:val="21"/>
              </w:rPr>
              <w:t xml:space="preserve">（2）施工机械废气 </w:t>
            </w:r>
          </w:p>
          <w:p>
            <w:pPr>
              <w:widowControl w:val="0"/>
              <w:ind w:firstLine="417" w:firstLineChars="174"/>
              <w:jc w:val="left"/>
              <w:rPr>
                <w:rFonts w:hint="default" w:ascii="Times New Roman" w:hAnsi="Times New Roman" w:cs="Times New Roman"/>
                <w:szCs w:val="21"/>
              </w:rPr>
            </w:pPr>
            <w:r>
              <w:rPr>
                <w:rFonts w:hint="default" w:ascii="Times New Roman" w:hAnsi="Times New Roman" w:cs="Times New Roman"/>
                <w:szCs w:val="21"/>
              </w:rPr>
              <w:t>治理措施：</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①在施工期内多加注意施工设备的保养维护，使其处于正常的运行状态，从而可以避免施工机械因病态而使产生的废气超标的现象发生。</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②加强对车辆的维修保养，禁止以柴油为燃料的施工机械超负荷工作，减 少烟度和颗粒物排放。</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③动力机械多选择使用电动工具，严格控制燃油机械的使用，场内施工内 燃机械（如铲车、挖掘机等）需选用符合骨架相关标准的施工机械，并定期清理。</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④禁止使用废气排放超标的车辆。非道路移动机械所有人和使用人应配合相关行政管理部门的监督检查， 定期对非道路移动机械进行维护保养， 使非道路移动机械排气符合规定排放标准。</w:t>
            </w:r>
          </w:p>
          <w:p>
            <w:pPr>
              <w:widowControl w:val="0"/>
              <w:ind w:firstLine="419" w:firstLineChars="174"/>
              <w:jc w:val="both"/>
              <w:rPr>
                <w:rFonts w:hint="default" w:ascii="Times New Roman" w:hAnsi="Times New Roman" w:cs="Times New Roman"/>
                <w:b/>
                <w:bCs/>
                <w:szCs w:val="21"/>
              </w:rPr>
            </w:pPr>
            <w:r>
              <w:rPr>
                <w:rFonts w:hint="default" w:ascii="Times New Roman" w:hAnsi="Times New Roman" w:cs="Times New Roman"/>
                <w:b/>
                <w:bCs/>
                <w:szCs w:val="21"/>
              </w:rPr>
              <w:t>（3）油漆废气</w:t>
            </w:r>
          </w:p>
          <w:p>
            <w:pPr>
              <w:widowControl w:val="0"/>
              <w:ind w:firstLine="417" w:firstLineChars="174"/>
              <w:jc w:val="both"/>
              <w:rPr>
                <w:rFonts w:hint="default" w:ascii="Times New Roman" w:hAnsi="Times New Roman" w:cs="Times New Roman"/>
                <w:szCs w:val="21"/>
              </w:rPr>
            </w:pPr>
            <w:r>
              <w:rPr>
                <w:rFonts w:hint="default" w:ascii="Times New Roman" w:hAnsi="Times New Roman" w:cs="Times New Roman"/>
                <w:szCs w:val="21"/>
              </w:rPr>
              <w:t>在装修期间，应采用环保型油漆、加强室内的通风换气，油漆结束完成以后，每天进行通风换气。</w:t>
            </w:r>
          </w:p>
          <w:p>
            <w:pPr>
              <w:widowControl w:val="0"/>
              <w:ind w:firstLine="417" w:firstLineChars="174"/>
              <w:jc w:val="left"/>
              <w:rPr>
                <w:rFonts w:hint="default" w:ascii="Times New Roman" w:hAnsi="Times New Roman" w:eastAsia="黑体" w:cs="Times New Roman"/>
                <w:szCs w:val="21"/>
              </w:rPr>
            </w:pPr>
            <w:r>
              <w:rPr>
                <w:rFonts w:hint="default" w:ascii="Times New Roman" w:hAnsi="Times New Roman" w:eastAsia="黑体" w:cs="Times New Roman"/>
                <w:szCs w:val="21"/>
              </w:rPr>
              <w:t>综上所述，本项目施工期在采取以上污染防治措施后，施工期废气可实现达标排放，施工期废气随着工程施工结束而消失，不会对大气环境造成影响。</w:t>
            </w:r>
          </w:p>
          <w:p>
            <w:pPr>
              <w:widowControl/>
              <w:ind w:firstLine="482" w:firstLineChars="200"/>
              <w:jc w:val="left"/>
              <w:rPr>
                <w:rFonts w:hint="default" w:ascii="Times New Roman" w:hAnsi="Times New Roman" w:cs="Times New Roman"/>
                <w:b/>
                <w:bCs/>
                <w:kern w:val="0"/>
                <w:szCs w:val="20"/>
              </w:rPr>
            </w:pPr>
            <w:r>
              <w:rPr>
                <w:rFonts w:hint="default" w:ascii="Times New Roman" w:hAnsi="Times New Roman" w:cs="Times New Roman"/>
                <w:b/>
                <w:bCs/>
                <w:kern w:val="0"/>
                <w:szCs w:val="20"/>
              </w:rPr>
              <w:t>2、施工期地表水污染防治措施</w:t>
            </w:r>
          </w:p>
          <w:p>
            <w:pPr>
              <w:widowControl w:val="0"/>
              <w:ind w:firstLine="482" w:firstLineChars="200"/>
              <w:jc w:val="left"/>
              <w:rPr>
                <w:rFonts w:hint="default" w:ascii="Times New Roman" w:hAnsi="Times New Roman" w:cs="Times New Roman"/>
                <w:b/>
                <w:bCs/>
                <w:szCs w:val="21"/>
              </w:rPr>
            </w:pPr>
            <w:r>
              <w:rPr>
                <w:rFonts w:hint="default" w:ascii="Times New Roman" w:hAnsi="Times New Roman" w:cs="Times New Roman"/>
                <w:b/>
                <w:bCs/>
                <w:szCs w:val="21"/>
              </w:rPr>
              <w:t>（1）生活污水</w:t>
            </w:r>
          </w:p>
          <w:p>
            <w:pPr>
              <w:widowControl w:val="0"/>
              <w:ind w:firstLine="480" w:firstLineChars="200"/>
              <w:jc w:val="left"/>
              <w:rPr>
                <w:rFonts w:hint="default" w:ascii="Times New Roman" w:hAnsi="Times New Roman" w:cs="Times New Roman"/>
                <w:szCs w:val="21"/>
              </w:rPr>
            </w:pPr>
            <w:r>
              <w:rPr>
                <w:rFonts w:hint="default" w:ascii="Times New Roman" w:hAnsi="Times New Roman" w:cs="Times New Roman"/>
                <w:szCs w:val="21"/>
              </w:rPr>
              <w:t>项目施工期废水主要来源于施工人员产生的生活污水和施工工场产生的生产废水。</w:t>
            </w:r>
          </w:p>
          <w:p>
            <w:pPr>
              <w:widowControl w:val="0"/>
              <w:ind w:firstLine="480" w:firstLineChars="200"/>
              <w:jc w:val="both"/>
              <w:rPr>
                <w:rFonts w:hint="default" w:ascii="Times New Roman" w:hAnsi="Times New Roman" w:cs="Times New Roman"/>
                <w:szCs w:val="21"/>
              </w:rPr>
            </w:pPr>
            <w:r>
              <w:rPr>
                <w:rFonts w:hint="default" w:ascii="Times New Roman" w:hAnsi="Times New Roman" w:cs="Times New Roman"/>
                <w:szCs w:val="21"/>
              </w:rPr>
              <w:t>项目施工人员预计可达30人，根据《四川省用水定额》（川府函〔2021〕8号），施工人员生活用水量按80L/人·d计，生活污水产生系数取0.85，则生活污水产生量为1.66m</w:t>
            </w:r>
            <w:r>
              <w:rPr>
                <w:rFonts w:hint="default" w:ascii="Times New Roman" w:hAnsi="Times New Roman" w:cs="Times New Roman"/>
                <w:szCs w:val="21"/>
                <w:vertAlign w:val="superscript"/>
              </w:rPr>
              <w:t>3</w:t>
            </w:r>
            <w:r>
              <w:rPr>
                <w:rFonts w:hint="default" w:ascii="Times New Roman" w:hAnsi="Times New Roman" w:cs="Times New Roman"/>
                <w:szCs w:val="21"/>
              </w:rPr>
              <w:t>/d。</w:t>
            </w:r>
          </w:p>
          <w:p>
            <w:pPr>
              <w:widowControl w:val="0"/>
              <w:ind w:firstLine="480" w:firstLineChars="200"/>
              <w:jc w:val="left"/>
              <w:rPr>
                <w:rFonts w:hint="default" w:ascii="Times New Roman" w:hAnsi="Times New Roman" w:cs="Times New Roman"/>
                <w:szCs w:val="21"/>
              </w:rPr>
            </w:pPr>
            <w:r>
              <w:rPr>
                <w:rFonts w:hint="default" w:ascii="Times New Roman" w:hAnsi="Times New Roman" w:cs="Times New Roman"/>
                <w:szCs w:val="21"/>
              </w:rPr>
              <w:t>项目施工期生活污水经临时旱厕收集后，周边农户用作农肥使用，不直排水体。</w:t>
            </w:r>
          </w:p>
          <w:p>
            <w:pPr>
              <w:widowControl w:val="0"/>
              <w:ind w:firstLine="482" w:firstLineChars="200"/>
              <w:jc w:val="left"/>
              <w:rPr>
                <w:rFonts w:hint="default" w:ascii="Times New Roman" w:hAnsi="Times New Roman" w:cs="Times New Roman"/>
                <w:b/>
                <w:bCs/>
                <w:szCs w:val="21"/>
              </w:rPr>
            </w:pPr>
            <w:r>
              <w:rPr>
                <w:rFonts w:hint="default" w:ascii="Times New Roman" w:hAnsi="Times New Roman" w:cs="Times New Roman"/>
                <w:b/>
                <w:bCs/>
                <w:szCs w:val="21"/>
              </w:rPr>
              <w:t>（2）施工废水</w:t>
            </w:r>
          </w:p>
          <w:p>
            <w:pPr>
              <w:widowControl w:val="0"/>
              <w:ind w:firstLine="480" w:firstLineChars="200"/>
              <w:jc w:val="left"/>
              <w:rPr>
                <w:rFonts w:hint="default" w:ascii="Times New Roman" w:hAnsi="Times New Roman" w:cs="Times New Roman"/>
                <w:szCs w:val="21"/>
              </w:rPr>
            </w:pPr>
            <w:r>
              <w:rPr>
                <w:rFonts w:hint="default" w:ascii="Times New Roman" w:hAnsi="Times New Roman" w:cs="Times New Roman"/>
                <w:szCs w:val="21"/>
              </w:rPr>
              <w:t>施工工场产生的生产废水包括基坑排水、施工机械冲洗水、管道试水排水、混凝土养护水等，主要含SS和石油类污染物。</w:t>
            </w:r>
          </w:p>
          <w:p>
            <w:pPr>
              <w:widowControl w:val="0"/>
              <w:ind w:firstLine="480" w:firstLineChars="200"/>
              <w:jc w:val="left"/>
              <w:rPr>
                <w:rFonts w:hint="default" w:ascii="Times New Roman" w:hAnsi="Times New Roman" w:cs="Times New Roman"/>
                <w:szCs w:val="21"/>
              </w:rPr>
            </w:pPr>
            <w:r>
              <w:rPr>
                <w:rFonts w:hint="default" w:ascii="Times New Roman" w:hAnsi="Times New Roman" w:cs="Times New Roman"/>
                <w:szCs w:val="21"/>
              </w:rPr>
              <w:t>施工场地及出入口设置隔油沉淀池，施工废水经隔油沉淀后（隔油池容积为10m</w:t>
            </w:r>
            <w:r>
              <w:rPr>
                <w:rFonts w:hint="default" w:ascii="Times New Roman" w:hAnsi="Times New Roman" w:cs="Times New Roman"/>
                <w:szCs w:val="21"/>
                <w:vertAlign w:val="superscript"/>
              </w:rPr>
              <w:t>3</w:t>
            </w:r>
            <w:r>
              <w:rPr>
                <w:rFonts w:hint="default" w:ascii="Times New Roman" w:hAnsi="Times New Roman" w:cs="Times New Roman"/>
                <w:szCs w:val="21"/>
              </w:rPr>
              <w:t>，沉淀池容积为100m</w:t>
            </w:r>
            <w:r>
              <w:rPr>
                <w:rFonts w:hint="default" w:ascii="Times New Roman" w:hAnsi="Times New Roman" w:cs="Times New Roman"/>
                <w:szCs w:val="21"/>
                <w:vertAlign w:val="superscript"/>
              </w:rPr>
              <w:t>3</w:t>
            </w:r>
            <w:r>
              <w:rPr>
                <w:rFonts w:hint="default" w:ascii="Times New Roman" w:hAnsi="Times New Roman" w:cs="Times New Roman"/>
                <w:szCs w:val="21"/>
              </w:rPr>
              <w:t>）的上层清液用于施工场地和运输道路防尘洒水，不外排。</w:t>
            </w:r>
            <w:r>
              <w:rPr>
                <w:rFonts w:hint="default" w:ascii="Times New Roman" w:hAnsi="Times New Roman" w:cs="Times New Roman"/>
                <w:bCs/>
                <w:spacing w:val="-3"/>
              </w:rPr>
              <w:t>钻孔作业或其他施工产生的泥浆，经沉淀后回用。</w:t>
            </w:r>
            <w:r>
              <w:rPr>
                <w:rFonts w:hint="default" w:ascii="Times New Roman" w:hAnsi="Times New Roman" w:cs="Times New Roman"/>
                <w:szCs w:val="21"/>
              </w:rPr>
              <w:t>禁止在项目区内私设排污口。</w:t>
            </w:r>
          </w:p>
          <w:p>
            <w:pPr>
              <w:widowControl w:val="0"/>
              <w:ind w:firstLine="480" w:firstLineChars="200"/>
              <w:jc w:val="both"/>
              <w:rPr>
                <w:rFonts w:hint="default" w:ascii="Times New Roman" w:hAnsi="Times New Roman" w:cs="Times New Roman"/>
                <w:szCs w:val="21"/>
              </w:rPr>
            </w:pPr>
            <w:r>
              <w:rPr>
                <w:rFonts w:hint="default" w:ascii="Times New Roman" w:hAnsi="Times New Roman" w:cs="Times New Roman"/>
                <w:szCs w:val="21"/>
              </w:rPr>
              <w:t>根据项目外环境可知，本项目紧邻后河，为防止项目施工期造成水污染，环评要求：</w:t>
            </w:r>
          </w:p>
          <w:p>
            <w:pPr>
              <w:widowControl w:val="0"/>
              <w:ind w:firstLine="480" w:firstLineChars="200"/>
              <w:jc w:val="left"/>
              <w:rPr>
                <w:rFonts w:hint="default" w:ascii="Times New Roman" w:hAnsi="Times New Roman" w:cs="Times New Roman"/>
                <w:szCs w:val="21"/>
              </w:rPr>
            </w:pPr>
            <w:r>
              <w:rPr>
                <w:rFonts w:hint="default" w:ascii="Times New Roman" w:hAnsi="Times New Roman" w:cs="Times New Roman"/>
                <w:szCs w:val="21"/>
              </w:rPr>
              <w:t>严格落实《四川省建筑工程绿色施工规程》（DBJ51/T056-2016）对施工现场污染防治中水污染防治有关的规定；施工方应在施工营地处先行修建临时旱厕、污水沉淀池、隔油池等。严禁将项目区内产生的一切废水，直接排放至周边水体，禁止项目区内私设排污口。</w:t>
            </w:r>
          </w:p>
          <w:p>
            <w:pPr>
              <w:widowControl w:val="0"/>
              <w:ind w:firstLine="480" w:firstLineChars="200"/>
              <w:jc w:val="left"/>
              <w:rPr>
                <w:rFonts w:hint="default" w:ascii="Times New Roman" w:hAnsi="Times New Roman" w:cs="Times New Roman"/>
                <w:szCs w:val="21"/>
              </w:rPr>
            </w:pPr>
            <w:r>
              <w:rPr>
                <w:rFonts w:hint="default" w:ascii="Times New Roman" w:hAnsi="Times New Roman" w:cs="Times New Roman"/>
                <w:szCs w:val="21"/>
              </w:rPr>
              <w:t>开展施工场所的水环境保护教育，让施工人员理解水资源保护的重要性；加强施工管理和工程监理工作，严格检查施工机械，防止油料发生泄漏污染周围水体。施工材料如油料、化学品等不宜堆放在水渠和地表水体附近，并应备有临时遮挡的帆布；采取必要的措施防止泥土和散体施工材料阻塞水渠或现有输水管道；强化施工期防渗工程的施工管理，必须完善对隐蔽工程的现场记录，防渗工程的建设必须纳入项目环境监理范畴。</w:t>
            </w:r>
          </w:p>
          <w:p>
            <w:pPr>
              <w:widowControl w:val="0"/>
              <w:ind w:firstLine="480" w:firstLineChars="200"/>
              <w:jc w:val="left"/>
              <w:rPr>
                <w:rFonts w:hint="default" w:ascii="Times New Roman" w:hAnsi="Times New Roman" w:eastAsia="黑体" w:cs="Times New Roman"/>
                <w:szCs w:val="21"/>
              </w:rPr>
            </w:pPr>
            <w:r>
              <w:rPr>
                <w:rFonts w:hint="default" w:ascii="Times New Roman" w:hAnsi="Times New Roman" w:eastAsia="黑体" w:cs="Times New Roman"/>
                <w:szCs w:val="21"/>
              </w:rPr>
              <w:t>综上所述，本项目施工期在采取以上污染防治措施后，施工期废水可实现循环利用或合理处置，施工期废水随着工程施工结束而消失，不会对地表水环境造成影响。</w:t>
            </w:r>
          </w:p>
          <w:p>
            <w:pPr>
              <w:widowControl/>
              <w:ind w:firstLine="482" w:firstLineChars="200"/>
              <w:jc w:val="left"/>
              <w:rPr>
                <w:rFonts w:hint="default" w:ascii="Times New Roman" w:hAnsi="Times New Roman" w:cs="Times New Roman"/>
                <w:b/>
                <w:bCs/>
                <w:kern w:val="0"/>
                <w:szCs w:val="20"/>
              </w:rPr>
            </w:pPr>
            <w:r>
              <w:rPr>
                <w:rFonts w:hint="default" w:ascii="Times New Roman" w:hAnsi="Times New Roman" w:cs="Times New Roman"/>
                <w:b/>
                <w:bCs/>
                <w:kern w:val="0"/>
                <w:szCs w:val="20"/>
              </w:rPr>
              <w:t>3、施工期噪声防治措施</w:t>
            </w:r>
          </w:p>
          <w:p>
            <w:pPr>
              <w:widowControl w:val="0"/>
              <w:ind w:firstLine="480"/>
              <w:jc w:val="left"/>
              <w:rPr>
                <w:rFonts w:hint="default" w:ascii="Times New Roman" w:hAnsi="Times New Roman" w:eastAsia="宋体" w:cs="Times New Roman"/>
              </w:rPr>
            </w:pPr>
            <w:r>
              <w:rPr>
                <w:rFonts w:hint="default" w:ascii="Times New Roman" w:hAnsi="Times New Roman" w:cs="Times New Roman"/>
              </w:rPr>
              <w:t>施工期噪声主要来源于各种建设机械和运输车辆噪声，施工工地不设混凝土搅拌站，各施工阶段的主要产噪机械设备、运输车辆，根据类比分析，推土机、挖掘机在工作中产生的噪声经过一定的距离（5-10m）传播后，其噪声强度在75-85dB（A），按照自由声场衰减模式进行计算，距离声源10m处，声级强度的减少值在20dB（A）。为降低施工噪声的影响范围和程度，要求施工单位做到以下几点：</w:t>
            </w:r>
          </w:p>
          <w:p>
            <w:pPr>
              <w:widowControl w:val="0"/>
              <w:ind w:firstLine="480"/>
              <w:jc w:val="left"/>
              <w:rPr>
                <w:rFonts w:hint="default" w:ascii="Times New Roman" w:hAnsi="Times New Roman" w:cs="Times New Roman"/>
              </w:rPr>
            </w:pPr>
            <w:r>
              <w:rPr>
                <w:rFonts w:hint="default" w:ascii="Times New Roman" w:hAnsi="Times New Roman" w:eastAsia="宋体" w:cs="Times New Roman"/>
              </w:rPr>
              <w:t>①</w:t>
            </w:r>
            <w:r>
              <w:rPr>
                <w:rFonts w:hint="default" w:ascii="Times New Roman" w:hAnsi="Times New Roman" w:cs="Times New Roman"/>
              </w:rPr>
              <w:t>合理布设施工场地，将钢筋加工区、木料加工区、进出通道等产生噪声的作业区布设在项目用地范围内空地处，远离周边环境敏感点。</w:t>
            </w:r>
          </w:p>
          <w:p>
            <w:pPr>
              <w:widowControl w:val="0"/>
              <w:ind w:firstLine="480"/>
              <w:jc w:val="left"/>
              <w:rPr>
                <w:rFonts w:hint="default" w:ascii="Times New Roman" w:hAnsi="Times New Roman" w:cs="Times New Roman"/>
              </w:rPr>
            </w:pPr>
            <w:r>
              <w:rPr>
                <w:rFonts w:hint="default" w:ascii="Times New Roman" w:hAnsi="Times New Roman" w:eastAsia="宋体" w:cs="Times New Roman"/>
              </w:rPr>
              <w:t>②</w:t>
            </w:r>
            <w:r>
              <w:rPr>
                <w:rFonts w:hint="default" w:ascii="Times New Roman" w:hAnsi="Times New Roman" w:cs="Times New Roman"/>
              </w:rPr>
              <w:t>合理安排作业时间，尽量避免午间和夜间施工，禁止在夜间（22：00-6：00）和午休（12：00~14：00）施工。推土机、装载机、搅拌机作业等也要控制作业时间，严格按照《建筑施工场界环境噪声排放标准》（GB12532-2011）施工，施工期间应制订科学施工计划，严禁在考试期间施工。如有特殊需要必须连续作业的，需经有关部门批准同意，办理相关手续及夜间施工许可证等，在高噪作业前及连续施工时及时公告施工信息，包括施工时间、作业内容等。</w:t>
            </w:r>
          </w:p>
          <w:p>
            <w:pPr>
              <w:widowControl w:val="0"/>
              <w:ind w:firstLine="480"/>
              <w:jc w:val="left"/>
              <w:rPr>
                <w:rFonts w:hint="default" w:ascii="Times New Roman" w:hAnsi="Times New Roman" w:cs="Times New Roman"/>
              </w:rPr>
            </w:pPr>
            <w:r>
              <w:rPr>
                <w:rFonts w:hint="default" w:ascii="Times New Roman" w:hAnsi="Times New Roman" w:eastAsia="宋体" w:cs="Times New Roman"/>
              </w:rPr>
              <w:t>③</w:t>
            </w:r>
            <w:r>
              <w:rPr>
                <w:rFonts w:hint="default" w:ascii="Times New Roman" w:hAnsi="Times New Roman" w:cs="Times New Roman"/>
              </w:rPr>
              <w:t>对钢管、模板等构件装卸、搬运应该轻拿轻放，严禁抛掷。</w:t>
            </w:r>
          </w:p>
          <w:p>
            <w:pPr>
              <w:widowControl w:val="0"/>
              <w:ind w:firstLine="480"/>
              <w:jc w:val="left"/>
              <w:rPr>
                <w:rFonts w:hint="default" w:ascii="Times New Roman" w:hAnsi="Times New Roman" w:cs="Times New Roman"/>
              </w:rPr>
            </w:pPr>
            <w:r>
              <w:rPr>
                <w:rFonts w:hint="default" w:ascii="Times New Roman" w:hAnsi="Times New Roman" w:eastAsia="宋体" w:cs="Times New Roman"/>
              </w:rPr>
              <w:t>④</w:t>
            </w:r>
            <w:r>
              <w:rPr>
                <w:rFonts w:hint="default" w:ascii="Times New Roman" w:hAnsi="Times New Roman" w:cs="Times New Roman"/>
              </w:rPr>
              <w:t>施工车辆运行线路尽量避开噪声敏感区域，严禁夜间装卸材料，材料运输车辆进入场地需安排专人指挥，场内禁止汽车鸣笛，材料装卸采用人工传递，严禁抛掷或汽车一次性下料，严禁夜间装卸材料。</w:t>
            </w:r>
          </w:p>
          <w:p>
            <w:pPr>
              <w:widowControl w:val="0"/>
              <w:ind w:firstLine="480"/>
              <w:jc w:val="left"/>
              <w:rPr>
                <w:rFonts w:hint="default" w:ascii="Times New Roman" w:hAnsi="Times New Roman" w:cs="Times New Roman"/>
              </w:rPr>
            </w:pPr>
            <w:r>
              <w:rPr>
                <w:rFonts w:hint="default" w:ascii="Times New Roman" w:hAnsi="Times New Roman" w:eastAsia="宋体" w:cs="Times New Roman"/>
              </w:rPr>
              <w:t>⑤</w:t>
            </w:r>
            <w:r>
              <w:rPr>
                <w:rFonts w:hint="default" w:ascii="Times New Roman" w:hAnsi="Times New Roman" w:cs="Times New Roman"/>
              </w:rPr>
              <w:t>对位置相对固定的机械设备，尽量进入隔声棚，隔声棚的墙高度应超过设备1.5m以上，墙宽度要使噪声敏感点阻隔在噪声发射角以外。装修期间能在室内进行的施工作业，尽量安排在室内进行，并且对房间进行隔音，不能入棚的机械设备，可建立单面声屏障，同时施工现场使用降噪安全围栏包裹。</w:t>
            </w:r>
          </w:p>
          <w:p>
            <w:pPr>
              <w:widowControl w:val="0"/>
              <w:ind w:firstLine="480"/>
              <w:jc w:val="left"/>
              <w:rPr>
                <w:rFonts w:hint="default" w:ascii="Times New Roman" w:hAnsi="Times New Roman" w:cs="Times New Roman"/>
              </w:rPr>
            </w:pPr>
            <w:r>
              <w:rPr>
                <w:rFonts w:hint="default" w:ascii="Times New Roman" w:hAnsi="Times New Roman" w:eastAsia="宋体" w:cs="Times New Roman"/>
              </w:rPr>
              <w:t>⑥</w:t>
            </w:r>
            <w:r>
              <w:rPr>
                <w:rFonts w:hint="default" w:ascii="Times New Roman" w:hAnsi="Times New Roman" w:cs="Times New Roman"/>
              </w:rPr>
              <w:t>加强交通管理，保障施工车辆进出畅通，避开居民上下班的高峰期，以避免由于运输作业影响当地交通秩序面产生的车辆鸣笛噪声污染。</w:t>
            </w:r>
          </w:p>
          <w:p>
            <w:pPr>
              <w:widowControl w:val="0"/>
              <w:ind w:firstLine="480" w:firstLineChars="200"/>
              <w:jc w:val="left"/>
              <w:rPr>
                <w:rFonts w:hint="default" w:ascii="Times New Roman" w:hAnsi="Times New Roman" w:cs="Times New Roman"/>
              </w:rPr>
            </w:pPr>
            <w:r>
              <w:rPr>
                <w:rFonts w:hint="default" w:ascii="Times New Roman" w:hAnsi="Times New Roman" w:eastAsia="宋体" w:cs="Times New Roman"/>
                <w:bCs/>
                <w:szCs w:val="21"/>
              </w:rPr>
              <w:t>⑦</w:t>
            </w:r>
            <w:r>
              <w:rPr>
                <w:rFonts w:hint="default" w:ascii="Times New Roman" w:hAnsi="Times New Roman" w:cs="Times New Roman"/>
                <w:kern w:val="0"/>
                <w:szCs w:val="21"/>
              </w:rPr>
              <w:t>根据《中华人民共和国噪声污染防治法》和四川省人民政府办公厅《关于在中、高考期间加强噪声污染监督管理工作的通知》（川办函【2001】90号）精神，为在中、高考期间保证考生有一个安静的学习、休息和参考环境，中、高考期间禁止进行产生噪声污染的建设施工。</w:t>
            </w:r>
          </w:p>
          <w:p>
            <w:pPr>
              <w:widowControl/>
              <w:ind w:firstLine="482" w:firstLineChars="200"/>
              <w:jc w:val="left"/>
              <w:rPr>
                <w:rFonts w:hint="default" w:ascii="Times New Roman" w:hAnsi="Times New Roman" w:cs="Times New Roman"/>
                <w:b/>
                <w:bCs/>
                <w:kern w:val="0"/>
                <w:szCs w:val="20"/>
              </w:rPr>
            </w:pPr>
            <w:r>
              <w:rPr>
                <w:rFonts w:hint="default" w:ascii="Times New Roman" w:hAnsi="Times New Roman" w:cs="Times New Roman"/>
                <w:b/>
                <w:bCs/>
                <w:kern w:val="0"/>
                <w:szCs w:val="20"/>
              </w:rPr>
              <w:t>4、施工期固体废物防治措施</w:t>
            </w:r>
          </w:p>
          <w:p>
            <w:pPr>
              <w:widowControl w:val="0"/>
              <w:ind w:firstLine="480" w:firstLineChars="200"/>
              <w:jc w:val="left"/>
              <w:rPr>
                <w:rFonts w:hint="default" w:ascii="Times New Roman" w:hAnsi="Times New Roman" w:eastAsia="宋体" w:cs="Times New Roman"/>
                <w:szCs w:val="21"/>
              </w:rPr>
            </w:pPr>
            <w:r>
              <w:rPr>
                <w:rFonts w:hint="default" w:ascii="Times New Roman" w:hAnsi="Times New Roman" w:cs="Times New Roman"/>
                <w:szCs w:val="21"/>
              </w:rPr>
              <w:t>本项目施工期固废主要包括基础开挖土方、建筑垃圾、装修垃圾和施工人员生活垃圾、顶管施工泥浆。</w:t>
            </w:r>
          </w:p>
          <w:p>
            <w:pPr>
              <w:widowControl w:val="0"/>
              <w:ind w:firstLine="482" w:firstLineChars="200"/>
              <w:jc w:val="both"/>
              <w:rPr>
                <w:rFonts w:hint="default" w:ascii="Times New Roman" w:hAnsi="Times New Roman" w:cs="Times New Roman"/>
                <w:b/>
              </w:rPr>
            </w:pPr>
            <w:r>
              <w:rPr>
                <w:rFonts w:hint="default" w:ascii="Times New Roman" w:hAnsi="Times New Roman" w:cs="Times New Roman"/>
                <w:b/>
              </w:rPr>
              <w:t>（1）土石方</w:t>
            </w:r>
          </w:p>
          <w:p>
            <w:pPr>
              <w:widowControl w:val="0"/>
              <w:ind w:firstLine="480" w:firstLineChars="200"/>
              <w:jc w:val="both"/>
              <w:rPr>
                <w:rFonts w:hint="default" w:ascii="Times New Roman" w:hAnsi="Times New Roman" w:cs="Times New Roman"/>
              </w:rPr>
            </w:pPr>
            <w:r>
              <w:rPr>
                <w:rFonts w:hint="default" w:ascii="Times New Roman" w:hAnsi="Times New Roman" w:cs="Times New Roman"/>
              </w:rPr>
              <w:t>施工期开挖土石方全部用于场地回填、调整场平，无弃土产生。为防止施工期土石方处置不当对周围环境的影响，本环评要求：施工期禁止大风天气和雨天进行土石方开挖作业，开挖的土石方应及时回填，回填后应及时夯实覆土；施工完成后，应尽快进行绿化建设，优先选用固沙植物，覆盖的泥土应不超出绿化边界。污水管线施工时，应合理安排施工时间，尽量缩短工期，管沟开挖后尽快回填，避免开挖的土石方回填不及时进入地表水体。</w:t>
            </w:r>
          </w:p>
          <w:p>
            <w:pPr>
              <w:widowControl w:val="0"/>
              <w:ind w:firstLine="482" w:firstLineChars="200"/>
              <w:jc w:val="both"/>
              <w:rPr>
                <w:rFonts w:hint="default" w:ascii="Times New Roman" w:hAnsi="Times New Roman" w:cs="Times New Roman"/>
                <w:b/>
              </w:rPr>
            </w:pPr>
            <w:r>
              <w:rPr>
                <w:rFonts w:hint="default" w:ascii="Times New Roman" w:hAnsi="Times New Roman" w:cs="Times New Roman"/>
                <w:b/>
              </w:rPr>
              <w:t>（2）建筑垃圾</w:t>
            </w:r>
          </w:p>
          <w:p>
            <w:pPr>
              <w:widowControl w:val="0"/>
              <w:ind w:firstLine="480" w:firstLineChars="200"/>
              <w:jc w:val="left"/>
              <w:rPr>
                <w:rFonts w:hint="default" w:ascii="Times New Roman" w:hAnsi="Times New Roman" w:cs="Times New Roman"/>
              </w:rPr>
            </w:pPr>
            <w:r>
              <w:rPr>
                <w:rFonts w:hint="default" w:ascii="Times New Roman" w:hAnsi="Times New Roman" w:cs="Times New Roman"/>
              </w:rPr>
              <w:t>施工期建筑垃圾主要为碎砖块、混凝土、废砂浆、桩头、废水泥、废铁、废钢材等。</w:t>
            </w:r>
          </w:p>
          <w:p>
            <w:pPr>
              <w:widowControl w:val="0"/>
              <w:ind w:firstLine="482" w:firstLineChars="200"/>
              <w:jc w:val="both"/>
              <w:rPr>
                <w:rFonts w:hint="default" w:ascii="Times New Roman" w:hAnsi="Times New Roman" w:cs="Times New Roman"/>
              </w:rPr>
            </w:pPr>
            <w:r>
              <w:rPr>
                <w:rFonts w:hint="default" w:ascii="Times New Roman" w:hAnsi="Times New Roman" w:cs="Times New Roman"/>
                <w:b/>
                <w:bCs/>
              </w:rPr>
              <w:t>处置措施：</w:t>
            </w:r>
            <w:r>
              <w:rPr>
                <w:rFonts w:hint="default" w:ascii="Times New Roman" w:hAnsi="Times New Roman" w:cs="Times New Roman"/>
              </w:rPr>
              <w:t>施工期产生的建筑垃圾，施工现场应设置建筑垃圾临时堆放场，临时堆放场应采取围挡、覆盖等防尘措施，并且将临时堆场设置在远离后河一侧，防止建筑垃圾入河或因雨水冲刷将建筑垃圾及雨水进入地表水体；建筑垃圾分类收集和处理，对于可回收的废料（如钢筋、钢板、木材等下脚料）经收集后交由废物收购站处理；不能回收的建筑垃圾（如混凝土废料、含砖、石、砂的杂土、装修垃圾等）应交由建筑垃圾清运公司及时清运至政府部门指定的建筑垃圾堆放场所，不得随意处理。施工现场建筑垃圾清运时，建设单位或施工单位应与运输企业签订《建筑垃圾运输合同》。建设单位或施工单位应在施工现场派驻建筑垃圾处置管理员，负责监督建筑垃圾外运时运渣车辆是否密闭运输、冲洗除尘和号牌清晰，做到不带泥出门，不冒顶装载。</w:t>
            </w:r>
          </w:p>
          <w:p>
            <w:pPr>
              <w:widowControl w:val="0"/>
              <w:ind w:firstLine="482" w:firstLineChars="200"/>
              <w:jc w:val="both"/>
              <w:rPr>
                <w:rFonts w:hint="default" w:ascii="Times New Roman" w:hAnsi="Times New Roman" w:cs="Times New Roman"/>
                <w:b/>
              </w:rPr>
            </w:pPr>
            <w:r>
              <w:rPr>
                <w:rFonts w:hint="default" w:ascii="Times New Roman" w:hAnsi="Times New Roman" w:cs="Times New Roman"/>
                <w:b/>
              </w:rPr>
              <w:t>（3）生活垃圾</w:t>
            </w:r>
          </w:p>
          <w:p>
            <w:pPr>
              <w:widowControl w:val="0"/>
              <w:ind w:firstLine="480" w:firstLineChars="200"/>
              <w:jc w:val="both"/>
              <w:rPr>
                <w:rFonts w:hint="default" w:ascii="Times New Roman" w:hAnsi="Times New Roman" w:cs="Times New Roman"/>
              </w:rPr>
            </w:pPr>
            <w:r>
              <w:rPr>
                <w:rFonts w:hint="default" w:ascii="Times New Roman" w:hAnsi="Times New Roman" w:cs="Times New Roman"/>
              </w:rPr>
              <w:t>施工期生活垃圾主要为施工人员办公生活过程的产生的垃圾，施工人员预计约30人，生活垃圾产生量按0.5kg/人·d计，预计产生量15kg/d，生活垃圾经袋装收集后，由环卫部门统一清运处理。</w:t>
            </w:r>
          </w:p>
          <w:p>
            <w:pPr>
              <w:widowControl w:val="0"/>
              <w:ind w:firstLine="482" w:firstLineChars="200"/>
              <w:jc w:val="both"/>
              <w:rPr>
                <w:rFonts w:hint="default" w:ascii="Times New Roman" w:hAnsi="Times New Roman" w:cs="Times New Roman"/>
                <w:b/>
              </w:rPr>
            </w:pPr>
            <w:r>
              <w:rPr>
                <w:rFonts w:hint="default" w:ascii="Times New Roman" w:hAnsi="Times New Roman" w:cs="Times New Roman"/>
                <w:b/>
              </w:rPr>
              <w:t>（4）废包装料</w:t>
            </w:r>
          </w:p>
          <w:p>
            <w:pPr>
              <w:widowControl w:val="0"/>
              <w:adjustRightInd w:val="0"/>
              <w:snapToGrid w:val="0"/>
              <w:ind w:firstLine="480" w:firstLineChars="200"/>
              <w:jc w:val="both"/>
              <w:rPr>
                <w:rFonts w:hint="default" w:ascii="Times New Roman" w:hAnsi="Times New Roman" w:cs="Times New Roman"/>
              </w:rPr>
            </w:pPr>
            <w:r>
              <w:rPr>
                <w:rFonts w:hint="default" w:ascii="Times New Roman" w:hAnsi="Times New Roman" w:cs="Times New Roman"/>
              </w:rPr>
              <w:t>施工期设备安装过程废包材料以塑料膜、纸板、木材等为主，预计产生量约0.5t，应分类收集后统一外售至废旧资源回收站。</w:t>
            </w:r>
          </w:p>
          <w:p>
            <w:pPr>
              <w:widowControl w:val="0"/>
              <w:adjustRightInd w:val="0"/>
              <w:snapToGrid w:val="0"/>
              <w:ind w:firstLine="480" w:firstLineChars="200"/>
              <w:jc w:val="both"/>
              <w:rPr>
                <w:rFonts w:hint="default" w:ascii="Times New Roman" w:hAnsi="Times New Roman" w:eastAsia="黑体" w:cs="Times New Roman"/>
                <w:bCs/>
              </w:rPr>
            </w:pPr>
            <w:r>
              <w:rPr>
                <w:rFonts w:hint="default" w:ascii="Times New Roman" w:hAnsi="Times New Roman" w:eastAsia="黑体" w:cs="Times New Roman"/>
                <w:bCs/>
              </w:rPr>
              <w:t>采取上述固废污染防治措施，经济可行，能确保施工期固废得到资源化处置和清洁处理，不造成二次污染，污染防治措施有效，经采取治理措施后，对外环境影响较小。</w:t>
            </w:r>
          </w:p>
          <w:p>
            <w:pPr>
              <w:pStyle w:val="18"/>
              <w:widowControl w:val="0"/>
              <w:rPr>
                <w:rFonts w:hint="default" w:ascii="Times New Roman" w:hAnsi="Times New Roman" w:cs="Times New Roman"/>
              </w:rPr>
            </w:pPr>
          </w:p>
          <w:p>
            <w:pPr>
              <w:widowControl w:val="0"/>
              <w:jc w:val="both"/>
              <w:rPr>
                <w:rFonts w:hint="default" w:ascii="Times New Roman" w:hAnsi="Times New Roman" w:cs="Times New Roman"/>
              </w:rPr>
            </w:pPr>
          </w:p>
          <w:p>
            <w:pPr>
              <w:pStyle w:val="18"/>
              <w:widowControl w:val="0"/>
              <w:rPr>
                <w:rFonts w:hint="default" w:ascii="Times New Roman" w:hAnsi="Times New Roman" w:cs="Times New Roman"/>
              </w:rPr>
            </w:pPr>
          </w:p>
          <w:p>
            <w:pPr>
              <w:widowControl w:val="0"/>
              <w:jc w:val="both"/>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dxa"/>
            <w:vAlign w:val="center"/>
          </w:tcPr>
          <w:p>
            <w:pPr>
              <w:widowControl w:val="0"/>
              <w:jc w:val="center"/>
              <w:rPr>
                <w:rFonts w:hint="default" w:ascii="Times New Roman" w:hAnsi="Times New Roman" w:cs="Times New Roman"/>
                <w:kern w:val="0"/>
                <w:szCs w:val="20"/>
              </w:rPr>
            </w:pPr>
            <w:r>
              <w:rPr>
                <w:rFonts w:hint="default" w:ascii="Times New Roman" w:hAnsi="Times New Roman" w:cs="Times New Roman"/>
                <w:kern w:val="0"/>
                <w:szCs w:val="20"/>
              </w:rPr>
              <w:t>运营期环境影响和保护措施</w:t>
            </w:r>
          </w:p>
        </w:tc>
        <w:tc>
          <w:tcPr>
            <w:tcW w:w="9320" w:type="dxa"/>
            <w:vAlign w:val="center"/>
          </w:tcPr>
          <w:p>
            <w:pPr>
              <w:widowControl w:val="0"/>
              <w:jc w:val="both"/>
              <w:rPr>
                <w:rFonts w:hint="default" w:ascii="Times New Roman" w:hAnsi="Times New Roman" w:cs="Times New Roman"/>
                <w:b/>
                <w:bCs/>
                <w:kern w:val="0"/>
                <w:szCs w:val="20"/>
              </w:rPr>
            </w:pPr>
            <w:r>
              <w:rPr>
                <w:rFonts w:hint="default" w:ascii="Times New Roman" w:hAnsi="Times New Roman" w:cs="Times New Roman"/>
                <w:b/>
                <w:bCs/>
                <w:kern w:val="0"/>
                <w:szCs w:val="20"/>
              </w:rPr>
              <w:t>4.2营运期环境影响和保护措施</w:t>
            </w:r>
          </w:p>
          <w:p>
            <w:pPr>
              <w:widowControl w:val="0"/>
              <w:ind w:firstLine="482" w:firstLineChars="200"/>
              <w:jc w:val="both"/>
              <w:rPr>
                <w:rFonts w:hint="default" w:ascii="Times New Roman" w:hAnsi="Times New Roman" w:cs="Times New Roman"/>
                <w:b/>
              </w:rPr>
            </w:pPr>
            <w:r>
              <w:rPr>
                <w:rFonts w:hint="default" w:ascii="Times New Roman" w:hAnsi="Times New Roman" w:cs="Times New Roman"/>
                <w:b/>
              </w:rPr>
              <w:t>本项目营运期污水管网不会产生污染物，主要的污染物为污水处理厂产生的废气、废水、噪声和固废。</w:t>
            </w:r>
          </w:p>
          <w:p>
            <w:pPr>
              <w:widowControl/>
              <w:ind w:firstLine="482" w:firstLineChars="200"/>
              <w:jc w:val="left"/>
              <w:rPr>
                <w:rFonts w:hint="default" w:ascii="Times New Roman" w:hAnsi="Times New Roman" w:cs="Times New Roman"/>
                <w:b/>
                <w:bCs/>
                <w:kern w:val="0"/>
                <w:szCs w:val="20"/>
              </w:rPr>
            </w:pPr>
            <w:r>
              <w:rPr>
                <w:rFonts w:hint="default" w:ascii="Times New Roman" w:hAnsi="Times New Roman" w:cs="Times New Roman"/>
                <w:b/>
                <w:bCs/>
                <w:kern w:val="0"/>
                <w:szCs w:val="20"/>
              </w:rPr>
              <w:t>4.2.1废气</w:t>
            </w:r>
          </w:p>
          <w:p>
            <w:pPr>
              <w:widowControl w:val="0"/>
              <w:ind w:firstLine="482" w:firstLineChars="200"/>
              <w:jc w:val="both"/>
              <w:rPr>
                <w:rFonts w:hint="default" w:ascii="Times New Roman" w:hAnsi="Times New Roman" w:cs="Times New Roman"/>
                <w:b/>
                <w:kern w:val="0"/>
                <w:szCs w:val="20"/>
              </w:rPr>
            </w:pPr>
            <w:r>
              <w:rPr>
                <w:rFonts w:hint="default" w:ascii="Times New Roman" w:hAnsi="Times New Roman" w:cs="Times New Roman"/>
                <w:b/>
                <w:kern w:val="0"/>
                <w:szCs w:val="20"/>
              </w:rPr>
              <w:t>1、污染物产排污分析</w:t>
            </w:r>
          </w:p>
          <w:p>
            <w:pPr>
              <w:widowControl w:val="0"/>
              <w:ind w:firstLine="480" w:firstLineChars="200"/>
              <w:jc w:val="both"/>
              <w:rPr>
                <w:rFonts w:hint="default" w:ascii="Times New Roman" w:hAnsi="Times New Roman" w:cs="Times New Roman"/>
                <w:bCs/>
                <w:kern w:val="0"/>
                <w:szCs w:val="20"/>
              </w:rPr>
            </w:pPr>
            <w:r>
              <w:rPr>
                <w:rFonts w:hint="default" w:ascii="Times New Roman" w:hAnsi="Times New Roman" w:cs="Times New Roman"/>
                <w:bCs/>
                <w:kern w:val="0"/>
                <w:szCs w:val="20"/>
              </w:rPr>
              <w:t>本项目运营期间产生的大气污染物主要为食堂油烟、少量的汽车尾气以及预处理区、生化处理区、污泥处理区产生的恶臭。</w:t>
            </w:r>
          </w:p>
          <w:p>
            <w:pPr>
              <w:widowControl w:val="0"/>
              <w:ind w:firstLine="482" w:firstLineChars="200"/>
              <w:jc w:val="both"/>
              <w:rPr>
                <w:rFonts w:hint="default" w:ascii="Times New Roman" w:hAnsi="Times New Roman" w:cs="Times New Roman"/>
                <w:b/>
                <w:kern w:val="0"/>
                <w:szCs w:val="20"/>
              </w:rPr>
            </w:pPr>
            <w:r>
              <w:rPr>
                <w:rFonts w:hint="default" w:ascii="Times New Roman" w:hAnsi="Times New Roman" w:cs="Times New Roman"/>
                <w:b/>
                <w:kern w:val="0"/>
                <w:szCs w:val="20"/>
              </w:rPr>
              <w:t>1）食堂油烟</w:t>
            </w:r>
          </w:p>
          <w:p>
            <w:pPr>
              <w:widowControl/>
              <w:ind w:firstLine="482" w:firstLineChars="200"/>
              <w:jc w:val="left"/>
              <w:rPr>
                <w:rFonts w:hint="default" w:ascii="Times New Roman" w:hAnsi="Times New Roman" w:cs="Times New Roman"/>
                <w:b/>
                <w:kern w:val="0"/>
                <w:szCs w:val="20"/>
              </w:rPr>
            </w:pPr>
            <w:r>
              <w:rPr>
                <w:rFonts w:hint="default" w:ascii="Times New Roman" w:hAnsi="Times New Roman" w:eastAsia="宋体" w:cs="Times New Roman"/>
                <w:b/>
                <w:kern w:val="0"/>
                <w:szCs w:val="20"/>
              </w:rPr>
              <w:t>①</w:t>
            </w:r>
            <w:r>
              <w:rPr>
                <w:rFonts w:hint="default" w:ascii="Times New Roman" w:hAnsi="Times New Roman" w:cs="Times New Roman"/>
                <w:b/>
                <w:kern w:val="0"/>
                <w:szCs w:val="20"/>
              </w:rPr>
              <w:t>产污量分析</w:t>
            </w:r>
          </w:p>
          <w:p>
            <w:pPr>
              <w:widowControl w:val="0"/>
              <w:ind w:firstLine="480" w:firstLineChars="200"/>
              <w:jc w:val="both"/>
              <w:rPr>
                <w:rFonts w:hint="default" w:ascii="Times New Roman" w:hAnsi="Times New Roman" w:cs="Times New Roman"/>
              </w:rPr>
            </w:pPr>
            <w:r>
              <w:rPr>
                <w:rFonts w:hint="default" w:ascii="Times New Roman" w:hAnsi="Times New Roman" w:cs="Times New Roman"/>
              </w:rPr>
              <w:t>本项目在综合楼内设置一处职工食堂，食堂使用电、天然气作为能源。项目厂区食堂日用餐人数为10人，食堂人均用食用油以50g 计，则食用油使用量为0.5kg/d。在烹饪过程中，不同烹调工艺油产生量有所不同，根据类比调查，烹饪过程油的挥发损失率约 2%~3.5%，取最高值3.5%，则项目油烟产生量为6.39kg/a。</w:t>
            </w:r>
          </w:p>
          <w:p>
            <w:pPr>
              <w:pStyle w:val="161"/>
              <w:numPr>
                <w:ilvl w:val="0"/>
                <w:numId w:val="7"/>
              </w:numPr>
              <w:spacing w:before="163" w:beforeLines="50"/>
              <w:ind w:firstLineChars="0"/>
              <w:jc w:val="center"/>
              <w:rPr>
                <w:rFonts w:hint="default" w:ascii="Times New Roman" w:hAnsi="Times New Roman" w:eastAsia="黑体" w:cs="Times New Roman"/>
                <w:bCs/>
                <w:szCs w:val="21"/>
              </w:rPr>
            </w:pPr>
            <w:r>
              <w:rPr>
                <w:rFonts w:hint="default" w:ascii="Times New Roman" w:hAnsi="Times New Roman" w:eastAsia="黑体" w:cs="Times New Roman"/>
                <w:bCs/>
                <w:szCs w:val="21"/>
              </w:rPr>
              <w:t>食堂油烟产排污情况表</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28" w:type="dxa"/>
                <w:bottom w:w="28" w:type="dxa"/>
                <w:right w:w="28" w:type="dxa"/>
              </w:tblCellMar>
            </w:tblPr>
            <w:tblGrid>
              <w:gridCol w:w="435"/>
              <w:gridCol w:w="491"/>
              <w:gridCol w:w="444"/>
              <w:gridCol w:w="525"/>
              <w:gridCol w:w="598"/>
              <w:gridCol w:w="577"/>
              <w:gridCol w:w="583"/>
              <w:gridCol w:w="552"/>
              <w:gridCol w:w="474"/>
              <w:gridCol w:w="433"/>
              <w:gridCol w:w="433"/>
              <w:gridCol w:w="425"/>
              <w:gridCol w:w="517"/>
              <w:gridCol w:w="577"/>
              <w:gridCol w:w="583"/>
              <w:gridCol w:w="645"/>
              <w:gridCol w:w="7"/>
              <w:gridCol w:w="493"/>
              <w:gridCol w:w="13"/>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98" w:hRule="atLeast"/>
                <w:jc w:val="center"/>
              </w:trPr>
              <w:tc>
                <w:tcPr>
                  <w:tcW w:w="234" w:type="pct"/>
                  <w:vMerge w:val="restar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序号</w:t>
                  </w:r>
                </w:p>
              </w:tc>
              <w:tc>
                <w:tcPr>
                  <w:tcW w:w="264" w:type="pct"/>
                  <w:vMerge w:val="restart"/>
                  <w:shd w:val="clear" w:color="auto" w:fill="auto"/>
                  <w:vAlign w:val="center"/>
                </w:tcPr>
                <w:p>
                  <w:pPr>
                    <w:spacing w:line="240" w:lineRule="exact"/>
                    <w:jc w:val="center"/>
                    <w:textAlignment w:val="center"/>
                    <w:rPr>
                      <w:rFonts w:hint="default" w:ascii="Times New Roman" w:hAnsi="Times New Roman" w:cs="Times New Roman"/>
                      <w:b/>
                      <w:bCs/>
                      <w:kern w:val="0"/>
                      <w:sz w:val="18"/>
                      <w:szCs w:val="18"/>
                    </w:rPr>
                  </w:pPr>
                  <w:r>
                    <w:rPr>
                      <w:rFonts w:hint="default" w:ascii="Times New Roman" w:hAnsi="Times New Roman" w:cs="Times New Roman"/>
                      <w:b/>
                      <w:bCs/>
                      <w:kern w:val="0"/>
                      <w:sz w:val="18"/>
                      <w:szCs w:val="18"/>
                    </w:rPr>
                    <w:t>产污</w:t>
                  </w:r>
                </w:p>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环节</w:t>
                  </w:r>
                </w:p>
              </w:tc>
              <w:tc>
                <w:tcPr>
                  <w:tcW w:w="239" w:type="pct"/>
                  <w:vMerge w:val="restar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污染物种类</w:t>
                  </w:r>
                </w:p>
              </w:tc>
              <w:tc>
                <w:tcPr>
                  <w:tcW w:w="1226" w:type="pct"/>
                  <w:gridSpan w:val="4"/>
                  <w:vMerge w:val="restart"/>
                  <w:shd w:val="clear" w:color="auto" w:fill="auto"/>
                  <w:noWrap/>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污染物产生情况</w:t>
                  </w:r>
                </w:p>
              </w:tc>
              <w:tc>
                <w:tcPr>
                  <w:tcW w:w="1234" w:type="pct"/>
                  <w:gridSpan w:val="5"/>
                  <w:vMerge w:val="restar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污染治理设施情况</w:t>
                  </w:r>
                </w:p>
              </w:tc>
              <w:tc>
                <w:tcPr>
                  <w:tcW w:w="1222" w:type="pct"/>
                  <w:gridSpan w:val="5"/>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有组织排放情况</w:t>
                  </w:r>
                </w:p>
              </w:tc>
              <w:tc>
                <w:tcPr>
                  <w:tcW w:w="578" w:type="pct"/>
                  <w:gridSpan w:val="3"/>
                  <w:vMerge w:val="restar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无组织排放情况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98" w:hRule="atLeast"/>
                <w:jc w:val="center"/>
              </w:trPr>
              <w:tc>
                <w:tcPr>
                  <w:tcW w:w="234" w:type="pct"/>
                  <w:vMerge w:val="continue"/>
                  <w:shd w:val="clear" w:color="auto" w:fill="auto"/>
                  <w:vAlign w:val="center"/>
                </w:tcPr>
                <w:p>
                  <w:pPr>
                    <w:spacing w:line="240" w:lineRule="exact"/>
                    <w:jc w:val="center"/>
                    <w:rPr>
                      <w:rFonts w:hint="default" w:ascii="Times New Roman" w:hAnsi="Times New Roman" w:cs="Times New Roman"/>
                      <w:b/>
                      <w:bCs/>
                      <w:sz w:val="18"/>
                      <w:szCs w:val="18"/>
                    </w:rPr>
                  </w:pPr>
                </w:p>
              </w:tc>
              <w:tc>
                <w:tcPr>
                  <w:tcW w:w="264" w:type="pct"/>
                  <w:vMerge w:val="continue"/>
                  <w:shd w:val="clear" w:color="auto" w:fill="auto"/>
                  <w:vAlign w:val="center"/>
                </w:tcPr>
                <w:p>
                  <w:pPr>
                    <w:spacing w:line="240" w:lineRule="exact"/>
                    <w:jc w:val="center"/>
                    <w:rPr>
                      <w:rFonts w:hint="default" w:ascii="Times New Roman" w:hAnsi="Times New Roman" w:cs="Times New Roman"/>
                      <w:b/>
                      <w:bCs/>
                      <w:sz w:val="18"/>
                      <w:szCs w:val="18"/>
                    </w:rPr>
                  </w:pPr>
                </w:p>
              </w:tc>
              <w:tc>
                <w:tcPr>
                  <w:tcW w:w="239" w:type="pct"/>
                  <w:vMerge w:val="continue"/>
                  <w:shd w:val="clear" w:color="auto" w:fill="auto"/>
                  <w:vAlign w:val="center"/>
                </w:tcPr>
                <w:p>
                  <w:pPr>
                    <w:spacing w:line="240" w:lineRule="exact"/>
                    <w:jc w:val="center"/>
                    <w:rPr>
                      <w:rFonts w:hint="default" w:ascii="Times New Roman" w:hAnsi="Times New Roman" w:cs="Times New Roman"/>
                      <w:b/>
                      <w:bCs/>
                      <w:sz w:val="18"/>
                      <w:szCs w:val="18"/>
                    </w:rPr>
                  </w:pPr>
                </w:p>
              </w:tc>
              <w:tc>
                <w:tcPr>
                  <w:tcW w:w="1226" w:type="pct"/>
                  <w:gridSpan w:val="4"/>
                  <w:vMerge w:val="continue"/>
                  <w:shd w:val="clear" w:color="auto" w:fill="auto"/>
                  <w:noWrap/>
                  <w:vAlign w:val="center"/>
                </w:tcPr>
                <w:p>
                  <w:pPr>
                    <w:spacing w:line="240" w:lineRule="exact"/>
                    <w:jc w:val="center"/>
                    <w:rPr>
                      <w:rFonts w:hint="default" w:ascii="Times New Roman" w:hAnsi="Times New Roman" w:cs="Times New Roman"/>
                      <w:b/>
                      <w:bCs/>
                      <w:sz w:val="18"/>
                      <w:szCs w:val="18"/>
                    </w:rPr>
                  </w:pPr>
                </w:p>
              </w:tc>
              <w:tc>
                <w:tcPr>
                  <w:tcW w:w="1234" w:type="pct"/>
                  <w:gridSpan w:val="5"/>
                  <w:vMerge w:val="continue"/>
                  <w:shd w:val="clear" w:color="auto" w:fill="auto"/>
                  <w:vAlign w:val="center"/>
                </w:tcPr>
                <w:p>
                  <w:pPr>
                    <w:spacing w:line="240" w:lineRule="exact"/>
                    <w:jc w:val="center"/>
                    <w:rPr>
                      <w:rFonts w:hint="default" w:ascii="Times New Roman" w:hAnsi="Times New Roman" w:cs="Times New Roman"/>
                      <w:b/>
                      <w:bCs/>
                      <w:sz w:val="18"/>
                      <w:szCs w:val="18"/>
                    </w:rPr>
                  </w:pPr>
                </w:p>
              </w:tc>
              <w:tc>
                <w:tcPr>
                  <w:tcW w:w="901" w:type="pct"/>
                  <w:gridSpan w:val="3"/>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污染物排放量</w:t>
                  </w:r>
                </w:p>
              </w:tc>
              <w:tc>
                <w:tcPr>
                  <w:tcW w:w="320" w:type="pct"/>
                  <w:gridSpan w:val="2"/>
                  <w:vMerge w:val="restar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对应的排气筒编号</w:t>
                  </w:r>
                </w:p>
              </w:tc>
              <w:tc>
                <w:tcPr>
                  <w:tcW w:w="578" w:type="pct"/>
                  <w:gridSpan w:val="3"/>
                  <w:vMerge w:val="continue"/>
                  <w:shd w:val="clear" w:color="auto" w:fill="auto"/>
                  <w:vAlign w:val="center"/>
                </w:tcPr>
                <w:p>
                  <w:pPr>
                    <w:spacing w:line="240" w:lineRule="exact"/>
                    <w:jc w:val="center"/>
                    <w:rPr>
                      <w:rFonts w:hint="default" w:ascii="Times New Roman" w:hAnsi="Times New Roman" w:cs="Times New Roman"/>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344" w:hRule="atLeast"/>
                <w:jc w:val="center"/>
              </w:trPr>
              <w:tc>
                <w:tcPr>
                  <w:tcW w:w="234" w:type="pct"/>
                  <w:vMerge w:val="continue"/>
                  <w:shd w:val="clear" w:color="auto" w:fill="auto"/>
                  <w:vAlign w:val="center"/>
                </w:tcPr>
                <w:p>
                  <w:pPr>
                    <w:spacing w:line="240" w:lineRule="exact"/>
                    <w:jc w:val="center"/>
                    <w:rPr>
                      <w:rFonts w:hint="default" w:ascii="Times New Roman" w:hAnsi="Times New Roman" w:cs="Times New Roman"/>
                      <w:b/>
                      <w:bCs/>
                      <w:sz w:val="18"/>
                      <w:szCs w:val="18"/>
                    </w:rPr>
                  </w:pPr>
                </w:p>
              </w:tc>
              <w:tc>
                <w:tcPr>
                  <w:tcW w:w="264" w:type="pct"/>
                  <w:vMerge w:val="continue"/>
                  <w:shd w:val="clear" w:color="auto" w:fill="auto"/>
                  <w:vAlign w:val="center"/>
                </w:tcPr>
                <w:p>
                  <w:pPr>
                    <w:spacing w:line="240" w:lineRule="exact"/>
                    <w:jc w:val="center"/>
                    <w:rPr>
                      <w:rFonts w:hint="default" w:ascii="Times New Roman" w:hAnsi="Times New Roman" w:cs="Times New Roman"/>
                      <w:b/>
                      <w:bCs/>
                      <w:sz w:val="18"/>
                      <w:szCs w:val="18"/>
                    </w:rPr>
                  </w:pPr>
                </w:p>
              </w:tc>
              <w:tc>
                <w:tcPr>
                  <w:tcW w:w="239" w:type="pct"/>
                  <w:vMerge w:val="continue"/>
                  <w:shd w:val="clear" w:color="auto" w:fill="auto"/>
                  <w:vAlign w:val="center"/>
                </w:tcPr>
                <w:p>
                  <w:pPr>
                    <w:spacing w:line="240" w:lineRule="exact"/>
                    <w:jc w:val="center"/>
                    <w:rPr>
                      <w:rFonts w:hint="default" w:ascii="Times New Roman" w:hAnsi="Times New Roman" w:cs="Times New Roman"/>
                      <w:b/>
                      <w:bCs/>
                      <w:sz w:val="18"/>
                      <w:szCs w:val="18"/>
                    </w:rPr>
                  </w:pPr>
                </w:p>
              </w:tc>
              <w:tc>
                <w:tcPr>
                  <w:tcW w:w="282" w:type="pct"/>
                  <w:shd w:val="clear" w:color="auto" w:fill="auto"/>
                  <w:vAlign w:val="center"/>
                </w:tcPr>
                <w:p>
                  <w:pPr>
                    <w:spacing w:line="240" w:lineRule="exact"/>
                    <w:jc w:val="center"/>
                    <w:textAlignment w:val="center"/>
                    <w:rPr>
                      <w:rFonts w:hint="default" w:ascii="Times New Roman" w:hAnsi="Times New Roman" w:cs="Times New Roman"/>
                      <w:b/>
                      <w:bCs/>
                      <w:kern w:val="0"/>
                      <w:sz w:val="18"/>
                      <w:szCs w:val="18"/>
                    </w:rPr>
                  </w:pPr>
                  <w:r>
                    <w:rPr>
                      <w:rFonts w:hint="default" w:ascii="Times New Roman" w:hAnsi="Times New Roman" w:cs="Times New Roman"/>
                      <w:b/>
                      <w:bCs/>
                      <w:kern w:val="0"/>
                      <w:sz w:val="18"/>
                      <w:szCs w:val="18"/>
                    </w:rPr>
                    <w:t>产生量</w:t>
                  </w:r>
                </w:p>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kg/a</w:t>
                  </w:r>
                </w:p>
              </w:tc>
              <w:tc>
                <w:tcPr>
                  <w:tcW w:w="321" w:type="pc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废气量m</w:t>
                  </w:r>
                  <w:r>
                    <w:rPr>
                      <w:rFonts w:hint="default" w:ascii="Times New Roman" w:hAnsi="Times New Roman" w:cs="Times New Roman"/>
                      <w:b/>
                      <w:bCs/>
                      <w:kern w:val="0"/>
                      <w:sz w:val="18"/>
                      <w:szCs w:val="18"/>
                      <w:vertAlign w:val="superscript"/>
                    </w:rPr>
                    <w:t>3</w:t>
                  </w:r>
                  <w:r>
                    <w:rPr>
                      <w:rFonts w:hint="default" w:ascii="Times New Roman" w:hAnsi="Times New Roman" w:cs="Times New Roman"/>
                      <w:b/>
                      <w:bCs/>
                      <w:kern w:val="0"/>
                      <w:sz w:val="18"/>
                      <w:szCs w:val="18"/>
                    </w:rPr>
                    <w:t>/h</w:t>
                  </w:r>
                </w:p>
              </w:tc>
              <w:tc>
                <w:tcPr>
                  <w:tcW w:w="310" w:type="pc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产生速率kg/h</w:t>
                  </w:r>
                </w:p>
              </w:tc>
              <w:tc>
                <w:tcPr>
                  <w:tcW w:w="312" w:type="pc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产生浓度mg/m</w:t>
                  </w:r>
                  <w:r>
                    <w:rPr>
                      <w:rFonts w:hint="default" w:ascii="Times New Roman" w:hAnsi="Times New Roman" w:cs="Times New Roman"/>
                      <w:b/>
                      <w:bCs/>
                      <w:kern w:val="0"/>
                      <w:sz w:val="18"/>
                      <w:szCs w:val="18"/>
                      <w:vertAlign w:val="superscript"/>
                    </w:rPr>
                    <w:t>3</w:t>
                  </w:r>
                </w:p>
              </w:tc>
              <w:tc>
                <w:tcPr>
                  <w:tcW w:w="284" w:type="pc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工艺</w:t>
                  </w:r>
                </w:p>
              </w:tc>
              <w:tc>
                <w:tcPr>
                  <w:tcW w:w="255" w:type="pc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处理能力m</w:t>
                  </w:r>
                  <w:r>
                    <w:rPr>
                      <w:rFonts w:hint="default" w:ascii="Times New Roman" w:hAnsi="Times New Roman" w:cs="Times New Roman"/>
                      <w:b/>
                      <w:bCs/>
                      <w:kern w:val="0"/>
                      <w:sz w:val="18"/>
                      <w:szCs w:val="18"/>
                      <w:vertAlign w:val="superscript"/>
                    </w:rPr>
                    <w:t>3</w:t>
                  </w:r>
                  <w:r>
                    <w:rPr>
                      <w:rFonts w:hint="default" w:ascii="Times New Roman" w:hAnsi="Times New Roman" w:cs="Times New Roman"/>
                      <w:b/>
                      <w:bCs/>
                      <w:kern w:val="0"/>
                      <w:sz w:val="18"/>
                      <w:szCs w:val="18"/>
                    </w:rPr>
                    <w:t>/h</w:t>
                  </w:r>
                </w:p>
              </w:tc>
              <w:tc>
                <w:tcPr>
                  <w:tcW w:w="233" w:type="pc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收集率%</w:t>
                  </w:r>
                </w:p>
              </w:tc>
              <w:tc>
                <w:tcPr>
                  <w:tcW w:w="233" w:type="pc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去除率%</w:t>
                  </w:r>
                </w:p>
              </w:tc>
              <w:tc>
                <w:tcPr>
                  <w:tcW w:w="227" w:type="pc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运行时间h/a</w:t>
                  </w:r>
                </w:p>
              </w:tc>
              <w:tc>
                <w:tcPr>
                  <w:tcW w:w="278" w:type="pc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年排放量kg/a</w:t>
                  </w:r>
                </w:p>
              </w:tc>
              <w:tc>
                <w:tcPr>
                  <w:tcW w:w="310" w:type="pc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排放速率kg/h</w:t>
                  </w:r>
                </w:p>
              </w:tc>
              <w:tc>
                <w:tcPr>
                  <w:tcW w:w="312" w:type="pc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排放浓度mg/m</w:t>
                  </w:r>
                  <w:r>
                    <w:rPr>
                      <w:rFonts w:hint="default" w:ascii="Times New Roman" w:hAnsi="Times New Roman" w:cs="Times New Roman"/>
                      <w:b/>
                      <w:bCs/>
                      <w:kern w:val="0"/>
                      <w:sz w:val="18"/>
                      <w:szCs w:val="18"/>
                      <w:vertAlign w:val="superscript"/>
                    </w:rPr>
                    <w:t>3</w:t>
                  </w:r>
                </w:p>
              </w:tc>
              <w:tc>
                <w:tcPr>
                  <w:tcW w:w="320" w:type="pct"/>
                  <w:gridSpan w:val="2"/>
                  <w:vMerge w:val="continue"/>
                  <w:shd w:val="clear" w:color="auto" w:fill="auto"/>
                  <w:vAlign w:val="center"/>
                </w:tcPr>
                <w:p>
                  <w:pPr>
                    <w:spacing w:line="240" w:lineRule="exact"/>
                    <w:jc w:val="center"/>
                    <w:rPr>
                      <w:rFonts w:hint="default" w:ascii="Times New Roman" w:hAnsi="Times New Roman" w:cs="Times New Roman"/>
                      <w:b/>
                      <w:bCs/>
                      <w:sz w:val="18"/>
                      <w:szCs w:val="18"/>
                    </w:rPr>
                  </w:pPr>
                </w:p>
              </w:tc>
              <w:tc>
                <w:tcPr>
                  <w:tcW w:w="274" w:type="pct"/>
                  <w:gridSpan w:val="2"/>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年排放量kg/a</w:t>
                  </w:r>
                </w:p>
              </w:tc>
              <w:tc>
                <w:tcPr>
                  <w:tcW w:w="304" w:type="pct"/>
                  <w:shd w:val="clear" w:color="auto" w:fill="auto"/>
                  <w:vAlign w:val="center"/>
                </w:tcPr>
                <w:p>
                  <w:pPr>
                    <w:spacing w:line="240" w:lineRule="exact"/>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小时排放速率kg/h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1123" w:hRule="atLeast"/>
                <w:jc w:val="center"/>
              </w:trPr>
              <w:tc>
                <w:tcPr>
                  <w:tcW w:w="234" w:type="pct"/>
                  <w:shd w:val="clear" w:color="auto" w:fill="auto"/>
                  <w:vAlign w:val="center"/>
                </w:tcPr>
                <w:p>
                  <w:pPr>
                    <w:spacing w:line="240" w:lineRule="exact"/>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rPr>
                    <w:t>1</w:t>
                  </w:r>
                </w:p>
              </w:tc>
              <w:tc>
                <w:tcPr>
                  <w:tcW w:w="264" w:type="pct"/>
                  <w:shd w:val="clear" w:color="auto" w:fill="auto"/>
                  <w:vAlign w:val="center"/>
                </w:tcPr>
                <w:p>
                  <w:pPr>
                    <w:spacing w:line="240" w:lineRule="exact"/>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食堂</w:t>
                  </w:r>
                </w:p>
              </w:tc>
              <w:tc>
                <w:tcPr>
                  <w:tcW w:w="239" w:type="pct"/>
                  <w:shd w:val="clear" w:color="auto" w:fill="auto"/>
                  <w:vAlign w:val="center"/>
                </w:tcPr>
                <w:p>
                  <w:pPr>
                    <w:spacing w:line="240" w:lineRule="exact"/>
                    <w:jc w:val="center"/>
                    <w:textAlignment w:val="center"/>
                    <w:rPr>
                      <w:rFonts w:hint="default" w:ascii="Times New Roman" w:hAnsi="Times New Roman" w:cs="Times New Roman"/>
                      <w:sz w:val="18"/>
                      <w:szCs w:val="18"/>
                    </w:rPr>
                  </w:pPr>
                  <w:r>
                    <w:rPr>
                      <w:rFonts w:hint="default" w:ascii="Times New Roman" w:hAnsi="Times New Roman" w:cs="Times New Roman"/>
                      <w:kern w:val="0"/>
                      <w:sz w:val="18"/>
                      <w:szCs w:val="18"/>
                    </w:rPr>
                    <w:t>油烟</w:t>
                  </w:r>
                </w:p>
              </w:tc>
              <w:tc>
                <w:tcPr>
                  <w:tcW w:w="282" w:type="pct"/>
                  <w:shd w:val="clear" w:color="auto" w:fill="auto"/>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20"/>
                      <w:szCs w:val="20"/>
                    </w:rPr>
                    <w:t xml:space="preserve">6.39 </w:t>
                  </w:r>
                </w:p>
              </w:tc>
              <w:tc>
                <w:tcPr>
                  <w:tcW w:w="321" w:type="pct"/>
                  <w:shd w:val="clear" w:color="auto" w:fill="auto"/>
                  <w:noWrap/>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20"/>
                      <w:szCs w:val="20"/>
                    </w:rPr>
                    <w:t>2000</w:t>
                  </w:r>
                </w:p>
              </w:tc>
              <w:tc>
                <w:tcPr>
                  <w:tcW w:w="310" w:type="pct"/>
                  <w:shd w:val="clear" w:color="auto" w:fill="auto"/>
                  <w:noWrap/>
                  <w:vAlign w:val="center"/>
                </w:tcPr>
                <w:p>
                  <w:pPr>
                    <w:spacing w:line="240" w:lineRule="exact"/>
                    <w:jc w:val="right"/>
                    <w:rPr>
                      <w:rFonts w:hint="default" w:ascii="Times New Roman" w:hAnsi="Times New Roman" w:eastAsia="黑体" w:cs="Times New Roman"/>
                      <w:sz w:val="18"/>
                      <w:szCs w:val="18"/>
                    </w:rPr>
                  </w:pPr>
                  <w:r>
                    <w:rPr>
                      <w:rFonts w:hint="default" w:ascii="Times New Roman" w:hAnsi="Times New Roman" w:eastAsia="黑体" w:cs="Times New Roman"/>
                      <w:sz w:val="20"/>
                      <w:szCs w:val="20"/>
                    </w:rPr>
                    <w:t xml:space="preserve">0.009 </w:t>
                  </w:r>
                </w:p>
              </w:tc>
              <w:tc>
                <w:tcPr>
                  <w:tcW w:w="312" w:type="pct"/>
                  <w:shd w:val="clear" w:color="auto" w:fill="auto"/>
                  <w:noWrap/>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20"/>
                      <w:szCs w:val="20"/>
                    </w:rPr>
                    <w:t xml:space="preserve">4.4 </w:t>
                  </w:r>
                </w:p>
              </w:tc>
              <w:tc>
                <w:tcPr>
                  <w:tcW w:w="284" w:type="pct"/>
                  <w:shd w:val="clear" w:color="auto" w:fill="auto"/>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18"/>
                      <w:szCs w:val="18"/>
                    </w:rPr>
                    <w:t>油烟处理器TA003</w:t>
                  </w:r>
                </w:p>
              </w:tc>
              <w:tc>
                <w:tcPr>
                  <w:tcW w:w="255" w:type="pct"/>
                  <w:shd w:val="clear" w:color="auto" w:fill="auto"/>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20"/>
                      <w:szCs w:val="20"/>
                    </w:rPr>
                    <w:t>2000</w:t>
                  </w:r>
                </w:p>
              </w:tc>
              <w:tc>
                <w:tcPr>
                  <w:tcW w:w="233" w:type="pct"/>
                  <w:shd w:val="clear" w:color="auto" w:fill="auto"/>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20"/>
                      <w:szCs w:val="20"/>
                    </w:rPr>
                    <w:t>70%</w:t>
                  </w:r>
                </w:p>
              </w:tc>
              <w:tc>
                <w:tcPr>
                  <w:tcW w:w="233" w:type="pct"/>
                  <w:shd w:val="clear" w:color="auto" w:fill="auto"/>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20"/>
                      <w:szCs w:val="20"/>
                    </w:rPr>
                    <w:t>70%</w:t>
                  </w:r>
                </w:p>
              </w:tc>
              <w:tc>
                <w:tcPr>
                  <w:tcW w:w="227" w:type="pct"/>
                  <w:shd w:val="clear" w:color="auto" w:fill="auto"/>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20"/>
                      <w:szCs w:val="20"/>
                    </w:rPr>
                    <w:t>730</w:t>
                  </w:r>
                </w:p>
              </w:tc>
              <w:tc>
                <w:tcPr>
                  <w:tcW w:w="278" w:type="pct"/>
                  <w:shd w:val="clear" w:color="auto" w:fill="auto"/>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20"/>
                      <w:szCs w:val="20"/>
                    </w:rPr>
                    <w:t xml:space="preserve">1.34 </w:t>
                  </w:r>
                </w:p>
              </w:tc>
              <w:tc>
                <w:tcPr>
                  <w:tcW w:w="310" w:type="pct"/>
                  <w:shd w:val="clear" w:color="auto" w:fill="auto"/>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20"/>
                      <w:szCs w:val="20"/>
                    </w:rPr>
                    <w:t xml:space="preserve">0.002 </w:t>
                  </w:r>
                </w:p>
              </w:tc>
              <w:tc>
                <w:tcPr>
                  <w:tcW w:w="312" w:type="pct"/>
                  <w:shd w:val="clear" w:color="auto" w:fill="auto"/>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20"/>
                      <w:szCs w:val="20"/>
                    </w:rPr>
                    <w:t xml:space="preserve">0.9 </w:t>
                  </w:r>
                </w:p>
              </w:tc>
              <w:tc>
                <w:tcPr>
                  <w:tcW w:w="316" w:type="pct"/>
                  <w:shd w:val="clear" w:color="auto" w:fill="auto"/>
                  <w:noWrap/>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20"/>
                      <w:szCs w:val="20"/>
                    </w:rPr>
                    <w:t>DA003</w:t>
                  </w:r>
                </w:p>
              </w:tc>
              <w:tc>
                <w:tcPr>
                  <w:tcW w:w="271" w:type="pct"/>
                  <w:gridSpan w:val="2"/>
                  <w:shd w:val="clear" w:color="auto" w:fill="auto"/>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20"/>
                      <w:szCs w:val="20"/>
                    </w:rPr>
                    <w:t xml:space="preserve">1.92 </w:t>
                  </w:r>
                </w:p>
              </w:tc>
              <w:tc>
                <w:tcPr>
                  <w:tcW w:w="312" w:type="pct"/>
                  <w:gridSpan w:val="2"/>
                  <w:shd w:val="clear" w:color="auto" w:fill="auto"/>
                  <w:vAlign w:val="center"/>
                </w:tcPr>
                <w:p>
                  <w:pPr>
                    <w:spacing w:line="240" w:lineRule="exact"/>
                    <w:jc w:val="center"/>
                    <w:rPr>
                      <w:rFonts w:hint="default" w:ascii="Times New Roman" w:hAnsi="Times New Roman" w:eastAsia="黑体" w:cs="Times New Roman"/>
                      <w:sz w:val="18"/>
                      <w:szCs w:val="18"/>
                    </w:rPr>
                  </w:pPr>
                  <w:r>
                    <w:rPr>
                      <w:rFonts w:hint="default" w:ascii="Times New Roman" w:hAnsi="Times New Roman" w:eastAsia="黑体" w:cs="Times New Roman"/>
                      <w:sz w:val="20"/>
                      <w:szCs w:val="20"/>
                    </w:rPr>
                    <w:t xml:space="preserve">0.003 </w:t>
                  </w:r>
                </w:p>
              </w:tc>
            </w:tr>
          </w:tbl>
          <w:p>
            <w:pPr>
              <w:widowControl w:val="0"/>
              <w:ind w:firstLine="482" w:firstLineChars="200"/>
              <w:jc w:val="both"/>
              <w:rPr>
                <w:rFonts w:hint="default" w:ascii="Times New Roman" w:hAnsi="Times New Roman" w:cs="Times New Roman"/>
                <w:b/>
              </w:rPr>
            </w:pPr>
            <w:r>
              <w:rPr>
                <w:rFonts w:hint="default" w:ascii="Times New Roman" w:hAnsi="Times New Roman" w:cs="Times New Roman"/>
                <w:b/>
              </w:rPr>
              <w:t>②</w:t>
            </w:r>
            <w:r>
              <w:rPr>
                <w:rFonts w:hint="default" w:ascii="Times New Roman" w:hAnsi="Times New Roman" w:cs="Times New Roman"/>
                <w:b/>
                <w:bCs/>
              </w:rPr>
              <w:t>治理措施</w:t>
            </w:r>
          </w:p>
          <w:p>
            <w:pPr>
              <w:widowControl w:val="0"/>
              <w:ind w:firstLine="540"/>
              <w:jc w:val="both"/>
              <w:rPr>
                <w:rFonts w:hint="default" w:ascii="Times New Roman" w:hAnsi="Times New Roman" w:cs="Times New Roman"/>
              </w:rPr>
            </w:pPr>
            <w:r>
              <w:rPr>
                <w:rFonts w:hint="default" w:ascii="Times New Roman" w:hAnsi="Times New Roman" w:cs="Times New Roman"/>
              </w:rPr>
              <w:t>项目设置的餐厅厨房应规范设置，并按照《饮食业油烟排放标准（试行）》（GB18483-2001）规定要求在餐饮油烟产生处安装1套油烟净化器处理，并由专用烟道引至屋面楼顶排放。</w:t>
            </w:r>
          </w:p>
          <w:p>
            <w:pPr>
              <w:widowControl w:val="0"/>
              <w:ind w:firstLine="540"/>
              <w:jc w:val="both"/>
              <w:rPr>
                <w:rFonts w:hint="default" w:ascii="Times New Roman" w:hAnsi="Times New Roman" w:cs="Times New Roman"/>
              </w:rPr>
            </w:pPr>
            <w:r>
              <w:rPr>
                <w:rFonts w:hint="default" w:ascii="Times New Roman" w:hAnsi="Times New Roman" w:cs="Times New Roman"/>
              </w:rPr>
              <w:t>餐饮油烟经过油烟净化器收集处理后，油烟的处理效率在70%以上，风机风量按照2000m</w:t>
            </w:r>
            <w:r>
              <w:rPr>
                <w:rFonts w:hint="default" w:ascii="Times New Roman" w:hAnsi="Times New Roman" w:cs="Times New Roman"/>
                <w:vertAlign w:val="superscript"/>
              </w:rPr>
              <w:t>3</w:t>
            </w:r>
            <w:r>
              <w:rPr>
                <w:rFonts w:hint="default" w:ascii="Times New Roman" w:hAnsi="Times New Roman" w:cs="Times New Roman"/>
              </w:rPr>
              <w:t>/h计算，每天炒菜时间按照2小时计算，餐饮油烟经过处理后排放浓度为1.92mg/m</w:t>
            </w:r>
            <w:r>
              <w:rPr>
                <w:rFonts w:hint="default" w:ascii="Times New Roman" w:hAnsi="Times New Roman" w:cs="Times New Roman"/>
                <w:vertAlign w:val="superscript"/>
              </w:rPr>
              <w:t>3</w:t>
            </w:r>
            <w:r>
              <w:rPr>
                <w:rFonts w:hint="default" w:ascii="Times New Roman" w:hAnsi="Times New Roman" w:cs="Times New Roman"/>
              </w:rPr>
              <w:t>，可以满足《饮食业油烟排放标准》的相关要求。</w:t>
            </w:r>
          </w:p>
          <w:p>
            <w:pPr>
              <w:widowControl w:val="0"/>
              <w:ind w:firstLine="482" w:firstLineChars="200"/>
              <w:jc w:val="both"/>
              <w:rPr>
                <w:rFonts w:hint="default" w:ascii="Times New Roman" w:hAnsi="Times New Roman" w:cs="Times New Roman"/>
                <w:b/>
                <w:kern w:val="0"/>
                <w:szCs w:val="20"/>
              </w:rPr>
            </w:pPr>
            <w:r>
              <w:rPr>
                <w:rFonts w:hint="default" w:ascii="Times New Roman" w:hAnsi="Times New Roman" w:cs="Times New Roman"/>
                <w:b/>
                <w:kern w:val="0"/>
                <w:szCs w:val="20"/>
              </w:rPr>
              <w:t>2）汽车尾气</w:t>
            </w:r>
          </w:p>
          <w:p>
            <w:pPr>
              <w:widowControl/>
              <w:ind w:firstLine="482" w:firstLineChars="200"/>
              <w:jc w:val="left"/>
              <w:rPr>
                <w:rFonts w:hint="default" w:ascii="Times New Roman" w:hAnsi="Times New Roman" w:cs="Times New Roman"/>
                <w:b/>
                <w:kern w:val="0"/>
                <w:szCs w:val="20"/>
              </w:rPr>
            </w:pPr>
            <w:r>
              <w:rPr>
                <w:rFonts w:hint="default" w:ascii="Times New Roman" w:hAnsi="Times New Roman" w:eastAsia="宋体" w:cs="Times New Roman"/>
                <w:b/>
                <w:kern w:val="0"/>
                <w:szCs w:val="20"/>
              </w:rPr>
              <w:t>①</w:t>
            </w:r>
            <w:r>
              <w:rPr>
                <w:rFonts w:hint="default" w:ascii="Times New Roman" w:hAnsi="Times New Roman" w:cs="Times New Roman"/>
                <w:b/>
                <w:kern w:val="0"/>
                <w:szCs w:val="20"/>
              </w:rPr>
              <w:t>产污量分析</w:t>
            </w:r>
          </w:p>
          <w:p>
            <w:pPr>
              <w:widowControl w:val="0"/>
              <w:ind w:left="34" w:leftChars="14" w:firstLine="466"/>
              <w:jc w:val="both"/>
              <w:rPr>
                <w:rFonts w:hint="default" w:ascii="Times New Roman" w:hAnsi="Times New Roman" w:cs="Times New Roman"/>
              </w:rPr>
            </w:pPr>
            <w:r>
              <w:rPr>
                <w:rFonts w:hint="default" w:ascii="Times New Roman" w:hAnsi="Times New Roman" w:cs="Times New Roman"/>
              </w:rPr>
              <w:t>本项目设置1处地面停车场，车位数量共计6个，位于污水处理厂主入口左侧，主要是停放污水处理厂内部车辆，不对外停车，行驶距离和时间较短，项目通风条件良好，对大气环境影响较小。</w:t>
            </w:r>
          </w:p>
          <w:p>
            <w:pPr>
              <w:widowControl/>
              <w:ind w:firstLine="482" w:firstLineChars="200"/>
              <w:jc w:val="left"/>
              <w:rPr>
                <w:rFonts w:hint="default" w:ascii="Times New Roman" w:hAnsi="Times New Roman" w:cs="Times New Roman"/>
                <w:b/>
                <w:bCs/>
              </w:rPr>
            </w:pPr>
            <w:r>
              <w:rPr>
                <w:rFonts w:hint="default" w:ascii="Times New Roman" w:hAnsi="Times New Roman" w:cs="Times New Roman"/>
                <w:b/>
                <w:bCs/>
              </w:rPr>
              <w:t>②治理措施</w:t>
            </w:r>
          </w:p>
          <w:p>
            <w:pPr>
              <w:widowControl w:val="0"/>
              <w:ind w:firstLine="540"/>
              <w:jc w:val="both"/>
              <w:rPr>
                <w:rFonts w:hint="default" w:ascii="Times New Roman" w:hAnsi="Times New Roman" w:cs="Times New Roman"/>
              </w:rPr>
            </w:pPr>
            <w:r>
              <w:rPr>
                <w:rFonts w:hint="default" w:ascii="Times New Roman" w:hAnsi="Times New Roman" w:cs="Times New Roman"/>
              </w:rPr>
              <w:t>a、加强日常机动车辆的管理，进入停车场的机动车限制车速、合理规划行驶路线，减少车辆怠速时间；</w:t>
            </w:r>
          </w:p>
          <w:p>
            <w:pPr>
              <w:widowControl w:val="0"/>
              <w:ind w:firstLine="540"/>
              <w:jc w:val="both"/>
              <w:rPr>
                <w:rFonts w:hint="default" w:ascii="Times New Roman" w:hAnsi="Times New Roman" w:cs="Times New Roman"/>
              </w:rPr>
            </w:pPr>
            <w:r>
              <w:rPr>
                <w:rFonts w:hint="default" w:ascii="Times New Roman" w:hAnsi="Times New Roman" w:cs="Times New Roman"/>
              </w:rPr>
              <w:t>b、加强停车场周边的绿化，采取乔、灌、草相互搭配的空间绿化体系。</w:t>
            </w:r>
          </w:p>
          <w:p>
            <w:pPr>
              <w:widowControl w:val="0"/>
              <w:ind w:firstLine="540"/>
              <w:jc w:val="both"/>
              <w:rPr>
                <w:rFonts w:hint="default" w:ascii="Times New Roman" w:hAnsi="Times New Roman" w:cs="Times New Roman"/>
              </w:rPr>
            </w:pPr>
            <w:r>
              <w:rPr>
                <w:rFonts w:hint="default" w:ascii="Times New Roman" w:hAnsi="Times New Roman" w:cs="Times New Roman"/>
              </w:rPr>
              <w:t>本项目所在区域较为开阔、气象扩散条件较好，产生的少量汽车尾气在大气稀释和扩散作用下无组织排放，不会对周边大气环境产生明显不利影响。</w:t>
            </w:r>
          </w:p>
          <w:p>
            <w:pPr>
              <w:widowControl w:val="0"/>
              <w:ind w:firstLine="482" w:firstLineChars="200"/>
              <w:jc w:val="both"/>
              <w:rPr>
                <w:rFonts w:hint="default" w:ascii="Times New Roman" w:hAnsi="Times New Roman" w:cs="Times New Roman"/>
                <w:b/>
                <w:kern w:val="0"/>
                <w:szCs w:val="20"/>
              </w:rPr>
            </w:pPr>
            <w:r>
              <w:rPr>
                <w:rFonts w:hint="default" w:ascii="Times New Roman" w:hAnsi="Times New Roman" w:cs="Times New Roman"/>
                <w:b/>
                <w:kern w:val="0"/>
                <w:szCs w:val="20"/>
              </w:rPr>
              <w:t>3）恶臭</w:t>
            </w:r>
          </w:p>
          <w:p>
            <w:pPr>
              <w:widowControl/>
              <w:ind w:firstLine="482" w:firstLineChars="200"/>
              <w:jc w:val="left"/>
              <w:rPr>
                <w:rFonts w:hint="default" w:ascii="Times New Roman" w:hAnsi="Times New Roman" w:cs="Times New Roman"/>
                <w:b/>
                <w:kern w:val="0"/>
                <w:szCs w:val="20"/>
              </w:rPr>
            </w:pPr>
            <w:r>
              <w:rPr>
                <w:rFonts w:hint="default" w:ascii="Times New Roman" w:hAnsi="Times New Roman" w:eastAsia="宋体" w:cs="Times New Roman"/>
                <w:b/>
                <w:kern w:val="0"/>
                <w:szCs w:val="20"/>
              </w:rPr>
              <w:t>①</w:t>
            </w:r>
            <w:r>
              <w:rPr>
                <w:rFonts w:hint="default" w:ascii="Times New Roman" w:hAnsi="Times New Roman" w:cs="Times New Roman"/>
                <w:b/>
                <w:kern w:val="0"/>
                <w:szCs w:val="20"/>
              </w:rPr>
              <w:t>产污量分析</w:t>
            </w:r>
          </w:p>
          <w:p>
            <w:pPr>
              <w:widowControl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恶臭主要来自污水处理过程中有机物的降解产生，恶臭是多组份低浓度的混合气，各成份之间既有协同作用（增强）也有颉颃作用（抵消）。当恶臭物质直接作用于人的感觉器官时，不仅给人以感官上的刺激，使人产生不愉快和厌恶感，而且也对人体健康造成不同程度的危害。</w:t>
            </w:r>
          </w:p>
          <w:p>
            <w:pPr>
              <w:widowControl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污水处理厂恶臭气体成分复杂，主要污染物为氨、硫化氢等，根据其处理工艺，在粗格栅井及调节池、细格栅及旋流沉砂</w:t>
            </w:r>
            <w:r>
              <w:rPr>
                <w:rFonts w:hint="default" w:ascii="Times New Roman" w:hAnsi="Times New Roman" w:cs="Times New Roman"/>
                <w:szCs w:val="21"/>
              </w:rPr>
              <w:t>池、A</w:t>
            </w:r>
            <w:r>
              <w:rPr>
                <w:rFonts w:hint="default" w:ascii="Times New Roman" w:hAnsi="Times New Roman" w:cs="Times New Roman"/>
                <w:szCs w:val="21"/>
                <w:vertAlign w:val="superscript"/>
              </w:rPr>
              <w:t>2</w:t>
            </w:r>
            <w:r>
              <w:rPr>
                <w:rFonts w:hint="default" w:ascii="Times New Roman" w:hAnsi="Times New Roman" w:cs="Times New Roman"/>
                <w:szCs w:val="21"/>
              </w:rPr>
              <w:t>O-MBBR生化处理单元、高效沉淀池、污泥储池以及污泥脱水间</w:t>
            </w:r>
            <w:r>
              <w:rPr>
                <w:rFonts w:hint="default" w:ascii="Times New Roman" w:hAnsi="Times New Roman" w:cs="Times New Roman"/>
                <w:kern w:val="0"/>
              </w:rPr>
              <w:t>等构筑物均有产生。</w:t>
            </w:r>
          </w:p>
          <w:p>
            <w:pPr>
              <w:pStyle w:val="104"/>
              <w:ind w:firstLine="480"/>
              <w:rPr>
                <w:rFonts w:hint="default" w:ascii="Times New Roman" w:hAnsi="Times New Roman" w:cs="Times New Roman"/>
              </w:rPr>
            </w:pPr>
            <w:r>
              <w:rPr>
                <w:rFonts w:hint="default" w:ascii="Times New Roman" w:hAnsi="Times New Roman" w:cs="Times New Roman"/>
                <w:shd w:val="clear" w:color="auto" w:fill="FFFFFF"/>
              </w:rPr>
              <w:t>根据《污水处理厂恶臭防治对策及环境影响评价的研究》（薛松，和慧，邓丽蕊，孙晶晶）和《城市污水处理厂恶臭气体及控制技术的研究》（张少梅，沈晋明）中的数据，并参照《恶臭污染测试与控制技术》（化学工业出版社）中“污水处理厂恶臭环境影响评价”中相关内容，确定污水处理厂各处理单元氨气和硫化氢排放系数见下表，由此计算出本项目恶臭污染物排放源强见下表。</w:t>
            </w:r>
            <w:r>
              <w:rPr>
                <w:rFonts w:hint="default" w:ascii="Times New Roman" w:hAnsi="Times New Roman" w:cs="Times New Roman"/>
              </w:rPr>
              <w:t>本项目恶臭气体产生情况见下表。</w:t>
            </w:r>
          </w:p>
          <w:p>
            <w:pPr>
              <w:pStyle w:val="104"/>
              <w:ind w:firstLine="480"/>
              <w:rPr>
                <w:rFonts w:hint="default" w:ascii="Times New Roman" w:hAnsi="Times New Roman" w:cs="Times New Roman"/>
                <w:szCs w:val="24"/>
              </w:rPr>
            </w:pPr>
          </w:p>
          <w:p>
            <w:pPr>
              <w:pStyle w:val="104"/>
              <w:numPr>
                <w:ilvl w:val="0"/>
                <w:numId w:val="7"/>
              </w:numPr>
              <w:snapToGrid w:val="0"/>
              <w:spacing w:line="240" w:lineRule="auto"/>
              <w:ind w:firstLineChars="0"/>
              <w:jc w:val="center"/>
              <w:rPr>
                <w:rFonts w:hint="default" w:ascii="Times New Roman" w:hAnsi="Times New Roman" w:eastAsia="黑体" w:cs="Times New Roman"/>
                <w:szCs w:val="24"/>
              </w:rPr>
            </w:pPr>
            <w:r>
              <w:rPr>
                <w:rFonts w:hint="default" w:ascii="Times New Roman" w:hAnsi="Times New Roman" w:eastAsia="黑体" w:cs="Times New Roman"/>
                <w:szCs w:val="24"/>
              </w:rPr>
              <w:t>单位面积排放源强  单位:mg/s.m</w:t>
            </w:r>
            <w:r>
              <w:rPr>
                <w:rFonts w:hint="default" w:ascii="Times New Roman" w:hAnsi="Times New Roman" w:eastAsia="黑体" w:cs="Times New Roman"/>
                <w:szCs w:val="24"/>
                <w:vertAlign w:val="superscript"/>
              </w:rPr>
              <w:t>2</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09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污染源</w:t>
                  </w:r>
                </w:p>
              </w:tc>
              <w:tc>
                <w:tcPr>
                  <w:tcW w:w="309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氨</w:t>
                  </w:r>
                </w:p>
              </w:tc>
              <w:tc>
                <w:tcPr>
                  <w:tcW w:w="309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硫化氢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09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预处理区</w:t>
                  </w:r>
                </w:p>
              </w:tc>
              <w:tc>
                <w:tcPr>
                  <w:tcW w:w="309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0.08</w:t>
                  </w:r>
                </w:p>
              </w:tc>
              <w:tc>
                <w:tcPr>
                  <w:tcW w:w="309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0.00093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09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生化处理区</w:t>
                  </w:r>
                </w:p>
              </w:tc>
              <w:tc>
                <w:tcPr>
                  <w:tcW w:w="309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0.018</w:t>
                  </w:r>
                </w:p>
              </w:tc>
              <w:tc>
                <w:tcPr>
                  <w:tcW w:w="309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0.00045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09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污泥处理区</w:t>
                  </w:r>
                </w:p>
              </w:tc>
              <w:tc>
                <w:tcPr>
                  <w:tcW w:w="309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0.05</w:t>
                  </w:r>
                </w:p>
              </w:tc>
              <w:tc>
                <w:tcPr>
                  <w:tcW w:w="309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0.00238</w:t>
                  </w:r>
                </w:p>
              </w:tc>
            </w:tr>
          </w:tbl>
          <w:p>
            <w:pPr>
              <w:pStyle w:val="14"/>
              <w:numPr>
                <w:ilvl w:val="0"/>
                <w:numId w:val="7"/>
              </w:numPr>
              <w:adjustRightInd w:val="0"/>
              <w:snapToGrid w:val="0"/>
              <w:spacing w:before="163" w:beforeLines="50"/>
              <w:ind w:left="0" w:firstLine="0"/>
              <w:rPr>
                <w:rFonts w:hint="default" w:ascii="Times New Roman" w:hAnsi="Times New Roman" w:eastAsia="黑体" w:cs="Times New Roman"/>
                <w:kern w:val="0"/>
                <w:szCs w:val="24"/>
              </w:rPr>
            </w:pPr>
            <w:r>
              <w:rPr>
                <w:rFonts w:hint="default" w:ascii="Times New Roman" w:hAnsi="Times New Roman" w:eastAsia="黑体" w:cs="Times New Roman"/>
                <w:szCs w:val="24"/>
              </w:rPr>
              <w:t>本项目恶臭气体产生情况</w:t>
            </w:r>
          </w:p>
          <w:tbl>
            <w:tblPr>
              <w:tblStyle w:val="4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6"/>
              <w:gridCol w:w="2486"/>
              <w:gridCol w:w="750"/>
              <w:gridCol w:w="1164"/>
              <w:gridCol w:w="1454"/>
              <w:gridCol w:w="891"/>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88" w:type="pct"/>
                  <w:vMerge w:val="restart"/>
                  <w:tcBorders>
                    <w:top w:val="single" w:color="auto" w:sz="4" w:space="0"/>
                    <w:left w:val="single" w:color="auto" w:sz="4" w:space="0"/>
                    <w:bottom w:val="single" w:color="auto" w:sz="4" w:space="0"/>
                    <w:right w:val="single" w:color="auto" w:sz="4" w:space="0"/>
                  </w:tcBorders>
                  <w:noWrap/>
                  <w:vAlign w:val="center"/>
                </w:tcPr>
                <w:p>
                  <w:pPr>
                    <w:pStyle w:val="98"/>
                    <w:rPr>
                      <w:rFonts w:hint="default" w:ascii="Times New Roman" w:hAnsi="Times New Roman" w:cs="Times New Roman"/>
                      <w:b/>
                      <w:bCs/>
                      <w:color w:val="auto"/>
                      <w:szCs w:val="21"/>
                    </w:rPr>
                  </w:pPr>
                  <w:r>
                    <w:rPr>
                      <w:rFonts w:hint="default" w:ascii="Times New Roman" w:hAnsi="Times New Roman" w:cs="Times New Roman"/>
                      <w:b/>
                      <w:bCs/>
                      <w:color w:val="auto"/>
                      <w:szCs w:val="21"/>
                    </w:rPr>
                    <w:t>类别</w:t>
                  </w:r>
                </w:p>
              </w:tc>
              <w:tc>
                <w:tcPr>
                  <w:tcW w:w="1332" w:type="pct"/>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403" w:type="pct"/>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面积</w:t>
                  </w:r>
                </w:p>
              </w:tc>
              <w:tc>
                <w:tcPr>
                  <w:tcW w:w="1382" w:type="pct"/>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单位面积源强（mg/s.m</w:t>
                  </w:r>
                  <w:r>
                    <w:rPr>
                      <w:rFonts w:hint="default" w:ascii="Times New Roman" w:hAnsi="Times New Roman" w:eastAsia="宋体" w:cs="Times New Roman"/>
                      <w:b/>
                      <w:bCs/>
                      <w:kern w:val="0"/>
                      <w:sz w:val="21"/>
                      <w:szCs w:val="21"/>
                      <w:vertAlign w:val="superscript"/>
                    </w:rPr>
                    <w:t>2</w:t>
                  </w:r>
                  <w:r>
                    <w:rPr>
                      <w:rFonts w:hint="default" w:ascii="Times New Roman" w:hAnsi="Times New Roman" w:eastAsia="宋体" w:cs="Times New Roman"/>
                      <w:b/>
                      <w:bCs/>
                      <w:kern w:val="0"/>
                      <w:sz w:val="21"/>
                      <w:szCs w:val="21"/>
                    </w:rPr>
                    <w:t>）</w:t>
                  </w:r>
                </w:p>
              </w:tc>
              <w:tc>
                <w:tcPr>
                  <w:tcW w:w="1095" w:type="pct"/>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产生速率（kg/h）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8"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宋体" w:cs="Times New Roman"/>
                      <w:b/>
                      <w:bCs/>
                      <w:kern w:val="21"/>
                      <w:sz w:val="21"/>
                      <w:szCs w:val="21"/>
                    </w:rPr>
                  </w:pPr>
                </w:p>
              </w:tc>
              <w:tc>
                <w:tcPr>
                  <w:tcW w:w="1332"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宋体" w:cs="Times New Roman"/>
                      <w:b/>
                      <w:bCs/>
                      <w:kern w:val="21"/>
                      <w:sz w:val="21"/>
                      <w:szCs w:val="21"/>
                    </w:rPr>
                  </w:pPr>
                </w:p>
              </w:tc>
              <w:tc>
                <w:tcPr>
                  <w:tcW w:w="403" w:type="pct"/>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eastAsia="宋体" w:cs="Times New Roman"/>
                      <w:b/>
                      <w:bCs/>
                      <w:kern w:val="21"/>
                      <w:sz w:val="21"/>
                      <w:szCs w:val="21"/>
                    </w:rPr>
                  </w:pPr>
                </w:p>
              </w:tc>
              <w:tc>
                <w:tcPr>
                  <w:tcW w:w="615" w:type="pct"/>
                  <w:tcBorders>
                    <w:top w:val="single" w:color="auto" w:sz="4" w:space="0"/>
                    <w:left w:val="single" w:color="auto" w:sz="4" w:space="0"/>
                    <w:bottom w:val="single" w:color="auto" w:sz="4" w:space="0"/>
                    <w:right w:val="single" w:color="auto" w:sz="4" w:space="0"/>
                  </w:tcBorders>
                  <w:noWrap/>
                  <w:vAlign w:val="center"/>
                </w:tcPr>
                <w:p>
                  <w:pPr>
                    <w:pStyle w:val="98"/>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NH</w:t>
                  </w:r>
                  <w:r>
                    <w:rPr>
                      <w:rFonts w:hint="default" w:ascii="Times New Roman" w:hAnsi="Times New Roman" w:cs="Times New Roman"/>
                      <w:b/>
                      <w:bCs/>
                      <w:color w:val="auto"/>
                      <w:szCs w:val="21"/>
                      <w:vertAlign w:val="subscript"/>
                    </w:rPr>
                    <w:t>3</w:t>
                  </w:r>
                </w:p>
              </w:tc>
              <w:tc>
                <w:tcPr>
                  <w:tcW w:w="768" w:type="pct"/>
                  <w:tcBorders>
                    <w:top w:val="single" w:color="auto" w:sz="4" w:space="0"/>
                    <w:left w:val="single" w:color="auto" w:sz="4" w:space="0"/>
                    <w:bottom w:val="single" w:color="auto" w:sz="4" w:space="0"/>
                    <w:right w:val="single" w:color="auto" w:sz="4" w:space="0"/>
                  </w:tcBorders>
                  <w:noWrap/>
                  <w:vAlign w:val="center"/>
                </w:tcPr>
                <w:p>
                  <w:pPr>
                    <w:pStyle w:val="98"/>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H</w:t>
                  </w:r>
                  <w:r>
                    <w:rPr>
                      <w:rFonts w:hint="default" w:ascii="Times New Roman" w:hAnsi="Times New Roman" w:cs="Times New Roman"/>
                      <w:b/>
                      <w:bCs/>
                      <w:color w:val="auto"/>
                      <w:szCs w:val="21"/>
                      <w:vertAlign w:val="subscript"/>
                    </w:rPr>
                    <w:t>2</w:t>
                  </w:r>
                  <w:r>
                    <w:rPr>
                      <w:rFonts w:hint="default" w:ascii="Times New Roman" w:hAnsi="Times New Roman" w:cs="Times New Roman"/>
                      <w:b/>
                      <w:bCs/>
                      <w:color w:val="auto"/>
                      <w:szCs w:val="21"/>
                    </w:rPr>
                    <w:t>S</w:t>
                  </w:r>
                </w:p>
              </w:tc>
              <w:tc>
                <w:tcPr>
                  <w:tcW w:w="478" w:type="pct"/>
                  <w:tcBorders>
                    <w:top w:val="single" w:color="auto" w:sz="4" w:space="0"/>
                    <w:left w:val="single" w:color="auto" w:sz="4" w:space="0"/>
                    <w:bottom w:val="single" w:color="auto" w:sz="4" w:space="0"/>
                    <w:right w:val="single" w:color="auto" w:sz="4" w:space="0"/>
                  </w:tcBorders>
                  <w:noWrap/>
                  <w:vAlign w:val="center"/>
                </w:tcPr>
                <w:p>
                  <w:pPr>
                    <w:pStyle w:val="98"/>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NH</w:t>
                  </w:r>
                  <w:r>
                    <w:rPr>
                      <w:rFonts w:hint="default" w:ascii="Times New Roman" w:hAnsi="Times New Roman" w:cs="Times New Roman"/>
                      <w:b/>
                      <w:bCs/>
                      <w:color w:val="auto"/>
                      <w:szCs w:val="21"/>
                      <w:vertAlign w:val="subscript"/>
                    </w:rPr>
                    <w:t>3</w:t>
                  </w:r>
                </w:p>
              </w:tc>
              <w:tc>
                <w:tcPr>
                  <w:tcW w:w="617" w:type="pct"/>
                  <w:tcBorders>
                    <w:top w:val="single" w:color="auto" w:sz="4" w:space="0"/>
                    <w:left w:val="single" w:color="auto" w:sz="4" w:space="0"/>
                    <w:bottom w:val="single" w:color="auto" w:sz="4" w:space="0"/>
                    <w:right w:val="single" w:color="auto" w:sz="4" w:space="0"/>
                  </w:tcBorders>
                  <w:noWrap/>
                  <w:vAlign w:val="center"/>
                </w:tcPr>
                <w:p>
                  <w:pPr>
                    <w:pStyle w:val="98"/>
                    <w:rPr>
                      <w:rFonts w:hint="default" w:ascii="Times New Roman" w:hAnsi="Times New Roman" w:cs="Times New Roman"/>
                      <w:b/>
                      <w:bCs/>
                      <w:color w:val="auto"/>
                      <w:kern w:val="0"/>
                      <w:szCs w:val="21"/>
                    </w:rPr>
                  </w:pPr>
                  <w:r>
                    <w:rPr>
                      <w:rFonts w:hint="default" w:ascii="Times New Roman" w:hAnsi="Times New Roman" w:cs="Times New Roman"/>
                      <w:b/>
                      <w:bCs/>
                      <w:color w:val="auto"/>
                      <w:szCs w:val="21"/>
                    </w:rPr>
                    <w:t>H</w:t>
                  </w:r>
                  <w:r>
                    <w:rPr>
                      <w:rFonts w:hint="default" w:ascii="Times New Roman" w:hAnsi="Times New Roman" w:cs="Times New Roman"/>
                      <w:b/>
                      <w:bCs/>
                      <w:color w:val="auto"/>
                      <w:szCs w:val="21"/>
                      <w:vertAlign w:val="subscript"/>
                    </w:rPr>
                    <w:t>2</w:t>
                  </w:r>
                  <w:r>
                    <w:rPr>
                      <w:rFonts w:hint="default" w:ascii="Times New Roman" w:hAnsi="Times New Roman" w:cs="Times New Roman"/>
                      <w:b/>
                      <w:bCs/>
                      <w:color w:val="auto"/>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8" w:type="pct"/>
                  <w:vMerge w:val="restart"/>
                  <w:tcBorders>
                    <w:top w:val="single" w:color="auto" w:sz="4" w:space="0"/>
                    <w:left w:val="single" w:color="auto" w:sz="4" w:space="0"/>
                    <w:right w:val="single" w:color="auto" w:sz="4" w:space="0"/>
                  </w:tcBorders>
                  <w:noWrap/>
                  <w:vAlign w:val="center"/>
                </w:tcPr>
                <w:p>
                  <w:pPr>
                    <w:pStyle w:val="98"/>
                    <w:rPr>
                      <w:rFonts w:hint="default" w:ascii="Times New Roman" w:hAnsi="Times New Roman" w:cs="Times New Roman"/>
                      <w:color w:val="auto"/>
                      <w:kern w:val="21"/>
                      <w:szCs w:val="21"/>
                    </w:rPr>
                  </w:pPr>
                  <w:bookmarkStart w:id="21" w:name="_Hlk120141025"/>
                  <w:bookmarkStart w:id="22" w:name="OLE_LINK1" w:colFirst="2" w:colLast="3"/>
                  <w:bookmarkStart w:id="23" w:name="OLE_LINK2" w:colFirst="2" w:colLast="3"/>
                  <w:r>
                    <w:rPr>
                      <w:rFonts w:hint="default" w:ascii="Times New Roman" w:hAnsi="Times New Roman" w:cs="Times New Roman"/>
                      <w:color w:val="auto"/>
                      <w:szCs w:val="21"/>
                    </w:rPr>
                    <w:t>常规废水处理</w:t>
                  </w:r>
                </w:p>
              </w:tc>
              <w:tc>
                <w:tcPr>
                  <w:tcW w:w="133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粗格栅及调节池</w:t>
                  </w:r>
                </w:p>
              </w:tc>
              <w:tc>
                <w:tcPr>
                  <w:tcW w:w="40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kern w:val="21"/>
                      <w:sz w:val="21"/>
                      <w:szCs w:val="21"/>
                    </w:rPr>
                  </w:pPr>
                  <w:r>
                    <w:rPr>
                      <w:rFonts w:hint="default" w:ascii="Times New Roman" w:hAnsi="Times New Roman" w:eastAsia="宋体" w:cs="Times New Roman"/>
                      <w:sz w:val="21"/>
                      <w:szCs w:val="21"/>
                    </w:rPr>
                    <w:t>25</w:t>
                  </w:r>
                </w:p>
              </w:tc>
              <w:tc>
                <w:tcPr>
                  <w:tcW w:w="615"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0.08</w:t>
                  </w:r>
                </w:p>
              </w:tc>
              <w:tc>
                <w:tcPr>
                  <w:tcW w:w="76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0.00093</w:t>
                  </w:r>
                </w:p>
              </w:tc>
              <w:tc>
                <w:tcPr>
                  <w:tcW w:w="478"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0.0072 </w:t>
                  </w:r>
                </w:p>
              </w:tc>
              <w:tc>
                <w:tcPr>
                  <w:tcW w:w="617"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0.00008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8" w:type="pct"/>
                  <w:vMerge w:val="continue"/>
                  <w:tcBorders>
                    <w:left w:val="single" w:color="auto" w:sz="4" w:space="0"/>
                    <w:right w:val="single" w:color="auto" w:sz="4" w:space="0"/>
                  </w:tcBorders>
                  <w:vAlign w:val="center"/>
                </w:tcPr>
                <w:p>
                  <w:pPr>
                    <w:rPr>
                      <w:rFonts w:hint="default" w:ascii="Times New Roman" w:hAnsi="Times New Roman" w:eastAsia="宋体" w:cs="Times New Roman"/>
                      <w:kern w:val="21"/>
                      <w:sz w:val="21"/>
                      <w:szCs w:val="21"/>
                    </w:rPr>
                  </w:pPr>
                </w:p>
              </w:tc>
              <w:tc>
                <w:tcPr>
                  <w:tcW w:w="133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细格栅及旋流沉砂池</w:t>
                  </w:r>
                </w:p>
              </w:tc>
              <w:tc>
                <w:tcPr>
                  <w:tcW w:w="40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51</w:t>
                  </w:r>
                </w:p>
              </w:tc>
              <w:tc>
                <w:tcPr>
                  <w:tcW w:w="615"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0.08</w:t>
                  </w:r>
                </w:p>
              </w:tc>
              <w:tc>
                <w:tcPr>
                  <w:tcW w:w="76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0.00093</w:t>
                  </w:r>
                </w:p>
              </w:tc>
              <w:tc>
                <w:tcPr>
                  <w:tcW w:w="478"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0.0147 </w:t>
                  </w:r>
                </w:p>
              </w:tc>
              <w:tc>
                <w:tcPr>
                  <w:tcW w:w="617"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0.00017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8" w:type="pct"/>
                  <w:vMerge w:val="continue"/>
                  <w:tcBorders>
                    <w:left w:val="single" w:color="auto" w:sz="4" w:space="0"/>
                    <w:right w:val="single" w:color="auto" w:sz="4" w:space="0"/>
                  </w:tcBorders>
                  <w:vAlign w:val="center"/>
                </w:tcPr>
                <w:p>
                  <w:pPr>
                    <w:rPr>
                      <w:rFonts w:hint="default" w:ascii="Times New Roman" w:hAnsi="Times New Roman" w:eastAsia="宋体" w:cs="Times New Roman"/>
                      <w:kern w:val="21"/>
                      <w:sz w:val="21"/>
                      <w:szCs w:val="21"/>
                    </w:rPr>
                  </w:pPr>
                </w:p>
              </w:tc>
              <w:tc>
                <w:tcPr>
                  <w:tcW w:w="133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一期A/A/O-MBBR膜池</w:t>
                  </w:r>
                </w:p>
              </w:tc>
              <w:tc>
                <w:tcPr>
                  <w:tcW w:w="40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824</w:t>
                  </w:r>
                </w:p>
              </w:tc>
              <w:tc>
                <w:tcPr>
                  <w:tcW w:w="615"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0.018</w:t>
                  </w:r>
                </w:p>
              </w:tc>
              <w:tc>
                <w:tcPr>
                  <w:tcW w:w="76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0.00045</w:t>
                  </w:r>
                </w:p>
              </w:tc>
              <w:tc>
                <w:tcPr>
                  <w:tcW w:w="478"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0.0534 </w:t>
                  </w:r>
                </w:p>
              </w:tc>
              <w:tc>
                <w:tcPr>
                  <w:tcW w:w="617"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0.00133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8" w:type="pct"/>
                  <w:vMerge w:val="continue"/>
                  <w:tcBorders>
                    <w:left w:val="single" w:color="auto" w:sz="4" w:space="0"/>
                    <w:right w:val="single" w:color="auto" w:sz="4" w:space="0"/>
                  </w:tcBorders>
                  <w:vAlign w:val="center"/>
                </w:tcPr>
                <w:p>
                  <w:pPr>
                    <w:rPr>
                      <w:rFonts w:hint="default" w:ascii="Times New Roman" w:hAnsi="Times New Roman" w:eastAsia="宋体" w:cs="Times New Roman"/>
                      <w:kern w:val="21"/>
                      <w:sz w:val="21"/>
                      <w:szCs w:val="21"/>
                    </w:rPr>
                  </w:pPr>
                </w:p>
              </w:tc>
              <w:tc>
                <w:tcPr>
                  <w:tcW w:w="133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一期</w:t>
                  </w:r>
                  <w:r>
                    <w:rPr>
                      <w:rFonts w:hint="default" w:ascii="Times New Roman" w:hAnsi="Times New Roman" w:eastAsia="宋体" w:cs="Times New Roman"/>
                      <w:sz w:val="21"/>
                      <w:szCs w:val="21"/>
                    </w:rPr>
                    <w:t>高效沉淀池</w:t>
                  </w:r>
                </w:p>
              </w:tc>
              <w:tc>
                <w:tcPr>
                  <w:tcW w:w="40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114</w:t>
                  </w:r>
                </w:p>
              </w:tc>
              <w:tc>
                <w:tcPr>
                  <w:tcW w:w="615"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0.018</w:t>
                  </w:r>
                </w:p>
              </w:tc>
              <w:tc>
                <w:tcPr>
                  <w:tcW w:w="76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0.00045</w:t>
                  </w:r>
                </w:p>
              </w:tc>
              <w:tc>
                <w:tcPr>
                  <w:tcW w:w="478"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0.0074 </w:t>
                  </w:r>
                </w:p>
              </w:tc>
              <w:tc>
                <w:tcPr>
                  <w:tcW w:w="617"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0.00018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8" w:type="pct"/>
                  <w:vMerge w:val="continue"/>
                  <w:tcBorders>
                    <w:left w:val="single" w:color="auto" w:sz="4" w:space="0"/>
                    <w:right w:val="single" w:color="auto" w:sz="4" w:space="0"/>
                  </w:tcBorders>
                  <w:vAlign w:val="center"/>
                </w:tcPr>
                <w:p>
                  <w:pPr>
                    <w:rPr>
                      <w:rFonts w:hint="default" w:ascii="Times New Roman" w:hAnsi="Times New Roman" w:eastAsia="宋体" w:cs="Times New Roman"/>
                      <w:kern w:val="21"/>
                      <w:sz w:val="21"/>
                      <w:szCs w:val="21"/>
                    </w:rPr>
                  </w:pPr>
                </w:p>
              </w:tc>
              <w:tc>
                <w:tcPr>
                  <w:tcW w:w="133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污泥储池</w:t>
                  </w:r>
                </w:p>
              </w:tc>
              <w:tc>
                <w:tcPr>
                  <w:tcW w:w="40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615"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76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0.00238</w:t>
                  </w:r>
                </w:p>
              </w:tc>
              <w:tc>
                <w:tcPr>
                  <w:tcW w:w="478"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0.0016 </w:t>
                  </w:r>
                </w:p>
              </w:tc>
              <w:tc>
                <w:tcPr>
                  <w:tcW w:w="617"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0.00008 </w:t>
                  </w:r>
                </w:p>
                <w:bookmarkEnd w:id="21"/>
              </w:tc>
            </w:tr>
            <w:bookmarkEnd w:id="22"/>
            <w:bookmarkEnd w:id="2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8" w:type="pct"/>
                  <w:vMerge w:val="continue"/>
                  <w:tcBorders>
                    <w:left w:val="single" w:color="auto" w:sz="4" w:space="0"/>
                    <w:right w:val="single" w:color="auto" w:sz="4" w:space="0"/>
                  </w:tcBorders>
                  <w:vAlign w:val="center"/>
                </w:tcPr>
                <w:p>
                  <w:pPr>
                    <w:rPr>
                      <w:rFonts w:hint="default" w:ascii="Times New Roman" w:hAnsi="Times New Roman" w:eastAsia="宋体" w:cs="Times New Roman"/>
                      <w:kern w:val="21"/>
                      <w:sz w:val="21"/>
                      <w:szCs w:val="21"/>
                    </w:rPr>
                  </w:pPr>
                </w:p>
              </w:tc>
              <w:tc>
                <w:tcPr>
                  <w:tcW w:w="133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二期A/A/O-MBBR膜池</w:t>
                  </w:r>
                </w:p>
              </w:tc>
              <w:tc>
                <w:tcPr>
                  <w:tcW w:w="40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860</w:t>
                  </w:r>
                </w:p>
              </w:tc>
              <w:tc>
                <w:tcPr>
                  <w:tcW w:w="615"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0.018</w:t>
                  </w:r>
                </w:p>
              </w:tc>
              <w:tc>
                <w:tcPr>
                  <w:tcW w:w="76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0.00045</w:t>
                  </w:r>
                </w:p>
              </w:tc>
              <w:tc>
                <w:tcPr>
                  <w:tcW w:w="478"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0.0557 </w:t>
                  </w:r>
                </w:p>
              </w:tc>
              <w:tc>
                <w:tcPr>
                  <w:tcW w:w="617"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0.00139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88" w:type="pct"/>
                  <w:vMerge w:val="continue"/>
                  <w:tcBorders>
                    <w:left w:val="single" w:color="auto" w:sz="4" w:space="0"/>
                    <w:right w:val="single" w:color="auto" w:sz="4" w:space="0"/>
                  </w:tcBorders>
                  <w:vAlign w:val="center"/>
                </w:tcPr>
                <w:p>
                  <w:pPr>
                    <w:rPr>
                      <w:rFonts w:hint="default" w:ascii="Times New Roman" w:hAnsi="Times New Roman" w:eastAsia="宋体" w:cs="Times New Roman"/>
                      <w:kern w:val="21"/>
                      <w:sz w:val="21"/>
                      <w:szCs w:val="21"/>
                    </w:rPr>
                  </w:pPr>
                </w:p>
              </w:tc>
              <w:tc>
                <w:tcPr>
                  <w:tcW w:w="133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二期</w:t>
                  </w:r>
                  <w:r>
                    <w:rPr>
                      <w:rFonts w:hint="default" w:ascii="Times New Roman" w:hAnsi="Times New Roman" w:eastAsia="宋体" w:cs="Times New Roman"/>
                      <w:sz w:val="21"/>
                      <w:szCs w:val="21"/>
                    </w:rPr>
                    <w:t>高效沉淀池</w:t>
                  </w:r>
                </w:p>
              </w:tc>
              <w:tc>
                <w:tcPr>
                  <w:tcW w:w="40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108</w:t>
                  </w:r>
                </w:p>
              </w:tc>
              <w:tc>
                <w:tcPr>
                  <w:tcW w:w="615"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0.018</w:t>
                  </w:r>
                </w:p>
              </w:tc>
              <w:tc>
                <w:tcPr>
                  <w:tcW w:w="76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0.00045</w:t>
                  </w:r>
                </w:p>
              </w:tc>
              <w:tc>
                <w:tcPr>
                  <w:tcW w:w="478"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0.0070 </w:t>
                  </w:r>
                </w:p>
              </w:tc>
              <w:tc>
                <w:tcPr>
                  <w:tcW w:w="617"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0.00017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788" w:type="pct"/>
                  <w:vMerge w:val="continue"/>
                  <w:tcBorders>
                    <w:left w:val="single" w:color="auto" w:sz="4" w:space="0"/>
                    <w:bottom w:val="single" w:color="auto" w:sz="4" w:space="0"/>
                    <w:right w:val="single" w:color="auto" w:sz="4" w:space="0"/>
                  </w:tcBorders>
                  <w:vAlign w:val="center"/>
                </w:tcPr>
                <w:p>
                  <w:pPr>
                    <w:rPr>
                      <w:rFonts w:hint="default" w:ascii="Times New Roman" w:hAnsi="Times New Roman" w:eastAsia="宋体" w:cs="Times New Roman"/>
                      <w:kern w:val="21"/>
                      <w:sz w:val="21"/>
                      <w:szCs w:val="21"/>
                    </w:rPr>
                  </w:pPr>
                </w:p>
              </w:tc>
              <w:tc>
                <w:tcPr>
                  <w:tcW w:w="1332" w:type="pct"/>
                  <w:tcBorders>
                    <w:top w:val="single" w:color="auto" w:sz="4" w:space="0"/>
                    <w:left w:val="single" w:color="auto" w:sz="4" w:space="0"/>
                    <w:bottom w:val="single" w:color="auto" w:sz="4" w:space="0"/>
                    <w:right w:val="single" w:color="auto" w:sz="4" w:space="0"/>
                  </w:tcBorders>
                  <w:vAlign w:val="center"/>
                </w:tcPr>
                <w:p>
                  <w:pPr>
                    <w:adjustRightInd w:val="0"/>
                    <w:snapToGrid w:val="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污泥脱水车间</w:t>
                  </w:r>
                </w:p>
              </w:tc>
              <w:tc>
                <w:tcPr>
                  <w:tcW w:w="40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384</w:t>
                  </w:r>
                </w:p>
              </w:tc>
              <w:tc>
                <w:tcPr>
                  <w:tcW w:w="615"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76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0.00238</w:t>
                  </w:r>
                </w:p>
              </w:tc>
              <w:tc>
                <w:tcPr>
                  <w:tcW w:w="478"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0.0691 </w:t>
                  </w:r>
                </w:p>
              </w:tc>
              <w:tc>
                <w:tcPr>
                  <w:tcW w:w="617" w:type="pct"/>
                  <w:tcBorders>
                    <w:top w:val="single" w:color="auto" w:sz="4" w:space="0"/>
                    <w:left w:val="single" w:color="auto" w:sz="4" w:space="0"/>
                    <w:bottom w:val="single" w:color="auto" w:sz="4" w:space="0"/>
                    <w:right w:val="single" w:color="auto" w:sz="4" w:space="0"/>
                  </w:tcBorders>
                  <w:noWrap/>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sz w:val="21"/>
                      <w:szCs w:val="21"/>
                    </w:rPr>
                    <w:t xml:space="preserve">0.00329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2120" w:type="pct"/>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合计</w:t>
                  </w:r>
                </w:p>
              </w:tc>
              <w:tc>
                <w:tcPr>
                  <w:tcW w:w="403"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15"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76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7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等线" w:cs="Times New Roman"/>
                      <w:sz w:val="21"/>
                      <w:szCs w:val="21"/>
                    </w:rPr>
                    <w:t xml:space="preserve">0.2161 </w:t>
                  </w:r>
                </w:p>
              </w:tc>
              <w:tc>
                <w:tcPr>
                  <w:tcW w:w="617"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等线" w:cs="Times New Roman"/>
                      <w:sz w:val="21"/>
                      <w:szCs w:val="21"/>
                    </w:rPr>
                    <w:t xml:space="preserve">0.0067 </w:t>
                  </w:r>
                </w:p>
              </w:tc>
            </w:tr>
          </w:tbl>
          <w:p>
            <w:pPr>
              <w:pStyle w:val="161"/>
              <w:numPr>
                <w:ilvl w:val="0"/>
                <w:numId w:val="7"/>
              </w:numPr>
              <w:spacing w:line="276" w:lineRule="auto"/>
              <w:ind w:firstLineChars="0"/>
              <w:jc w:val="center"/>
              <w:rPr>
                <w:rFonts w:hint="default" w:ascii="Times New Roman" w:hAnsi="Times New Roman" w:eastAsia="黑体" w:cs="Times New Roman"/>
                <w:szCs w:val="21"/>
              </w:rPr>
            </w:pPr>
            <w:r>
              <w:rPr>
                <w:rFonts w:hint="default" w:ascii="Times New Roman" w:hAnsi="Times New Roman" w:eastAsia="黑体" w:cs="Times New Roman"/>
              </w:rPr>
              <w:t>污水处理厂恶臭产生及排放情况</w:t>
            </w:r>
            <w:r>
              <w:rPr>
                <w:rFonts w:hint="default" w:ascii="Times New Roman" w:hAnsi="Times New Roman" w:eastAsia="黑体" w:cs="Times New Roman"/>
                <w:szCs w:val="21"/>
              </w:rPr>
              <w:t>单位：t/a</w:t>
            </w:r>
          </w:p>
          <w:tbl>
            <w:tblPr>
              <w:tblStyle w:val="44"/>
              <w:tblW w:w="93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40"/>
              <w:gridCol w:w="415"/>
              <w:gridCol w:w="546"/>
              <w:gridCol w:w="555"/>
              <w:gridCol w:w="863"/>
              <w:gridCol w:w="851"/>
              <w:gridCol w:w="850"/>
              <w:gridCol w:w="749"/>
              <w:gridCol w:w="597"/>
              <w:gridCol w:w="453"/>
              <w:gridCol w:w="704"/>
              <w:gridCol w:w="794"/>
              <w:gridCol w:w="830"/>
              <w:gridCol w:w="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555" w:type="dxa"/>
                  <w:vMerge w:val="restart"/>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序号</w:t>
                  </w:r>
                </w:p>
              </w:tc>
              <w:tc>
                <w:tcPr>
                  <w:tcW w:w="986" w:type="dxa"/>
                  <w:gridSpan w:val="2"/>
                  <w:vMerge w:val="restart"/>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产污环节</w:t>
                  </w:r>
                </w:p>
              </w:tc>
              <w:tc>
                <w:tcPr>
                  <w:tcW w:w="565" w:type="dxa"/>
                  <w:vMerge w:val="restart"/>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污染物种类</w:t>
                  </w:r>
                </w:p>
              </w:tc>
              <w:tc>
                <w:tcPr>
                  <w:tcW w:w="2564" w:type="dxa"/>
                  <w:gridSpan w:val="3"/>
                  <w:vMerge w:val="restart"/>
                  <w:tcBorders>
                    <w:tl2br w:val="nil"/>
                    <w:tr2bl w:val="nil"/>
                  </w:tcBorders>
                  <w:noWrap/>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污染物产生情况</w:t>
                  </w:r>
                </w:p>
              </w:tc>
              <w:tc>
                <w:tcPr>
                  <w:tcW w:w="1373" w:type="dxa"/>
                  <w:gridSpan w:val="2"/>
                  <w:vMerge w:val="restart"/>
                  <w:tcBorders>
                    <w:right w:val="single" w:color="auto" w:sz="4" w:space="0"/>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污染治理设施情况</w:t>
                  </w:r>
                </w:p>
              </w:tc>
              <w:tc>
                <w:tcPr>
                  <w:tcW w:w="456" w:type="dxa"/>
                  <w:vMerge w:val="restart"/>
                  <w:tcBorders>
                    <w:left w:val="single" w:color="auto" w:sz="4" w:space="0"/>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运行时间h/a</w:t>
                  </w:r>
                </w:p>
              </w:tc>
              <w:tc>
                <w:tcPr>
                  <w:tcW w:w="2874" w:type="dxa"/>
                  <w:gridSpan w:val="4"/>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有组织排放情况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555"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b/>
                      <w:bCs/>
                      <w:sz w:val="21"/>
                      <w:szCs w:val="21"/>
                    </w:rPr>
                  </w:pPr>
                </w:p>
              </w:tc>
              <w:tc>
                <w:tcPr>
                  <w:tcW w:w="986" w:type="dxa"/>
                  <w:gridSpan w:val="2"/>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b/>
                      <w:bCs/>
                      <w:sz w:val="21"/>
                      <w:szCs w:val="21"/>
                    </w:rPr>
                  </w:pPr>
                </w:p>
              </w:tc>
              <w:tc>
                <w:tcPr>
                  <w:tcW w:w="565"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b/>
                      <w:bCs/>
                      <w:sz w:val="21"/>
                      <w:szCs w:val="21"/>
                    </w:rPr>
                  </w:pPr>
                </w:p>
              </w:tc>
              <w:tc>
                <w:tcPr>
                  <w:tcW w:w="2564" w:type="dxa"/>
                  <w:gridSpan w:val="3"/>
                  <w:vMerge w:val="continue"/>
                  <w:tcBorders>
                    <w:tl2br w:val="nil"/>
                    <w:tr2bl w:val="nil"/>
                  </w:tcBorders>
                  <w:noWrap/>
                  <w:vAlign w:val="center"/>
                </w:tcPr>
                <w:p>
                  <w:pPr>
                    <w:spacing w:line="240" w:lineRule="auto"/>
                    <w:ind w:left="-120" w:leftChars="-50" w:right="-120" w:rightChars="-50"/>
                    <w:jc w:val="center"/>
                    <w:rPr>
                      <w:rFonts w:hint="default" w:ascii="Times New Roman" w:hAnsi="Times New Roman" w:eastAsia="宋体" w:cs="Times New Roman"/>
                      <w:b/>
                      <w:bCs/>
                      <w:sz w:val="21"/>
                      <w:szCs w:val="21"/>
                    </w:rPr>
                  </w:pPr>
                </w:p>
              </w:tc>
              <w:tc>
                <w:tcPr>
                  <w:tcW w:w="1373" w:type="dxa"/>
                  <w:gridSpan w:val="2"/>
                  <w:vMerge w:val="continue"/>
                  <w:tcBorders>
                    <w:right w:val="single" w:color="auto" w:sz="4" w:space="0"/>
                    <w:tl2br w:val="nil"/>
                    <w:tr2bl w:val="nil"/>
                  </w:tcBorders>
                  <w:vAlign w:val="center"/>
                </w:tcPr>
                <w:p>
                  <w:pPr>
                    <w:spacing w:line="240" w:lineRule="auto"/>
                    <w:ind w:left="-120" w:leftChars="-50" w:right="-120" w:rightChars="-50"/>
                    <w:jc w:val="center"/>
                    <w:rPr>
                      <w:rFonts w:hint="default" w:ascii="Times New Roman" w:hAnsi="Times New Roman" w:eastAsia="宋体" w:cs="Times New Roman"/>
                      <w:b/>
                      <w:bCs/>
                      <w:sz w:val="21"/>
                      <w:szCs w:val="21"/>
                    </w:rPr>
                  </w:pPr>
                </w:p>
              </w:tc>
              <w:tc>
                <w:tcPr>
                  <w:tcW w:w="456" w:type="dxa"/>
                  <w:vMerge w:val="continue"/>
                  <w:tcBorders>
                    <w:left w:val="single" w:color="auto" w:sz="4" w:space="0"/>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p>
              </w:tc>
              <w:tc>
                <w:tcPr>
                  <w:tcW w:w="2248" w:type="dxa"/>
                  <w:gridSpan w:val="3"/>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污染物排放量</w:t>
                  </w:r>
                </w:p>
              </w:tc>
              <w:tc>
                <w:tcPr>
                  <w:tcW w:w="626" w:type="dxa"/>
                  <w:vMerge w:val="restart"/>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对应的排气筒编号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555"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c>
                <w:tcPr>
                  <w:tcW w:w="986" w:type="dxa"/>
                  <w:gridSpan w:val="2"/>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c>
                <w:tcPr>
                  <w:tcW w:w="565"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c>
                <w:tcPr>
                  <w:tcW w:w="863"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产生量</w:t>
                  </w:r>
                </w:p>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t/a</w:t>
                  </w:r>
                </w:p>
              </w:tc>
              <w:tc>
                <w:tcPr>
                  <w:tcW w:w="851"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产生速率kg/h</w:t>
                  </w:r>
                </w:p>
              </w:tc>
              <w:tc>
                <w:tcPr>
                  <w:tcW w:w="850"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产生</w:t>
                  </w:r>
                </w:p>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浓度mg/m</w:t>
                  </w:r>
                  <w:r>
                    <w:rPr>
                      <w:rFonts w:hint="default" w:ascii="Times New Roman" w:hAnsi="Times New Roman" w:eastAsia="宋体" w:cs="Times New Roman"/>
                      <w:b/>
                      <w:bCs/>
                      <w:kern w:val="0"/>
                      <w:sz w:val="21"/>
                      <w:szCs w:val="21"/>
                      <w:vertAlign w:val="superscript"/>
                    </w:rPr>
                    <w:t>3</w:t>
                  </w:r>
                </w:p>
              </w:tc>
              <w:tc>
                <w:tcPr>
                  <w:tcW w:w="758"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工艺</w:t>
                  </w:r>
                </w:p>
              </w:tc>
              <w:tc>
                <w:tcPr>
                  <w:tcW w:w="615" w:type="dxa"/>
                  <w:tcBorders>
                    <w:right w:val="single" w:color="auto" w:sz="4" w:space="0"/>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是否为可行技术</w:t>
                  </w:r>
                </w:p>
              </w:tc>
              <w:tc>
                <w:tcPr>
                  <w:tcW w:w="456" w:type="dxa"/>
                  <w:vMerge w:val="continue"/>
                  <w:tcBorders>
                    <w:left w:val="single" w:color="auto" w:sz="4" w:space="0"/>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p>
              </w:tc>
              <w:tc>
                <w:tcPr>
                  <w:tcW w:w="705"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年排放量t/a</w:t>
                  </w:r>
                </w:p>
              </w:tc>
              <w:tc>
                <w:tcPr>
                  <w:tcW w:w="706"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排放速率kg/h</w:t>
                  </w:r>
                </w:p>
              </w:tc>
              <w:tc>
                <w:tcPr>
                  <w:tcW w:w="837"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排放浓度mg/m</w:t>
                  </w:r>
                  <w:r>
                    <w:rPr>
                      <w:rFonts w:hint="default" w:ascii="Times New Roman" w:hAnsi="Times New Roman" w:eastAsia="宋体" w:cs="Times New Roman"/>
                      <w:b/>
                      <w:bCs/>
                      <w:kern w:val="0"/>
                      <w:sz w:val="21"/>
                      <w:szCs w:val="21"/>
                      <w:vertAlign w:val="superscript"/>
                    </w:rPr>
                    <w:t>3</w:t>
                  </w:r>
                </w:p>
              </w:tc>
              <w:tc>
                <w:tcPr>
                  <w:tcW w:w="626"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555" w:type="dxa"/>
                  <w:vMerge w:val="restart"/>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w:t>
                  </w:r>
                </w:p>
              </w:tc>
              <w:tc>
                <w:tcPr>
                  <w:tcW w:w="424" w:type="dxa"/>
                  <w:vMerge w:val="restart"/>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一期项目污水处理</w:t>
                  </w:r>
                </w:p>
              </w:tc>
              <w:tc>
                <w:tcPr>
                  <w:tcW w:w="562" w:type="dxa"/>
                  <w:vMerge w:val="restart"/>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恶臭</w:t>
                  </w:r>
                </w:p>
              </w:tc>
              <w:tc>
                <w:tcPr>
                  <w:tcW w:w="565"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NH</w:t>
                  </w:r>
                  <w:r>
                    <w:rPr>
                      <w:rFonts w:hint="default" w:ascii="Times New Roman" w:hAnsi="Times New Roman" w:eastAsia="宋体" w:cs="Times New Roman"/>
                      <w:bCs/>
                      <w:sz w:val="21"/>
                      <w:szCs w:val="21"/>
                      <w:vertAlign w:val="subscript"/>
                    </w:rPr>
                    <w:t>3</w:t>
                  </w:r>
                </w:p>
              </w:tc>
              <w:tc>
                <w:tcPr>
                  <w:tcW w:w="863"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1.344 </w:t>
                  </w:r>
                </w:p>
              </w:tc>
              <w:tc>
                <w:tcPr>
                  <w:tcW w:w="851" w:type="dxa"/>
                  <w:tcBorders>
                    <w:tl2br w:val="nil"/>
                    <w:tr2bl w:val="nil"/>
                  </w:tcBorders>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0.1534 </w:t>
                  </w:r>
                </w:p>
              </w:tc>
              <w:tc>
                <w:tcPr>
                  <w:tcW w:w="850" w:type="dxa"/>
                  <w:tcBorders>
                    <w:tl2br w:val="nil"/>
                    <w:tr2bl w:val="nil"/>
                  </w:tcBorders>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6.1 </w:t>
                  </w:r>
                </w:p>
              </w:tc>
              <w:tc>
                <w:tcPr>
                  <w:tcW w:w="758" w:type="dxa"/>
                  <w:vMerge w:val="restart"/>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生物除臭滤池TA001</w:t>
                  </w:r>
                </w:p>
              </w:tc>
              <w:tc>
                <w:tcPr>
                  <w:tcW w:w="615" w:type="dxa"/>
                  <w:vMerge w:val="restart"/>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是</w:t>
                  </w:r>
                </w:p>
              </w:tc>
              <w:tc>
                <w:tcPr>
                  <w:tcW w:w="456" w:type="dxa"/>
                  <w:vMerge w:val="restart"/>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8760</w:t>
                  </w:r>
                </w:p>
              </w:tc>
              <w:tc>
                <w:tcPr>
                  <w:tcW w:w="70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0.060 </w:t>
                  </w:r>
                </w:p>
              </w:tc>
              <w:tc>
                <w:tcPr>
                  <w:tcW w:w="70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0.0069 </w:t>
                  </w:r>
                </w:p>
              </w:tc>
              <w:tc>
                <w:tcPr>
                  <w:tcW w:w="837"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0.276 </w:t>
                  </w:r>
                </w:p>
              </w:tc>
              <w:tc>
                <w:tcPr>
                  <w:tcW w:w="626" w:type="dxa"/>
                  <w:vMerge w:val="restart"/>
                  <w:tcBorders>
                    <w:tl2br w:val="nil"/>
                    <w:tr2bl w:val="nil"/>
                  </w:tcBorders>
                  <w:noWrap/>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DA001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555"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c>
                <w:tcPr>
                  <w:tcW w:w="424"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c>
                <w:tcPr>
                  <w:tcW w:w="562"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c>
                <w:tcPr>
                  <w:tcW w:w="565"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H</w:t>
                  </w:r>
                  <w:r>
                    <w:rPr>
                      <w:rFonts w:hint="default" w:ascii="Times New Roman" w:hAnsi="Times New Roman" w:eastAsia="宋体" w:cs="Times New Roman"/>
                      <w:bCs/>
                      <w:sz w:val="21"/>
                      <w:szCs w:val="21"/>
                      <w:vertAlign w:val="subscript"/>
                    </w:rPr>
                    <w:t>2</w:t>
                  </w:r>
                  <w:r>
                    <w:rPr>
                      <w:rFonts w:hint="default" w:ascii="Times New Roman" w:hAnsi="Times New Roman" w:eastAsia="宋体" w:cs="Times New Roman"/>
                      <w:bCs/>
                      <w:sz w:val="21"/>
                      <w:szCs w:val="21"/>
                    </w:rPr>
                    <w:t>S</w:t>
                  </w:r>
                </w:p>
              </w:tc>
              <w:tc>
                <w:tcPr>
                  <w:tcW w:w="863"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0.045 </w:t>
                  </w:r>
                </w:p>
              </w:tc>
              <w:tc>
                <w:tcPr>
                  <w:tcW w:w="851" w:type="dxa"/>
                  <w:tcBorders>
                    <w:tl2br w:val="nil"/>
                    <w:tr2bl w:val="nil"/>
                  </w:tcBorders>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0.0051 </w:t>
                  </w:r>
                </w:p>
              </w:tc>
              <w:tc>
                <w:tcPr>
                  <w:tcW w:w="850" w:type="dxa"/>
                  <w:tcBorders>
                    <w:tl2br w:val="nil"/>
                    <w:tr2bl w:val="nil"/>
                  </w:tcBorders>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0.2 </w:t>
                  </w:r>
                </w:p>
              </w:tc>
              <w:tc>
                <w:tcPr>
                  <w:tcW w:w="758" w:type="dxa"/>
                  <w:vMerge w:val="continue"/>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p>
              </w:tc>
              <w:tc>
                <w:tcPr>
                  <w:tcW w:w="615" w:type="dxa"/>
                  <w:vMerge w:val="continue"/>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p>
              </w:tc>
              <w:tc>
                <w:tcPr>
                  <w:tcW w:w="456"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c>
                <w:tcPr>
                  <w:tcW w:w="70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0.002 </w:t>
                  </w:r>
                </w:p>
              </w:tc>
              <w:tc>
                <w:tcPr>
                  <w:tcW w:w="70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0.0002 </w:t>
                  </w:r>
                </w:p>
              </w:tc>
              <w:tc>
                <w:tcPr>
                  <w:tcW w:w="837"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0.009 </w:t>
                  </w:r>
                </w:p>
              </w:tc>
              <w:tc>
                <w:tcPr>
                  <w:tcW w:w="626" w:type="dxa"/>
                  <w:vMerge w:val="continue"/>
                  <w:tcBorders>
                    <w:tl2br w:val="nil"/>
                    <w:tr2bl w:val="nil"/>
                  </w:tcBorders>
                  <w:noWrap/>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555" w:type="dxa"/>
                  <w:vMerge w:val="restart"/>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424" w:type="dxa"/>
                  <w:vMerge w:val="restart"/>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二期项目污水处理</w:t>
                  </w:r>
                </w:p>
              </w:tc>
              <w:tc>
                <w:tcPr>
                  <w:tcW w:w="562" w:type="dxa"/>
                  <w:vMerge w:val="restart"/>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恶臭</w:t>
                  </w:r>
                </w:p>
              </w:tc>
              <w:tc>
                <w:tcPr>
                  <w:tcW w:w="565"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NH</w:t>
                  </w:r>
                  <w:r>
                    <w:rPr>
                      <w:rFonts w:hint="default" w:ascii="Times New Roman" w:hAnsi="Times New Roman" w:eastAsia="宋体" w:cs="Times New Roman"/>
                      <w:bCs/>
                      <w:sz w:val="21"/>
                      <w:szCs w:val="21"/>
                      <w:vertAlign w:val="subscript"/>
                    </w:rPr>
                    <w:t>3</w:t>
                  </w:r>
                </w:p>
              </w:tc>
              <w:tc>
                <w:tcPr>
                  <w:tcW w:w="863"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0.549 </w:t>
                  </w:r>
                </w:p>
              </w:tc>
              <w:tc>
                <w:tcPr>
                  <w:tcW w:w="851" w:type="dxa"/>
                  <w:tcBorders>
                    <w:tl2br w:val="nil"/>
                    <w:tr2bl w:val="nil"/>
                  </w:tcBorders>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0.0627 </w:t>
                  </w:r>
                </w:p>
              </w:tc>
              <w:tc>
                <w:tcPr>
                  <w:tcW w:w="850" w:type="dxa"/>
                  <w:tcBorders>
                    <w:tl2br w:val="nil"/>
                    <w:tr2bl w:val="nil"/>
                  </w:tcBorders>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6.3 </w:t>
                  </w:r>
                </w:p>
              </w:tc>
              <w:tc>
                <w:tcPr>
                  <w:tcW w:w="758" w:type="dxa"/>
                  <w:vMerge w:val="restart"/>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生物除臭滤池TA002</w:t>
                  </w:r>
                </w:p>
              </w:tc>
              <w:tc>
                <w:tcPr>
                  <w:tcW w:w="615" w:type="dxa"/>
                  <w:vMerge w:val="continue"/>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p>
              </w:tc>
              <w:tc>
                <w:tcPr>
                  <w:tcW w:w="456"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c>
                <w:tcPr>
                  <w:tcW w:w="70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0.025 </w:t>
                  </w:r>
                </w:p>
              </w:tc>
              <w:tc>
                <w:tcPr>
                  <w:tcW w:w="70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0.0028 </w:t>
                  </w:r>
                </w:p>
              </w:tc>
              <w:tc>
                <w:tcPr>
                  <w:tcW w:w="837"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0.113 </w:t>
                  </w:r>
                </w:p>
              </w:tc>
              <w:tc>
                <w:tcPr>
                  <w:tcW w:w="626" w:type="dxa"/>
                  <w:vMerge w:val="restart"/>
                  <w:tcBorders>
                    <w:tl2br w:val="nil"/>
                    <w:tr2bl w:val="nil"/>
                  </w:tcBorders>
                  <w:noWrap/>
                  <w:vAlign w:val="center"/>
                </w:tcPr>
                <w:p>
                  <w:pPr>
                    <w:spacing w:line="240" w:lineRule="auto"/>
                    <w:ind w:left="-120" w:leftChars="-50" w:right="-120" w:rightChars="-5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DA002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atLeast"/>
                <w:jc w:val="center"/>
              </w:trPr>
              <w:tc>
                <w:tcPr>
                  <w:tcW w:w="555"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c>
                <w:tcPr>
                  <w:tcW w:w="424"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c>
                <w:tcPr>
                  <w:tcW w:w="562"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c>
                <w:tcPr>
                  <w:tcW w:w="565"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H</w:t>
                  </w:r>
                  <w:r>
                    <w:rPr>
                      <w:rFonts w:hint="default" w:ascii="Times New Roman" w:hAnsi="Times New Roman" w:eastAsia="宋体" w:cs="Times New Roman"/>
                      <w:bCs/>
                      <w:sz w:val="21"/>
                      <w:szCs w:val="21"/>
                      <w:vertAlign w:val="subscript"/>
                    </w:rPr>
                    <w:t>2</w:t>
                  </w:r>
                  <w:r>
                    <w:rPr>
                      <w:rFonts w:hint="default" w:ascii="Times New Roman" w:hAnsi="Times New Roman" w:eastAsia="宋体" w:cs="Times New Roman"/>
                      <w:bCs/>
                      <w:sz w:val="21"/>
                      <w:szCs w:val="21"/>
                    </w:rPr>
                    <w:t>S</w:t>
                  </w:r>
                </w:p>
              </w:tc>
              <w:tc>
                <w:tcPr>
                  <w:tcW w:w="863" w:type="dxa"/>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0.014 </w:t>
                  </w:r>
                </w:p>
              </w:tc>
              <w:tc>
                <w:tcPr>
                  <w:tcW w:w="851" w:type="dxa"/>
                  <w:tcBorders>
                    <w:tl2br w:val="nil"/>
                    <w:tr2bl w:val="nil"/>
                  </w:tcBorders>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0.0016 </w:t>
                  </w:r>
                </w:p>
              </w:tc>
              <w:tc>
                <w:tcPr>
                  <w:tcW w:w="850" w:type="dxa"/>
                  <w:tcBorders>
                    <w:tl2br w:val="nil"/>
                    <w:tr2bl w:val="nil"/>
                  </w:tcBorders>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0.2 </w:t>
                  </w:r>
                </w:p>
              </w:tc>
              <w:tc>
                <w:tcPr>
                  <w:tcW w:w="758" w:type="dxa"/>
                  <w:vMerge w:val="continue"/>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p>
              </w:tc>
              <w:tc>
                <w:tcPr>
                  <w:tcW w:w="615" w:type="dxa"/>
                  <w:vMerge w:val="continue"/>
                  <w:tcBorders>
                    <w:tl2br w:val="nil"/>
                    <w:tr2bl w:val="nil"/>
                  </w:tcBorders>
                  <w:vAlign w:val="center"/>
                </w:tcPr>
                <w:p>
                  <w:pPr>
                    <w:spacing w:line="240" w:lineRule="auto"/>
                    <w:ind w:left="-120" w:leftChars="-50" w:right="-120" w:rightChars="-50"/>
                    <w:jc w:val="center"/>
                    <w:textAlignment w:val="center"/>
                    <w:rPr>
                      <w:rFonts w:hint="default" w:ascii="Times New Roman" w:hAnsi="Times New Roman" w:eastAsia="宋体" w:cs="Times New Roman"/>
                      <w:sz w:val="21"/>
                      <w:szCs w:val="21"/>
                    </w:rPr>
                  </w:pPr>
                </w:p>
              </w:tc>
              <w:tc>
                <w:tcPr>
                  <w:tcW w:w="456" w:type="dxa"/>
                  <w:vMerge w:val="continue"/>
                  <w:tcBorders>
                    <w:tl2br w:val="nil"/>
                    <w:tr2bl w:val="nil"/>
                  </w:tcBorders>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c>
                <w:tcPr>
                  <w:tcW w:w="705"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0.001 </w:t>
                  </w:r>
                </w:p>
              </w:tc>
              <w:tc>
                <w:tcPr>
                  <w:tcW w:w="706"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0.0001 </w:t>
                  </w:r>
                </w:p>
              </w:tc>
              <w:tc>
                <w:tcPr>
                  <w:tcW w:w="837" w:type="dxa"/>
                  <w:tcBorders>
                    <w:tl2br w:val="nil"/>
                    <w:tr2bl w:val="nil"/>
                  </w:tcBorders>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0.003 </w:t>
                  </w:r>
                </w:p>
              </w:tc>
              <w:tc>
                <w:tcPr>
                  <w:tcW w:w="626" w:type="dxa"/>
                  <w:vMerge w:val="continue"/>
                  <w:tcBorders>
                    <w:tl2br w:val="nil"/>
                    <w:tr2bl w:val="nil"/>
                  </w:tcBorders>
                  <w:noWrap/>
                  <w:vAlign w:val="center"/>
                </w:tcPr>
                <w:p>
                  <w:pPr>
                    <w:spacing w:line="240" w:lineRule="auto"/>
                    <w:ind w:left="-120" w:leftChars="-50" w:right="-120" w:rightChars="-50"/>
                    <w:jc w:val="center"/>
                    <w:rPr>
                      <w:rFonts w:hint="default" w:ascii="Times New Roman" w:hAnsi="Times New Roman" w:eastAsia="宋体" w:cs="Times New Roman"/>
                      <w:sz w:val="21"/>
                      <w:szCs w:val="21"/>
                    </w:rPr>
                  </w:pPr>
                </w:p>
              </w:tc>
            </w:tr>
          </w:tbl>
          <w:p>
            <w:pPr>
              <w:widowControl/>
              <w:ind w:firstLine="482" w:firstLineChars="200"/>
              <w:jc w:val="left"/>
              <w:rPr>
                <w:rFonts w:hint="default" w:ascii="Times New Roman" w:hAnsi="Times New Roman" w:cs="Times New Roman"/>
                <w:b/>
                <w:kern w:val="0"/>
                <w:szCs w:val="20"/>
              </w:rPr>
            </w:pPr>
            <w:r>
              <w:rPr>
                <w:rFonts w:hint="default" w:ascii="Times New Roman" w:hAnsi="Times New Roman" w:eastAsia="宋体" w:cs="Times New Roman"/>
                <w:b/>
                <w:kern w:val="0"/>
                <w:szCs w:val="20"/>
              </w:rPr>
              <w:t>②</w:t>
            </w:r>
            <w:r>
              <w:rPr>
                <w:rFonts w:hint="default" w:ascii="Times New Roman" w:hAnsi="Times New Roman" w:cs="Times New Roman"/>
                <w:b/>
                <w:kern w:val="0"/>
                <w:szCs w:val="20"/>
              </w:rPr>
              <w:t>治理措施</w:t>
            </w:r>
          </w:p>
          <w:p>
            <w:pPr>
              <w:widowControl w:val="0"/>
              <w:ind w:firstLine="480" w:firstLineChars="200"/>
              <w:jc w:val="both"/>
              <w:rPr>
                <w:rFonts w:hint="default" w:ascii="Times New Roman" w:hAnsi="Times New Roman" w:cs="Times New Roman"/>
              </w:rPr>
            </w:pPr>
            <w:r>
              <w:rPr>
                <w:rFonts w:hint="default" w:ascii="Times New Roman" w:hAnsi="Times New Roman" w:cs="Times New Roman"/>
              </w:rPr>
              <w:t>环评要求：</w:t>
            </w:r>
          </w:p>
          <w:p>
            <w:pPr>
              <w:pStyle w:val="18"/>
              <w:widowControl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针对以上恶臭产生源，对粗格栅井、调节池、细格栅、旋流沉砂池、生化池等加盖收集废气，污泥储池、污泥脱水车间的浓缩机房、压滤机房产生的恶臭气体经收集后，经生物除臭装置处理后由15m高的排气筒有组织排放，密闭微负压收集，废气捕集率约90%，生物除臭装置的去除效率可达95%，加盖材料、引风管道及处理设施应采用耐腐蚀材料。</w:t>
            </w:r>
          </w:p>
          <w:p>
            <w:pPr>
              <w:pStyle w:val="18"/>
              <w:widowControl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本项目日处理污水处理量的设计规模为10000 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/d，项目为分期建设，一期污水处理量为5000m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/d，二期污水处理量为5000m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p>
          <w:p>
            <w:pPr>
              <w:pStyle w:val="18"/>
              <w:widowControl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根据设计可知，粗格栅及调节池、细格栅及旋流沉砂池、污泥储池、污泥脱水车间的土建均按照总项目规模（10000 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/d）进行设计施工，一期、二期共用；A/A/O-MBBR膜池、高效沉淀池等按照一期（5000 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/d）、二期（5000 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/d）分别设计施工。</w:t>
            </w:r>
          </w:p>
          <w:p>
            <w:pPr>
              <w:pStyle w:val="18"/>
              <w:widowControl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因此，本次环评考虑项目可实施性，建议共设置2套恶臭处理装置，根据《城镇污水处理厂臭气处理技术规程》（CJJ/T243-2016）臭气风量计算以及参考同类型报告，前期项目的生物除臭装置设计风量为25000 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/h，二期项目的生物除臭装置设计风量为10000 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/h。</w:t>
            </w:r>
          </w:p>
          <w:p>
            <w:pPr>
              <w:pStyle w:val="18"/>
              <w:widowControl w:val="0"/>
              <w:spacing w:before="0"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一期项目中各恶臭产生点采取加盖处理，通过管道收集后，经1套生物除臭装置（TA001，设计风量为25000m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/h），处理达标后经1根排气筒（DA001）有组织排放；二期项目中各恶臭产生点采取加盖处理，通过管道收集后，经1套生物除臭装置（TA002，设计风量为10000m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/h），处理达标后经1根排气筒（DA002）有组织排放。</w:t>
            </w:r>
          </w:p>
          <w:p>
            <w:pPr>
              <w:widowControl w:val="0"/>
              <w:ind w:firstLine="482" w:firstLineChars="200"/>
              <w:jc w:val="both"/>
              <w:rPr>
                <w:rFonts w:hint="default" w:ascii="Times New Roman" w:hAnsi="Times New Roman" w:cs="Times New Roman"/>
                <w:b/>
                <w:kern w:val="0"/>
              </w:rPr>
            </w:pPr>
            <w:r>
              <w:rPr>
                <w:rFonts w:hint="default" w:ascii="Times New Roman" w:hAnsi="Times New Roman" w:cs="Times New Roman"/>
                <w:b/>
                <w:kern w:val="0"/>
              </w:rPr>
              <w:t>生物除臭原理：</w:t>
            </w:r>
          </w:p>
          <w:p>
            <w:pPr>
              <w:widowControl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本项目采用生物滤池除臭，原理是指加湿后的废气被通入填充有填料（如堆肥、土壤、树皮、珍珠岩、沸石、有机塑料等等）的生物过滤器中，与填料上所附着生长的生物膜（微生物）接触，被微生物所吸附降解，最终转化为简单的无机物（如CO</w:t>
            </w:r>
            <w:r>
              <w:rPr>
                <w:rFonts w:hint="default" w:ascii="Times New Roman" w:hAnsi="Times New Roman" w:cs="Times New Roman"/>
                <w:kern w:val="0"/>
                <w:vertAlign w:val="subscript"/>
              </w:rPr>
              <w:t>2</w:t>
            </w:r>
            <w:r>
              <w:rPr>
                <w:rFonts w:hint="default" w:ascii="Times New Roman" w:hAnsi="Times New Roman" w:cs="Times New Roman"/>
                <w:kern w:val="0"/>
              </w:rPr>
              <w:t>、H</w:t>
            </w:r>
            <w:r>
              <w:rPr>
                <w:rFonts w:hint="default" w:ascii="Times New Roman" w:hAnsi="Times New Roman" w:cs="Times New Roman"/>
                <w:kern w:val="0"/>
                <w:vertAlign w:val="subscript"/>
              </w:rPr>
              <w:t>2</w:t>
            </w:r>
            <w:r>
              <w:rPr>
                <w:rFonts w:hint="default" w:ascii="Times New Roman" w:hAnsi="Times New Roman" w:cs="Times New Roman"/>
                <w:kern w:val="0"/>
              </w:rPr>
              <w:t>O、SO</w:t>
            </w:r>
            <w:r>
              <w:rPr>
                <w:rFonts w:hint="default" w:ascii="Times New Roman" w:hAnsi="Times New Roman" w:cs="Times New Roman"/>
                <w:kern w:val="0"/>
                <w:vertAlign w:val="subscript"/>
              </w:rPr>
              <w:t>4</w:t>
            </w:r>
            <w:r>
              <w:rPr>
                <w:rFonts w:hint="default" w:ascii="Times New Roman" w:hAnsi="Times New Roman" w:cs="Times New Roman"/>
                <w:kern w:val="0"/>
                <w:vertAlign w:val="superscript"/>
              </w:rPr>
              <w:t>2-</w:t>
            </w:r>
            <w:r>
              <w:rPr>
                <w:rFonts w:hint="default" w:ascii="Times New Roman" w:hAnsi="Times New Roman" w:cs="Times New Roman"/>
                <w:kern w:val="0"/>
              </w:rPr>
              <w:t>、NO</w:t>
            </w:r>
            <w:r>
              <w:rPr>
                <w:rFonts w:hint="default" w:ascii="Times New Roman" w:hAnsi="Times New Roman" w:cs="Times New Roman"/>
                <w:kern w:val="0"/>
                <w:vertAlign w:val="subscript"/>
              </w:rPr>
              <w:t>3</w:t>
            </w:r>
            <w:r>
              <w:rPr>
                <w:rFonts w:hint="default" w:ascii="Times New Roman" w:hAnsi="Times New Roman" w:cs="Times New Roman"/>
                <w:kern w:val="0"/>
                <w:vertAlign w:val="superscript"/>
              </w:rPr>
              <w:t>-</w:t>
            </w:r>
            <w:r>
              <w:rPr>
                <w:rFonts w:hint="default" w:ascii="Times New Roman" w:hAnsi="Times New Roman" w:cs="Times New Roman"/>
                <w:kern w:val="0"/>
              </w:rPr>
              <w:t>和Cl</w:t>
            </w:r>
            <w:r>
              <w:rPr>
                <w:rFonts w:hint="default" w:ascii="Times New Roman" w:hAnsi="Times New Roman" w:cs="Times New Roman"/>
                <w:kern w:val="0"/>
                <w:vertAlign w:val="superscript"/>
              </w:rPr>
              <w:t>-</w:t>
            </w:r>
            <w:r>
              <w:rPr>
                <w:rFonts w:hint="default" w:ascii="Times New Roman" w:hAnsi="Times New Roman" w:cs="Times New Roman"/>
                <w:kern w:val="0"/>
              </w:rPr>
              <w:t>等）或合成新细胞物质，处理后的气体在从生物过滤器的另一端排出。生物过滤器所填充的填料需维持一定的pH范围、湿度和营养，以维持微生物的正常代谢活动，这些营养和湿度可以通过填料自身提供或外加。生物过滤法对废气去除是不同的生化作用与物理化学作用的复杂结合的结果。其降解机理如下：</w:t>
            </w:r>
          </w:p>
          <w:p>
            <w:pPr>
              <w:widowControl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H</w:t>
            </w:r>
            <w:r>
              <w:rPr>
                <w:rFonts w:hint="default" w:ascii="Times New Roman" w:hAnsi="Times New Roman" w:cs="Times New Roman"/>
                <w:kern w:val="0"/>
                <w:vertAlign w:val="subscript"/>
              </w:rPr>
              <w:t>2</w:t>
            </w:r>
            <w:r>
              <w:rPr>
                <w:rFonts w:hint="default" w:ascii="Times New Roman" w:hAnsi="Times New Roman" w:cs="Times New Roman"/>
                <w:kern w:val="0"/>
              </w:rPr>
              <w:t>S或其它含硫物质+O</w:t>
            </w:r>
            <w:r>
              <w:rPr>
                <w:rFonts w:hint="default" w:ascii="Times New Roman" w:hAnsi="Times New Roman" w:cs="Times New Roman"/>
                <w:kern w:val="0"/>
                <w:vertAlign w:val="subscript"/>
              </w:rPr>
              <w:t>2</w:t>
            </w:r>
            <w:r>
              <w:rPr>
                <w:rFonts w:hint="default" w:ascii="Times New Roman" w:hAnsi="Times New Roman" w:cs="Times New Roman"/>
                <w:kern w:val="0"/>
              </w:rPr>
              <w:t>→SO</w:t>
            </w:r>
            <w:r>
              <w:rPr>
                <w:rFonts w:hint="default" w:ascii="Times New Roman" w:hAnsi="Times New Roman" w:cs="Times New Roman"/>
                <w:kern w:val="0"/>
                <w:vertAlign w:val="subscript"/>
              </w:rPr>
              <w:t>4</w:t>
            </w:r>
            <w:r>
              <w:rPr>
                <w:rFonts w:hint="default" w:ascii="Times New Roman" w:hAnsi="Times New Roman" w:cs="Times New Roman"/>
                <w:kern w:val="0"/>
                <w:vertAlign w:val="superscript"/>
              </w:rPr>
              <w:t>2-</w:t>
            </w:r>
            <w:r>
              <w:rPr>
                <w:rFonts w:hint="default" w:ascii="Times New Roman" w:hAnsi="Times New Roman" w:cs="Times New Roman"/>
                <w:kern w:val="0"/>
              </w:rPr>
              <w:t>+CO</w:t>
            </w:r>
            <w:r>
              <w:rPr>
                <w:rFonts w:hint="default" w:ascii="Times New Roman" w:hAnsi="Times New Roman" w:cs="Times New Roman"/>
                <w:kern w:val="0"/>
                <w:vertAlign w:val="subscript"/>
              </w:rPr>
              <w:t>2</w:t>
            </w:r>
            <w:r>
              <w:rPr>
                <w:rFonts w:hint="default" w:ascii="Times New Roman" w:hAnsi="Times New Roman" w:cs="Times New Roman"/>
                <w:kern w:val="0"/>
              </w:rPr>
              <w:t>+H</w:t>
            </w:r>
            <w:r>
              <w:rPr>
                <w:rFonts w:hint="default" w:ascii="Times New Roman" w:hAnsi="Times New Roman" w:cs="Times New Roman"/>
                <w:kern w:val="0"/>
                <w:vertAlign w:val="subscript"/>
              </w:rPr>
              <w:t>2</w:t>
            </w:r>
            <w:r>
              <w:rPr>
                <w:rFonts w:hint="default" w:ascii="Times New Roman" w:hAnsi="Times New Roman" w:cs="Times New Roman"/>
                <w:kern w:val="0"/>
              </w:rPr>
              <w:t>O+细胞物质</w:t>
            </w:r>
          </w:p>
          <w:p>
            <w:pPr>
              <w:widowControl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NH</w:t>
            </w:r>
            <w:r>
              <w:rPr>
                <w:rFonts w:hint="default" w:ascii="Times New Roman" w:hAnsi="Times New Roman" w:cs="Times New Roman"/>
                <w:kern w:val="0"/>
                <w:vertAlign w:val="subscript"/>
              </w:rPr>
              <w:t>3</w:t>
            </w:r>
            <w:r>
              <w:rPr>
                <w:rFonts w:hint="default" w:ascii="Times New Roman" w:hAnsi="Times New Roman" w:cs="Times New Roman"/>
                <w:kern w:val="0"/>
              </w:rPr>
              <w:t>或含N无机化合物+O</w:t>
            </w:r>
            <w:r>
              <w:rPr>
                <w:rFonts w:hint="default" w:ascii="Times New Roman" w:hAnsi="Times New Roman" w:cs="Times New Roman"/>
                <w:kern w:val="0"/>
                <w:vertAlign w:val="subscript"/>
              </w:rPr>
              <w:t>2</w:t>
            </w:r>
            <w:r>
              <w:rPr>
                <w:rFonts w:hint="default" w:ascii="Times New Roman" w:hAnsi="Times New Roman" w:cs="Times New Roman"/>
                <w:kern w:val="0"/>
              </w:rPr>
              <w:t>→CO</w:t>
            </w:r>
            <w:r>
              <w:rPr>
                <w:rFonts w:hint="default" w:ascii="Times New Roman" w:hAnsi="Times New Roman" w:cs="Times New Roman"/>
                <w:kern w:val="0"/>
                <w:vertAlign w:val="subscript"/>
              </w:rPr>
              <w:t>2</w:t>
            </w:r>
            <w:r>
              <w:rPr>
                <w:rFonts w:hint="default" w:ascii="Times New Roman" w:hAnsi="Times New Roman" w:cs="Times New Roman"/>
                <w:kern w:val="0"/>
              </w:rPr>
              <w:t>+NO</w:t>
            </w:r>
            <w:r>
              <w:rPr>
                <w:rFonts w:hint="default" w:ascii="Times New Roman" w:hAnsi="Times New Roman" w:cs="Times New Roman"/>
                <w:kern w:val="0"/>
                <w:vertAlign w:val="subscript"/>
              </w:rPr>
              <w:t>3</w:t>
            </w:r>
            <w:r>
              <w:rPr>
                <w:rFonts w:hint="default" w:ascii="Times New Roman" w:hAnsi="Times New Roman" w:cs="Times New Roman"/>
                <w:kern w:val="0"/>
                <w:vertAlign w:val="superscript"/>
              </w:rPr>
              <w:t>-</w:t>
            </w:r>
            <w:r>
              <w:rPr>
                <w:rFonts w:hint="default" w:ascii="Times New Roman" w:hAnsi="Times New Roman" w:cs="Times New Roman"/>
                <w:kern w:val="0"/>
              </w:rPr>
              <w:t>+H</w:t>
            </w:r>
            <w:r>
              <w:rPr>
                <w:rFonts w:hint="default" w:ascii="Times New Roman" w:hAnsi="Times New Roman" w:cs="Times New Roman"/>
                <w:kern w:val="0"/>
                <w:vertAlign w:val="subscript"/>
              </w:rPr>
              <w:t>2</w:t>
            </w:r>
            <w:r>
              <w:rPr>
                <w:rFonts w:hint="default" w:ascii="Times New Roman" w:hAnsi="Times New Roman" w:cs="Times New Roman"/>
                <w:kern w:val="0"/>
              </w:rPr>
              <w:t>O+细胞物质</w:t>
            </w:r>
          </w:p>
          <w:p>
            <w:pPr>
              <w:widowControl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同时，除臭滤床本体结构为玻璃钢材料，并成套配置加湿、喷淋系统，含循环水箱、循环水泵（带液位开关）、布水管道及喷头、支架、吊架等。</w:t>
            </w:r>
          </w:p>
          <w:p>
            <w:pPr>
              <w:widowControl w:val="0"/>
              <w:ind w:firstLine="480" w:firstLineChars="200"/>
              <w:jc w:val="both"/>
              <w:rPr>
                <w:rFonts w:hint="default" w:ascii="Times New Roman" w:hAnsi="Times New Roman" w:cs="Times New Roman"/>
                <w:kern w:val="0"/>
              </w:rPr>
            </w:pPr>
            <w:r>
              <w:rPr>
                <w:rFonts w:hint="default" w:ascii="Times New Roman" w:hAnsi="Times New Roman" w:cs="Times New Roman"/>
                <w:kern w:val="0"/>
              </w:rPr>
              <w:t>生物滤池除臭装置的循环水池将定期排放一定的废水，废水排至本污水厂进行处理；另外，每隔3~5年将淘汰生物填料作为固废，废弃填料由生产厂家回收处置。</w:t>
            </w:r>
          </w:p>
          <w:p>
            <w:pPr>
              <w:widowControl w:val="0"/>
              <w:ind w:firstLine="448" w:firstLineChars="200"/>
              <w:jc w:val="both"/>
              <w:rPr>
                <w:rFonts w:hint="default" w:ascii="Times New Roman" w:hAnsi="Times New Roman" w:cs="Times New Roman"/>
                <w:spacing w:val="-8"/>
              </w:rPr>
            </w:pPr>
            <w:r>
              <w:rPr>
                <w:rFonts w:hint="default" w:ascii="Times New Roman" w:hAnsi="Times New Roman" w:cs="Times New Roman"/>
                <w:spacing w:val="-8"/>
              </w:rPr>
              <w:t>根据《排污许可证申请与核发技术规范 水处理（试行）》（HJ 978-2018）中对废气治理可行技术参考其中表 5，可知恶臭的可行性治理措施，见下表。</w:t>
            </w:r>
          </w:p>
          <w:p>
            <w:pPr>
              <w:pStyle w:val="161"/>
              <w:numPr>
                <w:ilvl w:val="0"/>
                <w:numId w:val="7"/>
              </w:numPr>
              <w:autoSpaceDE w:val="0"/>
              <w:autoSpaceDN w:val="0"/>
              <w:adjustRightInd w:val="0"/>
              <w:snapToGrid w:val="0"/>
              <w:spacing w:before="163" w:beforeLines="50"/>
              <w:ind w:left="0" w:firstLine="0" w:firstLineChars="0"/>
              <w:jc w:val="center"/>
              <w:rPr>
                <w:rFonts w:hint="default" w:ascii="Times New Roman" w:hAnsi="Times New Roman" w:eastAsia="黑体" w:cs="Times New Roman"/>
              </w:rPr>
            </w:pPr>
            <w:r>
              <w:rPr>
                <w:rFonts w:hint="default" w:ascii="Times New Roman" w:hAnsi="Times New Roman" w:eastAsia="黑体" w:cs="Times New Roman"/>
              </w:rPr>
              <w:t>废气治理可行技术参照表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4"/>
              <w:gridCol w:w="2964"/>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24" w:type="dxa"/>
                  <w:vAlign w:val="center"/>
                </w:tcPr>
                <w:p>
                  <w:pPr>
                    <w:widowControl w:val="0"/>
                    <w:jc w:val="center"/>
                    <w:rPr>
                      <w:rFonts w:hint="default" w:ascii="Times New Roman" w:hAnsi="Times New Roman" w:eastAsia="宋体" w:cs="Times New Roman"/>
                      <w:b/>
                      <w:bCs/>
                      <w:spacing w:val="-8"/>
                      <w:sz w:val="21"/>
                      <w:szCs w:val="21"/>
                    </w:rPr>
                  </w:pPr>
                  <w:r>
                    <w:rPr>
                      <w:rFonts w:hint="default" w:ascii="Times New Roman" w:hAnsi="Times New Roman" w:eastAsia="宋体" w:cs="Times New Roman"/>
                      <w:b/>
                      <w:bCs/>
                      <w:spacing w:val="-8"/>
                      <w:sz w:val="21"/>
                      <w:szCs w:val="21"/>
                    </w:rPr>
                    <w:t>排放源</w:t>
                  </w:r>
                </w:p>
              </w:tc>
              <w:tc>
                <w:tcPr>
                  <w:tcW w:w="2964" w:type="dxa"/>
                  <w:vAlign w:val="center"/>
                </w:tcPr>
                <w:p>
                  <w:pPr>
                    <w:widowControl w:val="0"/>
                    <w:jc w:val="center"/>
                    <w:rPr>
                      <w:rFonts w:hint="default" w:ascii="Times New Roman" w:hAnsi="Times New Roman" w:eastAsia="宋体" w:cs="Times New Roman"/>
                      <w:b/>
                      <w:bCs/>
                      <w:spacing w:val="-8"/>
                      <w:sz w:val="21"/>
                      <w:szCs w:val="21"/>
                    </w:rPr>
                  </w:pPr>
                  <w:r>
                    <w:rPr>
                      <w:rFonts w:hint="default" w:ascii="Times New Roman" w:hAnsi="Times New Roman" w:eastAsia="宋体" w:cs="Times New Roman"/>
                      <w:b/>
                      <w:bCs/>
                      <w:spacing w:val="-8"/>
                      <w:sz w:val="21"/>
                      <w:szCs w:val="21"/>
                    </w:rPr>
                    <w:t>污染物</w:t>
                  </w:r>
                </w:p>
              </w:tc>
              <w:tc>
                <w:tcPr>
                  <w:tcW w:w="3285" w:type="dxa"/>
                  <w:vAlign w:val="center"/>
                </w:tcPr>
                <w:p>
                  <w:pPr>
                    <w:widowControl w:val="0"/>
                    <w:jc w:val="center"/>
                    <w:rPr>
                      <w:rFonts w:hint="default" w:ascii="Times New Roman" w:hAnsi="Times New Roman" w:eastAsia="宋体" w:cs="Times New Roman"/>
                      <w:b/>
                      <w:bCs/>
                      <w:spacing w:val="-8"/>
                      <w:sz w:val="21"/>
                      <w:szCs w:val="21"/>
                    </w:rPr>
                  </w:pPr>
                  <w:r>
                    <w:rPr>
                      <w:rFonts w:hint="default" w:ascii="Times New Roman" w:hAnsi="Times New Roman" w:eastAsia="宋体" w:cs="Times New Roman"/>
                      <w:b/>
                      <w:bCs/>
                      <w:spacing w:val="-8"/>
                      <w:sz w:val="21"/>
                      <w:szCs w:val="21"/>
                    </w:rPr>
                    <w:t>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4" w:type="dxa"/>
                  <w:vAlign w:val="center"/>
                </w:tcPr>
                <w:p>
                  <w:pPr>
                    <w:widowControl w:val="0"/>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预处理段、污泥处理段等</w:t>
                  </w:r>
                </w:p>
                <w:p>
                  <w:pPr>
                    <w:widowControl w:val="0"/>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产生恶臭气体的工段</w:t>
                  </w:r>
                </w:p>
              </w:tc>
              <w:tc>
                <w:tcPr>
                  <w:tcW w:w="2964" w:type="dxa"/>
                  <w:vAlign w:val="center"/>
                </w:tcPr>
                <w:p>
                  <w:pPr>
                    <w:widowControl w:val="0"/>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氨气、硫化氢等恶臭气体</w:t>
                  </w:r>
                </w:p>
              </w:tc>
              <w:tc>
                <w:tcPr>
                  <w:tcW w:w="3285" w:type="dxa"/>
                  <w:vAlign w:val="center"/>
                </w:tcPr>
                <w:p>
                  <w:pPr>
                    <w:widowControl w:val="0"/>
                    <w:jc w:val="center"/>
                    <w:rPr>
                      <w:rFonts w:hint="default" w:ascii="Times New Roman" w:hAnsi="Times New Roman" w:eastAsia="宋体" w:cs="Times New Roman"/>
                      <w:spacing w:val="-8"/>
                      <w:sz w:val="21"/>
                      <w:szCs w:val="21"/>
                    </w:rPr>
                  </w:pPr>
                  <w:r>
                    <w:rPr>
                      <w:rFonts w:hint="default" w:ascii="Times New Roman" w:hAnsi="Times New Roman" w:eastAsia="宋体" w:cs="Times New Roman"/>
                      <w:spacing w:val="-8"/>
                      <w:sz w:val="21"/>
                      <w:szCs w:val="21"/>
                    </w:rPr>
                    <w:t>生物过滤、化学洗涤、活性炭吸附</w:t>
                  </w:r>
                </w:p>
              </w:tc>
            </w:tr>
          </w:tbl>
          <w:p>
            <w:pPr>
              <w:widowControl w:val="0"/>
              <w:ind w:firstLine="448" w:firstLineChars="200"/>
              <w:jc w:val="both"/>
              <w:rPr>
                <w:rFonts w:hint="default" w:ascii="Times New Roman" w:hAnsi="Times New Roman" w:eastAsia="宋体" w:cs="Times New Roman"/>
                <w:spacing w:val="-8"/>
              </w:rPr>
            </w:pPr>
            <w:r>
              <w:rPr>
                <w:rFonts w:hint="default" w:ascii="Times New Roman" w:hAnsi="Times New Roman" w:eastAsia="宋体" w:cs="Times New Roman"/>
                <w:spacing w:val="-8"/>
              </w:rPr>
              <w:t>本项目采取机械抽风、自然补风的方式收集各构（建）筑物的臭气，对恶臭的收集率不低于 90%，去除率不低于 95%，废气采取生物滤池法处理后经15m排气筒有组织排放，属于可行技术（生物过滤）。</w:t>
            </w:r>
          </w:p>
          <w:p>
            <w:pPr>
              <w:widowControl w:val="0"/>
              <w:ind w:firstLine="448" w:firstLineChars="200"/>
              <w:jc w:val="both"/>
              <w:rPr>
                <w:rFonts w:hint="default" w:ascii="Times New Roman" w:hAnsi="Times New Roman" w:eastAsia="宋体" w:cs="Times New Roman"/>
                <w:spacing w:val="-8"/>
              </w:rPr>
            </w:pPr>
            <w:r>
              <w:rPr>
                <w:rFonts w:hint="default" w:ascii="Times New Roman" w:hAnsi="Times New Roman" w:eastAsia="宋体" w:cs="Times New Roman"/>
                <w:spacing w:val="-8"/>
              </w:rPr>
              <w:t>因此，本项目采取的恶臭治理措施可行。</w:t>
            </w:r>
          </w:p>
          <w:p>
            <w:pPr>
              <w:widowControl w:val="0"/>
              <w:ind w:firstLine="482" w:firstLineChars="200"/>
              <w:jc w:val="both"/>
              <w:rPr>
                <w:rFonts w:hint="default" w:ascii="Times New Roman" w:hAnsi="Times New Roman" w:cs="Times New Roman"/>
                <w:b/>
              </w:rPr>
            </w:pPr>
            <w:r>
              <w:rPr>
                <w:rFonts w:hint="default" w:ascii="Times New Roman" w:hAnsi="Times New Roman" w:cs="Times New Roman"/>
                <w:b/>
              </w:rPr>
              <w:t>2、本项目废气排放口基本情况及排放量</w:t>
            </w:r>
          </w:p>
          <w:p>
            <w:pPr>
              <w:pStyle w:val="161"/>
              <w:numPr>
                <w:ilvl w:val="0"/>
                <w:numId w:val="7"/>
              </w:numPr>
              <w:autoSpaceDE w:val="0"/>
              <w:autoSpaceDN w:val="0"/>
              <w:adjustRightInd w:val="0"/>
              <w:snapToGrid w:val="0"/>
              <w:spacing w:before="163" w:beforeLines="50"/>
              <w:ind w:firstLineChars="0"/>
              <w:jc w:val="center"/>
              <w:rPr>
                <w:rFonts w:hint="default" w:ascii="Times New Roman" w:hAnsi="Times New Roman" w:eastAsia="黑体" w:cs="Times New Roman"/>
              </w:rPr>
            </w:pPr>
            <w:bookmarkStart w:id="24" w:name="_Toc68860284"/>
            <w:r>
              <w:rPr>
                <w:rFonts w:hint="default" w:ascii="Times New Roman" w:hAnsi="Times New Roman" w:eastAsia="黑体" w:cs="Times New Roman"/>
              </w:rPr>
              <w:t>大气排放口基本信息表</w:t>
            </w:r>
            <w:bookmarkEnd w:id="24"/>
          </w:p>
          <w:tbl>
            <w:tblPr>
              <w:tblStyle w:val="44"/>
              <w:tblW w:w="4996"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324"/>
              <w:gridCol w:w="726"/>
              <w:gridCol w:w="1055"/>
              <w:gridCol w:w="583"/>
              <w:gridCol w:w="774"/>
              <w:gridCol w:w="1385"/>
              <w:gridCol w:w="1202"/>
              <w:gridCol w:w="896"/>
              <w:gridCol w:w="862"/>
              <w:gridCol w:w="725"/>
              <w:gridCol w:w="8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jc w:val="center"/>
              </w:trPr>
              <w:tc>
                <w:tcPr>
                  <w:tcW w:w="188" w:type="pct"/>
                  <w:vMerge w:val="restart"/>
                  <w:tcBorders>
                    <w:tl2br w:val="nil"/>
                    <w:tr2bl w:val="nil"/>
                  </w:tcBorders>
                  <w:tcMar>
                    <w:top w:w="15" w:type="dxa"/>
                    <w:left w:w="15" w:type="dxa"/>
                    <w:right w:w="15" w:type="dxa"/>
                  </w:tcMar>
                  <w:vAlign w:val="center"/>
                </w:tcPr>
                <w:p>
                  <w:pPr>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序号</w:t>
                  </w:r>
                </w:p>
              </w:tc>
              <w:tc>
                <w:tcPr>
                  <w:tcW w:w="403" w:type="pct"/>
                  <w:vMerge w:val="restar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排放口编号</w:t>
                  </w:r>
                </w:p>
              </w:tc>
              <w:tc>
                <w:tcPr>
                  <w:tcW w:w="579" w:type="pct"/>
                  <w:vMerge w:val="restar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排放口名称</w:t>
                  </w:r>
                </w:p>
              </w:tc>
              <w:tc>
                <w:tcPr>
                  <w:tcW w:w="326" w:type="pct"/>
                  <w:vMerge w:val="restar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排放口类型</w:t>
                  </w:r>
                </w:p>
              </w:tc>
              <w:tc>
                <w:tcPr>
                  <w:tcW w:w="428" w:type="pct"/>
                  <w:vMerge w:val="restar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污染物种类</w:t>
                  </w:r>
                </w:p>
              </w:tc>
              <w:tc>
                <w:tcPr>
                  <w:tcW w:w="1251" w:type="pct"/>
                  <w:gridSpan w:val="2"/>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排放口地理坐标</w:t>
                  </w:r>
                </w:p>
              </w:tc>
              <w:tc>
                <w:tcPr>
                  <w:tcW w:w="493" w:type="pct"/>
                  <w:vMerge w:val="restar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排气筒高度（m）</w:t>
                  </w:r>
                </w:p>
              </w:tc>
              <w:tc>
                <w:tcPr>
                  <w:tcW w:w="475" w:type="pct"/>
                  <w:vMerge w:val="restar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废气量m</w:t>
                  </w:r>
                  <w:r>
                    <w:rPr>
                      <w:rFonts w:hint="default" w:ascii="Times New Roman" w:hAnsi="Times New Roman" w:cs="Times New Roman"/>
                      <w:b/>
                      <w:bCs/>
                      <w:kern w:val="0"/>
                      <w:sz w:val="18"/>
                      <w:szCs w:val="18"/>
                      <w:vertAlign w:val="superscript"/>
                    </w:rPr>
                    <w:t>3</w:t>
                  </w:r>
                  <w:r>
                    <w:rPr>
                      <w:rFonts w:hint="default" w:ascii="Times New Roman" w:hAnsi="Times New Roman" w:cs="Times New Roman"/>
                      <w:b/>
                      <w:bCs/>
                      <w:kern w:val="0"/>
                      <w:sz w:val="18"/>
                      <w:szCs w:val="18"/>
                    </w:rPr>
                    <w:t>/h</w:t>
                  </w:r>
                </w:p>
              </w:tc>
              <w:tc>
                <w:tcPr>
                  <w:tcW w:w="402" w:type="pct"/>
                  <w:vMerge w:val="restar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排气筒出口内径（m）</w:t>
                  </w:r>
                </w:p>
              </w:tc>
              <w:tc>
                <w:tcPr>
                  <w:tcW w:w="455" w:type="pct"/>
                  <w:vMerge w:val="restar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排气温度（℃）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jc w:val="center"/>
              </w:trPr>
              <w:tc>
                <w:tcPr>
                  <w:tcW w:w="188" w:type="pct"/>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sz w:val="18"/>
                      <w:szCs w:val="18"/>
                    </w:rPr>
                  </w:pPr>
                </w:p>
              </w:tc>
              <w:tc>
                <w:tcPr>
                  <w:tcW w:w="403" w:type="pct"/>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sz w:val="18"/>
                      <w:szCs w:val="18"/>
                    </w:rPr>
                  </w:pPr>
                </w:p>
              </w:tc>
              <w:tc>
                <w:tcPr>
                  <w:tcW w:w="579" w:type="pct"/>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sz w:val="18"/>
                      <w:szCs w:val="18"/>
                    </w:rPr>
                  </w:pPr>
                </w:p>
              </w:tc>
              <w:tc>
                <w:tcPr>
                  <w:tcW w:w="326" w:type="pct"/>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sz w:val="18"/>
                      <w:szCs w:val="18"/>
                    </w:rPr>
                  </w:pPr>
                </w:p>
              </w:tc>
              <w:tc>
                <w:tcPr>
                  <w:tcW w:w="428" w:type="pct"/>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sz w:val="18"/>
                      <w:szCs w:val="18"/>
                    </w:rPr>
                  </w:pPr>
                </w:p>
              </w:tc>
              <w:tc>
                <w:tcPr>
                  <w:tcW w:w="676" w:type="pct"/>
                  <w:tcBorders>
                    <w:tl2br w:val="nil"/>
                    <w:tr2bl w:val="nil"/>
                  </w:tcBorders>
                  <w:tcMar>
                    <w:top w:w="15" w:type="dxa"/>
                    <w:left w:w="15" w:type="dxa"/>
                    <w:right w:w="15" w:type="dxa"/>
                  </w:tcMar>
                  <w:vAlign w:val="center"/>
                </w:tcPr>
                <w:p>
                  <w:pPr>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经度</w:t>
                  </w:r>
                </w:p>
              </w:tc>
              <w:tc>
                <w:tcPr>
                  <w:tcW w:w="575" w:type="pct"/>
                  <w:tcBorders>
                    <w:tl2br w:val="nil"/>
                    <w:tr2bl w:val="nil"/>
                  </w:tcBorders>
                  <w:tcMar>
                    <w:top w:w="15" w:type="dxa"/>
                    <w:left w:w="15" w:type="dxa"/>
                    <w:right w:w="15" w:type="dxa"/>
                  </w:tcMar>
                  <w:vAlign w:val="center"/>
                </w:tcPr>
                <w:p>
                  <w:pPr>
                    <w:jc w:val="center"/>
                    <w:textAlignment w:val="center"/>
                    <w:rPr>
                      <w:rFonts w:hint="default" w:ascii="Times New Roman" w:hAnsi="Times New Roman" w:cs="Times New Roman"/>
                      <w:b/>
                      <w:bCs/>
                      <w:sz w:val="18"/>
                      <w:szCs w:val="18"/>
                    </w:rPr>
                  </w:pPr>
                  <w:r>
                    <w:rPr>
                      <w:rFonts w:hint="default" w:ascii="Times New Roman" w:hAnsi="Times New Roman" w:cs="Times New Roman"/>
                      <w:b/>
                      <w:bCs/>
                      <w:kern w:val="0"/>
                      <w:sz w:val="18"/>
                      <w:szCs w:val="18"/>
                    </w:rPr>
                    <w:t>纬度</w:t>
                  </w:r>
                </w:p>
              </w:tc>
              <w:tc>
                <w:tcPr>
                  <w:tcW w:w="493" w:type="pct"/>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sz w:val="18"/>
                      <w:szCs w:val="18"/>
                    </w:rPr>
                  </w:pPr>
                </w:p>
              </w:tc>
              <w:tc>
                <w:tcPr>
                  <w:tcW w:w="475" w:type="pct"/>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sz w:val="18"/>
                      <w:szCs w:val="18"/>
                    </w:rPr>
                  </w:pPr>
                </w:p>
              </w:tc>
              <w:tc>
                <w:tcPr>
                  <w:tcW w:w="402" w:type="pct"/>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sz w:val="18"/>
                      <w:szCs w:val="18"/>
                    </w:rPr>
                  </w:pPr>
                </w:p>
              </w:tc>
              <w:tc>
                <w:tcPr>
                  <w:tcW w:w="455" w:type="pct"/>
                  <w:vMerge w:val="continue"/>
                  <w:tcBorders>
                    <w:tl2br w:val="nil"/>
                    <w:tr2bl w:val="nil"/>
                  </w:tcBorders>
                  <w:tcMar>
                    <w:top w:w="15" w:type="dxa"/>
                    <w:left w:w="15" w:type="dxa"/>
                    <w:right w:w="15" w:type="dxa"/>
                  </w:tcMar>
                  <w:vAlign w:val="center"/>
                </w:tcPr>
                <w:p>
                  <w:pPr>
                    <w:jc w:val="center"/>
                    <w:rPr>
                      <w:rFonts w:hint="default" w:ascii="Times New Roman" w:hAnsi="Times New Roman" w:cs="Times New Roman"/>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3" w:hRule="atLeast"/>
                <w:jc w:val="center"/>
              </w:trPr>
              <w:tc>
                <w:tcPr>
                  <w:tcW w:w="188" w:type="pct"/>
                  <w:tcBorders>
                    <w:tl2br w:val="nil"/>
                    <w:tr2bl w:val="nil"/>
                  </w:tcBorders>
                  <w:tcMar>
                    <w:top w:w="15" w:type="dxa"/>
                    <w:left w:w="15" w:type="dxa"/>
                    <w:right w:w="15" w:type="dxa"/>
                  </w:tcMar>
                  <w:vAlign w:val="center"/>
                </w:tcPr>
                <w:p>
                  <w:pPr>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w:t>
                  </w:r>
                </w:p>
              </w:tc>
              <w:tc>
                <w:tcPr>
                  <w:tcW w:w="403" w:type="pct"/>
                  <w:tcBorders>
                    <w:tl2br w:val="nil"/>
                    <w:tr2bl w:val="nil"/>
                  </w:tcBorders>
                  <w:tcMar>
                    <w:top w:w="15" w:type="dxa"/>
                    <w:left w:w="15" w:type="dxa"/>
                    <w:right w:w="15" w:type="dxa"/>
                  </w:tcMar>
                  <w:vAlign w:val="center"/>
                </w:tcPr>
                <w:p>
                  <w:pPr>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DA001</w:t>
                  </w:r>
                </w:p>
              </w:tc>
              <w:tc>
                <w:tcPr>
                  <w:tcW w:w="579" w:type="pc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污水处理厂一期废气排口</w:t>
                  </w:r>
                </w:p>
              </w:tc>
              <w:tc>
                <w:tcPr>
                  <w:tcW w:w="326" w:type="pc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一般排放口</w:t>
                  </w:r>
                </w:p>
              </w:tc>
              <w:tc>
                <w:tcPr>
                  <w:tcW w:w="428" w:type="pc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kern w:val="0"/>
                      <w:sz w:val="18"/>
                      <w:szCs w:val="18"/>
                    </w:rPr>
                  </w:pP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S、NH</w:t>
                  </w:r>
                  <w:r>
                    <w:rPr>
                      <w:rFonts w:hint="default" w:ascii="Times New Roman" w:hAnsi="Times New Roman" w:cs="Times New Roman"/>
                      <w:sz w:val="18"/>
                      <w:szCs w:val="18"/>
                      <w:vertAlign w:val="subscript"/>
                    </w:rPr>
                    <w:t>3</w:t>
                  </w:r>
                </w:p>
              </w:tc>
              <w:tc>
                <w:tcPr>
                  <w:tcW w:w="676" w:type="pct"/>
                  <w:tcBorders>
                    <w:tl2br w:val="nil"/>
                    <w:tr2bl w:val="nil"/>
                  </w:tcBorders>
                  <w:tcMar>
                    <w:top w:w="15" w:type="dxa"/>
                    <w:left w:w="15" w:type="dxa"/>
                    <w:right w:w="15" w:type="dxa"/>
                  </w:tcMar>
                  <w:vAlign w:val="center"/>
                </w:tcPr>
                <w:p>
                  <w:pPr>
                    <w:pStyle w:val="18"/>
                    <w:jc w:val="center"/>
                    <w:rPr>
                      <w:rFonts w:hint="default" w:ascii="Times New Roman" w:hAnsi="Times New Roman" w:cs="Times New Roman"/>
                      <w:szCs w:val="18"/>
                    </w:rPr>
                  </w:pPr>
                  <w:r>
                    <w:rPr>
                      <w:rFonts w:hint="default" w:ascii="Times New Roman" w:hAnsi="Times New Roman" w:cs="Times New Roman" w:eastAsiaTheme="minorEastAsia"/>
                      <w:szCs w:val="18"/>
                    </w:rPr>
                    <w:t>E107°44′36.657″</w:t>
                  </w:r>
                </w:p>
              </w:tc>
              <w:tc>
                <w:tcPr>
                  <w:tcW w:w="575" w:type="pct"/>
                  <w:tcBorders>
                    <w:tl2br w:val="nil"/>
                    <w:tr2bl w:val="nil"/>
                  </w:tcBorders>
                  <w:tcMar>
                    <w:top w:w="15" w:type="dxa"/>
                    <w:left w:w="15" w:type="dxa"/>
                    <w:right w:w="15" w:type="dxa"/>
                  </w:tcMar>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N31°21′59.101″</w:t>
                  </w:r>
                </w:p>
              </w:tc>
              <w:tc>
                <w:tcPr>
                  <w:tcW w:w="493" w:type="pc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15m</w:t>
                  </w:r>
                </w:p>
              </w:tc>
              <w:tc>
                <w:tcPr>
                  <w:tcW w:w="475" w:type="pct"/>
                  <w:tcBorders>
                    <w:tl2br w:val="nil"/>
                    <w:tr2bl w:val="nil"/>
                  </w:tcBorders>
                  <w:tcMar>
                    <w:top w:w="15" w:type="dxa"/>
                    <w:left w:w="15" w:type="dxa"/>
                    <w:right w:w="15" w:type="dxa"/>
                  </w:tcMar>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25000</w:t>
                  </w:r>
                </w:p>
              </w:tc>
              <w:tc>
                <w:tcPr>
                  <w:tcW w:w="402" w:type="pct"/>
                  <w:tcBorders>
                    <w:tl2br w:val="nil"/>
                    <w:tr2bl w:val="nil"/>
                  </w:tcBorders>
                  <w:tcMar>
                    <w:top w:w="15" w:type="dxa"/>
                    <w:left w:w="15" w:type="dxa"/>
                    <w:right w:w="15" w:type="dxa"/>
                  </w:tcMar>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1.0</w:t>
                  </w:r>
                </w:p>
              </w:tc>
              <w:tc>
                <w:tcPr>
                  <w:tcW w:w="455" w:type="pc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同环境</w:t>
                  </w:r>
                </w:p>
                <w:p>
                  <w:pPr>
                    <w:spacing w:line="240" w:lineRule="auto"/>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温度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3" w:hRule="atLeast"/>
                <w:jc w:val="center"/>
              </w:trPr>
              <w:tc>
                <w:tcPr>
                  <w:tcW w:w="188" w:type="pct"/>
                  <w:tcBorders>
                    <w:tl2br w:val="nil"/>
                    <w:tr2bl w:val="nil"/>
                  </w:tcBorders>
                  <w:tcMar>
                    <w:top w:w="15" w:type="dxa"/>
                    <w:left w:w="15" w:type="dxa"/>
                    <w:right w:w="15" w:type="dxa"/>
                  </w:tcMar>
                  <w:vAlign w:val="center"/>
                </w:tcPr>
                <w:p>
                  <w:pPr>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2</w:t>
                  </w:r>
                </w:p>
              </w:tc>
              <w:tc>
                <w:tcPr>
                  <w:tcW w:w="403" w:type="pct"/>
                  <w:tcBorders>
                    <w:tl2br w:val="nil"/>
                    <w:tr2bl w:val="nil"/>
                  </w:tcBorders>
                  <w:tcMar>
                    <w:top w:w="15" w:type="dxa"/>
                    <w:left w:w="15" w:type="dxa"/>
                    <w:right w:w="15" w:type="dxa"/>
                  </w:tcMar>
                  <w:vAlign w:val="center"/>
                </w:tcPr>
                <w:p>
                  <w:pPr>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DA002</w:t>
                  </w:r>
                </w:p>
              </w:tc>
              <w:tc>
                <w:tcPr>
                  <w:tcW w:w="579" w:type="pc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污水处理厂二期废气排口</w:t>
                  </w:r>
                </w:p>
              </w:tc>
              <w:tc>
                <w:tcPr>
                  <w:tcW w:w="326" w:type="pc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一般排放口</w:t>
                  </w:r>
                </w:p>
              </w:tc>
              <w:tc>
                <w:tcPr>
                  <w:tcW w:w="428" w:type="pc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sz w:val="18"/>
                      <w:szCs w:val="18"/>
                    </w:rPr>
                  </w:pP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S、NH</w:t>
                  </w:r>
                  <w:r>
                    <w:rPr>
                      <w:rFonts w:hint="default" w:ascii="Times New Roman" w:hAnsi="Times New Roman" w:cs="Times New Roman"/>
                      <w:sz w:val="18"/>
                      <w:szCs w:val="18"/>
                      <w:vertAlign w:val="subscript"/>
                    </w:rPr>
                    <w:t>3</w:t>
                  </w:r>
                </w:p>
              </w:tc>
              <w:tc>
                <w:tcPr>
                  <w:tcW w:w="676" w:type="pct"/>
                  <w:tcBorders>
                    <w:tl2br w:val="nil"/>
                    <w:tr2bl w:val="nil"/>
                  </w:tcBorders>
                  <w:tcMar>
                    <w:top w:w="15" w:type="dxa"/>
                    <w:left w:w="15" w:type="dxa"/>
                    <w:right w:w="15" w:type="dxa"/>
                  </w:tcMar>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E107°44′36.657″</w:t>
                  </w:r>
                </w:p>
              </w:tc>
              <w:tc>
                <w:tcPr>
                  <w:tcW w:w="575" w:type="pct"/>
                  <w:tcBorders>
                    <w:tl2br w:val="nil"/>
                    <w:tr2bl w:val="nil"/>
                  </w:tcBorders>
                  <w:tcMar>
                    <w:top w:w="15" w:type="dxa"/>
                    <w:left w:w="15" w:type="dxa"/>
                    <w:right w:w="15" w:type="dxa"/>
                  </w:tcMar>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N31°21′59.101″</w:t>
                  </w:r>
                </w:p>
              </w:tc>
              <w:tc>
                <w:tcPr>
                  <w:tcW w:w="493" w:type="pc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15m</w:t>
                  </w:r>
                </w:p>
              </w:tc>
              <w:tc>
                <w:tcPr>
                  <w:tcW w:w="475" w:type="pct"/>
                  <w:tcBorders>
                    <w:tl2br w:val="nil"/>
                    <w:tr2bl w:val="nil"/>
                  </w:tcBorders>
                  <w:tcMar>
                    <w:top w:w="15" w:type="dxa"/>
                    <w:left w:w="15" w:type="dxa"/>
                    <w:right w:w="15" w:type="dxa"/>
                  </w:tcMar>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10000</w:t>
                  </w:r>
                </w:p>
              </w:tc>
              <w:tc>
                <w:tcPr>
                  <w:tcW w:w="402" w:type="pct"/>
                  <w:tcBorders>
                    <w:tl2br w:val="nil"/>
                    <w:tr2bl w:val="nil"/>
                  </w:tcBorders>
                  <w:tcMar>
                    <w:top w:w="15" w:type="dxa"/>
                    <w:left w:w="15" w:type="dxa"/>
                    <w:right w:w="15" w:type="dxa"/>
                  </w:tcMar>
                  <w:vAlign w:val="center"/>
                </w:tcPr>
                <w:p>
                  <w:pPr>
                    <w:spacing w:line="240" w:lineRule="auto"/>
                    <w:jc w:val="center"/>
                    <w:rPr>
                      <w:rFonts w:hint="default" w:ascii="Times New Roman" w:hAnsi="Times New Roman" w:cs="Times New Roman"/>
                      <w:sz w:val="18"/>
                      <w:szCs w:val="18"/>
                    </w:rPr>
                  </w:pPr>
                  <w:r>
                    <w:rPr>
                      <w:rFonts w:hint="default" w:ascii="Times New Roman" w:hAnsi="Times New Roman" w:cs="Times New Roman"/>
                      <w:sz w:val="18"/>
                      <w:szCs w:val="18"/>
                    </w:rPr>
                    <w:t>0.5</w:t>
                  </w:r>
                </w:p>
              </w:tc>
              <w:tc>
                <w:tcPr>
                  <w:tcW w:w="455" w:type="pc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同环境</w:t>
                  </w:r>
                </w:p>
                <w:p>
                  <w:pPr>
                    <w:spacing w:line="240" w:lineRule="auto"/>
                    <w:jc w:val="center"/>
                    <w:textAlignment w:val="center"/>
                    <w:rPr>
                      <w:rFonts w:hint="default" w:ascii="Times New Roman" w:hAnsi="Times New Roman" w:cs="Times New Roman"/>
                      <w:kern w:val="0"/>
                      <w:sz w:val="18"/>
                      <w:szCs w:val="18"/>
                    </w:rPr>
                  </w:pPr>
                  <w:r>
                    <w:rPr>
                      <w:rFonts w:hint="default" w:ascii="Times New Roman" w:hAnsi="Times New Roman" w:cs="Times New Roman"/>
                      <w:kern w:val="0"/>
                      <w:sz w:val="18"/>
                      <w:szCs w:val="18"/>
                    </w:rPr>
                    <w:t>温度</w:t>
                  </w:r>
                </w:p>
              </w:tc>
            </w:tr>
          </w:tbl>
          <w:p>
            <w:pPr>
              <w:pStyle w:val="161"/>
              <w:numPr>
                <w:ilvl w:val="0"/>
                <w:numId w:val="7"/>
              </w:numPr>
              <w:autoSpaceDE w:val="0"/>
              <w:autoSpaceDN w:val="0"/>
              <w:adjustRightInd w:val="0"/>
              <w:snapToGrid w:val="0"/>
              <w:spacing w:before="163" w:beforeLines="50"/>
              <w:ind w:firstLineChars="0"/>
              <w:jc w:val="center"/>
              <w:rPr>
                <w:rFonts w:hint="default" w:ascii="Times New Roman" w:hAnsi="Times New Roman" w:eastAsia="黑体" w:cs="Times New Roman"/>
              </w:rPr>
            </w:pPr>
            <w:r>
              <w:rPr>
                <w:rFonts w:hint="default" w:ascii="Times New Roman" w:hAnsi="Times New Roman" w:eastAsia="黑体" w:cs="Times New Roman"/>
              </w:rPr>
              <w:t>废气污染物有组织排放执行标准及预计排放量</w:t>
            </w:r>
          </w:p>
          <w:tbl>
            <w:tblPr>
              <w:tblStyle w:val="4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82"/>
              <w:gridCol w:w="667"/>
              <w:gridCol w:w="1099"/>
              <w:gridCol w:w="1757"/>
              <w:gridCol w:w="822"/>
              <w:gridCol w:w="897"/>
              <w:gridCol w:w="820"/>
              <w:gridCol w:w="788"/>
              <w:gridCol w:w="903"/>
              <w:gridCol w:w="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582" w:type="pct"/>
                  <w:vMerge w:val="restar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rPr>
                    <w:t>排放口名称</w:t>
                  </w:r>
                </w:p>
              </w:tc>
              <w:tc>
                <w:tcPr>
                  <w:tcW w:w="361" w:type="pct"/>
                  <w:vMerge w:val="restar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排放口</w:t>
                  </w:r>
                </w:p>
                <w:p>
                  <w:pPr>
                    <w:spacing w:line="36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rPr>
                    <w:t>编号</w:t>
                  </w:r>
                </w:p>
              </w:tc>
              <w:tc>
                <w:tcPr>
                  <w:tcW w:w="591" w:type="pct"/>
                  <w:vMerge w:val="restar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rPr>
                    <w:t>污染物种类</w:t>
                  </w:r>
                </w:p>
              </w:tc>
              <w:tc>
                <w:tcPr>
                  <w:tcW w:w="1824" w:type="pct"/>
                  <w:gridSpan w:val="3"/>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rPr>
                    <w:t>国家或地方污染物排放标准</w:t>
                  </w:r>
                </w:p>
              </w:tc>
              <w:tc>
                <w:tcPr>
                  <w:tcW w:w="1353" w:type="pct"/>
                  <w:gridSpan w:val="3"/>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rPr>
                    <w:t>预计排放情况</w:t>
                  </w:r>
                </w:p>
              </w:tc>
              <w:tc>
                <w:tcPr>
                  <w:tcW w:w="289" w:type="pct"/>
                  <w:vMerge w:val="restart"/>
                  <w:tcBorders>
                    <w:tl2br w:val="nil"/>
                    <w:tr2bl w:val="nil"/>
                  </w:tcBorders>
                  <w:noWrap/>
                  <w:tcMar>
                    <w:top w:w="15" w:type="dxa"/>
                    <w:left w:w="15" w:type="dxa"/>
                    <w:right w:w="15" w:type="dxa"/>
                  </w:tcMar>
                  <w:vAlign w:val="center"/>
                </w:tcPr>
                <w:p>
                  <w:pPr>
                    <w:spacing w:line="360" w:lineRule="exact"/>
                    <w:jc w:val="center"/>
                    <w:textAlignment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达标</w:t>
                  </w:r>
                </w:p>
                <w:p>
                  <w:pPr>
                    <w:spacing w:line="360" w:lineRule="exact"/>
                    <w:jc w:val="center"/>
                    <w:textAlignment w:val="center"/>
                    <w:rPr>
                      <w:rFonts w:hint="default" w:ascii="Times New Roman" w:hAnsi="Times New Roman" w:cs="Times New Roman"/>
                      <w:sz w:val="21"/>
                      <w:szCs w:val="21"/>
                    </w:rPr>
                  </w:pPr>
                  <w:r>
                    <w:rPr>
                      <w:rFonts w:hint="default" w:ascii="Times New Roman" w:hAnsi="Times New Roman" w:cs="Times New Roman"/>
                      <w:b/>
                      <w:bCs/>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582" w:type="pct"/>
                  <w:vMerge w:val="continue"/>
                  <w:tcBorders>
                    <w:tl2br w:val="nil"/>
                    <w:tr2bl w:val="nil"/>
                  </w:tcBorders>
                  <w:tcMar>
                    <w:top w:w="15" w:type="dxa"/>
                    <w:left w:w="15" w:type="dxa"/>
                    <w:right w:w="15" w:type="dxa"/>
                  </w:tcMar>
                  <w:vAlign w:val="center"/>
                </w:tcPr>
                <w:p>
                  <w:pPr>
                    <w:spacing w:line="360" w:lineRule="exact"/>
                    <w:jc w:val="center"/>
                    <w:rPr>
                      <w:rFonts w:hint="default" w:ascii="Times New Roman" w:hAnsi="Times New Roman" w:cs="Times New Roman"/>
                      <w:b/>
                      <w:bCs/>
                      <w:sz w:val="21"/>
                      <w:szCs w:val="21"/>
                    </w:rPr>
                  </w:pPr>
                </w:p>
              </w:tc>
              <w:tc>
                <w:tcPr>
                  <w:tcW w:w="361" w:type="pct"/>
                  <w:vMerge w:val="continue"/>
                  <w:tcBorders>
                    <w:tl2br w:val="nil"/>
                    <w:tr2bl w:val="nil"/>
                  </w:tcBorders>
                  <w:tcMar>
                    <w:top w:w="15" w:type="dxa"/>
                    <w:left w:w="15" w:type="dxa"/>
                    <w:right w:w="15" w:type="dxa"/>
                  </w:tcMar>
                  <w:vAlign w:val="center"/>
                </w:tcPr>
                <w:p>
                  <w:pPr>
                    <w:spacing w:line="360" w:lineRule="exact"/>
                    <w:jc w:val="center"/>
                    <w:rPr>
                      <w:rFonts w:hint="default" w:ascii="Times New Roman" w:hAnsi="Times New Roman" w:cs="Times New Roman"/>
                      <w:b/>
                      <w:bCs/>
                      <w:sz w:val="21"/>
                      <w:szCs w:val="21"/>
                    </w:rPr>
                  </w:pPr>
                </w:p>
              </w:tc>
              <w:tc>
                <w:tcPr>
                  <w:tcW w:w="591" w:type="pct"/>
                  <w:vMerge w:val="continue"/>
                  <w:tcBorders>
                    <w:tl2br w:val="nil"/>
                    <w:tr2bl w:val="nil"/>
                  </w:tcBorders>
                  <w:tcMar>
                    <w:top w:w="15" w:type="dxa"/>
                    <w:left w:w="15" w:type="dxa"/>
                    <w:right w:w="15" w:type="dxa"/>
                  </w:tcMar>
                  <w:vAlign w:val="center"/>
                </w:tcPr>
                <w:p>
                  <w:pPr>
                    <w:spacing w:line="360" w:lineRule="exact"/>
                    <w:jc w:val="center"/>
                    <w:rPr>
                      <w:rFonts w:hint="default" w:ascii="Times New Roman" w:hAnsi="Times New Roman" w:cs="Times New Roman"/>
                      <w:b/>
                      <w:bCs/>
                      <w:sz w:val="21"/>
                      <w:szCs w:val="21"/>
                    </w:rPr>
                  </w:pPr>
                </w:p>
              </w:tc>
              <w:tc>
                <w:tcPr>
                  <w:tcW w:w="898" w:type="pc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rPr>
                    <w:t>标准名称</w:t>
                  </w:r>
                </w:p>
              </w:tc>
              <w:tc>
                <w:tcPr>
                  <w:tcW w:w="443" w:type="pc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速率</w:t>
                  </w:r>
                </w:p>
                <w:p>
                  <w:pPr>
                    <w:spacing w:line="360" w:lineRule="exact"/>
                    <w:jc w:val="center"/>
                    <w:textAlignment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限值</w:t>
                  </w:r>
                </w:p>
                <w:p>
                  <w:pPr>
                    <w:spacing w:line="36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rPr>
                    <w:t>kg/h</w:t>
                  </w:r>
                </w:p>
              </w:tc>
              <w:tc>
                <w:tcPr>
                  <w:tcW w:w="483" w:type="pc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rPr>
                    <w:t>浓度限值mg/m</w:t>
                  </w:r>
                  <w:r>
                    <w:rPr>
                      <w:rFonts w:hint="default" w:ascii="Times New Roman" w:hAnsi="Times New Roman" w:cs="Times New Roman"/>
                      <w:b/>
                      <w:bCs/>
                      <w:kern w:val="0"/>
                      <w:sz w:val="21"/>
                      <w:szCs w:val="21"/>
                      <w:vertAlign w:val="superscript"/>
                    </w:rPr>
                    <w:t>3</w:t>
                  </w:r>
                </w:p>
              </w:tc>
              <w:tc>
                <w:tcPr>
                  <w:tcW w:w="442" w:type="pct"/>
                  <w:tcBorders>
                    <w:right w:val="single" w:color="auto" w:sz="4" w:space="0"/>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排放量t/a</w:t>
                  </w:r>
                </w:p>
              </w:tc>
              <w:tc>
                <w:tcPr>
                  <w:tcW w:w="425" w:type="pct"/>
                  <w:tcBorders>
                    <w:left w:val="single" w:color="auto" w:sz="4" w:space="0"/>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排放速率kg/h</w:t>
                  </w:r>
                </w:p>
              </w:tc>
              <w:tc>
                <w:tcPr>
                  <w:tcW w:w="486" w:type="pc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rPr>
                    <w:t>排放浓度mg/m</w:t>
                  </w:r>
                  <w:r>
                    <w:rPr>
                      <w:rFonts w:hint="default" w:ascii="Times New Roman" w:hAnsi="Times New Roman" w:cs="Times New Roman"/>
                      <w:b/>
                      <w:bCs/>
                      <w:kern w:val="0"/>
                      <w:sz w:val="21"/>
                      <w:szCs w:val="21"/>
                      <w:vertAlign w:val="superscript"/>
                    </w:rPr>
                    <w:t>3</w:t>
                  </w:r>
                </w:p>
              </w:tc>
              <w:tc>
                <w:tcPr>
                  <w:tcW w:w="289" w:type="pct"/>
                  <w:vMerge w:val="continue"/>
                  <w:tcBorders>
                    <w:tl2br w:val="nil"/>
                    <w:tr2bl w:val="nil"/>
                  </w:tcBorders>
                  <w:noWrap/>
                  <w:tcMar>
                    <w:top w:w="15" w:type="dxa"/>
                    <w:left w:w="15" w:type="dxa"/>
                    <w:right w:w="15" w:type="dxa"/>
                  </w:tcMar>
                  <w:vAlign w:val="center"/>
                </w:tcPr>
                <w:p>
                  <w:pPr>
                    <w:spacing w:line="360" w:lineRule="exact"/>
                    <w:jc w:val="center"/>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582" w:type="pct"/>
                  <w:vMerge w:val="restart"/>
                  <w:tcBorders>
                    <w:tl2br w:val="nil"/>
                    <w:tr2bl w:val="nil"/>
                  </w:tcBorders>
                  <w:tcMar>
                    <w:top w:w="15" w:type="dxa"/>
                    <w:left w:w="15" w:type="dxa"/>
                    <w:right w:w="15" w:type="dxa"/>
                  </w:tcMar>
                  <w:vAlign w:val="center"/>
                </w:tcPr>
                <w:p>
                  <w:pPr>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污水处理厂一期废气排口</w:t>
                  </w:r>
                </w:p>
              </w:tc>
              <w:tc>
                <w:tcPr>
                  <w:tcW w:w="361" w:type="pct"/>
                  <w:vMerge w:val="restar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DA001</w:t>
                  </w:r>
                </w:p>
              </w:tc>
              <w:tc>
                <w:tcPr>
                  <w:tcW w:w="591" w:type="pct"/>
                  <w:tcBorders>
                    <w:tl2br w:val="nil"/>
                    <w:tr2bl w:val="nil"/>
                  </w:tcBorders>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w:t>
                  </w:r>
                </w:p>
              </w:tc>
              <w:tc>
                <w:tcPr>
                  <w:tcW w:w="898" w:type="pct"/>
                  <w:vMerge w:val="restar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《恶臭污染物排放标准》（GB14554-1993）表2标准限值</w:t>
                  </w:r>
                </w:p>
              </w:tc>
              <w:tc>
                <w:tcPr>
                  <w:tcW w:w="443" w:type="pct"/>
                  <w:tcBorders>
                    <w:tl2br w:val="nil"/>
                    <w:tr2bl w:val="nil"/>
                  </w:tcBorders>
                  <w:noWrap/>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4.9</w:t>
                  </w:r>
                </w:p>
              </w:tc>
              <w:tc>
                <w:tcPr>
                  <w:tcW w:w="483" w:type="pct"/>
                  <w:tcBorders>
                    <w:tl2br w:val="nil"/>
                    <w:tr2bl w:val="nil"/>
                  </w:tcBorders>
                  <w:tcMar>
                    <w:top w:w="15" w:type="dxa"/>
                    <w:left w:w="15" w:type="dxa"/>
                    <w:right w:w="15" w:type="dxa"/>
                  </w:tcMar>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2" w:type="pct"/>
                  <w:tcBorders>
                    <w:right w:val="single" w:color="auto" w:sz="4" w:space="0"/>
                    <w:tl2br w:val="nil"/>
                    <w:tr2bl w:val="nil"/>
                  </w:tcBorders>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0.060 </w:t>
                  </w:r>
                </w:p>
              </w:tc>
              <w:tc>
                <w:tcPr>
                  <w:tcW w:w="425" w:type="pct"/>
                  <w:tcBorders>
                    <w:left w:val="single" w:color="auto" w:sz="4" w:space="0"/>
                    <w:tl2br w:val="nil"/>
                    <w:tr2bl w:val="nil"/>
                  </w:tcBorders>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0.0069 </w:t>
                  </w:r>
                </w:p>
              </w:tc>
              <w:tc>
                <w:tcPr>
                  <w:tcW w:w="486" w:type="pct"/>
                  <w:tcBorders>
                    <w:tl2br w:val="nil"/>
                    <w:tr2bl w:val="nil"/>
                  </w:tcBorders>
                  <w:noWrap/>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0.276 </w:t>
                  </w:r>
                </w:p>
              </w:tc>
              <w:tc>
                <w:tcPr>
                  <w:tcW w:w="289" w:type="pc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582" w:type="pct"/>
                  <w:vMerge w:val="continue"/>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sz w:val="21"/>
                      <w:szCs w:val="21"/>
                    </w:rPr>
                  </w:pPr>
                </w:p>
              </w:tc>
              <w:tc>
                <w:tcPr>
                  <w:tcW w:w="361" w:type="pct"/>
                  <w:vMerge w:val="continue"/>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p>
              </w:tc>
              <w:tc>
                <w:tcPr>
                  <w:tcW w:w="591" w:type="pct"/>
                  <w:tcBorders>
                    <w:tl2br w:val="nil"/>
                    <w:tr2bl w:val="nil"/>
                  </w:tcBorders>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硫化氢</w:t>
                  </w:r>
                </w:p>
              </w:tc>
              <w:tc>
                <w:tcPr>
                  <w:tcW w:w="898" w:type="pct"/>
                  <w:vMerge w:val="continue"/>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p>
              </w:tc>
              <w:tc>
                <w:tcPr>
                  <w:tcW w:w="443" w:type="pct"/>
                  <w:tcBorders>
                    <w:tl2br w:val="nil"/>
                    <w:tr2bl w:val="nil"/>
                  </w:tcBorders>
                  <w:noWrap/>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0.33</w:t>
                  </w:r>
                </w:p>
              </w:tc>
              <w:tc>
                <w:tcPr>
                  <w:tcW w:w="483" w:type="pct"/>
                  <w:tcBorders>
                    <w:tl2br w:val="nil"/>
                    <w:tr2bl w:val="nil"/>
                  </w:tcBorders>
                  <w:tcMar>
                    <w:top w:w="15" w:type="dxa"/>
                    <w:left w:w="15" w:type="dxa"/>
                    <w:right w:w="15" w:type="dxa"/>
                  </w:tcMar>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2" w:type="pct"/>
                  <w:tcBorders>
                    <w:right w:val="single" w:color="auto" w:sz="4" w:space="0"/>
                    <w:tl2br w:val="nil"/>
                    <w:tr2bl w:val="nil"/>
                  </w:tcBorders>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0.002 </w:t>
                  </w:r>
                </w:p>
              </w:tc>
              <w:tc>
                <w:tcPr>
                  <w:tcW w:w="425" w:type="pct"/>
                  <w:tcBorders>
                    <w:left w:val="single" w:color="auto" w:sz="4" w:space="0"/>
                    <w:tl2br w:val="nil"/>
                    <w:tr2bl w:val="nil"/>
                  </w:tcBorders>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0.0002 </w:t>
                  </w:r>
                </w:p>
              </w:tc>
              <w:tc>
                <w:tcPr>
                  <w:tcW w:w="486" w:type="pct"/>
                  <w:tcBorders>
                    <w:tl2br w:val="nil"/>
                    <w:tr2bl w:val="nil"/>
                  </w:tcBorders>
                  <w:noWrap/>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0.009 </w:t>
                  </w:r>
                </w:p>
              </w:tc>
              <w:tc>
                <w:tcPr>
                  <w:tcW w:w="289" w:type="pc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582" w:type="pct"/>
                  <w:vMerge w:val="restar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污水处理厂二期废气排口</w:t>
                  </w:r>
                </w:p>
              </w:tc>
              <w:tc>
                <w:tcPr>
                  <w:tcW w:w="361" w:type="pct"/>
                  <w:vMerge w:val="restar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DA002</w:t>
                  </w:r>
                </w:p>
              </w:tc>
              <w:tc>
                <w:tcPr>
                  <w:tcW w:w="591" w:type="pct"/>
                  <w:tcBorders>
                    <w:tl2br w:val="nil"/>
                    <w:tr2bl w:val="nil"/>
                  </w:tcBorders>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w:t>
                  </w:r>
                </w:p>
              </w:tc>
              <w:tc>
                <w:tcPr>
                  <w:tcW w:w="898" w:type="pct"/>
                  <w:vMerge w:val="continue"/>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p>
              </w:tc>
              <w:tc>
                <w:tcPr>
                  <w:tcW w:w="443" w:type="pct"/>
                  <w:tcBorders>
                    <w:tl2br w:val="nil"/>
                    <w:tr2bl w:val="nil"/>
                  </w:tcBorders>
                  <w:noWrap/>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4.9</w:t>
                  </w:r>
                </w:p>
              </w:tc>
              <w:tc>
                <w:tcPr>
                  <w:tcW w:w="483" w:type="pct"/>
                  <w:tcBorders>
                    <w:tl2br w:val="nil"/>
                    <w:tr2bl w:val="nil"/>
                  </w:tcBorders>
                  <w:tcMar>
                    <w:top w:w="15" w:type="dxa"/>
                    <w:left w:w="15" w:type="dxa"/>
                    <w:right w:w="15" w:type="dxa"/>
                  </w:tcMar>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2" w:type="pct"/>
                  <w:tcBorders>
                    <w:right w:val="single" w:color="auto" w:sz="4" w:space="0"/>
                    <w:tl2br w:val="nil"/>
                    <w:tr2bl w:val="nil"/>
                  </w:tcBorders>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0.025 </w:t>
                  </w:r>
                </w:p>
              </w:tc>
              <w:tc>
                <w:tcPr>
                  <w:tcW w:w="425" w:type="pct"/>
                  <w:tcBorders>
                    <w:left w:val="single" w:color="auto" w:sz="4" w:space="0"/>
                    <w:tl2br w:val="nil"/>
                    <w:tr2bl w:val="nil"/>
                  </w:tcBorders>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0.0028 </w:t>
                  </w:r>
                </w:p>
              </w:tc>
              <w:tc>
                <w:tcPr>
                  <w:tcW w:w="486" w:type="pct"/>
                  <w:tcBorders>
                    <w:tl2br w:val="nil"/>
                    <w:tr2bl w:val="nil"/>
                  </w:tcBorders>
                  <w:noWrap/>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0.113 </w:t>
                  </w:r>
                </w:p>
              </w:tc>
              <w:tc>
                <w:tcPr>
                  <w:tcW w:w="289" w:type="pc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582" w:type="pct"/>
                  <w:vMerge w:val="continue"/>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sz w:val="21"/>
                      <w:szCs w:val="21"/>
                    </w:rPr>
                  </w:pPr>
                </w:p>
              </w:tc>
              <w:tc>
                <w:tcPr>
                  <w:tcW w:w="361" w:type="pct"/>
                  <w:vMerge w:val="continue"/>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p>
              </w:tc>
              <w:tc>
                <w:tcPr>
                  <w:tcW w:w="591" w:type="pct"/>
                  <w:tcBorders>
                    <w:tl2br w:val="nil"/>
                    <w:tr2bl w:val="nil"/>
                  </w:tcBorders>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硫化氢</w:t>
                  </w:r>
                </w:p>
              </w:tc>
              <w:tc>
                <w:tcPr>
                  <w:tcW w:w="898" w:type="pct"/>
                  <w:vMerge w:val="continue"/>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p>
              </w:tc>
              <w:tc>
                <w:tcPr>
                  <w:tcW w:w="443" w:type="pct"/>
                  <w:tcBorders>
                    <w:tl2br w:val="nil"/>
                    <w:tr2bl w:val="nil"/>
                  </w:tcBorders>
                  <w:noWrap/>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0.33</w:t>
                  </w:r>
                </w:p>
              </w:tc>
              <w:tc>
                <w:tcPr>
                  <w:tcW w:w="483" w:type="pct"/>
                  <w:tcBorders>
                    <w:tl2br w:val="nil"/>
                    <w:tr2bl w:val="nil"/>
                  </w:tcBorders>
                  <w:tcMar>
                    <w:top w:w="15" w:type="dxa"/>
                    <w:left w:w="15" w:type="dxa"/>
                    <w:right w:w="15" w:type="dxa"/>
                  </w:tcMar>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442" w:type="pct"/>
                  <w:tcBorders>
                    <w:right w:val="single" w:color="auto" w:sz="4" w:space="0"/>
                    <w:tl2br w:val="nil"/>
                    <w:tr2bl w:val="nil"/>
                  </w:tcBorders>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0.001 </w:t>
                  </w:r>
                </w:p>
              </w:tc>
              <w:tc>
                <w:tcPr>
                  <w:tcW w:w="425" w:type="pct"/>
                  <w:tcBorders>
                    <w:left w:val="single" w:color="auto" w:sz="4" w:space="0"/>
                    <w:tl2br w:val="nil"/>
                    <w:tr2bl w:val="nil"/>
                  </w:tcBorders>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0.0001 </w:t>
                  </w:r>
                </w:p>
              </w:tc>
              <w:tc>
                <w:tcPr>
                  <w:tcW w:w="486" w:type="pct"/>
                  <w:tcBorders>
                    <w:tl2br w:val="nil"/>
                    <w:tr2bl w:val="nil"/>
                  </w:tcBorders>
                  <w:noWrap/>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0.003 </w:t>
                  </w:r>
                </w:p>
              </w:tc>
              <w:tc>
                <w:tcPr>
                  <w:tcW w:w="289" w:type="pct"/>
                  <w:tcBorders>
                    <w:tl2br w:val="nil"/>
                    <w:tr2bl w:val="nil"/>
                  </w:tcBorders>
                  <w:tcMar>
                    <w:top w:w="15" w:type="dxa"/>
                    <w:left w:w="15" w:type="dxa"/>
                    <w:right w:w="15" w:type="dxa"/>
                  </w:tcMar>
                  <w:vAlign w:val="center"/>
                </w:tcPr>
                <w:p>
                  <w:pPr>
                    <w:spacing w:line="360" w:lineRule="exact"/>
                    <w:jc w:val="center"/>
                    <w:textAlignment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达标</w:t>
                  </w:r>
                </w:p>
              </w:tc>
            </w:tr>
          </w:tbl>
          <w:p>
            <w:pPr>
              <w:pStyle w:val="161"/>
              <w:numPr>
                <w:ilvl w:val="0"/>
                <w:numId w:val="7"/>
              </w:numPr>
              <w:autoSpaceDE w:val="0"/>
              <w:autoSpaceDN w:val="0"/>
              <w:adjustRightInd w:val="0"/>
              <w:snapToGrid w:val="0"/>
              <w:spacing w:before="163" w:beforeLines="50"/>
              <w:ind w:firstLineChars="0"/>
              <w:jc w:val="center"/>
              <w:rPr>
                <w:rFonts w:hint="default" w:ascii="Times New Roman" w:hAnsi="Times New Roman" w:eastAsia="黑体" w:cs="Times New Roman"/>
              </w:rPr>
            </w:pPr>
            <w:r>
              <w:rPr>
                <w:rFonts w:hint="default" w:ascii="Times New Roman" w:hAnsi="Times New Roman" w:eastAsia="黑体" w:cs="Times New Roman"/>
              </w:rPr>
              <w:t>废气污染物无组织排放执行标准及预计排放量</w:t>
            </w:r>
          </w:p>
          <w:tbl>
            <w:tblPr>
              <w:tblStyle w:val="44"/>
              <w:tblW w:w="4998" w:type="pct"/>
              <w:jc w:val="center"/>
              <w:tblLayout w:type="autofit"/>
              <w:tblCellMar>
                <w:top w:w="0" w:type="dxa"/>
                <w:left w:w="0" w:type="dxa"/>
                <w:bottom w:w="0" w:type="dxa"/>
                <w:right w:w="0" w:type="dxa"/>
              </w:tblCellMar>
            </w:tblPr>
            <w:tblGrid>
              <w:gridCol w:w="856"/>
              <w:gridCol w:w="1764"/>
              <w:gridCol w:w="1321"/>
              <w:gridCol w:w="2081"/>
              <w:gridCol w:w="1593"/>
              <w:gridCol w:w="1764"/>
            </w:tblGrid>
            <w:tr>
              <w:trPr>
                <w:trHeight w:val="270" w:hRule="atLeast"/>
                <w:jc w:val="center"/>
              </w:trPr>
              <w:tc>
                <w:tcPr>
                  <w:tcW w:w="45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序号</w:t>
                  </w:r>
                </w:p>
              </w:tc>
              <w:tc>
                <w:tcPr>
                  <w:tcW w:w="94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产污环节</w:t>
                  </w: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污染物种类</w:t>
                  </w:r>
                </w:p>
              </w:tc>
              <w:tc>
                <w:tcPr>
                  <w:tcW w:w="1958"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国家或地方污染物排放标准</w:t>
                  </w:r>
                </w:p>
              </w:tc>
              <w:tc>
                <w:tcPr>
                  <w:tcW w:w="9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无组织预计排放情况</w:t>
                  </w:r>
                </w:p>
              </w:tc>
            </w:tr>
            <w:tr>
              <w:tblPrEx>
                <w:tblCellMar>
                  <w:top w:w="0" w:type="dxa"/>
                  <w:left w:w="0" w:type="dxa"/>
                  <w:bottom w:w="0" w:type="dxa"/>
                  <w:right w:w="0" w:type="dxa"/>
                </w:tblCellMar>
              </w:tblPrEx>
              <w:trPr>
                <w:trHeight w:val="540" w:hRule="atLeast"/>
                <w:jc w:val="center"/>
              </w:trPr>
              <w:tc>
                <w:tcPr>
                  <w:tcW w:w="45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b/>
                      <w:bCs/>
                      <w:sz w:val="21"/>
                      <w:szCs w:val="21"/>
                    </w:rPr>
                  </w:pPr>
                </w:p>
              </w:tc>
              <w:tc>
                <w:tcPr>
                  <w:tcW w:w="94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b/>
                      <w:bCs/>
                      <w:sz w:val="21"/>
                      <w:szCs w:val="21"/>
                    </w:rPr>
                  </w:pP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b/>
                      <w:bCs/>
                      <w:sz w:val="21"/>
                      <w:szCs w:val="21"/>
                    </w:rPr>
                  </w:pPr>
                </w:p>
              </w:tc>
              <w:tc>
                <w:tcPr>
                  <w:tcW w:w="110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标准名称</w:t>
                  </w:r>
                </w:p>
              </w:tc>
              <w:tc>
                <w:tcPr>
                  <w:tcW w:w="8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浓度限值mg/m</w:t>
                  </w:r>
                  <w:r>
                    <w:rPr>
                      <w:rFonts w:hint="default" w:ascii="Times New Roman" w:hAnsi="Times New Roman" w:eastAsia="宋体" w:cs="Times New Roman"/>
                      <w:b/>
                      <w:bCs/>
                      <w:kern w:val="0"/>
                      <w:sz w:val="21"/>
                      <w:szCs w:val="21"/>
                      <w:vertAlign w:val="superscript"/>
                    </w:rPr>
                    <w:t>3</w:t>
                  </w:r>
                </w:p>
              </w:tc>
              <w:tc>
                <w:tcPr>
                  <w:tcW w:w="9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排放量</w:t>
                  </w:r>
                </w:p>
              </w:tc>
            </w:tr>
            <w:tr>
              <w:tblPrEx>
                <w:tblCellMar>
                  <w:top w:w="0" w:type="dxa"/>
                  <w:left w:w="0" w:type="dxa"/>
                  <w:bottom w:w="0" w:type="dxa"/>
                  <w:right w:w="0" w:type="dxa"/>
                </w:tblCellMar>
              </w:tblPrEx>
              <w:trPr>
                <w:trHeight w:val="400" w:hRule="atLeast"/>
                <w:jc w:val="center"/>
              </w:trPr>
              <w:tc>
                <w:tcPr>
                  <w:tcW w:w="456"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w:t>
                  </w:r>
                </w:p>
              </w:tc>
              <w:tc>
                <w:tcPr>
                  <w:tcW w:w="940"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污水处理单元</w:t>
                  </w:r>
                </w:p>
              </w:tc>
              <w:tc>
                <w:tcPr>
                  <w:tcW w:w="7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w:t>
                  </w:r>
                </w:p>
              </w:tc>
              <w:tc>
                <w:tcPr>
                  <w:tcW w:w="1109"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《城镇污水处理厂污染物排放标准》</w:t>
                  </w:r>
                </w:p>
                <w:p>
                  <w:pPr>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（GB18918-2002）中表 4 二级标准</w:t>
                  </w:r>
                </w:p>
              </w:tc>
              <w:tc>
                <w:tcPr>
                  <w:tcW w:w="848" w:type="pct"/>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9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等线" w:cs="Times New Roman"/>
                      <w:sz w:val="20"/>
                      <w:szCs w:val="20"/>
                    </w:rPr>
                    <w:t>0.1893 t/a</w:t>
                  </w:r>
                </w:p>
              </w:tc>
            </w:tr>
            <w:tr>
              <w:tblPrEx>
                <w:tblCellMar>
                  <w:top w:w="0" w:type="dxa"/>
                  <w:left w:w="0" w:type="dxa"/>
                  <w:bottom w:w="0" w:type="dxa"/>
                  <w:right w:w="0" w:type="dxa"/>
                </w:tblCellMar>
              </w:tblPrEx>
              <w:trPr>
                <w:trHeight w:val="392" w:hRule="atLeast"/>
                <w:jc w:val="center"/>
              </w:trPr>
              <w:tc>
                <w:tcPr>
                  <w:tcW w:w="456"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kern w:val="0"/>
                      <w:sz w:val="21"/>
                      <w:szCs w:val="21"/>
                    </w:rPr>
                  </w:pPr>
                </w:p>
              </w:tc>
              <w:tc>
                <w:tcPr>
                  <w:tcW w:w="940"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硫化氢</w:t>
                  </w:r>
                </w:p>
              </w:tc>
              <w:tc>
                <w:tcPr>
                  <w:tcW w:w="1109" w:type="pct"/>
                  <w:vMerge w:val="continue"/>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sz w:val="21"/>
                      <w:szCs w:val="21"/>
                    </w:rPr>
                  </w:pPr>
                </w:p>
              </w:tc>
              <w:tc>
                <w:tcPr>
                  <w:tcW w:w="848" w:type="pct"/>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c>
                <w:tcPr>
                  <w:tcW w:w="9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等线" w:cs="Times New Roman"/>
                      <w:sz w:val="20"/>
                      <w:szCs w:val="20"/>
                    </w:rPr>
                    <w:t>0.0059 t/a</w:t>
                  </w:r>
                </w:p>
              </w:tc>
            </w:tr>
            <w:tr>
              <w:tblPrEx>
                <w:tblCellMar>
                  <w:top w:w="0" w:type="dxa"/>
                  <w:left w:w="0" w:type="dxa"/>
                  <w:bottom w:w="0" w:type="dxa"/>
                  <w:right w:w="0" w:type="dxa"/>
                </w:tblCellMar>
              </w:tblPrEx>
              <w:trPr>
                <w:trHeight w:val="400" w:hRule="atLeast"/>
                <w:jc w:val="center"/>
              </w:trPr>
              <w:tc>
                <w:tcPr>
                  <w:tcW w:w="456"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kern w:val="0"/>
                      <w:sz w:val="21"/>
                      <w:szCs w:val="21"/>
                    </w:rPr>
                  </w:pPr>
                </w:p>
              </w:tc>
              <w:tc>
                <w:tcPr>
                  <w:tcW w:w="940"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臭气浓度</w:t>
                  </w:r>
                </w:p>
              </w:tc>
              <w:tc>
                <w:tcPr>
                  <w:tcW w:w="1109"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textAlignment w:val="center"/>
                    <w:rPr>
                      <w:rFonts w:hint="default" w:ascii="Times New Roman" w:hAnsi="Times New Roman" w:eastAsia="宋体" w:cs="Times New Roman"/>
                      <w:sz w:val="21"/>
                      <w:szCs w:val="21"/>
                    </w:rPr>
                  </w:pPr>
                </w:p>
              </w:tc>
              <w:tc>
                <w:tcPr>
                  <w:tcW w:w="848" w:type="pct"/>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20（无量纲）</w:t>
                  </w:r>
                </w:p>
              </w:tc>
              <w:tc>
                <w:tcPr>
                  <w:tcW w:w="9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cs="Times New Roman"/>
                      <w:sz w:val="21"/>
                      <w:szCs w:val="21"/>
                    </w:rPr>
                    <w:t>10</w:t>
                  </w:r>
                </w:p>
              </w:tc>
            </w:tr>
          </w:tbl>
          <w:p>
            <w:pPr>
              <w:pStyle w:val="161"/>
              <w:numPr>
                <w:ilvl w:val="0"/>
                <w:numId w:val="7"/>
              </w:numPr>
              <w:autoSpaceDE w:val="0"/>
              <w:autoSpaceDN w:val="0"/>
              <w:adjustRightInd w:val="0"/>
              <w:snapToGrid w:val="0"/>
              <w:spacing w:before="163" w:beforeLines="50"/>
              <w:ind w:firstLineChars="0"/>
              <w:jc w:val="center"/>
              <w:rPr>
                <w:rFonts w:hint="default" w:ascii="Times New Roman" w:hAnsi="Times New Roman" w:eastAsia="黑体" w:cs="Times New Roman"/>
              </w:rPr>
            </w:pPr>
            <w:r>
              <w:rPr>
                <w:rFonts w:hint="default" w:ascii="Times New Roman" w:hAnsi="Times New Roman" w:eastAsia="黑体" w:cs="Times New Roman"/>
              </w:rPr>
              <w:t>废气污染物年排放量核算表</w:t>
            </w:r>
          </w:p>
          <w:tbl>
            <w:tblPr>
              <w:tblStyle w:val="44"/>
              <w:tblW w:w="4999" w:type="pct"/>
              <w:jc w:val="center"/>
              <w:tblLayout w:type="autofit"/>
              <w:tblCellMar>
                <w:top w:w="0" w:type="dxa"/>
                <w:left w:w="0" w:type="dxa"/>
                <w:bottom w:w="0" w:type="dxa"/>
                <w:right w:w="0" w:type="dxa"/>
              </w:tblCellMar>
            </w:tblPr>
            <w:tblGrid>
              <w:gridCol w:w="1138"/>
              <w:gridCol w:w="1639"/>
              <w:gridCol w:w="2200"/>
              <w:gridCol w:w="2200"/>
              <w:gridCol w:w="2204"/>
            </w:tblGrid>
            <w:tr>
              <w:tblPrEx>
                <w:tblCellMar>
                  <w:top w:w="0" w:type="dxa"/>
                  <w:left w:w="0" w:type="dxa"/>
                  <w:bottom w:w="0" w:type="dxa"/>
                  <w:right w:w="0" w:type="dxa"/>
                </w:tblCellMar>
              </w:tblPrEx>
              <w:trPr>
                <w:trHeight w:val="303" w:hRule="atLeast"/>
                <w:jc w:val="center"/>
              </w:trPr>
              <w:tc>
                <w:tcPr>
                  <w:tcW w:w="60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序号</w:t>
                  </w:r>
                </w:p>
              </w:tc>
              <w:tc>
                <w:tcPr>
                  <w:tcW w:w="87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污染物</w:t>
                  </w:r>
                </w:p>
              </w:tc>
              <w:tc>
                <w:tcPr>
                  <w:tcW w:w="3518"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年排放量</w:t>
                  </w:r>
                  <w:r>
                    <w:rPr>
                      <w:rFonts w:hint="default" w:ascii="Times New Roman" w:hAnsi="Times New Roman" w:eastAsia="等线" w:cs="Times New Roman"/>
                      <w:b/>
                      <w:bCs/>
                      <w:sz w:val="21"/>
                      <w:szCs w:val="21"/>
                    </w:rPr>
                    <w:t>t/a</w:t>
                  </w:r>
                </w:p>
              </w:tc>
            </w:tr>
            <w:tr>
              <w:tblPrEx>
                <w:tblCellMar>
                  <w:top w:w="0" w:type="dxa"/>
                  <w:left w:w="0" w:type="dxa"/>
                  <w:bottom w:w="0" w:type="dxa"/>
                  <w:right w:w="0" w:type="dxa"/>
                </w:tblCellMar>
              </w:tblPrEx>
              <w:trPr>
                <w:trHeight w:val="537" w:hRule="atLeast"/>
                <w:jc w:val="center"/>
              </w:trPr>
              <w:tc>
                <w:tcPr>
                  <w:tcW w:w="60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b/>
                      <w:bCs/>
                      <w:sz w:val="21"/>
                      <w:szCs w:val="21"/>
                    </w:rPr>
                  </w:pPr>
                </w:p>
              </w:tc>
              <w:tc>
                <w:tcPr>
                  <w:tcW w:w="87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b/>
                      <w:bCs/>
                      <w:sz w:val="21"/>
                      <w:szCs w:val="21"/>
                    </w:rPr>
                  </w:pPr>
                </w:p>
              </w:tc>
              <w:tc>
                <w:tcPr>
                  <w:tcW w:w="11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有组织</w:t>
                  </w:r>
                </w:p>
              </w:tc>
              <w:tc>
                <w:tcPr>
                  <w:tcW w:w="11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无组织</w:t>
                  </w:r>
                </w:p>
              </w:tc>
              <w:tc>
                <w:tcPr>
                  <w:tcW w:w="11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rPr>
                    <w:t>小计</w:t>
                  </w:r>
                </w:p>
              </w:tc>
            </w:tr>
            <w:tr>
              <w:tblPrEx>
                <w:tblCellMar>
                  <w:top w:w="0" w:type="dxa"/>
                  <w:left w:w="0" w:type="dxa"/>
                  <w:bottom w:w="0" w:type="dxa"/>
                  <w:right w:w="0" w:type="dxa"/>
                </w:tblCellMar>
              </w:tblPrEx>
              <w:trPr>
                <w:trHeight w:val="327"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1</w:t>
                  </w:r>
                </w:p>
              </w:tc>
              <w:tc>
                <w:tcPr>
                  <w:tcW w:w="8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ascii="Times New Roman" w:hAnsi="Times New Roman" w:eastAsia="宋体" w:cs="Times New Roman"/>
                      <w:sz w:val="21"/>
                      <w:szCs w:val="21"/>
                      <w:shd w:val="pct10" w:color="auto" w:fill="FFFFFF"/>
                    </w:rPr>
                  </w:pPr>
                  <w:r>
                    <w:rPr>
                      <w:rFonts w:hint="default" w:ascii="Times New Roman" w:hAnsi="Times New Roman" w:eastAsia="宋体" w:cs="Times New Roman"/>
                      <w:sz w:val="21"/>
                      <w:szCs w:val="21"/>
                    </w:rPr>
                    <w:t xml:space="preserve">0.085 </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sz w:val="21"/>
                      <w:szCs w:val="21"/>
                      <w:shd w:val="pct10" w:color="auto" w:fill="FFFFFF"/>
                    </w:rPr>
                  </w:pPr>
                  <w:r>
                    <w:rPr>
                      <w:rFonts w:hint="default" w:ascii="Times New Roman" w:hAnsi="Times New Roman" w:eastAsia="宋体" w:cs="Times New Roman"/>
                      <w:sz w:val="21"/>
                      <w:szCs w:val="21"/>
                    </w:rPr>
                    <w:t xml:space="preserve">0.1893 </w:t>
                  </w:r>
                </w:p>
              </w:tc>
              <w:tc>
                <w:tcPr>
                  <w:tcW w:w="11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ascii="Times New Roman" w:hAnsi="Times New Roman" w:eastAsia="宋体" w:cs="Times New Roman"/>
                      <w:sz w:val="21"/>
                      <w:szCs w:val="21"/>
                      <w:shd w:val="pct10" w:color="auto" w:fill="FFFFFF"/>
                    </w:rPr>
                  </w:pPr>
                  <w:r>
                    <w:rPr>
                      <w:rFonts w:hint="default" w:ascii="Times New Roman" w:hAnsi="Times New Roman" w:eastAsia="宋体" w:cs="Times New Roman"/>
                      <w:sz w:val="21"/>
                      <w:szCs w:val="21"/>
                    </w:rPr>
                    <w:t>0.2743</w:t>
                  </w:r>
                </w:p>
              </w:tc>
            </w:tr>
            <w:tr>
              <w:tblPrEx>
                <w:tblCellMar>
                  <w:top w:w="0" w:type="dxa"/>
                  <w:left w:w="0" w:type="dxa"/>
                  <w:bottom w:w="0" w:type="dxa"/>
                  <w:right w:w="0" w:type="dxa"/>
                </w:tblCellMar>
              </w:tblPrEx>
              <w:trPr>
                <w:trHeight w:val="327" w:hRule="atLeast"/>
                <w:jc w:val="center"/>
              </w:trPr>
              <w:tc>
                <w:tcPr>
                  <w:tcW w:w="60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w:t>
                  </w:r>
                </w:p>
              </w:tc>
              <w:tc>
                <w:tcPr>
                  <w:tcW w:w="8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硫化氢</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ascii="Times New Roman" w:hAnsi="Times New Roman" w:eastAsia="宋体" w:cs="Times New Roman"/>
                      <w:sz w:val="21"/>
                      <w:szCs w:val="21"/>
                      <w:shd w:val="pct10" w:color="auto" w:fill="FFFFFF"/>
                    </w:rPr>
                  </w:pPr>
                  <w:r>
                    <w:rPr>
                      <w:rFonts w:hint="default" w:ascii="Times New Roman" w:hAnsi="Times New Roman" w:eastAsia="宋体" w:cs="Times New Roman"/>
                      <w:sz w:val="21"/>
                      <w:szCs w:val="21"/>
                    </w:rPr>
                    <w:t xml:space="preserve">0.003 </w:t>
                  </w:r>
                </w:p>
              </w:tc>
              <w:tc>
                <w:tcPr>
                  <w:tcW w:w="117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sz w:val="21"/>
                      <w:szCs w:val="21"/>
                      <w:shd w:val="pct10" w:color="auto" w:fill="FFFFFF"/>
                    </w:rPr>
                  </w:pPr>
                  <w:r>
                    <w:rPr>
                      <w:rFonts w:hint="default" w:ascii="Times New Roman" w:hAnsi="Times New Roman" w:eastAsia="宋体" w:cs="Times New Roman"/>
                      <w:sz w:val="21"/>
                      <w:szCs w:val="21"/>
                    </w:rPr>
                    <w:t xml:space="preserve">0.0059 </w:t>
                  </w:r>
                </w:p>
              </w:tc>
              <w:tc>
                <w:tcPr>
                  <w:tcW w:w="11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jc w:val="center"/>
                    <w:rPr>
                      <w:rFonts w:hint="default" w:ascii="Times New Roman" w:hAnsi="Times New Roman" w:eastAsia="宋体" w:cs="Times New Roman"/>
                      <w:sz w:val="21"/>
                      <w:szCs w:val="21"/>
                      <w:shd w:val="pct10" w:color="auto" w:fill="FFFFFF"/>
                    </w:rPr>
                  </w:pPr>
                  <w:r>
                    <w:rPr>
                      <w:rFonts w:hint="default" w:ascii="Times New Roman" w:hAnsi="Times New Roman" w:eastAsia="宋体" w:cs="Times New Roman"/>
                      <w:sz w:val="21"/>
                      <w:szCs w:val="21"/>
                    </w:rPr>
                    <w:t>0.0089</w:t>
                  </w:r>
                </w:p>
              </w:tc>
            </w:tr>
          </w:tbl>
          <w:p>
            <w:pPr>
              <w:widowControl w:val="0"/>
              <w:ind w:firstLine="361" w:firstLineChars="150"/>
              <w:jc w:val="both"/>
              <w:rPr>
                <w:rFonts w:hint="default" w:ascii="Times New Roman" w:hAnsi="Times New Roman" w:cs="Times New Roman"/>
                <w:b/>
              </w:rPr>
            </w:pPr>
            <w:r>
              <w:rPr>
                <w:rFonts w:hint="default" w:ascii="Times New Roman" w:hAnsi="Times New Roman" w:cs="Times New Roman"/>
                <w:b/>
              </w:rPr>
              <w:t>3、卫生防护距离</w:t>
            </w:r>
          </w:p>
          <w:p>
            <w:pPr>
              <w:pStyle w:val="187"/>
              <w:widowControl w:val="0"/>
              <w:ind w:firstLine="480"/>
              <w:jc w:val="both"/>
              <w:rPr>
                <w:rFonts w:hint="default" w:ascii="Times New Roman" w:hAnsi="Times New Roman" w:cs="Times New Roman"/>
                <w:kern w:val="0"/>
              </w:rPr>
            </w:pPr>
            <w:r>
              <w:rPr>
                <w:rFonts w:hint="default" w:ascii="Times New Roman" w:hAnsi="Times New Roman" w:cs="Times New Roman"/>
                <w:kern w:val="0"/>
              </w:rPr>
              <w:t>根据《大气有害物质无组织排放卫生防护距离推导技术导则》（GB/T39499-2020）中“4行业主要特征大气有害物质 不同行业及生产工艺产生无组织排放的特征大气有害物质差别较大。在选取特征大气有害物质时，应首先考虑其对人体健康损害毒性特点，并根据目标行业企业的产品产量及其原辅材料、工艺特征、中间产物、产排污特点等具体情况，确定单个大气有害物质的无组织排放量及等标排放量(Q/c</w:t>
            </w:r>
            <w:r>
              <w:rPr>
                <w:rFonts w:hint="default" w:ascii="Times New Roman" w:hAnsi="Times New Roman" w:cs="Times New Roman"/>
                <w:kern w:val="0"/>
                <w:sz w:val="16"/>
                <w:szCs w:val="16"/>
              </w:rPr>
              <w:t>m</w:t>
            </w:r>
            <w:r>
              <w:rPr>
                <w:rFonts w:hint="default" w:ascii="Times New Roman" w:hAnsi="Times New Roman" w:cs="Times New Roman"/>
                <w:kern w:val="0"/>
              </w:rPr>
              <w:t>)，最终确定卫生防护距离相关的主要特征大气有害物质1种～2种。</w:t>
            </w:r>
          </w:p>
          <w:p>
            <w:pPr>
              <w:pStyle w:val="187"/>
              <w:widowControl w:val="0"/>
              <w:ind w:firstLine="480"/>
              <w:jc w:val="both"/>
              <w:rPr>
                <w:rFonts w:hint="default" w:ascii="Times New Roman" w:hAnsi="Times New Roman" w:cs="Times New Roman"/>
                <w:kern w:val="0"/>
              </w:rPr>
            </w:pPr>
            <w:r>
              <w:rPr>
                <w:rFonts w:hint="default" w:ascii="Times New Roman" w:hAnsi="Times New Roman" w:cs="Times New Roman"/>
                <w:kern w:val="0"/>
              </w:rPr>
              <w:t>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本项目大气有害物质等标排放量如下：</w:t>
            </w:r>
          </w:p>
          <w:p>
            <w:pPr>
              <w:pStyle w:val="18"/>
              <w:widowControl w:val="0"/>
              <w:adjustRightInd w:val="0"/>
              <w:spacing w:line="360" w:lineRule="auto"/>
              <w:ind w:right="0" w:firstLine="480" w:firstLineChars="200"/>
              <w:jc w:val="center"/>
              <w:rPr>
                <w:rFonts w:hint="default" w:ascii="Times New Roman" w:hAnsi="Times New Roman" w:cs="Times New Roman"/>
                <w:sz w:val="24"/>
                <w:szCs w:val="24"/>
              </w:rPr>
            </w:pPr>
            <w:r>
              <w:rPr>
                <w:rFonts w:hint="default" w:ascii="Times New Roman" w:hAnsi="Times New Roman" w:cs="Times New Roman"/>
                <w:sz w:val="24"/>
                <w:szCs w:val="24"/>
              </w:rPr>
              <w:t>Pi=Qi/Coi×10</w:t>
            </w:r>
            <w:r>
              <w:rPr>
                <w:rFonts w:hint="default" w:ascii="Times New Roman" w:hAnsi="Times New Roman" w:cs="Times New Roman"/>
                <w:position w:val="8"/>
                <w:sz w:val="24"/>
                <w:szCs w:val="24"/>
                <w:vertAlign w:val="superscript"/>
              </w:rPr>
              <w:t>9</w:t>
            </w:r>
          </w:p>
          <w:p>
            <w:pPr>
              <w:pStyle w:val="18"/>
              <w:widowControl w:val="0"/>
              <w:adjustRightInd w:val="0"/>
              <w:spacing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式中：</w:t>
            </w:r>
          </w:p>
          <w:p>
            <w:pPr>
              <w:pStyle w:val="18"/>
              <w:widowControl w:val="0"/>
              <w:adjustRightInd w:val="0"/>
              <w:spacing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Pi——评价等级判别参数，等标排放量，m</w:t>
            </w:r>
            <w:r>
              <w:rPr>
                <w:rFonts w:hint="default" w:ascii="Times New Roman" w:hAnsi="Times New Roman" w:cs="Times New Roman"/>
                <w:position w:val="8"/>
                <w:sz w:val="24"/>
                <w:szCs w:val="24"/>
                <w:vertAlign w:val="superscript"/>
              </w:rPr>
              <w:t>3</w:t>
            </w:r>
            <w:r>
              <w:rPr>
                <w:rFonts w:hint="default" w:ascii="Times New Roman" w:hAnsi="Times New Roman" w:cs="Times New Roman"/>
                <w:sz w:val="24"/>
                <w:szCs w:val="24"/>
              </w:rPr>
              <w:t>/h；</w:t>
            </w:r>
          </w:p>
          <w:p>
            <w:pPr>
              <w:pStyle w:val="18"/>
              <w:widowControl w:val="0"/>
              <w:adjustRightInd w:val="0"/>
              <w:spacing w:after="0" w:line="360" w:lineRule="auto"/>
              <w:ind w:right="0"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Qi——单位时间的排放量，t/h；</w:t>
            </w:r>
          </w:p>
          <w:p>
            <w:pPr>
              <w:widowControl w:val="0"/>
              <w:adjustRightInd w:val="0"/>
              <w:snapToGrid w:val="0"/>
              <w:ind w:firstLine="480" w:firstLineChars="200"/>
              <w:jc w:val="both"/>
              <w:rPr>
                <w:rFonts w:hint="default" w:ascii="Times New Roman" w:hAnsi="Times New Roman" w:eastAsia="宋体" w:cs="Times New Roman"/>
              </w:rPr>
            </w:pPr>
            <w:r>
              <w:rPr>
                <w:rFonts w:hint="default" w:ascii="Times New Roman" w:hAnsi="Times New Roman" w:eastAsia="宋体" w:cs="Times New Roman"/>
              </w:rPr>
              <w:t>Coi——环境空气质量标准，mg/m</w:t>
            </w:r>
            <w:r>
              <w:rPr>
                <w:rFonts w:hint="default" w:ascii="Times New Roman" w:hAnsi="Times New Roman" w:eastAsia="宋体" w:cs="Times New Roman"/>
                <w:position w:val="8"/>
                <w:vertAlign w:val="superscript"/>
              </w:rPr>
              <w:t>3</w:t>
            </w:r>
            <w:r>
              <w:rPr>
                <w:rFonts w:hint="default" w:ascii="Times New Roman" w:hAnsi="Times New Roman" w:eastAsia="宋体" w:cs="Times New Roman"/>
              </w:rPr>
              <w:t>。</w:t>
            </w:r>
          </w:p>
          <w:p>
            <w:pPr>
              <w:pStyle w:val="242"/>
              <w:numPr>
                <w:ilvl w:val="0"/>
                <w:numId w:val="7"/>
              </w:numPr>
              <w:rPr>
                <w:rFonts w:hint="default" w:ascii="Times New Roman" w:hAnsi="Times New Roman" w:cs="Times New Roman"/>
                <w:sz w:val="24"/>
              </w:rPr>
            </w:pPr>
            <w:r>
              <w:rPr>
                <w:rFonts w:hint="default" w:ascii="Times New Roman" w:hAnsi="Times New Roman" w:cs="Times New Roman"/>
                <w:sz w:val="24"/>
              </w:rPr>
              <w:t>大气有害物质等标排放量</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6"/>
              <w:gridCol w:w="1035"/>
              <w:gridCol w:w="1923"/>
              <w:gridCol w:w="1920"/>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417" w:type="pct"/>
                  <w:tcBorders>
                    <w:top w:val="single" w:color="auto" w:sz="4" w:space="0"/>
                    <w:left w:val="single" w:color="auto" w:sz="4" w:space="0"/>
                    <w:bottom w:val="single" w:color="auto" w:sz="4" w:space="0"/>
                    <w:right w:val="single" w:color="auto" w:sz="4" w:space="0"/>
                  </w:tcBorders>
                  <w:vAlign w:val="center"/>
                </w:tcPr>
                <w:p>
                  <w:pPr>
                    <w:pStyle w:val="189"/>
                    <w:rPr>
                      <w:rFonts w:hint="default" w:ascii="Times New Roman" w:hAnsi="Times New Roman" w:cs="Times New Roman"/>
                      <w:b/>
                      <w:bCs w:val="0"/>
                      <w:szCs w:val="21"/>
                    </w:rPr>
                  </w:pPr>
                  <w:r>
                    <w:rPr>
                      <w:rFonts w:hint="default" w:ascii="Times New Roman" w:hAnsi="Times New Roman" w:cs="Times New Roman"/>
                      <w:b/>
                      <w:bCs w:val="0"/>
                      <w:szCs w:val="21"/>
                    </w:rPr>
                    <w:t>无组织排放源</w:t>
                  </w:r>
                </w:p>
              </w:tc>
              <w:tc>
                <w:tcPr>
                  <w:tcW w:w="552" w:type="pct"/>
                  <w:tcBorders>
                    <w:top w:val="single" w:color="auto" w:sz="4" w:space="0"/>
                    <w:left w:val="single" w:color="auto" w:sz="4" w:space="0"/>
                    <w:bottom w:val="single" w:color="auto" w:sz="4" w:space="0"/>
                    <w:right w:val="single" w:color="auto" w:sz="4" w:space="0"/>
                  </w:tcBorders>
                  <w:vAlign w:val="center"/>
                </w:tcPr>
                <w:p>
                  <w:pPr>
                    <w:pStyle w:val="189"/>
                    <w:rPr>
                      <w:rFonts w:hint="default" w:ascii="Times New Roman" w:hAnsi="Times New Roman" w:cs="Times New Roman"/>
                      <w:b/>
                      <w:bCs w:val="0"/>
                      <w:szCs w:val="21"/>
                    </w:rPr>
                  </w:pPr>
                  <w:r>
                    <w:rPr>
                      <w:rFonts w:hint="default" w:ascii="Times New Roman" w:hAnsi="Times New Roman" w:cs="Times New Roman"/>
                      <w:b/>
                      <w:bCs w:val="0"/>
                      <w:szCs w:val="21"/>
                    </w:rPr>
                    <w:t>污染物</w:t>
                  </w:r>
                </w:p>
              </w:tc>
              <w:tc>
                <w:tcPr>
                  <w:tcW w:w="1026" w:type="pct"/>
                  <w:tcBorders>
                    <w:top w:val="single" w:color="auto" w:sz="4" w:space="0"/>
                    <w:left w:val="single" w:color="auto" w:sz="4" w:space="0"/>
                    <w:bottom w:val="single" w:color="auto" w:sz="4" w:space="0"/>
                    <w:right w:val="single" w:color="auto" w:sz="4" w:space="0"/>
                  </w:tcBorders>
                  <w:vAlign w:val="center"/>
                </w:tcPr>
                <w:p>
                  <w:pPr>
                    <w:pStyle w:val="189"/>
                    <w:rPr>
                      <w:rFonts w:hint="default" w:ascii="Times New Roman" w:hAnsi="Times New Roman" w:cs="Times New Roman"/>
                      <w:b/>
                      <w:bCs w:val="0"/>
                      <w:szCs w:val="21"/>
                    </w:rPr>
                  </w:pPr>
                  <w:r>
                    <w:rPr>
                      <w:rFonts w:hint="default" w:ascii="Times New Roman" w:hAnsi="Times New Roman" w:cs="Times New Roman"/>
                      <w:b/>
                      <w:bCs w:val="0"/>
                      <w:szCs w:val="21"/>
                    </w:rPr>
                    <w:t>排放速率（kg/h）</w:t>
                  </w:r>
                </w:p>
              </w:tc>
              <w:tc>
                <w:tcPr>
                  <w:tcW w:w="1024" w:type="pct"/>
                  <w:tcBorders>
                    <w:top w:val="single" w:color="auto" w:sz="4" w:space="0"/>
                    <w:left w:val="single" w:color="auto" w:sz="4" w:space="0"/>
                    <w:bottom w:val="single" w:color="auto" w:sz="4" w:space="0"/>
                    <w:right w:val="single" w:color="auto" w:sz="4" w:space="0"/>
                  </w:tcBorders>
                  <w:vAlign w:val="center"/>
                </w:tcPr>
                <w:p>
                  <w:pPr>
                    <w:pStyle w:val="189"/>
                    <w:rPr>
                      <w:rFonts w:hint="default" w:ascii="Times New Roman" w:hAnsi="Times New Roman" w:cs="Times New Roman"/>
                      <w:b/>
                      <w:bCs w:val="0"/>
                      <w:szCs w:val="21"/>
                    </w:rPr>
                  </w:pPr>
                  <w:r>
                    <w:rPr>
                      <w:rFonts w:hint="default" w:ascii="Times New Roman" w:hAnsi="Times New Roman" w:cs="Times New Roman"/>
                      <w:b/>
                      <w:bCs w:val="0"/>
                      <w:szCs w:val="21"/>
                    </w:rPr>
                    <w:t>评价标准（mg/m</w:t>
                  </w:r>
                  <w:r>
                    <w:rPr>
                      <w:rFonts w:hint="default" w:ascii="Times New Roman" w:hAnsi="Times New Roman" w:cs="Times New Roman"/>
                      <w:b/>
                      <w:bCs w:val="0"/>
                      <w:szCs w:val="21"/>
                      <w:vertAlign w:val="superscript"/>
                    </w:rPr>
                    <w:t>3</w:t>
                  </w:r>
                  <w:r>
                    <w:rPr>
                      <w:rFonts w:hint="default" w:ascii="Times New Roman" w:hAnsi="Times New Roman" w:cs="Times New Roman"/>
                      <w:b/>
                      <w:bCs w:val="0"/>
                      <w:szCs w:val="21"/>
                    </w:rPr>
                    <w:t>）</w:t>
                  </w:r>
                </w:p>
              </w:tc>
              <w:tc>
                <w:tcPr>
                  <w:tcW w:w="981" w:type="pct"/>
                  <w:tcBorders>
                    <w:top w:val="single" w:color="auto" w:sz="4" w:space="0"/>
                    <w:left w:val="single" w:color="auto" w:sz="4" w:space="0"/>
                    <w:bottom w:val="single" w:color="auto" w:sz="4" w:space="0"/>
                    <w:right w:val="single" w:color="auto" w:sz="4" w:space="0"/>
                  </w:tcBorders>
                  <w:vAlign w:val="center"/>
                </w:tcPr>
                <w:p>
                  <w:pPr>
                    <w:pStyle w:val="189"/>
                    <w:rPr>
                      <w:rFonts w:hint="default" w:ascii="Times New Roman" w:hAnsi="Times New Roman" w:cs="Times New Roman"/>
                      <w:b/>
                      <w:bCs w:val="0"/>
                      <w:szCs w:val="21"/>
                    </w:rPr>
                  </w:pPr>
                  <w:r>
                    <w:rPr>
                      <w:rFonts w:hint="default" w:ascii="Times New Roman" w:hAnsi="Times New Roman" w:cs="Times New Roman"/>
                      <w:b/>
                      <w:bCs w:val="0"/>
                      <w:szCs w:val="21"/>
                    </w:rPr>
                    <w:t>等标排放量（m</w:t>
                  </w:r>
                  <w:r>
                    <w:rPr>
                      <w:rFonts w:hint="default" w:ascii="Times New Roman" w:hAnsi="Times New Roman" w:cs="Times New Roman"/>
                      <w:b/>
                      <w:bCs w:val="0"/>
                      <w:szCs w:val="21"/>
                      <w:vertAlign w:val="superscript"/>
                    </w:rPr>
                    <w:t>3</w:t>
                  </w:r>
                  <w:r>
                    <w:rPr>
                      <w:rFonts w:hint="default" w:ascii="Times New Roman" w:hAnsi="Times New Roman" w:cs="Times New Roman"/>
                      <w:b/>
                      <w:bCs w:val="0"/>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17" w:type="pct"/>
                  <w:vMerge w:val="restart"/>
                  <w:tcBorders>
                    <w:top w:val="nil"/>
                    <w:left w:val="single" w:color="auto" w:sz="4" w:space="0"/>
                    <w:bottom w:val="single" w:color="auto" w:sz="4" w:space="0"/>
                    <w:right w:val="single" w:color="auto" w:sz="4" w:space="0"/>
                  </w:tcBorders>
                  <w:vAlign w:val="center"/>
                </w:tcPr>
                <w:p>
                  <w:pPr>
                    <w:pStyle w:val="108"/>
                    <w:rPr>
                      <w:rFonts w:hint="default" w:ascii="Times New Roman" w:hAnsi="Times New Roman" w:cs="Times New Roman"/>
                      <w:b w:val="0"/>
                      <w:szCs w:val="21"/>
                    </w:rPr>
                  </w:pPr>
                  <w:r>
                    <w:rPr>
                      <w:rFonts w:hint="default" w:ascii="Times New Roman" w:hAnsi="Times New Roman" w:cs="Times New Roman"/>
                      <w:b w:val="0"/>
                      <w:szCs w:val="21"/>
                    </w:rPr>
                    <w:t>预处理区、生化处理区和污泥处理区</w:t>
                  </w:r>
                </w:p>
              </w:tc>
              <w:tc>
                <w:tcPr>
                  <w:tcW w:w="552" w:type="pct"/>
                  <w:tcBorders>
                    <w:top w:val="single" w:color="auto" w:sz="4" w:space="0"/>
                    <w:left w:val="single" w:color="auto" w:sz="4" w:space="0"/>
                    <w:bottom w:val="single" w:color="auto" w:sz="4" w:space="0"/>
                    <w:right w:val="single" w:color="auto" w:sz="4" w:space="0"/>
                  </w:tcBorders>
                  <w:vAlign w:val="center"/>
                </w:tcPr>
                <w:p>
                  <w:pPr>
                    <w:pStyle w:val="108"/>
                    <w:rPr>
                      <w:rFonts w:hint="default" w:ascii="Times New Roman" w:hAnsi="Times New Roman" w:cs="Times New Roman"/>
                      <w:b w:val="0"/>
                      <w:szCs w:val="21"/>
                    </w:rPr>
                  </w:pPr>
                  <w:r>
                    <w:rPr>
                      <w:rFonts w:hint="default" w:ascii="Times New Roman" w:hAnsi="Times New Roman" w:cs="Times New Roman"/>
                      <w:b w:val="0"/>
                      <w:szCs w:val="21"/>
                    </w:rPr>
                    <w:t>NH</w:t>
                  </w:r>
                  <w:r>
                    <w:rPr>
                      <w:rFonts w:hint="default" w:ascii="Times New Roman" w:hAnsi="Times New Roman" w:cs="Times New Roman"/>
                      <w:b w:val="0"/>
                      <w:szCs w:val="21"/>
                      <w:vertAlign w:val="subscript"/>
                    </w:rPr>
                    <w:t>3</w:t>
                  </w:r>
                </w:p>
              </w:tc>
              <w:tc>
                <w:tcPr>
                  <w:tcW w:w="1026" w:type="pct"/>
                  <w:tcBorders>
                    <w:top w:val="single" w:color="auto" w:sz="4" w:space="0"/>
                    <w:left w:val="single" w:color="auto" w:sz="4" w:space="0"/>
                    <w:bottom w:val="single" w:color="auto" w:sz="4" w:space="0"/>
                    <w:right w:val="single" w:color="auto" w:sz="4" w:space="0"/>
                  </w:tcBorders>
                  <w:vAlign w:val="center"/>
                </w:tcPr>
                <w:p>
                  <w:pPr>
                    <w:pStyle w:val="108"/>
                    <w:rPr>
                      <w:rFonts w:hint="default" w:ascii="Times New Roman" w:hAnsi="Times New Roman" w:cs="Times New Roman"/>
                      <w:b w:val="0"/>
                      <w:szCs w:val="21"/>
                    </w:rPr>
                  </w:pPr>
                  <w:r>
                    <w:rPr>
                      <w:rFonts w:hint="default" w:ascii="Times New Roman" w:hAnsi="Times New Roman" w:eastAsia="等线" w:cs="Times New Roman"/>
                      <w:b w:val="0"/>
                      <w:szCs w:val="21"/>
                    </w:rPr>
                    <w:t xml:space="preserve">0.0216 </w:t>
                  </w:r>
                </w:p>
              </w:tc>
              <w:tc>
                <w:tcPr>
                  <w:tcW w:w="1024" w:type="pct"/>
                  <w:tcBorders>
                    <w:top w:val="single" w:color="auto" w:sz="4" w:space="0"/>
                    <w:left w:val="single" w:color="auto" w:sz="4" w:space="0"/>
                    <w:bottom w:val="single" w:color="auto" w:sz="4" w:space="0"/>
                    <w:right w:val="single" w:color="auto" w:sz="4" w:space="0"/>
                  </w:tcBorders>
                  <w:vAlign w:val="center"/>
                </w:tcPr>
                <w:p>
                  <w:pPr>
                    <w:pStyle w:val="108"/>
                    <w:rPr>
                      <w:rFonts w:hint="default" w:ascii="Times New Roman" w:hAnsi="Times New Roman" w:cs="Times New Roman"/>
                      <w:b w:val="0"/>
                      <w:szCs w:val="21"/>
                    </w:rPr>
                  </w:pPr>
                  <w:r>
                    <w:rPr>
                      <w:rFonts w:hint="default" w:ascii="Times New Roman" w:hAnsi="Times New Roman" w:cs="Times New Roman"/>
                      <w:b w:val="0"/>
                      <w:szCs w:val="21"/>
                    </w:rPr>
                    <w:t>0.2</w:t>
                  </w:r>
                </w:p>
              </w:tc>
              <w:tc>
                <w:tcPr>
                  <w:tcW w:w="981" w:type="pct"/>
                  <w:tcBorders>
                    <w:top w:val="single" w:color="auto" w:sz="4" w:space="0"/>
                    <w:left w:val="single" w:color="auto" w:sz="4" w:space="0"/>
                    <w:bottom w:val="single" w:color="auto" w:sz="4" w:space="0"/>
                    <w:right w:val="single" w:color="auto" w:sz="4" w:space="0"/>
                  </w:tcBorders>
                  <w:vAlign w:val="center"/>
                </w:tcPr>
                <w:p>
                  <w:pPr>
                    <w:pStyle w:val="108"/>
                    <w:rPr>
                      <w:rFonts w:hint="default" w:ascii="Times New Roman" w:hAnsi="Times New Roman" w:cs="Times New Roman"/>
                      <w:b w:val="0"/>
                      <w:szCs w:val="21"/>
                    </w:rPr>
                  </w:pPr>
                  <w:r>
                    <w:rPr>
                      <w:rFonts w:hint="default" w:ascii="Times New Roman" w:hAnsi="Times New Roman" w:eastAsia="等线" w:cs="Times New Roman"/>
                      <w:b w:val="0"/>
                      <w:szCs w:val="21"/>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0" w:type="auto"/>
                  <w:vMerge w:val="continue"/>
                  <w:tcBorders>
                    <w:top w:val="nil"/>
                    <w:left w:val="single" w:color="auto" w:sz="4" w:space="0"/>
                    <w:bottom w:val="single" w:color="auto" w:sz="4" w:space="0"/>
                    <w:right w:val="single" w:color="auto" w:sz="4" w:space="0"/>
                  </w:tcBorders>
                  <w:vAlign w:val="center"/>
                </w:tcPr>
                <w:p>
                  <w:pPr>
                    <w:pStyle w:val="108"/>
                    <w:rPr>
                      <w:rFonts w:hint="default" w:ascii="Times New Roman" w:hAnsi="Times New Roman" w:cs="Times New Roman"/>
                      <w:b w:val="0"/>
                      <w:szCs w:val="21"/>
                    </w:rPr>
                  </w:pPr>
                </w:p>
              </w:tc>
              <w:tc>
                <w:tcPr>
                  <w:tcW w:w="552" w:type="pct"/>
                  <w:tcBorders>
                    <w:top w:val="single" w:color="auto" w:sz="4" w:space="0"/>
                    <w:left w:val="single" w:color="auto" w:sz="4" w:space="0"/>
                    <w:bottom w:val="single" w:color="auto" w:sz="4" w:space="0"/>
                    <w:right w:val="single" w:color="auto" w:sz="4" w:space="0"/>
                  </w:tcBorders>
                  <w:vAlign w:val="center"/>
                </w:tcPr>
                <w:p>
                  <w:pPr>
                    <w:pStyle w:val="108"/>
                    <w:rPr>
                      <w:rFonts w:hint="default" w:ascii="Times New Roman" w:hAnsi="Times New Roman" w:cs="Times New Roman"/>
                      <w:b w:val="0"/>
                      <w:szCs w:val="21"/>
                    </w:rPr>
                  </w:pPr>
                  <w:r>
                    <w:rPr>
                      <w:rFonts w:hint="default" w:ascii="Times New Roman" w:hAnsi="Times New Roman" w:cs="Times New Roman"/>
                      <w:b w:val="0"/>
                      <w:szCs w:val="21"/>
                    </w:rPr>
                    <w:t>H</w:t>
                  </w:r>
                  <w:r>
                    <w:rPr>
                      <w:rFonts w:hint="default" w:ascii="Times New Roman" w:hAnsi="Times New Roman" w:cs="Times New Roman"/>
                      <w:b w:val="0"/>
                      <w:szCs w:val="21"/>
                      <w:vertAlign w:val="subscript"/>
                    </w:rPr>
                    <w:t>2</w:t>
                  </w:r>
                  <w:r>
                    <w:rPr>
                      <w:rFonts w:hint="default" w:ascii="Times New Roman" w:hAnsi="Times New Roman" w:cs="Times New Roman"/>
                      <w:b w:val="0"/>
                      <w:szCs w:val="21"/>
                    </w:rPr>
                    <w:t>S</w:t>
                  </w:r>
                </w:p>
              </w:tc>
              <w:tc>
                <w:tcPr>
                  <w:tcW w:w="1026" w:type="pct"/>
                  <w:tcBorders>
                    <w:top w:val="single" w:color="auto" w:sz="4" w:space="0"/>
                    <w:left w:val="single" w:color="auto" w:sz="4" w:space="0"/>
                    <w:bottom w:val="single" w:color="auto" w:sz="4" w:space="0"/>
                    <w:right w:val="single" w:color="auto" w:sz="4" w:space="0"/>
                  </w:tcBorders>
                  <w:vAlign w:val="center"/>
                </w:tcPr>
                <w:p>
                  <w:pPr>
                    <w:pStyle w:val="108"/>
                    <w:rPr>
                      <w:rFonts w:hint="default" w:ascii="Times New Roman" w:hAnsi="Times New Roman" w:cs="Times New Roman"/>
                      <w:b w:val="0"/>
                      <w:szCs w:val="21"/>
                    </w:rPr>
                  </w:pPr>
                  <w:r>
                    <w:rPr>
                      <w:rFonts w:hint="default" w:ascii="Times New Roman" w:hAnsi="Times New Roman" w:eastAsia="等线" w:cs="Times New Roman"/>
                      <w:b w:val="0"/>
                      <w:szCs w:val="21"/>
                    </w:rPr>
                    <w:t xml:space="preserve">0.0007 </w:t>
                  </w:r>
                </w:p>
              </w:tc>
              <w:tc>
                <w:tcPr>
                  <w:tcW w:w="1024" w:type="pct"/>
                  <w:tcBorders>
                    <w:top w:val="single" w:color="auto" w:sz="4" w:space="0"/>
                    <w:left w:val="single" w:color="auto" w:sz="4" w:space="0"/>
                    <w:bottom w:val="single" w:color="auto" w:sz="4" w:space="0"/>
                    <w:right w:val="single" w:color="auto" w:sz="4" w:space="0"/>
                  </w:tcBorders>
                  <w:vAlign w:val="center"/>
                </w:tcPr>
                <w:p>
                  <w:pPr>
                    <w:pStyle w:val="108"/>
                    <w:rPr>
                      <w:rFonts w:hint="default" w:ascii="Times New Roman" w:hAnsi="Times New Roman" w:cs="Times New Roman"/>
                      <w:b w:val="0"/>
                      <w:szCs w:val="21"/>
                    </w:rPr>
                  </w:pPr>
                  <w:r>
                    <w:rPr>
                      <w:rFonts w:hint="default" w:ascii="Times New Roman" w:hAnsi="Times New Roman" w:cs="Times New Roman"/>
                      <w:b w:val="0"/>
                      <w:szCs w:val="21"/>
                    </w:rPr>
                    <w:t>0.01</w:t>
                  </w:r>
                </w:p>
              </w:tc>
              <w:tc>
                <w:tcPr>
                  <w:tcW w:w="981" w:type="pct"/>
                  <w:tcBorders>
                    <w:top w:val="single" w:color="auto" w:sz="4" w:space="0"/>
                    <w:left w:val="single" w:color="auto" w:sz="4" w:space="0"/>
                    <w:bottom w:val="single" w:color="auto" w:sz="4" w:space="0"/>
                    <w:right w:val="single" w:color="auto" w:sz="4" w:space="0"/>
                  </w:tcBorders>
                  <w:vAlign w:val="center"/>
                </w:tcPr>
                <w:p>
                  <w:pPr>
                    <w:pStyle w:val="108"/>
                    <w:rPr>
                      <w:rFonts w:hint="default" w:ascii="Times New Roman" w:hAnsi="Times New Roman" w:cs="Times New Roman"/>
                      <w:b w:val="0"/>
                      <w:szCs w:val="21"/>
                    </w:rPr>
                  </w:pPr>
                  <w:r>
                    <w:rPr>
                      <w:rFonts w:hint="default" w:ascii="Times New Roman" w:hAnsi="Times New Roman" w:eastAsia="等线" w:cs="Times New Roman"/>
                      <w:b w:val="0"/>
                      <w:szCs w:val="21"/>
                    </w:rPr>
                    <w:t>7000</w:t>
                  </w:r>
                </w:p>
              </w:tc>
            </w:tr>
          </w:tbl>
          <w:p>
            <w:pPr>
              <w:pStyle w:val="187"/>
              <w:widowControl w:val="0"/>
              <w:ind w:firstLine="482"/>
              <w:jc w:val="both"/>
              <w:rPr>
                <w:rFonts w:hint="default" w:ascii="Times New Roman" w:hAnsi="Times New Roman" w:cs="Times New Roman"/>
                <w:b/>
                <w:bCs/>
              </w:rPr>
            </w:pPr>
            <w:r>
              <w:rPr>
                <w:rFonts w:hint="default" w:ascii="Times New Roman" w:hAnsi="Times New Roman" w:cs="Times New Roman"/>
                <w:b/>
                <w:bCs/>
              </w:rPr>
              <w:t>因此，本次评价选取氨作为主要特征大气有害物质。</w:t>
            </w:r>
          </w:p>
          <w:p>
            <w:pPr>
              <w:pStyle w:val="187"/>
              <w:widowControl w:val="0"/>
              <w:ind w:firstLine="480"/>
              <w:jc w:val="both"/>
              <w:rPr>
                <w:rFonts w:hint="default" w:ascii="Times New Roman" w:hAnsi="Times New Roman" w:cs="Times New Roman"/>
              </w:rPr>
            </w:pPr>
            <w:r>
              <w:rPr>
                <w:rFonts w:hint="default" w:ascii="Times New Roman" w:hAnsi="Times New Roman" w:cs="Times New Roman"/>
              </w:rPr>
              <w:t>本次评价按照</w:t>
            </w:r>
            <w:r>
              <w:rPr>
                <w:rFonts w:hint="default" w:ascii="Times New Roman" w:hAnsi="Times New Roman" w:cs="Times New Roman"/>
                <w:kern w:val="0"/>
              </w:rPr>
              <w:t>《大气有害物质无组织排放卫生防护距离推导技术导则》（GB/T39499-2020）</w:t>
            </w:r>
            <w:r>
              <w:rPr>
                <w:rFonts w:hint="default" w:ascii="Times New Roman" w:hAnsi="Times New Roman" w:cs="Times New Roman"/>
              </w:rPr>
              <w:t>中的方法确定本项目无组织排放有害气体的卫生防护距离。计算公式如下：</w:t>
            </w:r>
          </w:p>
          <w:p>
            <w:pPr>
              <w:pStyle w:val="187"/>
              <w:widowControl w:val="0"/>
              <w:ind w:firstLine="480"/>
              <w:jc w:val="center"/>
              <w:rPr>
                <w:rFonts w:hint="default" w:ascii="Times New Roman" w:hAnsi="Times New Roman" w:cs="Times New Roman"/>
              </w:rPr>
            </w:pPr>
            <w:r>
              <w:rPr>
                <w:rFonts w:hint="default" w:ascii="Times New Roman" w:hAnsi="Times New Roman" w:cs="Times New Roman"/>
              </w:rPr>
              <w:drawing>
                <wp:inline distT="0" distB="0" distL="0" distR="0">
                  <wp:extent cx="1733550" cy="361950"/>
                  <wp:effectExtent l="0" t="0" r="0" b="0"/>
                  <wp:docPr id="4" name="图片 4" descr="C:\Users\lenovo\AppData\Local\Temp\ksohtml\wps178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AppData\Local\Temp\ksohtml\wps1780.tmp.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33550" cy="361950"/>
                          </a:xfrm>
                          <a:prstGeom prst="rect">
                            <a:avLst/>
                          </a:prstGeom>
                          <a:noFill/>
                          <a:ln>
                            <a:noFill/>
                          </a:ln>
                        </pic:spPr>
                      </pic:pic>
                    </a:graphicData>
                  </a:graphic>
                </wp:inline>
              </w:drawing>
            </w:r>
          </w:p>
          <w:p>
            <w:pPr>
              <w:pStyle w:val="187"/>
              <w:widowControl w:val="0"/>
              <w:ind w:firstLine="480"/>
              <w:jc w:val="both"/>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i/>
              </w:rPr>
              <w:t>C</w:t>
            </w:r>
            <w:r>
              <w:rPr>
                <w:rFonts w:hint="default" w:ascii="Times New Roman" w:hAnsi="Times New Roman" w:cs="Times New Roman"/>
                <w:i/>
                <w:vertAlign w:val="subscript"/>
              </w:rPr>
              <w:t>m</w:t>
            </w:r>
            <w:r>
              <w:rPr>
                <w:rFonts w:hint="default" w:ascii="Times New Roman" w:hAnsi="Times New Roman" w:cs="Times New Roman"/>
              </w:rPr>
              <w:t xml:space="preserve"> —— 标准浓度限值，mg/m</w:t>
            </w:r>
            <w:r>
              <w:rPr>
                <w:rFonts w:hint="default" w:ascii="Times New Roman" w:hAnsi="Times New Roman" w:cs="Times New Roman"/>
                <w:vertAlign w:val="superscript"/>
              </w:rPr>
              <w:t>3</w:t>
            </w:r>
            <w:r>
              <w:rPr>
                <w:rFonts w:hint="default" w:ascii="Times New Roman" w:hAnsi="Times New Roman" w:cs="Times New Roman"/>
              </w:rPr>
              <w:t>；</w:t>
            </w:r>
          </w:p>
          <w:p>
            <w:pPr>
              <w:pStyle w:val="187"/>
              <w:widowControl w:val="0"/>
              <w:ind w:firstLine="480"/>
              <w:jc w:val="both"/>
              <w:rPr>
                <w:rFonts w:hint="default" w:ascii="Times New Roman" w:hAnsi="Times New Roman" w:cs="Times New Roman"/>
              </w:rPr>
            </w:pPr>
            <w:r>
              <w:rPr>
                <w:rFonts w:hint="default" w:ascii="Times New Roman" w:hAnsi="Times New Roman" w:cs="Times New Roman"/>
                <w:i/>
              </w:rPr>
              <w:t>L</w:t>
            </w:r>
            <w:r>
              <w:rPr>
                <w:rFonts w:hint="default" w:ascii="Times New Roman" w:hAnsi="Times New Roman" w:cs="Times New Roman"/>
              </w:rPr>
              <w:t xml:space="preserve"> —— 工业企业所需卫生防护距离，m；</w:t>
            </w:r>
          </w:p>
          <w:p>
            <w:pPr>
              <w:pStyle w:val="187"/>
              <w:widowControl w:val="0"/>
              <w:ind w:firstLine="480"/>
              <w:jc w:val="both"/>
              <w:rPr>
                <w:rFonts w:hint="default" w:ascii="Times New Roman" w:hAnsi="Times New Roman" w:cs="Times New Roman"/>
              </w:rPr>
            </w:pPr>
            <w:r>
              <w:rPr>
                <w:rFonts w:hint="default" w:ascii="Times New Roman" w:hAnsi="Times New Roman" w:cs="Times New Roman"/>
                <w:i/>
              </w:rPr>
              <w:t>r</w:t>
            </w:r>
            <w:r>
              <w:rPr>
                <w:rFonts w:hint="default" w:ascii="Times New Roman" w:hAnsi="Times New Roman" w:cs="Times New Roman"/>
              </w:rPr>
              <w:t xml:space="preserve"> —— 有害气体无组织排放源所在生产单元的等效半径，m；</w:t>
            </w:r>
          </w:p>
          <w:p>
            <w:pPr>
              <w:pStyle w:val="187"/>
              <w:widowControl w:val="0"/>
              <w:ind w:firstLine="480"/>
              <w:jc w:val="both"/>
              <w:rPr>
                <w:rFonts w:hint="default" w:ascii="Times New Roman" w:hAnsi="Times New Roman" w:cs="Times New Roman"/>
              </w:rPr>
            </w:pPr>
            <w:r>
              <w:rPr>
                <w:rFonts w:hint="default" w:ascii="Times New Roman" w:hAnsi="Times New Roman" w:cs="Times New Roman"/>
                <w:i/>
              </w:rPr>
              <w:t>A</w:t>
            </w:r>
            <w:r>
              <w:rPr>
                <w:rFonts w:hint="default" w:ascii="Times New Roman" w:hAnsi="Times New Roman" w:cs="Times New Roman"/>
              </w:rPr>
              <w:t>、</w:t>
            </w:r>
            <w:r>
              <w:rPr>
                <w:rFonts w:hint="default" w:ascii="Times New Roman" w:hAnsi="Times New Roman" w:cs="Times New Roman"/>
                <w:i/>
              </w:rPr>
              <w:t>B</w:t>
            </w:r>
            <w:r>
              <w:rPr>
                <w:rFonts w:hint="default" w:ascii="Times New Roman" w:hAnsi="Times New Roman" w:cs="Times New Roman"/>
              </w:rPr>
              <w:t>、</w:t>
            </w:r>
            <w:r>
              <w:rPr>
                <w:rFonts w:hint="default" w:ascii="Times New Roman" w:hAnsi="Times New Roman" w:cs="Times New Roman"/>
                <w:i/>
              </w:rPr>
              <w:t>C</w:t>
            </w:r>
            <w:r>
              <w:rPr>
                <w:rFonts w:hint="default" w:ascii="Times New Roman" w:hAnsi="Times New Roman" w:cs="Times New Roman"/>
              </w:rPr>
              <w:t>、</w:t>
            </w:r>
            <w:r>
              <w:rPr>
                <w:rFonts w:hint="default" w:ascii="Times New Roman" w:hAnsi="Times New Roman" w:cs="Times New Roman"/>
                <w:i/>
              </w:rPr>
              <w:t>D</w:t>
            </w:r>
            <w:r>
              <w:rPr>
                <w:rFonts w:hint="default" w:ascii="Times New Roman" w:hAnsi="Times New Roman" w:cs="Times New Roman"/>
              </w:rPr>
              <w:t xml:space="preserve"> —— 卫生防护距离计算系数，无因次，根据工业企业所在地区近五年平均风速及工业企业大气污染源构成类别从GB/T3840中表5查取。</w:t>
            </w:r>
          </w:p>
          <w:p>
            <w:pPr>
              <w:pStyle w:val="187"/>
              <w:widowControl w:val="0"/>
              <w:ind w:firstLine="480"/>
              <w:jc w:val="both"/>
              <w:rPr>
                <w:rFonts w:hint="default" w:ascii="Times New Roman" w:hAnsi="Times New Roman" w:cs="Times New Roman"/>
              </w:rPr>
            </w:pPr>
            <w:r>
              <w:rPr>
                <w:rFonts w:hint="default" w:ascii="Times New Roman" w:hAnsi="Times New Roman" w:cs="Times New Roman"/>
                <w:i/>
              </w:rPr>
              <w:t>Q</w:t>
            </w:r>
            <w:r>
              <w:rPr>
                <w:rFonts w:hint="default" w:ascii="Times New Roman" w:hAnsi="Times New Roman" w:cs="Times New Roman"/>
                <w:i/>
                <w:vertAlign w:val="subscript"/>
              </w:rPr>
              <w:t>c</w:t>
            </w:r>
            <w:r>
              <w:rPr>
                <w:rFonts w:hint="default" w:ascii="Times New Roman" w:hAnsi="Times New Roman" w:cs="Times New Roman"/>
              </w:rPr>
              <w:t xml:space="preserve"> —— 工业企业有害气体无组织排放控制量，kg/h。</w:t>
            </w:r>
          </w:p>
          <w:p>
            <w:pPr>
              <w:pStyle w:val="187"/>
              <w:widowControl w:val="0"/>
              <w:ind w:firstLine="480"/>
              <w:jc w:val="both"/>
              <w:rPr>
                <w:rFonts w:hint="default" w:ascii="Times New Roman" w:hAnsi="Times New Roman" w:cs="Times New Roman"/>
              </w:rPr>
            </w:pPr>
            <w:r>
              <w:rPr>
                <w:rFonts w:hint="default" w:ascii="Times New Roman" w:hAnsi="Times New Roman" w:cs="Times New Roman"/>
              </w:rPr>
              <w:t>根据本项目所在地区近五年平均风速及无组织排放污染物构成类别，从《制定地方大气污染物排放标准的技术方法》（GB/T3840-91）中选取本次卫生防护距离计算系数为：</w:t>
            </w:r>
            <w:r>
              <w:rPr>
                <w:rFonts w:hint="default" w:ascii="Times New Roman" w:hAnsi="Times New Roman" w:cs="Times New Roman"/>
                <w:i/>
              </w:rPr>
              <w:t>A</w:t>
            </w:r>
            <w:r>
              <w:rPr>
                <w:rFonts w:hint="default" w:ascii="Times New Roman" w:hAnsi="Times New Roman" w:cs="Times New Roman"/>
              </w:rPr>
              <w:t>=400，</w:t>
            </w:r>
            <w:r>
              <w:rPr>
                <w:rFonts w:hint="default" w:ascii="Times New Roman" w:hAnsi="Times New Roman" w:cs="Times New Roman"/>
                <w:i/>
              </w:rPr>
              <w:t>B</w:t>
            </w:r>
            <w:r>
              <w:rPr>
                <w:rFonts w:hint="default" w:ascii="Times New Roman" w:hAnsi="Times New Roman" w:cs="Times New Roman"/>
              </w:rPr>
              <w:t>=0.010，</w:t>
            </w:r>
            <w:r>
              <w:rPr>
                <w:rFonts w:hint="default" w:ascii="Times New Roman" w:hAnsi="Times New Roman" w:cs="Times New Roman"/>
                <w:i/>
              </w:rPr>
              <w:t>C</w:t>
            </w:r>
            <w:r>
              <w:rPr>
                <w:rFonts w:hint="default" w:ascii="Times New Roman" w:hAnsi="Times New Roman" w:cs="Times New Roman"/>
              </w:rPr>
              <w:t>=1.85，</w:t>
            </w:r>
            <w:r>
              <w:rPr>
                <w:rFonts w:hint="default" w:ascii="Times New Roman" w:hAnsi="Times New Roman" w:cs="Times New Roman"/>
                <w:i/>
              </w:rPr>
              <w:t>D</w:t>
            </w:r>
            <w:r>
              <w:rPr>
                <w:rFonts w:hint="default" w:ascii="Times New Roman" w:hAnsi="Times New Roman" w:cs="Times New Roman"/>
              </w:rPr>
              <w:t>=0.78。</w:t>
            </w:r>
          </w:p>
          <w:p>
            <w:pPr>
              <w:pStyle w:val="242"/>
              <w:numPr>
                <w:ilvl w:val="0"/>
                <w:numId w:val="7"/>
              </w:numPr>
              <w:rPr>
                <w:rFonts w:hint="default" w:ascii="Times New Roman" w:hAnsi="Times New Roman" w:cs="Times New Roman"/>
                <w:sz w:val="24"/>
              </w:rPr>
            </w:pPr>
            <w:r>
              <w:rPr>
                <w:rFonts w:hint="default" w:ascii="Times New Roman" w:hAnsi="Times New Roman" w:cs="Times New Roman"/>
                <w:sz w:val="24"/>
              </w:rPr>
              <w:t>卫生防护距离计算结果</w:t>
            </w:r>
          </w:p>
          <w:tbl>
            <w:tblPr>
              <w:tblStyle w:val="44"/>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108" w:type="dxa"/>
                <w:bottom w:w="0" w:type="dxa"/>
                <w:right w:w="108" w:type="dxa"/>
              </w:tblCellMar>
            </w:tblPr>
            <w:tblGrid>
              <w:gridCol w:w="2204"/>
              <w:gridCol w:w="1072"/>
              <w:gridCol w:w="727"/>
              <w:gridCol w:w="1246"/>
              <w:gridCol w:w="1477"/>
              <w:gridCol w:w="1460"/>
              <w:gridCol w:w="117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1177" w:type="pct"/>
                  <w:tcBorders>
                    <w:top w:val="single" w:color="000000" w:sz="8" w:space="0"/>
                    <w:left w:val="single" w:color="000000" w:sz="8" w:space="0"/>
                    <w:bottom w:val="single" w:color="000000" w:sz="4" w:space="0"/>
                    <w:right w:val="single" w:color="000000" w:sz="8" w:space="0"/>
                  </w:tcBorders>
                  <w:vAlign w:val="center"/>
                </w:tcPr>
                <w:p>
                  <w:pPr>
                    <w:pStyle w:val="108"/>
                    <w:spacing w:line="360" w:lineRule="exact"/>
                    <w:rPr>
                      <w:rFonts w:hint="default" w:ascii="Times New Roman" w:hAnsi="Times New Roman" w:cs="Times New Roman"/>
                      <w:b/>
                      <w:bCs/>
                    </w:rPr>
                  </w:pPr>
                  <w:r>
                    <w:rPr>
                      <w:rFonts w:hint="default" w:ascii="Times New Roman" w:hAnsi="Times New Roman" w:cs="Times New Roman"/>
                      <w:b/>
                      <w:bCs/>
                    </w:rPr>
                    <w:t>无组织排放源</w:t>
                  </w:r>
                </w:p>
              </w:tc>
              <w:tc>
                <w:tcPr>
                  <w:tcW w:w="572" w:type="pct"/>
                  <w:tcBorders>
                    <w:top w:val="single" w:color="000000" w:sz="8" w:space="0"/>
                    <w:left w:val="single" w:color="000000" w:sz="4" w:space="0"/>
                    <w:bottom w:val="single" w:color="000000" w:sz="4" w:space="0"/>
                    <w:right w:val="single" w:color="000000" w:sz="4" w:space="0"/>
                  </w:tcBorders>
                  <w:vAlign w:val="center"/>
                </w:tcPr>
                <w:p>
                  <w:pPr>
                    <w:pStyle w:val="108"/>
                    <w:spacing w:line="360" w:lineRule="exact"/>
                    <w:rPr>
                      <w:rFonts w:hint="default" w:ascii="Times New Roman" w:hAnsi="Times New Roman" w:cs="Times New Roman"/>
                      <w:b/>
                      <w:bCs/>
                    </w:rPr>
                  </w:pPr>
                  <w:r>
                    <w:rPr>
                      <w:rFonts w:hint="default" w:ascii="Times New Roman" w:hAnsi="Times New Roman" w:cs="Times New Roman"/>
                      <w:b/>
                      <w:bCs/>
                    </w:rPr>
                    <w:t>面源</w:t>
                  </w:r>
                </w:p>
                <w:p>
                  <w:pPr>
                    <w:pStyle w:val="108"/>
                    <w:spacing w:line="360" w:lineRule="exact"/>
                    <w:rPr>
                      <w:rFonts w:hint="default" w:ascii="Times New Roman" w:hAnsi="Times New Roman" w:cs="Times New Roman"/>
                      <w:b/>
                      <w:bCs/>
                    </w:rPr>
                  </w:pPr>
                  <w:r>
                    <w:rPr>
                      <w:rFonts w:hint="default" w:ascii="Times New Roman" w:hAnsi="Times New Roman" w:cs="Times New Roman"/>
                      <w:b/>
                      <w:bCs/>
                    </w:rPr>
                    <w:t>面积</w:t>
                  </w:r>
                </w:p>
                <w:p>
                  <w:pPr>
                    <w:pStyle w:val="108"/>
                    <w:spacing w:line="360" w:lineRule="exact"/>
                    <w:rPr>
                      <w:rFonts w:hint="default" w:ascii="Times New Roman" w:hAnsi="Times New Roman" w:cs="Times New Roman"/>
                      <w:b/>
                      <w:bCs/>
                    </w:rPr>
                  </w:pPr>
                  <w:r>
                    <w:rPr>
                      <w:rFonts w:hint="default" w:ascii="Times New Roman" w:hAnsi="Times New Roman" w:cs="Times New Roman"/>
                      <w:b/>
                      <w:bCs/>
                    </w:rPr>
                    <w:t>（m</w:t>
                  </w:r>
                  <w:r>
                    <w:rPr>
                      <w:rFonts w:hint="default" w:ascii="Times New Roman" w:hAnsi="Times New Roman" w:cs="Times New Roman"/>
                      <w:b/>
                      <w:bCs/>
                      <w:vertAlign w:val="superscript"/>
                    </w:rPr>
                    <w:t>2</w:t>
                  </w:r>
                  <w:r>
                    <w:rPr>
                      <w:rFonts w:hint="default" w:ascii="Times New Roman" w:hAnsi="Times New Roman" w:cs="Times New Roman"/>
                      <w:b/>
                      <w:bCs/>
                    </w:rPr>
                    <w:t>）</w:t>
                  </w:r>
                </w:p>
              </w:tc>
              <w:tc>
                <w:tcPr>
                  <w:tcW w:w="388" w:type="pct"/>
                  <w:tcBorders>
                    <w:top w:val="single" w:color="000000" w:sz="8" w:space="0"/>
                    <w:left w:val="single" w:color="000000" w:sz="8" w:space="0"/>
                    <w:bottom w:val="single" w:color="000000" w:sz="4" w:space="0"/>
                    <w:right w:val="single" w:color="000000" w:sz="4" w:space="0"/>
                  </w:tcBorders>
                  <w:vAlign w:val="center"/>
                </w:tcPr>
                <w:p>
                  <w:pPr>
                    <w:pStyle w:val="108"/>
                    <w:spacing w:line="360" w:lineRule="exact"/>
                    <w:rPr>
                      <w:rFonts w:hint="default" w:ascii="Times New Roman" w:hAnsi="Times New Roman" w:cs="Times New Roman"/>
                      <w:b/>
                      <w:bCs/>
                    </w:rPr>
                  </w:pPr>
                  <w:r>
                    <w:rPr>
                      <w:rFonts w:hint="default" w:ascii="Times New Roman" w:hAnsi="Times New Roman" w:cs="Times New Roman"/>
                      <w:b/>
                      <w:bCs/>
                    </w:rPr>
                    <w:t>污染物</w:t>
                  </w:r>
                </w:p>
              </w:tc>
              <w:tc>
                <w:tcPr>
                  <w:tcW w:w="665" w:type="pct"/>
                  <w:tcBorders>
                    <w:top w:val="single" w:color="000000" w:sz="8" w:space="0"/>
                    <w:left w:val="single" w:color="000000" w:sz="4" w:space="0"/>
                    <w:bottom w:val="single" w:color="000000" w:sz="4" w:space="0"/>
                    <w:right w:val="single" w:color="000000" w:sz="4" w:space="0"/>
                  </w:tcBorders>
                  <w:vAlign w:val="center"/>
                </w:tcPr>
                <w:p>
                  <w:pPr>
                    <w:pStyle w:val="108"/>
                    <w:spacing w:line="360" w:lineRule="exact"/>
                    <w:rPr>
                      <w:rFonts w:hint="default" w:ascii="Times New Roman" w:hAnsi="Times New Roman" w:cs="Times New Roman"/>
                      <w:b/>
                      <w:bCs/>
                    </w:rPr>
                  </w:pPr>
                  <w:r>
                    <w:rPr>
                      <w:rFonts w:hint="default" w:ascii="Times New Roman" w:hAnsi="Times New Roman" w:cs="Times New Roman"/>
                      <w:b/>
                      <w:bCs/>
                    </w:rPr>
                    <w:t>排放速率（kg/h）</w:t>
                  </w:r>
                </w:p>
              </w:tc>
              <w:tc>
                <w:tcPr>
                  <w:tcW w:w="788" w:type="pct"/>
                  <w:tcBorders>
                    <w:top w:val="single" w:color="000000" w:sz="8" w:space="0"/>
                    <w:left w:val="single" w:color="000000" w:sz="4" w:space="0"/>
                    <w:bottom w:val="single" w:color="000000" w:sz="4" w:space="0"/>
                    <w:right w:val="single" w:color="000000" w:sz="4" w:space="0"/>
                  </w:tcBorders>
                  <w:vAlign w:val="center"/>
                </w:tcPr>
                <w:p>
                  <w:pPr>
                    <w:pStyle w:val="108"/>
                    <w:spacing w:line="360" w:lineRule="exact"/>
                    <w:rPr>
                      <w:rFonts w:hint="default" w:ascii="Times New Roman" w:hAnsi="Times New Roman" w:cs="Times New Roman"/>
                      <w:b/>
                      <w:bCs/>
                    </w:rPr>
                  </w:pPr>
                  <w:r>
                    <w:rPr>
                      <w:rFonts w:hint="default" w:ascii="Times New Roman" w:hAnsi="Times New Roman" w:cs="Times New Roman"/>
                      <w:b/>
                      <w:bCs/>
                    </w:rPr>
                    <w:t>评价标准</w:t>
                  </w:r>
                </w:p>
                <w:p>
                  <w:pPr>
                    <w:pStyle w:val="108"/>
                    <w:spacing w:line="360" w:lineRule="exact"/>
                    <w:rPr>
                      <w:rFonts w:hint="default" w:ascii="Times New Roman" w:hAnsi="Times New Roman" w:cs="Times New Roman"/>
                      <w:b/>
                      <w:bCs/>
                    </w:rPr>
                  </w:pPr>
                  <w:r>
                    <w:rPr>
                      <w:rFonts w:hint="default" w:ascii="Times New Roman" w:hAnsi="Times New Roman" w:cs="Times New Roman"/>
                      <w:b/>
                      <w:bCs/>
                    </w:rPr>
                    <w:t>（mg/m</w:t>
                  </w:r>
                  <w:r>
                    <w:rPr>
                      <w:rFonts w:hint="default" w:ascii="Times New Roman" w:hAnsi="Times New Roman" w:cs="Times New Roman"/>
                      <w:b/>
                      <w:bCs/>
                      <w:vertAlign w:val="superscript"/>
                    </w:rPr>
                    <w:t>3</w:t>
                  </w:r>
                  <w:r>
                    <w:rPr>
                      <w:rFonts w:hint="default" w:ascii="Times New Roman" w:hAnsi="Times New Roman" w:cs="Times New Roman"/>
                      <w:b/>
                      <w:bCs/>
                    </w:rPr>
                    <w:t>）</w:t>
                  </w:r>
                </w:p>
              </w:tc>
              <w:tc>
                <w:tcPr>
                  <w:tcW w:w="779" w:type="pct"/>
                  <w:tcBorders>
                    <w:top w:val="single" w:color="000000" w:sz="8" w:space="0"/>
                    <w:left w:val="single" w:color="000000" w:sz="4" w:space="0"/>
                    <w:bottom w:val="single" w:color="000000" w:sz="4" w:space="0"/>
                    <w:right w:val="single" w:color="000000" w:sz="4" w:space="0"/>
                  </w:tcBorders>
                  <w:vAlign w:val="center"/>
                </w:tcPr>
                <w:p>
                  <w:pPr>
                    <w:pStyle w:val="108"/>
                    <w:spacing w:line="360" w:lineRule="exact"/>
                    <w:rPr>
                      <w:rFonts w:hint="default" w:ascii="Times New Roman" w:hAnsi="Times New Roman" w:cs="Times New Roman"/>
                      <w:b/>
                      <w:bCs/>
                    </w:rPr>
                  </w:pPr>
                  <w:r>
                    <w:rPr>
                      <w:rFonts w:hint="default" w:ascii="Times New Roman" w:hAnsi="Times New Roman" w:cs="Times New Roman"/>
                      <w:b/>
                      <w:bCs/>
                    </w:rPr>
                    <w:t>卫生防护距离计算值（m）</w:t>
                  </w:r>
                </w:p>
              </w:tc>
              <w:tc>
                <w:tcPr>
                  <w:tcW w:w="628" w:type="pct"/>
                  <w:tcBorders>
                    <w:top w:val="single" w:color="000000" w:sz="8" w:space="0"/>
                    <w:left w:val="single" w:color="000000" w:sz="4" w:space="0"/>
                    <w:bottom w:val="single" w:color="000000" w:sz="4" w:space="0"/>
                    <w:right w:val="single" w:color="000000" w:sz="8" w:space="0"/>
                  </w:tcBorders>
                  <w:vAlign w:val="center"/>
                </w:tcPr>
                <w:p>
                  <w:pPr>
                    <w:pStyle w:val="108"/>
                    <w:spacing w:line="360" w:lineRule="exact"/>
                    <w:rPr>
                      <w:rFonts w:hint="default" w:ascii="Times New Roman" w:hAnsi="Times New Roman" w:cs="Times New Roman"/>
                      <w:b/>
                      <w:bCs/>
                    </w:rPr>
                  </w:pPr>
                  <w:r>
                    <w:rPr>
                      <w:rFonts w:hint="default" w:ascii="Times New Roman" w:hAnsi="Times New Roman" w:cs="Times New Roman"/>
                      <w:b/>
                      <w:bCs/>
                    </w:rPr>
                    <w:t>卫生防护距离</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265" w:hRule="atLeast"/>
                <w:jc w:val="center"/>
              </w:trPr>
              <w:tc>
                <w:tcPr>
                  <w:tcW w:w="1177" w:type="pct"/>
                  <w:tcBorders>
                    <w:top w:val="single" w:color="000000" w:sz="4" w:space="0"/>
                    <w:left w:val="single" w:color="000000" w:sz="8" w:space="0"/>
                    <w:bottom w:val="single" w:color="000000" w:sz="4" w:space="0"/>
                    <w:right w:val="single" w:color="000000" w:sz="8" w:space="0"/>
                  </w:tcBorders>
                  <w:vAlign w:val="center"/>
                </w:tcPr>
                <w:p>
                  <w:pPr>
                    <w:pStyle w:val="108"/>
                    <w:spacing w:line="360" w:lineRule="exact"/>
                    <w:rPr>
                      <w:rFonts w:hint="default" w:ascii="Times New Roman" w:hAnsi="Times New Roman" w:cs="Times New Roman"/>
                      <w:b w:val="0"/>
                      <w:bCs w:val="0"/>
                    </w:rPr>
                  </w:pPr>
                  <w:r>
                    <w:rPr>
                      <w:rFonts w:hint="default" w:ascii="Times New Roman" w:hAnsi="Times New Roman" w:cs="Times New Roman"/>
                      <w:b w:val="0"/>
                      <w:bCs w:val="0"/>
                    </w:rPr>
                    <w:t>预处理区、生化处理区和污泥处理区</w:t>
                  </w:r>
                </w:p>
              </w:tc>
              <w:tc>
                <w:tcPr>
                  <w:tcW w:w="572" w:type="pct"/>
                  <w:tcBorders>
                    <w:top w:val="single" w:color="000000" w:sz="4" w:space="0"/>
                    <w:left w:val="single" w:color="000000" w:sz="4" w:space="0"/>
                    <w:bottom w:val="single" w:color="000000" w:sz="4" w:space="0"/>
                    <w:right w:val="single" w:color="000000" w:sz="4" w:space="0"/>
                  </w:tcBorders>
                  <w:vAlign w:val="center"/>
                </w:tcPr>
                <w:p>
                  <w:pPr>
                    <w:pStyle w:val="108"/>
                    <w:spacing w:line="360" w:lineRule="exact"/>
                    <w:rPr>
                      <w:rFonts w:hint="default" w:ascii="Times New Roman" w:hAnsi="Times New Roman" w:cs="Times New Roman"/>
                      <w:b w:val="0"/>
                      <w:bCs w:val="0"/>
                    </w:rPr>
                  </w:pPr>
                  <w:r>
                    <w:rPr>
                      <w:rFonts w:hint="default" w:ascii="Times New Roman" w:hAnsi="Times New Roman" w:cs="Times New Roman"/>
                      <w:b w:val="0"/>
                      <w:bCs w:val="0"/>
                    </w:rPr>
                    <w:t>2375</w:t>
                  </w:r>
                </w:p>
              </w:tc>
              <w:tc>
                <w:tcPr>
                  <w:tcW w:w="388" w:type="pct"/>
                  <w:tcBorders>
                    <w:top w:val="single" w:color="000000" w:sz="4" w:space="0"/>
                    <w:left w:val="single" w:color="000000" w:sz="8" w:space="0"/>
                    <w:bottom w:val="single" w:color="000000" w:sz="4" w:space="0"/>
                    <w:right w:val="single" w:color="000000" w:sz="4" w:space="0"/>
                  </w:tcBorders>
                  <w:vAlign w:val="center"/>
                </w:tcPr>
                <w:p>
                  <w:pPr>
                    <w:pStyle w:val="108"/>
                    <w:spacing w:line="360" w:lineRule="exact"/>
                    <w:rPr>
                      <w:rFonts w:hint="default" w:ascii="Times New Roman" w:hAnsi="Times New Roman" w:cs="Times New Roman"/>
                      <w:b w:val="0"/>
                      <w:bCs w:val="0"/>
                    </w:rPr>
                  </w:pPr>
                  <w:r>
                    <w:rPr>
                      <w:rFonts w:hint="default" w:ascii="Times New Roman" w:hAnsi="Times New Roman" w:cs="Times New Roman"/>
                      <w:b w:val="0"/>
                      <w:bCs w:val="0"/>
                    </w:rPr>
                    <w:t>NH</w:t>
                  </w:r>
                  <w:r>
                    <w:rPr>
                      <w:rFonts w:hint="default" w:ascii="Times New Roman" w:hAnsi="Times New Roman" w:cs="Times New Roman"/>
                      <w:b w:val="0"/>
                      <w:bCs w:val="0"/>
                      <w:vertAlign w:val="subscript"/>
                    </w:rPr>
                    <w:t>3</w:t>
                  </w:r>
                </w:p>
              </w:tc>
              <w:tc>
                <w:tcPr>
                  <w:tcW w:w="665" w:type="pct"/>
                  <w:tcBorders>
                    <w:top w:val="single" w:color="000000" w:sz="4" w:space="0"/>
                    <w:left w:val="single" w:color="000000" w:sz="4" w:space="0"/>
                    <w:bottom w:val="single" w:color="000000" w:sz="4" w:space="0"/>
                    <w:right w:val="single" w:color="000000" w:sz="4" w:space="0"/>
                  </w:tcBorders>
                  <w:vAlign w:val="center"/>
                </w:tcPr>
                <w:p>
                  <w:pPr>
                    <w:pStyle w:val="108"/>
                    <w:spacing w:line="360" w:lineRule="exact"/>
                    <w:rPr>
                      <w:rFonts w:hint="default" w:ascii="Times New Roman" w:hAnsi="Times New Roman" w:cs="Times New Roman"/>
                      <w:b w:val="0"/>
                      <w:bCs w:val="0"/>
                    </w:rPr>
                  </w:pPr>
                  <w:r>
                    <w:rPr>
                      <w:rFonts w:hint="default" w:ascii="Times New Roman" w:hAnsi="Times New Roman" w:eastAsia="等线" w:cs="Times New Roman"/>
                      <w:b w:val="0"/>
                      <w:bCs w:val="0"/>
                      <w:sz w:val="20"/>
                      <w:szCs w:val="20"/>
                    </w:rPr>
                    <w:t>0.0216</w:t>
                  </w:r>
                </w:p>
              </w:tc>
              <w:tc>
                <w:tcPr>
                  <w:tcW w:w="788" w:type="pct"/>
                  <w:tcBorders>
                    <w:top w:val="single" w:color="000000" w:sz="4" w:space="0"/>
                    <w:left w:val="single" w:color="000000" w:sz="4" w:space="0"/>
                    <w:bottom w:val="single" w:color="000000" w:sz="4" w:space="0"/>
                    <w:right w:val="single" w:color="000000" w:sz="4" w:space="0"/>
                  </w:tcBorders>
                  <w:vAlign w:val="center"/>
                </w:tcPr>
                <w:p>
                  <w:pPr>
                    <w:pStyle w:val="108"/>
                    <w:spacing w:line="360" w:lineRule="exact"/>
                    <w:rPr>
                      <w:rFonts w:hint="default" w:ascii="Times New Roman" w:hAnsi="Times New Roman" w:cs="Times New Roman"/>
                      <w:b w:val="0"/>
                      <w:bCs w:val="0"/>
                    </w:rPr>
                  </w:pPr>
                  <w:r>
                    <w:rPr>
                      <w:rFonts w:hint="default" w:ascii="Times New Roman" w:hAnsi="Times New Roman" w:cs="Times New Roman"/>
                      <w:b w:val="0"/>
                      <w:bCs w:val="0"/>
                    </w:rPr>
                    <w:t>0.2</w:t>
                  </w:r>
                </w:p>
              </w:tc>
              <w:tc>
                <w:tcPr>
                  <w:tcW w:w="779" w:type="pct"/>
                  <w:tcBorders>
                    <w:top w:val="single" w:color="000000" w:sz="4" w:space="0"/>
                    <w:left w:val="single" w:color="000000" w:sz="4" w:space="0"/>
                    <w:bottom w:val="single" w:color="000000" w:sz="4" w:space="0"/>
                    <w:right w:val="single" w:color="000000" w:sz="4" w:space="0"/>
                  </w:tcBorders>
                  <w:vAlign w:val="center"/>
                </w:tcPr>
                <w:p>
                  <w:pPr>
                    <w:pStyle w:val="108"/>
                    <w:spacing w:line="360" w:lineRule="exact"/>
                    <w:rPr>
                      <w:rFonts w:hint="default" w:ascii="Times New Roman" w:hAnsi="Times New Roman" w:cs="Times New Roman"/>
                      <w:b w:val="0"/>
                      <w:bCs w:val="0"/>
                    </w:rPr>
                  </w:pPr>
                  <w:r>
                    <w:rPr>
                      <w:rFonts w:hint="default" w:ascii="Times New Roman" w:hAnsi="Times New Roman" w:cs="Times New Roman"/>
                      <w:b w:val="0"/>
                      <w:bCs w:val="0"/>
                    </w:rPr>
                    <w:t>4.7</w:t>
                  </w:r>
                </w:p>
              </w:tc>
              <w:tc>
                <w:tcPr>
                  <w:tcW w:w="628" w:type="pct"/>
                  <w:tcBorders>
                    <w:top w:val="single" w:color="000000" w:sz="4" w:space="0"/>
                    <w:left w:val="single" w:color="000000" w:sz="4" w:space="0"/>
                    <w:bottom w:val="single" w:color="000000" w:sz="4" w:space="0"/>
                    <w:right w:val="single" w:color="000000" w:sz="8" w:space="0"/>
                  </w:tcBorders>
                  <w:vAlign w:val="center"/>
                </w:tcPr>
                <w:p>
                  <w:pPr>
                    <w:pStyle w:val="108"/>
                    <w:spacing w:line="360" w:lineRule="exact"/>
                    <w:rPr>
                      <w:rFonts w:hint="default" w:ascii="Times New Roman" w:hAnsi="Times New Roman" w:cs="Times New Roman"/>
                      <w:b w:val="0"/>
                      <w:bCs w:val="0"/>
                    </w:rPr>
                  </w:pPr>
                  <w:r>
                    <w:rPr>
                      <w:rFonts w:hint="default" w:ascii="Times New Roman" w:hAnsi="Times New Roman" w:cs="Times New Roman"/>
                      <w:b w:val="0"/>
                      <w:bCs w:val="0"/>
                    </w:rPr>
                    <w:t>50</w:t>
                  </w:r>
                </w:p>
              </w:tc>
            </w:tr>
          </w:tbl>
          <w:p>
            <w:pPr>
              <w:pStyle w:val="187"/>
              <w:widowControl w:val="0"/>
              <w:ind w:firstLine="480"/>
              <w:jc w:val="both"/>
              <w:rPr>
                <w:rFonts w:hint="default" w:ascii="Times New Roman" w:hAnsi="Times New Roman" w:cs="Times New Roman"/>
              </w:rPr>
            </w:pPr>
            <w:r>
              <w:rPr>
                <w:rFonts w:hint="default" w:ascii="Times New Roman" w:hAnsi="Times New Roman" w:cs="Times New Roman"/>
              </w:rPr>
              <w:t>本项目建设后，以粗格栅及调节池、细格栅及旋流沉砂池、一期A</w:t>
            </w:r>
            <w:r>
              <w:rPr>
                <w:rFonts w:hint="default" w:ascii="Times New Roman" w:hAnsi="Times New Roman" w:cs="Times New Roman"/>
                <w:vertAlign w:val="superscript"/>
              </w:rPr>
              <w:t>2</w:t>
            </w:r>
            <w:r>
              <w:rPr>
                <w:rFonts w:hint="default" w:ascii="Times New Roman" w:hAnsi="Times New Roman" w:cs="Times New Roman"/>
              </w:rPr>
              <w:t>O-MBBR生化池、一期高效沉淀池、污泥储池、二期A</w:t>
            </w:r>
            <w:r>
              <w:rPr>
                <w:rFonts w:hint="default" w:ascii="Times New Roman" w:hAnsi="Times New Roman" w:cs="Times New Roman"/>
                <w:vertAlign w:val="superscript"/>
              </w:rPr>
              <w:t>2</w:t>
            </w:r>
            <w:r>
              <w:rPr>
                <w:rFonts w:hint="default" w:ascii="Times New Roman" w:hAnsi="Times New Roman" w:cs="Times New Roman"/>
              </w:rPr>
              <w:t>O-MBBR生化池、二期高效沉淀池、污泥脱水车间边界为起点划定50m的卫生防护距离。</w:t>
            </w:r>
          </w:p>
          <w:p>
            <w:pPr>
              <w:pStyle w:val="187"/>
              <w:widowControl w:val="0"/>
              <w:ind w:firstLine="482"/>
              <w:jc w:val="both"/>
              <w:rPr>
                <w:rFonts w:hint="default" w:ascii="Times New Roman" w:hAnsi="Times New Roman" w:cs="Times New Roman"/>
                <w:b/>
                <w:bCs/>
              </w:rPr>
            </w:pPr>
            <w:r>
              <w:rPr>
                <w:rFonts w:hint="default" w:ascii="Times New Roman" w:hAnsi="Times New Roman" w:cs="Times New Roman"/>
                <w:b/>
              </w:rPr>
              <w:t>同时，环评要求：</w:t>
            </w:r>
            <w:r>
              <w:rPr>
                <w:rFonts w:hint="default" w:ascii="Times New Roman" w:hAnsi="Times New Roman" w:cs="Times New Roman"/>
                <w:b/>
                <w:bCs/>
              </w:rPr>
              <w:t>本项目卫生防护距离内不得新建住宅、学校等敏感建筑和食品、医药等对大气环境质量要求较高企业。</w:t>
            </w:r>
          </w:p>
          <w:p>
            <w:pPr>
              <w:pStyle w:val="187"/>
              <w:widowControl w:val="0"/>
              <w:ind w:firstLine="480"/>
              <w:jc w:val="both"/>
              <w:rPr>
                <w:rFonts w:hint="default" w:ascii="Times New Roman" w:hAnsi="Times New Roman" w:cs="Times New Roman"/>
                <w:b/>
                <w:bCs/>
              </w:rPr>
            </w:pPr>
            <w:r>
              <w:rPr>
                <w:rFonts w:hint="default" w:ascii="Times New Roman" w:hAnsi="Times New Roman" w:cs="Times New Roman"/>
                <w:szCs w:val="24"/>
              </w:rPr>
              <w:t>据现场调查表明，项目厂址范围内无学校、医院、集中居民点等其它环境敏感点。本环评要求：卫生防护距离范围内不得新建学校、医院、居民集居区等环境敏感点；并在厂界周边设置绿化带，厂内地面公园绿化应以高大乔木和灌木相结合，厂界绿化带宽度不应小于 5m，控制恶臭气体散逸；减少厂内污泥暂存量，污泥运输车辆密闭，污泥运输时要避开城市中心区，避开运输高峰期，尽量减小臭气对运输线路附近大气环境的影响。</w:t>
            </w:r>
          </w:p>
          <w:p>
            <w:pPr>
              <w:pStyle w:val="43"/>
              <w:snapToGrid w:val="0"/>
              <w:ind w:firstLine="482"/>
              <w:rPr>
                <w:rFonts w:hint="default" w:ascii="Times New Roman" w:hAnsi="Times New Roman" w:cs="Times New Roman"/>
                <w:szCs w:val="24"/>
              </w:rPr>
            </w:pPr>
            <w:r>
              <w:rPr>
                <w:rFonts w:hint="default" w:ascii="Times New Roman" w:hAnsi="Times New Roman" w:cs="Times New Roman"/>
                <w:szCs w:val="24"/>
              </w:rPr>
              <w:t>同时还要求：①粗细格栅渠、旋流沉砂池、调节池、生化池、二沉池、贮泥池各池体及其配套进出水渠井采用钢筋混凝土池顶密封，污泥脱水区的离心机设置隔离罩，由除臭风管将各构（建）筑物中的废气收集接入除臭设施，减少臭气影响；②在污泥脱水间等室内部分，考虑采用机械通风的方式，减少臭气影响；③污泥日产日清，运输车辆密闭，避开运输高峰期，尽量减少臭气对运输线路附近大气环境的影响；④采取必要的减臭措施，污泥处理设施应设在非完全敞开式的建筑内；⑤污水处理厂运行过程中要加强管理，控制污泥发酵。污泥脱水后要及时清运，定时清洗污泥脱水机；避免一切固体废弃物在厂内长时间堆放；⑥在各构筑物停产修理时，池底积泥会暴露出来散发臭气，应取及时清除积泥的措施来防止臭气的影响。以上措施属目前污水处理厂恶臭处理的主要措施，在大、中、小型污水处理厂（站）均得到广泛应用，取得良好的效果。</w:t>
            </w:r>
          </w:p>
          <w:p>
            <w:pPr>
              <w:pStyle w:val="43"/>
              <w:snapToGrid w:val="0"/>
              <w:ind w:firstLine="482"/>
              <w:rPr>
                <w:rFonts w:hint="default" w:ascii="Times New Roman" w:hAnsi="Times New Roman" w:cs="Times New Roman"/>
                <w:szCs w:val="24"/>
              </w:rPr>
            </w:pPr>
            <w:r>
              <w:rPr>
                <w:rFonts w:hint="default" w:ascii="Times New Roman" w:hAnsi="Times New Roman" w:cs="Times New Roman"/>
                <w:b/>
                <w:bCs/>
                <w:szCs w:val="24"/>
              </w:rPr>
              <w:t>从以上分析可知，环评提出的恶臭防治措施具有很好的可行性和可靠性；项目严格按照上述环评提出的相关恶臭治理措施，散排废气不会对周围环境产生明显不利影响。</w:t>
            </w:r>
          </w:p>
          <w:p>
            <w:pPr>
              <w:widowControl/>
              <w:adjustRightInd w:val="0"/>
              <w:snapToGrid w:val="0"/>
              <w:ind w:firstLine="482" w:firstLineChars="200"/>
              <w:jc w:val="left"/>
              <w:rPr>
                <w:rFonts w:hint="default" w:ascii="Times New Roman" w:hAnsi="Times New Roman" w:cs="Times New Roman"/>
                <w:b/>
                <w:bCs/>
                <w:kern w:val="0"/>
                <w:szCs w:val="20"/>
              </w:rPr>
            </w:pPr>
            <w:r>
              <w:rPr>
                <w:rFonts w:hint="default" w:ascii="Times New Roman" w:hAnsi="Times New Roman" w:cs="Times New Roman"/>
                <w:b/>
                <w:bCs/>
                <w:kern w:val="0"/>
                <w:szCs w:val="20"/>
              </w:rPr>
              <w:t>4.2.2废水</w:t>
            </w:r>
          </w:p>
          <w:p>
            <w:pPr>
              <w:widowControl w:val="0"/>
              <w:adjustRightInd w:val="0"/>
              <w:snapToGrid w:val="0"/>
              <w:ind w:firstLine="464" w:firstLineChars="200"/>
              <w:jc w:val="both"/>
              <w:rPr>
                <w:rFonts w:hint="default" w:ascii="Times New Roman" w:hAnsi="Times New Roman" w:cs="Times New Roman"/>
                <w:spacing w:val="-4"/>
              </w:rPr>
            </w:pPr>
            <w:r>
              <w:rPr>
                <w:rFonts w:hint="default" w:ascii="Times New Roman" w:hAnsi="Times New Roman" w:cs="Times New Roman"/>
                <w:spacing w:val="-4"/>
              </w:rPr>
              <w:t>污水处理厂在处理接纳污水的同时也将产生污水，主要为员工产生的办公生活污水、化验室废水、反冲洗废水、污泥脱水间产生的污泥脱水滤液、生物除臭系统滤液等。在线监测废液属于危废，用塑料容器收集封装，暂存危废间后定期交由有危废处理资质的单位进行处置。工程将自身产生的污水通过厂区内污水管网引入粗格栅井前，使各种污水回流于污水处理工序中，实现废水的就地产生、就地处理，以实现排污达标排放。</w:t>
            </w:r>
          </w:p>
          <w:p>
            <w:pPr>
              <w:widowControl w:val="0"/>
              <w:adjustRightInd w:val="0"/>
              <w:snapToGrid w:val="0"/>
              <w:ind w:firstLine="482" w:firstLineChars="200"/>
              <w:jc w:val="both"/>
              <w:rPr>
                <w:rFonts w:hint="default" w:ascii="Times New Roman" w:hAnsi="Times New Roman" w:cs="Times New Roman"/>
                <w:b/>
                <w:kern w:val="0"/>
                <w:szCs w:val="20"/>
              </w:rPr>
            </w:pPr>
            <w:r>
              <w:rPr>
                <w:rFonts w:hint="default" w:ascii="Times New Roman" w:hAnsi="Times New Roman" w:cs="Times New Roman"/>
                <w:b/>
                <w:kern w:val="0"/>
                <w:szCs w:val="20"/>
              </w:rPr>
              <w:t>1、污染物产排污分析</w:t>
            </w:r>
          </w:p>
          <w:p>
            <w:pPr>
              <w:widowControl w:val="0"/>
              <w:adjustRightInd w:val="0"/>
              <w:snapToGrid w:val="0"/>
              <w:ind w:firstLine="482" w:firstLineChars="200"/>
              <w:jc w:val="both"/>
              <w:rPr>
                <w:rFonts w:hint="default" w:ascii="Times New Roman" w:hAnsi="Times New Roman" w:cs="Times New Roman"/>
                <w:b/>
                <w:kern w:val="0"/>
                <w:szCs w:val="20"/>
              </w:rPr>
            </w:pPr>
            <w:r>
              <w:rPr>
                <w:rFonts w:hint="default" w:ascii="Times New Roman" w:hAnsi="Times New Roman" w:cs="Times New Roman"/>
                <w:b/>
                <w:kern w:val="0"/>
                <w:szCs w:val="20"/>
              </w:rPr>
              <w:t>1）接纳污水</w:t>
            </w:r>
          </w:p>
          <w:p>
            <w:pPr>
              <w:widowControl w:val="0"/>
              <w:autoSpaceDE w:val="0"/>
              <w:autoSpaceDN w:val="0"/>
              <w:adjustRightInd w:val="0"/>
              <w:ind w:firstLine="480" w:firstLineChars="200"/>
              <w:jc w:val="both"/>
              <w:rPr>
                <w:rFonts w:hint="default" w:ascii="Times New Roman" w:hAnsi="Times New Roman" w:cs="Times New Roman"/>
              </w:rPr>
            </w:pPr>
            <w:r>
              <w:rPr>
                <w:rFonts w:hint="default" w:ascii="Times New Roman" w:hAnsi="Times New Roman" w:cs="Times New Roman"/>
              </w:rPr>
              <w:t>本项目污水处理厂建设完成后，接纳污水量为10000m</w:t>
            </w:r>
            <w:r>
              <w:rPr>
                <w:rFonts w:hint="default" w:ascii="Times New Roman" w:hAnsi="Times New Roman" w:cs="Times New Roman"/>
                <w:vertAlign w:val="superscript"/>
              </w:rPr>
              <w:t>3</w:t>
            </w:r>
            <w:r>
              <w:rPr>
                <w:rFonts w:hint="default" w:ascii="Times New Roman" w:hAnsi="Times New Roman" w:cs="Times New Roman"/>
              </w:rPr>
              <w:t>/d，接纳污水经本项目污水处理厂处理达标后排入州河。根据本项目污水处理厂进水水质，主要污染物浓度为： COD350mg/L、BOD</w:t>
            </w:r>
            <w:r>
              <w:rPr>
                <w:rFonts w:hint="default" w:ascii="Times New Roman" w:hAnsi="Times New Roman" w:cs="Times New Roman"/>
                <w:vertAlign w:val="subscript"/>
              </w:rPr>
              <w:t>5</w:t>
            </w:r>
            <w:r>
              <w:rPr>
                <w:rFonts w:hint="default" w:ascii="Times New Roman" w:hAnsi="Times New Roman" w:cs="Times New Roman"/>
              </w:rPr>
              <w:t>160mg/L、NH</w:t>
            </w:r>
            <w:r>
              <w:rPr>
                <w:rFonts w:hint="default" w:ascii="Times New Roman" w:hAnsi="Times New Roman" w:cs="Times New Roman"/>
                <w:vertAlign w:val="subscript"/>
              </w:rPr>
              <w:t>3</w:t>
            </w:r>
            <w:r>
              <w:rPr>
                <w:rFonts w:hint="default" w:ascii="Times New Roman" w:hAnsi="Times New Roman" w:cs="Times New Roman"/>
              </w:rPr>
              <w:t>-N45mg/L、SS400mg/L、TP4.5mg/L、TN30mg/L。</w:t>
            </w:r>
          </w:p>
          <w:p>
            <w:pPr>
              <w:widowControl w:val="0"/>
              <w:autoSpaceDE w:val="0"/>
              <w:autoSpaceDN w:val="0"/>
              <w:adjustRightInd w:val="0"/>
              <w:ind w:firstLine="482"/>
              <w:jc w:val="both"/>
              <w:rPr>
                <w:rFonts w:hint="default" w:ascii="Times New Roman" w:hAnsi="Times New Roman" w:cs="Times New Roman"/>
                <w:b/>
                <w:bCs/>
                <w:kern w:val="0"/>
              </w:rPr>
            </w:pPr>
            <w:r>
              <w:rPr>
                <w:rFonts w:hint="default" w:ascii="Times New Roman" w:hAnsi="Times New Roman" w:cs="Times New Roman"/>
                <w:b/>
                <w:bCs/>
                <w:kern w:val="0"/>
              </w:rPr>
              <w:t>2）化验室废水</w:t>
            </w:r>
          </w:p>
          <w:p>
            <w:pPr>
              <w:widowControl w:val="0"/>
              <w:autoSpaceDE w:val="0"/>
              <w:autoSpaceDN w:val="0"/>
              <w:adjustRightInd w:val="0"/>
              <w:ind w:firstLine="480" w:firstLineChars="200"/>
              <w:jc w:val="left"/>
              <w:rPr>
                <w:rFonts w:hint="default" w:ascii="Times New Roman" w:hAnsi="Times New Roman" w:cs="Times New Roman"/>
              </w:rPr>
            </w:pPr>
            <w:r>
              <w:rPr>
                <w:rFonts w:hint="default" w:ascii="Times New Roman" w:hAnsi="Times New Roman" w:cs="Times New Roman"/>
              </w:rPr>
              <w:t>项目在综合用房内设置1间化验室，用于对进水水质分析。进水水质化验采取水样后在化验室内进行化验，化验室废液及前三次器皿清洗废水产生量约0.005m</w:t>
            </w:r>
            <w:r>
              <w:rPr>
                <w:rFonts w:hint="default" w:ascii="Times New Roman" w:hAnsi="Times New Roman" w:cs="Times New Roman"/>
                <w:vertAlign w:val="superscript"/>
              </w:rPr>
              <w:t>3</w:t>
            </w:r>
            <w:r>
              <w:rPr>
                <w:rFonts w:hint="default" w:ascii="Times New Roman" w:hAnsi="Times New Roman" w:cs="Times New Roman"/>
              </w:rPr>
              <w:t>/d，第三次后器皿清洗废水产生量约为0.1m</w:t>
            </w:r>
            <w:r>
              <w:rPr>
                <w:rFonts w:hint="default" w:ascii="Times New Roman" w:hAnsi="Times New Roman" w:cs="Times New Roman"/>
                <w:vertAlign w:val="superscript"/>
              </w:rPr>
              <w:t>3</w:t>
            </w:r>
            <w:r>
              <w:rPr>
                <w:rFonts w:hint="default" w:ascii="Times New Roman" w:hAnsi="Times New Roman" w:cs="Times New Roman"/>
              </w:rPr>
              <w:t>/d。</w:t>
            </w:r>
          </w:p>
          <w:p>
            <w:pPr>
              <w:widowControl w:val="0"/>
              <w:autoSpaceDE w:val="0"/>
              <w:autoSpaceDN w:val="0"/>
              <w:adjustRightInd w:val="0"/>
              <w:ind w:firstLine="480" w:firstLineChars="200"/>
              <w:jc w:val="both"/>
              <w:rPr>
                <w:rFonts w:hint="default" w:ascii="Times New Roman" w:hAnsi="Times New Roman" w:cs="Times New Roman"/>
              </w:rPr>
            </w:pPr>
            <w:r>
              <w:rPr>
                <w:rFonts w:hint="default" w:ascii="Times New Roman" w:hAnsi="Times New Roman" w:cs="Times New Roman"/>
              </w:rPr>
              <w:t>化验室废液及化验室前三次清洗废水作为危废，需要集中收集暂存于危废暂存间，交由有资质单位回收处置。化验室三次后清洗废水进入本项目污水处理系统进行处理。</w:t>
            </w:r>
          </w:p>
          <w:p>
            <w:pPr>
              <w:widowControl w:val="0"/>
              <w:autoSpaceDE w:val="0"/>
              <w:autoSpaceDN w:val="0"/>
              <w:adjustRightInd w:val="0"/>
              <w:ind w:firstLine="482"/>
              <w:jc w:val="both"/>
              <w:rPr>
                <w:rFonts w:hint="default" w:ascii="Times New Roman" w:hAnsi="Times New Roman" w:cs="Times New Roman"/>
                <w:b/>
                <w:bCs/>
                <w:kern w:val="0"/>
              </w:rPr>
            </w:pPr>
            <w:r>
              <w:rPr>
                <w:rFonts w:hint="default" w:ascii="Times New Roman" w:hAnsi="Times New Roman" w:cs="Times New Roman"/>
                <w:b/>
                <w:bCs/>
                <w:kern w:val="0"/>
              </w:rPr>
              <w:t>3）反冲洗废水</w:t>
            </w:r>
          </w:p>
          <w:p>
            <w:pPr>
              <w:widowControl w:val="0"/>
              <w:autoSpaceDE w:val="0"/>
              <w:autoSpaceDN w:val="0"/>
              <w:adjustRightInd w:val="0"/>
              <w:ind w:firstLine="480" w:firstLineChars="200"/>
              <w:jc w:val="both"/>
              <w:rPr>
                <w:rFonts w:hint="default" w:ascii="Times New Roman" w:hAnsi="Times New Roman" w:cs="Times New Roman"/>
              </w:rPr>
            </w:pPr>
            <w:r>
              <w:rPr>
                <w:rFonts w:hint="default" w:ascii="Times New Roman" w:hAnsi="Times New Roman" w:cs="Times New Roman"/>
              </w:rPr>
              <w:t>本项目滤池、粗格栅、细格栅、污泥脱水机等需要定期进行反冲洗。反冲洗用水全部来自处理达标后的尾水，类比同类项目分析，本项目反冲洗用水为进水量的4%，一般4天冲洗1次，平均每天用水量为100m</w:t>
            </w:r>
            <w:r>
              <w:rPr>
                <w:rFonts w:hint="default" w:ascii="Times New Roman" w:hAnsi="Times New Roman" w:cs="Times New Roman"/>
                <w:vertAlign w:val="superscript"/>
              </w:rPr>
              <w:t>3</w:t>
            </w:r>
            <w:r>
              <w:rPr>
                <w:rFonts w:hint="default" w:ascii="Times New Roman" w:hAnsi="Times New Roman" w:cs="Times New Roman"/>
              </w:rPr>
              <w:t>/d，废水产生量按90%计，为90m</w:t>
            </w:r>
            <w:r>
              <w:rPr>
                <w:rFonts w:hint="default" w:ascii="Times New Roman" w:hAnsi="Times New Roman" w:cs="Times New Roman"/>
                <w:vertAlign w:val="superscript"/>
              </w:rPr>
              <w:t>3</w:t>
            </w:r>
            <w:r>
              <w:rPr>
                <w:rFonts w:hint="default" w:ascii="Times New Roman" w:hAnsi="Times New Roman" w:cs="Times New Roman"/>
              </w:rPr>
              <w:t>/d，产生的反冲洗废水进入本项目污水处理系统进行处理。</w:t>
            </w:r>
          </w:p>
          <w:p>
            <w:pPr>
              <w:widowControl w:val="0"/>
              <w:autoSpaceDE w:val="0"/>
              <w:autoSpaceDN w:val="0"/>
              <w:adjustRightInd w:val="0"/>
              <w:ind w:firstLine="482"/>
              <w:jc w:val="both"/>
              <w:rPr>
                <w:rFonts w:hint="default" w:ascii="Times New Roman" w:hAnsi="Times New Roman" w:cs="Times New Roman"/>
                <w:b/>
                <w:bCs/>
                <w:kern w:val="0"/>
              </w:rPr>
            </w:pPr>
            <w:r>
              <w:rPr>
                <w:rFonts w:hint="default" w:ascii="Times New Roman" w:hAnsi="Times New Roman" w:cs="Times New Roman"/>
                <w:b/>
                <w:bCs/>
                <w:kern w:val="0"/>
              </w:rPr>
              <w:t>4）污泥脱水滤液</w:t>
            </w:r>
          </w:p>
          <w:p>
            <w:pPr>
              <w:widowControl w:val="0"/>
              <w:autoSpaceDE w:val="0"/>
              <w:autoSpaceDN w:val="0"/>
              <w:adjustRightInd w:val="0"/>
              <w:ind w:firstLine="480" w:firstLineChars="200"/>
              <w:jc w:val="both"/>
              <w:rPr>
                <w:rFonts w:hint="default" w:ascii="Times New Roman" w:hAnsi="Times New Roman" w:cs="Times New Roman"/>
              </w:rPr>
            </w:pPr>
            <w:r>
              <w:rPr>
                <w:rFonts w:hint="default" w:ascii="Times New Roman" w:hAnsi="Times New Roman" w:cs="Times New Roman"/>
              </w:rPr>
              <w:t>脱水滤液主要来源于含水率较高的剩余污泥浓缩脱水过程，采用“机械浓缩+压滤”工艺进行脱水。脱水前剩余污泥</w:t>
            </w:r>
            <w:r>
              <w:rPr>
                <w:rFonts w:hint="default" w:ascii="Times New Roman" w:hAnsi="Times New Roman" w:eastAsia="宋体" w:cs="Times New Roman"/>
                <w:lang w:val="en-GB"/>
              </w:rPr>
              <w:t>产生量为100t/d（36500t/a），湿</w:t>
            </w:r>
            <w:r>
              <w:rPr>
                <w:rFonts w:hint="default" w:ascii="Times New Roman" w:hAnsi="Times New Roman" w:cs="Times New Roman"/>
              </w:rPr>
              <w:t>污泥含水率约为99.2%</w:t>
            </w:r>
            <w:r>
              <w:rPr>
                <w:rFonts w:hint="default" w:ascii="Times New Roman" w:hAnsi="Times New Roman" w:eastAsia="宋体" w:cs="Times New Roman"/>
                <w:lang w:val="en-GB"/>
              </w:rPr>
              <w:t>，污泥含水99.2t/d，污泥暂存于储泥池，在污泥浓缩脱水机房进行脱水，脱水后含水率为60%，污泥量为3.4t/d（1241t/a），污泥脱水量为96.6t/d，产生的废水为96.6t/d。进入项目污水处理厂处理，处理达标后排放。</w:t>
            </w:r>
          </w:p>
          <w:p>
            <w:pPr>
              <w:widowControl w:val="0"/>
              <w:autoSpaceDE w:val="0"/>
              <w:autoSpaceDN w:val="0"/>
              <w:adjustRightInd w:val="0"/>
              <w:ind w:firstLine="482"/>
              <w:jc w:val="both"/>
              <w:rPr>
                <w:rFonts w:hint="default" w:ascii="Times New Roman" w:hAnsi="Times New Roman" w:cs="Times New Roman"/>
                <w:b/>
                <w:bCs/>
                <w:kern w:val="0"/>
              </w:rPr>
            </w:pPr>
            <w:r>
              <w:rPr>
                <w:rFonts w:hint="default" w:ascii="Times New Roman" w:hAnsi="Times New Roman" w:cs="Times New Roman"/>
                <w:b/>
                <w:bCs/>
                <w:kern w:val="0"/>
              </w:rPr>
              <w:t>5）</w:t>
            </w:r>
            <w:r>
              <w:rPr>
                <w:rFonts w:hint="default" w:ascii="Times New Roman" w:hAnsi="Times New Roman" w:cs="Times New Roman"/>
                <w:b/>
                <w:bCs/>
              </w:rPr>
              <w:t>生物除臭系统</w:t>
            </w:r>
            <w:r>
              <w:rPr>
                <w:rFonts w:hint="default" w:ascii="Times New Roman" w:hAnsi="Times New Roman" w:cs="Times New Roman"/>
                <w:b/>
                <w:bCs/>
                <w:kern w:val="0"/>
              </w:rPr>
              <w:t>滤液</w:t>
            </w:r>
          </w:p>
          <w:p>
            <w:pPr>
              <w:pStyle w:val="104"/>
              <w:ind w:firstLine="480"/>
              <w:rPr>
                <w:rFonts w:hint="default" w:ascii="Times New Roman" w:hAnsi="Times New Roman" w:cs="Times New Roman"/>
              </w:rPr>
            </w:pPr>
            <w:r>
              <w:rPr>
                <w:rFonts w:hint="default" w:ascii="Times New Roman" w:hAnsi="Times New Roman" w:cs="Times New Roman"/>
              </w:rPr>
              <w:t>生物除臭系统会定期产生含有活性菌种的废弃滤液，经相关调查，一般情况下生物滤池的滤液更换频率为每月2~3次，每次废液产量约为0.8m</w:t>
            </w:r>
            <w:r>
              <w:rPr>
                <w:rFonts w:hint="default" w:ascii="Times New Roman" w:hAnsi="Times New Roman" w:cs="Times New Roman"/>
                <w:vertAlign w:val="superscript"/>
              </w:rPr>
              <w:t>3</w:t>
            </w:r>
            <w:r>
              <w:rPr>
                <w:rFonts w:hint="default" w:ascii="Times New Roman" w:hAnsi="Times New Roman" w:cs="Times New Roman"/>
              </w:rPr>
              <w:t>，根据本项目实际情况，项目生物除臭系统滤液产生量为0.01m</w:t>
            </w:r>
            <w:r>
              <w:rPr>
                <w:rFonts w:hint="default" w:ascii="Times New Roman" w:hAnsi="Times New Roman" w:cs="Times New Roman"/>
                <w:vertAlign w:val="superscript"/>
              </w:rPr>
              <w:t>3</w:t>
            </w:r>
            <w:r>
              <w:rPr>
                <w:rFonts w:hint="default" w:ascii="Times New Roman" w:hAnsi="Times New Roman" w:cs="Times New Roman"/>
              </w:rPr>
              <w:t>/d，进入本项目污水处理厂处理，处理达标后排放。</w:t>
            </w:r>
          </w:p>
          <w:p>
            <w:pPr>
              <w:pStyle w:val="104"/>
              <w:ind w:firstLine="482"/>
              <w:rPr>
                <w:rFonts w:hint="default" w:ascii="Times New Roman" w:hAnsi="Times New Roman" w:cs="Times New Roman"/>
              </w:rPr>
            </w:pPr>
            <w:r>
              <w:rPr>
                <w:rFonts w:hint="default" w:ascii="Times New Roman" w:hAnsi="Times New Roman" w:cs="Times New Roman"/>
                <w:b/>
                <w:bCs/>
              </w:rPr>
              <w:t>6）</w:t>
            </w:r>
            <w:r>
              <w:rPr>
                <w:rFonts w:hint="default" w:ascii="Times New Roman" w:hAnsi="Times New Roman" w:cs="Times New Roman"/>
                <w:b/>
              </w:rPr>
              <w:t>办公生活污水</w:t>
            </w:r>
          </w:p>
          <w:p>
            <w:pPr>
              <w:widowControl w:val="0"/>
              <w:ind w:firstLine="600" w:firstLineChars="250"/>
              <w:jc w:val="both"/>
              <w:outlineLvl w:val="0"/>
              <w:rPr>
                <w:rFonts w:hint="default" w:ascii="Times New Roman" w:hAnsi="Times New Roman" w:cs="Times New Roman"/>
              </w:rPr>
            </w:pPr>
            <w:r>
              <w:rPr>
                <w:rFonts w:hint="default" w:ascii="Times New Roman" w:hAnsi="Times New Roman" w:cs="Times New Roman"/>
              </w:rPr>
              <w:t>本项目建成后劳动定员约为10人，在综合用房内设置食堂及宿舍，生活污水按照150L/人·d计算，年工作365d，用水量为1.5m</w:t>
            </w:r>
            <w:r>
              <w:rPr>
                <w:rFonts w:hint="default" w:ascii="Times New Roman" w:hAnsi="Times New Roman" w:cs="Times New Roman"/>
                <w:vertAlign w:val="superscript"/>
              </w:rPr>
              <w:t>3</w:t>
            </w:r>
            <w:r>
              <w:rPr>
                <w:rFonts w:hint="default" w:ascii="Times New Roman" w:hAnsi="Times New Roman" w:cs="Times New Roman"/>
              </w:rPr>
              <w:t>/d（548m</w:t>
            </w:r>
            <w:r>
              <w:rPr>
                <w:rFonts w:hint="default" w:ascii="Times New Roman" w:hAnsi="Times New Roman" w:cs="Times New Roman"/>
                <w:vertAlign w:val="superscript"/>
              </w:rPr>
              <w:t>3</w:t>
            </w:r>
            <w:r>
              <w:rPr>
                <w:rFonts w:hint="default" w:ascii="Times New Roman" w:hAnsi="Times New Roman" w:cs="Times New Roman"/>
              </w:rPr>
              <w:t>/a），产生量按用水量的85%计，则排放量约为1.28</w:t>
            </w:r>
            <w:r>
              <w:rPr>
                <w:rFonts w:hint="default" w:ascii="Times New Roman" w:hAnsi="Times New Roman" w:cs="Times New Roman"/>
                <w:bCs/>
              </w:rPr>
              <w:t>m</w:t>
            </w:r>
            <w:r>
              <w:rPr>
                <w:rFonts w:hint="default" w:ascii="Times New Roman" w:hAnsi="Times New Roman" w:cs="Times New Roman"/>
                <w:bCs/>
                <w:vertAlign w:val="superscript"/>
              </w:rPr>
              <w:t>3</w:t>
            </w:r>
            <w:r>
              <w:rPr>
                <w:rFonts w:hint="default" w:ascii="Times New Roman" w:hAnsi="Times New Roman" w:cs="Times New Roman"/>
                <w:bCs/>
              </w:rPr>
              <w:t>/d</w:t>
            </w:r>
            <w:r>
              <w:rPr>
                <w:rFonts w:hint="default" w:ascii="Times New Roman" w:hAnsi="Times New Roman" w:cs="Times New Roman"/>
              </w:rPr>
              <w:t>（465m</w:t>
            </w:r>
            <w:r>
              <w:rPr>
                <w:rFonts w:hint="default" w:ascii="Times New Roman" w:hAnsi="Times New Roman" w:cs="Times New Roman"/>
                <w:vertAlign w:val="superscript"/>
              </w:rPr>
              <w:t>3</w:t>
            </w:r>
            <w:r>
              <w:rPr>
                <w:rFonts w:hint="default" w:ascii="Times New Roman" w:hAnsi="Times New Roman" w:cs="Times New Roman"/>
              </w:rPr>
              <w:t>/a），生活污水进入本项目污水处理系统进行处理。</w:t>
            </w:r>
          </w:p>
          <w:p>
            <w:pPr>
              <w:widowControl w:val="0"/>
              <w:adjustRightInd w:val="0"/>
              <w:snapToGrid w:val="0"/>
              <w:spacing w:before="163" w:beforeLines="50"/>
              <w:ind w:firstLine="482" w:firstLineChars="200"/>
              <w:jc w:val="both"/>
              <w:rPr>
                <w:rFonts w:hint="default" w:ascii="Times New Roman" w:hAnsi="Times New Roman" w:cs="Times New Roman"/>
                <w:b/>
                <w:kern w:val="0"/>
                <w:szCs w:val="20"/>
              </w:rPr>
            </w:pPr>
            <w:r>
              <w:rPr>
                <w:rFonts w:hint="default" w:ascii="Times New Roman" w:hAnsi="Times New Roman" w:cs="Times New Roman"/>
                <w:b/>
                <w:kern w:val="0"/>
                <w:szCs w:val="20"/>
              </w:rPr>
              <w:t>2、项目废水产排污情况统计</w:t>
            </w:r>
          </w:p>
          <w:p>
            <w:pPr>
              <w:pStyle w:val="104"/>
              <w:ind w:firstLine="480"/>
              <w:rPr>
                <w:rFonts w:hint="default" w:ascii="Times New Roman" w:hAnsi="Times New Roman" w:cs="Times New Roman"/>
              </w:rPr>
            </w:pPr>
            <w:r>
              <w:rPr>
                <w:rFonts w:hint="default" w:ascii="Times New Roman" w:hAnsi="Times New Roman" w:cs="Times New Roman"/>
              </w:rPr>
              <w:t>根据项目设计，本建设规模为1万 m³/d，则污水量按1万m³/d 污染物排放及污染削减负荷情况见下表。</w:t>
            </w:r>
          </w:p>
          <w:p>
            <w:pPr>
              <w:pStyle w:val="40"/>
              <w:widowControl w:val="0"/>
              <w:numPr>
                <w:ilvl w:val="0"/>
                <w:numId w:val="7"/>
              </w:numPr>
              <w:autoSpaceDE w:val="0"/>
              <w:autoSpaceDN w:val="0"/>
              <w:spacing w:before="0" w:beforeAutospacing="0" w:after="0" w:afterAutospacing="0" w:line="360" w:lineRule="auto"/>
              <w:jc w:val="center"/>
              <w:rPr>
                <w:rFonts w:hint="default" w:ascii="Times New Roman" w:hAnsi="Times New Roman" w:eastAsia="黑体" w:cs="Times New Roman"/>
                <w:kern w:val="2"/>
                <w:szCs w:val="24"/>
              </w:rPr>
            </w:pPr>
            <w:r>
              <w:rPr>
                <w:rFonts w:hint="default" w:ascii="Times New Roman" w:hAnsi="Times New Roman" w:eastAsia="黑体" w:cs="Times New Roman"/>
                <w:kern w:val="2"/>
                <w:szCs w:val="24"/>
              </w:rPr>
              <w:t>收集服务范围内水污染物排放及污染削减负荷</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746"/>
              <w:gridCol w:w="1179"/>
              <w:gridCol w:w="1039"/>
              <w:gridCol w:w="1217"/>
              <w:gridCol w:w="1153"/>
              <w:gridCol w:w="1217"/>
              <w:gridCol w:w="935"/>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废水产污环节</w:t>
                  </w:r>
                </w:p>
              </w:tc>
              <w:tc>
                <w:tcPr>
                  <w:tcW w:w="398"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废水类别</w:t>
                  </w:r>
                </w:p>
              </w:tc>
              <w:tc>
                <w:tcPr>
                  <w:tcW w:w="629"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废水量（m</w:t>
                  </w:r>
                  <w:r>
                    <w:rPr>
                      <w:rFonts w:hint="default" w:ascii="Times New Roman" w:hAnsi="Times New Roman" w:cs="Times New Roman"/>
                      <w:b/>
                      <w:bCs/>
                      <w:sz w:val="21"/>
                      <w:szCs w:val="21"/>
                      <w:vertAlign w:val="superscript"/>
                    </w:rPr>
                    <w:t>3</w:t>
                  </w:r>
                  <w:r>
                    <w:rPr>
                      <w:rFonts w:hint="default" w:ascii="Times New Roman" w:hAnsi="Times New Roman" w:cs="Times New Roman"/>
                      <w:b/>
                      <w:bCs/>
                      <w:sz w:val="21"/>
                      <w:szCs w:val="21"/>
                    </w:rPr>
                    <w:t>/d）</w:t>
                  </w:r>
                </w:p>
              </w:tc>
              <w:tc>
                <w:tcPr>
                  <w:tcW w:w="554"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污染物种类</w:t>
                  </w:r>
                </w:p>
              </w:tc>
              <w:tc>
                <w:tcPr>
                  <w:tcW w:w="126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处理前</w:t>
                  </w:r>
                </w:p>
              </w:tc>
              <w:tc>
                <w:tcPr>
                  <w:tcW w:w="114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处理后</w:t>
                  </w:r>
                </w:p>
              </w:tc>
              <w:tc>
                <w:tcPr>
                  <w:tcW w:w="531" w:type="pct"/>
                  <w:vMerge w:val="restart"/>
                  <w:tcBorders>
                    <w:top w:val="single" w:color="auto" w:sz="4" w:space="0"/>
                    <w:left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b/>
                      <w:bCs/>
                      <w:sz w:val="21"/>
                      <w:szCs w:val="21"/>
                    </w:rPr>
                    <w:t>削减量（t/a）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b/>
                      <w:bCs/>
                      <w:sz w:val="21"/>
                      <w:szCs w:val="21"/>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b/>
                      <w:bCs/>
                      <w:sz w:val="21"/>
                      <w:szCs w:val="21"/>
                    </w:rPr>
                  </w:pPr>
                </w:p>
              </w:tc>
              <w:tc>
                <w:tcPr>
                  <w:tcW w:w="6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p>
              </w:tc>
              <w:tc>
                <w:tcPr>
                  <w:tcW w:w="554"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b/>
                      <w:bCs/>
                      <w:sz w:val="21"/>
                      <w:szCs w:val="21"/>
                    </w:rPr>
                  </w:pPr>
                </w:p>
              </w:tc>
              <w:tc>
                <w:tcPr>
                  <w:tcW w:w="64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浓度（mg/L）</w:t>
                  </w:r>
                </w:p>
              </w:tc>
              <w:tc>
                <w:tcPr>
                  <w:tcW w:w="615"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产生量（t/a）</w:t>
                  </w:r>
                </w:p>
              </w:tc>
              <w:tc>
                <w:tcPr>
                  <w:tcW w:w="64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浓度（mg/L）</w:t>
                  </w:r>
                </w:p>
              </w:tc>
              <w:tc>
                <w:tcPr>
                  <w:tcW w:w="49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产生量（t/a）</w:t>
                  </w:r>
                </w:p>
              </w:tc>
              <w:tc>
                <w:tcPr>
                  <w:tcW w:w="531" w:type="pct"/>
                  <w:vMerge w:val="continue"/>
                  <w:tcBorders>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收集服务范围内污水</w:t>
                  </w:r>
                </w:p>
              </w:tc>
              <w:tc>
                <w:tcPr>
                  <w:tcW w:w="398"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生活污水</w:t>
                  </w:r>
                </w:p>
              </w:tc>
              <w:tc>
                <w:tcPr>
                  <w:tcW w:w="629"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1万</w:t>
                  </w:r>
                </w:p>
              </w:tc>
              <w:tc>
                <w:tcPr>
                  <w:tcW w:w="55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COD</w:t>
                  </w:r>
                </w:p>
              </w:tc>
              <w:tc>
                <w:tcPr>
                  <w:tcW w:w="64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350</w:t>
                  </w:r>
                </w:p>
              </w:tc>
              <w:tc>
                <w:tcPr>
                  <w:tcW w:w="615"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1277.5 </w:t>
                  </w:r>
                </w:p>
              </w:tc>
              <w:tc>
                <w:tcPr>
                  <w:tcW w:w="64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50</w:t>
                  </w:r>
                </w:p>
              </w:tc>
              <w:tc>
                <w:tcPr>
                  <w:tcW w:w="49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182.5 </w:t>
                  </w:r>
                </w:p>
              </w:tc>
              <w:tc>
                <w:tcPr>
                  <w:tcW w:w="531"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1095.0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6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55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64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160</w:t>
                  </w:r>
                </w:p>
              </w:tc>
              <w:tc>
                <w:tcPr>
                  <w:tcW w:w="615"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584.0 </w:t>
                  </w:r>
                </w:p>
              </w:tc>
              <w:tc>
                <w:tcPr>
                  <w:tcW w:w="64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10</w:t>
                  </w:r>
                </w:p>
              </w:tc>
              <w:tc>
                <w:tcPr>
                  <w:tcW w:w="49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36.5 </w:t>
                  </w:r>
                </w:p>
              </w:tc>
              <w:tc>
                <w:tcPr>
                  <w:tcW w:w="531"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547.5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6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55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SS</w:t>
                  </w:r>
                </w:p>
              </w:tc>
              <w:tc>
                <w:tcPr>
                  <w:tcW w:w="64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400</w:t>
                  </w:r>
                </w:p>
              </w:tc>
              <w:tc>
                <w:tcPr>
                  <w:tcW w:w="615"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1460.0 </w:t>
                  </w:r>
                </w:p>
              </w:tc>
              <w:tc>
                <w:tcPr>
                  <w:tcW w:w="64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10</w:t>
                  </w:r>
                </w:p>
              </w:tc>
              <w:tc>
                <w:tcPr>
                  <w:tcW w:w="49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36.5 </w:t>
                  </w:r>
                </w:p>
              </w:tc>
              <w:tc>
                <w:tcPr>
                  <w:tcW w:w="531"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1423.5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6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55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w:t>
                  </w:r>
                </w:p>
              </w:tc>
              <w:tc>
                <w:tcPr>
                  <w:tcW w:w="64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45</w:t>
                  </w:r>
                </w:p>
              </w:tc>
              <w:tc>
                <w:tcPr>
                  <w:tcW w:w="615"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164.25</w:t>
                  </w:r>
                </w:p>
              </w:tc>
              <w:tc>
                <w:tcPr>
                  <w:tcW w:w="64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5</w:t>
                  </w:r>
                </w:p>
              </w:tc>
              <w:tc>
                <w:tcPr>
                  <w:tcW w:w="49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18.25 </w:t>
                  </w:r>
                </w:p>
              </w:tc>
              <w:tc>
                <w:tcPr>
                  <w:tcW w:w="531"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146.0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6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55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TN</w:t>
                  </w:r>
                </w:p>
              </w:tc>
              <w:tc>
                <w:tcPr>
                  <w:tcW w:w="64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30</w:t>
                  </w:r>
                </w:p>
              </w:tc>
              <w:tc>
                <w:tcPr>
                  <w:tcW w:w="615"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109.5 </w:t>
                  </w:r>
                </w:p>
              </w:tc>
              <w:tc>
                <w:tcPr>
                  <w:tcW w:w="64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15</w:t>
                  </w:r>
                </w:p>
              </w:tc>
              <w:tc>
                <w:tcPr>
                  <w:tcW w:w="49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54.75 </w:t>
                  </w:r>
                </w:p>
              </w:tc>
              <w:tc>
                <w:tcPr>
                  <w:tcW w:w="531"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54.75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6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55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 xml:space="preserve">TP </w:t>
                  </w:r>
                </w:p>
              </w:tc>
              <w:tc>
                <w:tcPr>
                  <w:tcW w:w="64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4.5</w:t>
                  </w:r>
                </w:p>
              </w:tc>
              <w:tc>
                <w:tcPr>
                  <w:tcW w:w="615"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16.43</w:t>
                  </w:r>
                </w:p>
              </w:tc>
              <w:tc>
                <w:tcPr>
                  <w:tcW w:w="64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0.5</w:t>
                  </w:r>
                </w:p>
              </w:tc>
              <w:tc>
                <w:tcPr>
                  <w:tcW w:w="499"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1.83 </w:t>
                  </w:r>
                </w:p>
              </w:tc>
              <w:tc>
                <w:tcPr>
                  <w:tcW w:w="531"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14.6 </w:t>
                  </w:r>
                </w:p>
              </w:tc>
            </w:tr>
          </w:tbl>
          <w:p>
            <w:pPr>
              <w:widowControl w:val="0"/>
              <w:ind w:firstLine="361" w:firstLineChars="150"/>
              <w:jc w:val="both"/>
              <w:rPr>
                <w:rFonts w:hint="default" w:ascii="Times New Roman" w:hAnsi="Times New Roman" w:eastAsia="宋体" w:cs="Times New Roman"/>
              </w:rPr>
            </w:pPr>
            <w:r>
              <w:rPr>
                <w:rFonts w:hint="default" w:ascii="Times New Roman" w:hAnsi="Times New Roman" w:eastAsia="宋体" w:cs="Times New Roman"/>
                <w:b/>
                <w:kern w:val="0"/>
                <w:szCs w:val="20"/>
              </w:rPr>
              <w:t>3、</w:t>
            </w:r>
            <w:r>
              <w:rPr>
                <w:rFonts w:hint="default" w:ascii="Times New Roman" w:hAnsi="Times New Roman" w:eastAsia="宋体" w:cs="Times New Roman"/>
                <w:b/>
              </w:rPr>
              <w:t>治理设施、排放方式、排放口基本信息</w:t>
            </w:r>
          </w:p>
          <w:p>
            <w:pPr>
              <w:widowControl w:val="0"/>
              <w:ind w:firstLine="482" w:firstLineChars="200"/>
              <w:jc w:val="both"/>
              <w:rPr>
                <w:rFonts w:hint="default" w:ascii="Times New Roman" w:hAnsi="Times New Roman" w:eastAsia="宋体" w:cs="Times New Roman"/>
              </w:rPr>
            </w:pPr>
            <w:r>
              <w:rPr>
                <w:rFonts w:hint="default" w:ascii="Times New Roman" w:hAnsi="Times New Roman" w:eastAsia="宋体" w:cs="Times New Roman"/>
                <w:b/>
              </w:rPr>
              <w:t>①治理设施、排放方式</w:t>
            </w:r>
          </w:p>
          <w:p>
            <w:pPr>
              <w:widowControl w:val="0"/>
              <w:ind w:firstLine="440" w:firstLineChars="200"/>
              <w:jc w:val="both"/>
              <w:rPr>
                <w:rFonts w:hint="default" w:ascii="Times New Roman" w:hAnsi="Times New Roman" w:eastAsia="宋体" w:cs="Times New Roman"/>
                <w:bCs/>
              </w:rPr>
            </w:pPr>
            <w:r>
              <w:rPr>
                <w:rFonts w:hint="default" w:ascii="Times New Roman" w:hAnsi="Times New Roman" w:eastAsia="宋体" w:cs="Times New Roman"/>
                <w:bCs/>
                <w:spacing w:val="-10"/>
              </w:rPr>
              <w:t>本项目产生的废水经项目内污水处理厂处理达到《城镇污水处理厂污染物综合排放标准》（GB18918-2002）表1一级标准的A标</w:t>
            </w:r>
            <w:r>
              <w:rPr>
                <w:rFonts w:hint="default" w:ascii="Times New Roman" w:hAnsi="Times New Roman" w:eastAsia="宋体" w:cs="Times New Roman"/>
                <w:szCs w:val="21"/>
              </w:rPr>
              <w:t>，排入州河</w:t>
            </w:r>
            <w:r>
              <w:rPr>
                <w:rFonts w:hint="default" w:ascii="Times New Roman" w:hAnsi="Times New Roman" w:eastAsia="宋体" w:cs="Times New Roman"/>
                <w:bCs/>
              </w:rPr>
              <w:t>。</w:t>
            </w:r>
          </w:p>
          <w:p>
            <w:pPr>
              <w:widowControl w:val="0"/>
              <w:ind w:firstLine="482" w:firstLineChars="200"/>
              <w:jc w:val="both"/>
              <w:rPr>
                <w:rFonts w:hint="default" w:ascii="Times New Roman" w:hAnsi="Times New Roman" w:eastAsia="宋体" w:cs="Times New Roman"/>
              </w:rPr>
            </w:pPr>
            <w:r>
              <w:rPr>
                <w:rFonts w:hint="default" w:ascii="Times New Roman" w:hAnsi="Times New Roman" w:eastAsia="宋体" w:cs="Times New Roman"/>
                <w:b/>
              </w:rPr>
              <w:t>②废水治理设施、排放口基本信息表</w:t>
            </w:r>
          </w:p>
          <w:p>
            <w:pPr>
              <w:widowControl w:val="0"/>
              <w:ind w:firstLine="480" w:firstLineChars="200"/>
              <w:jc w:val="both"/>
              <w:rPr>
                <w:rFonts w:hint="default" w:ascii="Times New Roman" w:hAnsi="Times New Roman" w:eastAsia="宋体" w:cs="Times New Roman"/>
              </w:rPr>
            </w:pPr>
            <w:r>
              <w:rPr>
                <w:rFonts w:hint="default" w:ascii="Times New Roman" w:hAnsi="Times New Roman" w:eastAsia="宋体" w:cs="Times New Roman"/>
              </w:rPr>
              <w:t>本项目废水治理设施、排放口基本信息见下表：</w:t>
            </w:r>
          </w:p>
          <w:p>
            <w:pPr>
              <w:pStyle w:val="40"/>
              <w:widowControl w:val="0"/>
              <w:numPr>
                <w:ilvl w:val="0"/>
                <w:numId w:val="7"/>
              </w:numPr>
              <w:autoSpaceDE w:val="0"/>
              <w:autoSpaceDN w:val="0"/>
              <w:spacing w:before="0" w:beforeAutospacing="0" w:after="0" w:afterAutospacing="0" w:line="360" w:lineRule="auto"/>
              <w:jc w:val="center"/>
              <w:rPr>
                <w:rFonts w:hint="default" w:ascii="Times New Roman" w:hAnsi="Times New Roman" w:eastAsia="黑体" w:cs="Times New Roman"/>
                <w:kern w:val="2"/>
                <w:szCs w:val="24"/>
              </w:rPr>
            </w:pPr>
            <w:r>
              <w:rPr>
                <w:rFonts w:hint="default" w:ascii="Times New Roman" w:hAnsi="Times New Roman" w:eastAsia="黑体" w:cs="Times New Roman"/>
                <w:kern w:val="2"/>
                <w:szCs w:val="24"/>
              </w:rPr>
              <w:t>废水类别、污染物及污染治理设施信息表</w:t>
            </w:r>
          </w:p>
          <w:tbl>
            <w:tblPr>
              <w:tblStyle w:val="44"/>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540"/>
              <w:gridCol w:w="1223"/>
              <w:gridCol w:w="904"/>
              <w:gridCol w:w="1383"/>
              <w:gridCol w:w="1204"/>
              <w:gridCol w:w="1091"/>
              <w:gridCol w:w="109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523" w:type="pct"/>
                  <w:vMerge w:val="restart"/>
                  <w:tcBorders>
                    <w:top w:val="single" w:color="auto" w:sz="2" w:space="0"/>
                    <w:left w:val="single" w:color="auto" w:sz="2"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废水类别</w:t>
                  </w:r>
                </w:p>
              </w:tc>
              <w:tc>
                <w:tcPr>
                  <w:tcW w:w="842" w:type="pct"/>
                  <w:vMerge w:val="restart"/>
                  <w:tcBorders>
                    <w:top w:val="single" w:color="auto" w:sz="2"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污染物种类</w:t>
                  </w:r>
                </w:p>
              </w:tc>
              <w:tc>
                <w:tcPr>
                  <w:tcW w:w="2428" w:type="pct"/>
                  <w:gridSpan w:val="4"/>
                  <w:tcBorders>
                    <w:top w:val="single" w:color="auto" w:sz="2"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污染治理设施</w:t>
                  </w:r>
                </w:p>
              </w:tc>
              <w:tc>
                <w:tcPr>
                  <w:tcW w:w="602" w:type="pct"/>
                  <w:vMerge w:val="restart"/>
                  <w:tcBorders>
                    <w:top w:val="single" w:color="auto" w:sz="2"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w:t>
                  </w:r>
                </w:p>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方式</w:t>
                  </w:r>
                </w:p>
              </w:tc>
              <w:tc>
                <w:tcPr>
                  <w:tcW w:w="603" w:type="pct"/>
                  <w:vMerge w:val="restart"/>
                  <w:tcBorders>
                    <w:top w:val="single" w:color="auto" w:sz="2" w:space="0"/>
                    <w:left w:val="single" w:color="auto" w:sz="4" w:space="0"/>
                    <w:bottom w:val="single" w:color="auto" w:sz="4" w:space="0"/>
                    <w:right w:val="single" w:color="auto" w:sz="2"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w:t>
                  </w:r>
                </w:p>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去向</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tcBorders>
                    <w:top w:val="single" w:color="auto" w:sz="2" w:space="0"/>
                    <w:left w:val="single" w:color="auto" w:sz="2"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842" w:type="pct"/>
                  <w:vMerge w:val="continue"/>
                  <w:tcBorders>
                    <w:top w:val="single" w:color="auto" w:sz="2"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67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名称</w:t>
                  </w:r>
                </w:p>
              </w:tc>
              <w:tc>
                <w:tcPr>
                  <w:tcW w:w="50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处理能力（t/d）</w:t>
                  </w:r>
                </w:p>
              </w:tc>
              <w:tc>
                <w:tcPr>
                  <w:tcW w:w="58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治理工艺</w:t>
                  </w:r>
                </w:p>
              </w:tc>
              <w:tc>
                <w:tcPr>
                  <w:tcW w:w="66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是否为可行性技术</w:t>
                  </w:r>
                </w:p>
              </w:tc>
              <w:tc>
                <w:tcPr>
                  <w:tcW w:w="602" w:type="pct"/>
                  <w:vMerge w:val="continue"/>
                  <w:tcBorders>
                    <w:top w:val="single" w:color="auto" w:sz="2"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603" w:type="pct"/>
                  <w:vMerge w:val="continue"/>
                  <w:tcBorders>
                    <w:top w:val="single" w:color="auto" w:sz="2" w:space="0"/>
                    <w:left w:val="single" w:color="auto" w:sz="4" w:space="0"/>
                    <w:bottom w:val="single" w:color="auto" w:sz="4" w:space="0"/>
                    <w:right w:val="single" w:color="auto" w:sz="2" w:space="0"/>
                  </w:tcBorders>
                  <w:vAlign w:val="center"/>
                </w:tcPr>
                <w:p>
                  <w:pPr>
                    <w:spacing w:line="360" w:lineRule="exact"/>
                    <w:rPr>
                      <w:rFonts w:hint="default" w:ascii="Times New Roman" w:hAnsi="Times New Roman" w:cs="Times New Roman"/>
                      <w:sz w:val="21"/>
                      <w:szCs w:val="21"/>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tcBorders>
                    <w:top w:val="single" w:color="auto" w:sz="4" w:space="0"/>
                    <w:left w:val="single" w:color="auto" w:sz="2" w:space="0"/>
                    <w:bottom w:val="single" w:color="auto" w:sz="2"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生活</w:t>
                  </w:r>
                </w:p>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污水</w:t>
                  </w:r>
                </w:p>
              </w:tc>
              <w:tc>
                <w:tcPr>
                  <w:tcW w:w="842" w:type="pct"/>
                  <w:tcBorders>
                    <w:top w:val="single" w:color="auto" w:sz="4" w:space="0"/>
                    <w:left w:val="single" w:color="auto" w:sz="4" w:space="0"/>
                    <w:bottom w:val="single" w:color="auto" w:sz="2"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pH、COD、BOD</w:t>
                  </w:r>
                  <w:r>
                    <w:rPr>
                      <w:rFonts w:hint="default" w:ascii="Times New Roman" w:hAnsi="Times New Roman" w:cs="Times New Roman"/>
                      <w:sz w:val="21"/>
                      <w:szCs w:val="21"/>
                      <w:vertAlign w:val="subscript"/>
                    </w:rPr>
                    <w:t>5</w:t>
                  </w:r>
                  <w:r>
                    <w:rPr>
                      <w:rFonts w:hint="default" w:ascii="Times New Roman" w:hAnsi="Times New Roman" w:cs="Times New Roman"/>
                      <w:sz w:val="21"/>
                      <w:szCs w:val="21"/>
                    </w:rPr>
                    <w:t>、SS、NH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-N、TP、TN</w:t>
                  </w:r>
                </w:p>
              </w:tc>
              <w:tc>
                <w:tcPr>
                  <w:tcW w:w="673" w:type="pct"/>
                  <w:tcBorders>
                    <w:top w:val="single" w:color="auto" w:sz="4" w:space="0"/>
                    <w:left w:val="single" w:color="auto" w:sz="4" w:space="0"/>
                    <w:bottom w:val="single" w:color="auto" w:sz="2"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宣汉县城（明月坝）污水处理厂</w:t>
                  </w:r>
                </w:p>
              </w:tc>
              <w:tc>
                <w:tcPr>
                  <w:tcW w:w="503" w:type="pct"/>
                  <w:tcBorders>
                    <w:top w:val="single" w:color="auto" w:sz="4" w:space="0"/>
                    <w:left w:val="single" w:color="auto" w:sz="4" w:space="0"/>
                    <w:bottom w:val="single" w:color="auto" w:sz="2"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10000</w:t>
                  </w:r>
                </w:p>
              </w:tc>
              <w:tc>
                <w:tcPr>
                  <w:tcW w:w="589" w:type="pct"/>
                  <w:tcBorders>
                    <w:top w:val="single" w:color="auto" w:sz="4" w:space="0"/>
                    <w:left w:val="single" w:color="auto" w:sz="4" w:space="0"/>
                    <w:bottom w:val="single" w:color="auto" w:sz="2"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粗格栅及调节池+细格栅旋流沉砂池+A</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O-MBBR生化池+二沉池+高效沉淀池+消毒池（次氯酸钠）</w:t>
                  </w:r>
                </w:p>
              </w:tc>
              <w:tc>
                <w:tcPr>
                  <w:tcW w:w="660" w:type="pct"/>
                  <w:tcBorders>
                    <w:top w:val="single" w:color="auto" w:sz="4" w:space="0"/>
                    <w:left w:val="single" w:color="auto" w:sz="4" w:space="0"/>
                    <w:bottom w:val="single" w:color="auto" w:sz="2"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是</w:t>
                  </w:r>
                </w:p>
              </w:tc>
              <w:tc>
                <w:tcPr>
                  <w:tcW w:w="602" w:type="pct"/>
                  <w:tcBorders>
                    <w:top w:val="single" w:color="auto" w:sz="4" w:space="0"/>
                    <w:left w:val="single" w:color="auto" w:sz="4" w:space="0"/>
                    <w:bottom w:val="single" w:color="auto" w:sz="2"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直接</w:t>
                  </w:r>
                </w:p>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排放</w:t>
                  </w:r>
                </w:p>
              </w:tc>
              <w:tc>
                <w:tcPr>
                  <w:tcW w:w="603" w:type="pct"/>
                  <w:tcBorders>
                    <w:top w:val="single" w:color="auto" w:sz="4" w:space="0"/>
                    <w:left w:val="single" w:color="auto" w:sz="4" w:space="0"/>
                    <w:bottom w:val="single" w:color="auto" w:sz="2" w:space="0"/>
                    <w:right w:val="single" w:color="auto" w:sz="2"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州河</w:t>
                  </w:r>
                </w:p>
              </w:tc>
            </w:tr>
          </w:tbl>
          <w:p>
            <w:pPr>
              <w:pStyle w:val="40"/>
              <w:widowControl/>
              <w:numPr>
                <w:ilvl w:val="0"/>
                <w:numId w:val="7"/>
              </w:numPr>
              <w:autoSpaceDE w:val="0"/>
              <w:autoSpaceDN w:val="0"/>
              <w:spacing w:before="0" w:beforeAutospacing="0" w:after="0" w:afterAutospacing="0" w:line="360" w:lineRule="auto"/>
              <w:jc w:val="center"/>
              <w:rPr>
                <w:rFonts w:hint="default" w:ascii="Times New Roman" w:hAnsi="Times New Roman" w:eastAsia="黑体" w:cs="Times New Roman"/>
                <w:kern w:val="2"/>
                <w:szCs w:val="24"/>
              </w:rPr>
            </w:pPr>
            <w:bookmarkStart w:id="25" w:name="_Toc68860287"/>
            <w:bookmarkStart w:id="26" w:name="OLE_LINK5"/>
            <w:r>
              <w:rPr>
                <w:rFonts w:hint="default" w:ascii="Times New Roman" w:hAnsi="Times New Roman" w:eastAsia="黑体" w:cs="Times New Roman"/>
                <w:kern w:val="2"/>
                <w:szCs w:val="24"/>
              </w:rPr>
              <w:t>废水排放口基本情况表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87"/>
              <w:gridCol w:w="1707"/>
              <w:gridCol w:w="1484"/>
              <w:gridCol w:w="1168"/>
              <w:gridCol w:w="891"/>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pct"/>
                  <w:vMerge w:val="restar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hint="default" w:ascii="Times New Roman" w:hAnsi="Times New Roman" w:eastAsia="宋体" w:cs="Times New Roman"/>
                      <w:b/>
                      <w:bCs/>
                      <w:sz w:val="21"/>
                      <w:szCs w:val="21"/>
                    </w:rPr>
                  </w:pPr>
                  <w:r>
                    <w:rPr>
                      <w:rFonts w:hint="default" w:ascii="Times New Roman" w:hAnsi="Times New Roman" w:cs="Times New Roman"/>
                      <w:b/>
                      <w:bCs/>
                      <w:sz w:val="21"/>
                      <w:szCs w:val="21"/>
                    </w:rPr>
                    <w:t>排放口编号</w:t>
                  </w:r>
                </w:p>
              </w:tc>
              <w:tc>
                <w:tcPr>
                  <w:tcW w:w="473" w:type="pct"/>
                  <w:vMerge w:val="restar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名称</w:t>
                  </w:r>
                </w:p>
              </w:tc>
              <w:tc>
                <w:tcPr>
                  <w:tcW w:w="1701" w:type="pct"/>
                  <w:gridSpan w:val="2"/>
                  <w:tcBorders>
                    <w:top w:val="single" w:color="auto" w:sz="4" w:space="0"/>
                    <w:left w:val="single" w:color="auto" w:sz="4" w:space="0"/>
                    <w:bottom w:val="single" w:color="auto" w:sz="4" w:space="0"/>
                    <w:right w:val="single" w:color="auto" w:sz="4" w:space="0"/>
                  </w:tcBorders>
                  <w:vAlign w:val="center"/>
                </w:tcPr>
                <w:p>
                  <w:pPr>
                    <w:pStyle w:val="124"/>
                    <w:jc w:val="center"/>
                    <w:rPr>
                      <w:rFonts w:hint="default" w:ascii="Times New Roman" w:hAnsi="Times New Roman" w:cs="Times New Roman"/>
                      <w:b/>
                      <w:bCs/>
                      <w:szCs w:val="21"/>
                    </w:rPr>
                  </w:pPr>
                  <w:r>
                    <w:rPr>
                      <w:rFonts w:hint="default" w:ascii="Times New Roman" w:hAnsi="Times New Roman" w:cs="Times New Roman"/>
                      <w:b/>
                      <w:bCs/>
                      <w:szCs w:val="21"/>
                    </w:rPr>
                    <w:t>排放口地理坐标</w:t>
                  </w:r>
                </w:p>
              </w:tc>
              <w:tc>
                <w:tcPr>
                  <w:tcW w:w="623" w:type="pct"/>
                  <w:vMerge w:val="restart"/>
                  <w:tcBorders>
                    <w:top w:val="single" w:color="auto" w:sz="4" w:space="0"/>
                    <w:left w:val="single" w:color="auto" w:sz="4" w:space="0"/>
                    <w:bottom w:val="single" w:color="auto" w:sz="4" w:space="0"/>
                    <w:right w:val="single" w:color="auto" w:sz="4" w:space="0"/>
                  </w:tcBorders>
                  <w:vAlign w:val="center"/>
                </w:tcPr>
                <w:p>
                  <w:pPr>
                    <w:pStyle w:val="124"/>
                    <w:jc w:val="center"/>
                    <w:rPr>
                      <w:rFonts w:hint="default" w:ascii="Times New Roman" w:hAnsi="Times New Roman" w:cs="Times New Roman"/>
                      <w:b/>
                      <w:bCs/>
                      <w:szCs w:val="21"/>
                    </w:rPr>
                  </w:pPr>
                  <w:r>
                    <w:rPr>
                      <w:rFonts w:hint="default" w:ascii="Times New Roman" w:hAnsi="Times New Roman" w:cs="Times New Roman"/>
                      <w:b/>
                      <w:bCs/>
                      <w:szCs w:val="21"/>
                    </w:rPr>
                    <w:t>废水排放量（万t/a）</w:t>
                  </w:r>
                </w:p>
              </w:tc>
              <w:tc>
                <w:tcPr>
                  <w:tcW w:w="475" w:type="pct"/>
                  <w:vMerge w:val="restart"/>
                  <w:tcBorders>
                    <w:top w:val="single" w:color="auto" w:sz="4" w:space="0"/>
                    <w:left w:val="single" w:color="auto" w:sz="4" w:space="0"/>
                    <w:bottom w:val="single" w:color="auto" w:sz="4" w:space="0"/>
                    <w:right w:val="single" w:color="auto" w:sz="4" w:space="0"/>
                  </w:tcBorders>
                  <w:vAlign w:val="center"/>
                </w:tcPr>
                <w:p>
                  <w:pPr>
                    <w:pStyle w:val="124"/>
                    <w:jc w:val="center"/>
                    <w:rPr>
                      <w:rFonts w:hint="default" w:ascii="Times New Roman" w:hAnsi="Times New Roman" w:cs="Times New Roman"/>
                      <w:b/>
                      <w:bCs/>
                      <w:szCs w:val="21"/>
                    </w:rPr>
                  </w:pPr>
                  <w:r>
                    <w:rPr>
                      <w:rFonts w:hint="default" w:ascii="Times New Roman" w:hAnsi="Times New Roman" w:cs="Times New Roman"/>
                      <w:b/>
                      <w:bCs/>
                      <w:szCs w:val="21"/>
                    </w:rPr>
                    <w:t>排放去向</w:t>
                  </w:r>
                </w:p>
              </w:tc>
              <w:tc>
                <w:tcPr>
                  <w:tcW w:w="1006" w:type="pct"/>
                  <w:vMerge w:val="restart"/>
                  <w:tcBorders>
                    <w:top w:val="single" w:color="auto" w:sz="4" w:space="0"/>
                    <w:left w:val="single" w:color="auto" w:sz="4" w:space="0"/>
                    <w:bottom w:val="single" w:color="auto" w:sz="4" w:space="0"/>
                    <w:right w:val="single" w:color="auto" w:sz="4" w:space="0"/>
                  </w:tcBorders>
                  <w:vAlign w:val="center"/>
                </w:tcPr>
                <w:p>
                  <w:pPr>
                    <w:pStyle w:val="124"/>
                    <w:jc w:val="center"/>
                    <w:rPr>
                      <w:rFonts w:hint="default" w:ascii="Times New Roman" w:hAnsi="Times New Roman" w:cs="Times New Roman"/>
                      <w:b/>
                      <w:bCs/>
                      <w:szCs w:val="21"/>
                    </w:rPr>
                  </w:pPr>
                  <w:r>
                    <w:rPr>
                      <w:rFonts w:hint="default" w:ascii="Times New Roman" w:hAnsi="Times New Roman" w:cs="Times New Roman"/>
                      <w:b/>
                      <w:bCs/>
                      <w:szCs w:val="21"/>
                    </w:rPr>
                    <w:t>排放规律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b/>
                      <w:bCs/>
                      <w:sz w:val="21"/>
                      <w:szCs w:val="21"/>
                    </w:rPr>
                  </w:pPr>
                </w:p>
              </w:tc>
              <w:tc>
                <w:tcPr>
                  <w:tcW w:w="47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b/>
                      <w:bCs/>
                      <w:sz w:val="21"/>
                      <w:szCs w:val="21"/>
                    </w:rPr>
                  </w:pPr>
                </w:p>
              </w:tc>
              <w:tc>
                <w:tcPr>
                  <w:tcW w:w="910"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经度</w:t>
                  </w:r>
                </w:p>
              </w:tc>
              <w:tc>
                <w:tcPr>
                  <w:tcW w:w="791" w:type="pct"/>
                  <w:tcBorders>
                    <w:top w:val="single" w:color="auto" w:sz="4" w:space="0"/>
                    <w:left w:val="single" w:color="auto" w:sz="4" w:space="0"/>
                    <w:bottom w:val="single" w:color="auto" w:sz="4" w:space="0"/>
                    <w:right w:val="single" w:color="auto" w:sz="4" w:space="0"/>
                  </w:tcBorders>
                  <w:vAlign w:val="center"/>
                </w:tcPr>
                <w:p>
                  <w:pPr>
                    <w:pStyle w:val="124"/>
                    <w:jc w:val="center"/>
                    <w:rPr>
                      <w:rFonts w:hint="default" w:ascii="Times New Roman" w:hAnsi="Times New Roman" w:cs="Times New Roman"/>
                      <w:b/>
                      <w:bCs/>
                      <w:szCs w:val="21"/>
                    </w:rPr>
                  </w:pPr>
                  <w:r>
                    <w:rPr>
                      <w:rFonts w:hint="default" w:ascii="Times New Roman" w:hAnsi="Times New Roman" w:cs="Times New Roman"/>
                      <w:b/>
                      <w:bCs/>
                      <w:szCs w:val="21"/>
                    </w:rPr>
                    <w:t>纬度</w:t>
                  </w:r>
                </w:p>
              </w:tc>
              <w:tc>
                <w:tcPr>
                  <w:tcW w:w="62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b/>
                      <w:bCs/>
                      <w:sz w:val="21"/>
                      <w:szCs w:val="21"/>
                    </w:rPr>
                  </w:pPr>
                </w:p>
              </w:tc>
              <w:tc>
                <w:tcPr>
                  <w:tcW w:w="475"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b/>
                      <w:bCs/>
                      <w:sz w:val="21"/>
                      <w:szCs w:val="21"/>
                    </w:rPr>
                  </w:pPr>
                </w:p>
              </w:tc>
              <w:tc>
                <w:tcPr>
                  <w:tcW w:w="1006"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DW001</w:t>
                  </w:r>
                </w:p>
              </w:tc>
              <w:tc>
                <w:tcPr>
                  <w:tcW w:w="473"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废水总排口</w:t>
                  </w:r>
                </w:p>
              </w:tc>
              <w:tc>
                <w:tcPr>
                  <w:tcW w:w="910" w:type="pct"/>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hint="default" w:ascii="Times New Roman" w:hAnsi="Times New Roman" w:cs="Times New Roman"/>
                      <w:sz w:val="21"/>
                      <w:szCs w:val="21"/>
                    </w:rPr>
                  </w:pPr>
                  <w:r>
                    <w:rPr>
                      <w:rFonts w:hint="default" w:ascii="Times New Roman" w:hAnsi="Times New Roman" w:cs="Times New Roman"/>
                      <w:sz w:val="21"/>
                      <w:szCs w:val="21"/>
                    </w:rPr>
                    <w:t>107.736831</w:t>
                  </w:r>
                </w:p>
              </w:tc>
              <w:tc>
                <w:tcPr>
                  <w:tcW w:w="791" w:type="pct"/>
                  <w:tcBorders>
                    <w:top w:val="single" w:color="auto" w:sz="4" w:space="0"/>
                    <w:left w:val="single" w:color="auto" w:sz="4" w:space="0"/>
                    <w:bottom w:val="single" w:color="auto" w:sz="4" w:space="0"/>
                    <w:right w:val="single" w:color="auto" w:sz="4" w:space="0"/>
                  </w:tcBorders>
                  <w:vAlign w:val="center"/>
                </w:tcPr>
                <w:p>
                  <w:pPr>
                    <w:pStyle w:val="124"/>
                    <w:jc w:val="center"/>
                    <w:rPr>
                      <w:rFonts w:hint="default" w:ascii="Times New Roman" w:hAnsi="Times New Roman" w:cs="Times New Roman"/>
                      <w:szCs w:val="21"/>
                    </w:rPr>
                  </w:pPr>
                  <w:r>
                    <w:rPr>
                      <w:rFonts w:hint="default" w:ascii="Times New Roman" w:hAnsi="Times New Roman" w:cs="Times New Roman"/>
                      <w:szCs w:val="21"/>
                    </w:rPr>
                    <w:t>31.355947</w:t>
                  </w:r>
                </w:p>
              </w:tc>
              <w:tc>
                <w:tcPr>
                  <w:tcW w:w="623"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hint="default" w:ascii="Times New Roman" w:hAnsi="Times New Roman" w:cs="Times New Roman"/>
                      <w:bCs/>
                      <w:sz w:val="21"/>
                      <w:szCs w:val="21"/>
                    </w:rPr>
                  </w:pPr>
                  <w:r>
                    <w:rPr>
                      <w:rFonts w:hint="default" w:ascii="Times New Roman" w:hAnsi="Times New Roman" w:cs="Times New Roman"/>
                      <w:bCs/>
                      <w:sz w:val="21"/>
                      <w:szCs w:val="21"/>
                    </w:rPr>
                    <w:t>365</w:t>
                  </w:r>
                </w:p>
              </w:tc>
              <w:tc>
                <w:tcPr>
                  <w:tcW w:w="475" w:type="pct"/>
                  <w:tcBorders>
                    <w:top w:val="single" w:color="auto" w:sz="4" w:space="0"/>
                    <w:left w:val="single" w:color="auto" w:sz="4" w:space="0"/>
                    <w:bottom w:val="single" w:color="auto" w:sz="4" w:space="0"/>
                    <w:right w:val="single" w:color="auto" w:sz="4" w:space="0"/>
                  </w:tcBorders>
                  <w:vAlign w:val="center"/>
                </w:tcPr>
                <w:p>
                  <w:pPr>
                    <w:pStyle w:val="124"/>
                    <w:jc w:val="center"/>
                    <w:rPr>
                      <w:rFonts w:hint="default" w:ascii="Times New Roman" w:hAnsi="Times New Roman" w:cs="Times New Roman"/>
                      <w:szCs w:val="21"/>
                    </w:rPr>
                  </w:pPr>
                  <w:r>
                    <w:rPr>
                      <w:rFonts w:hint="default" w:ascii="Times New Roman" w:hAnsi="Times New Roman" w:cs="Times New Roman"/>
                      <w:kern w:val="0"/>
                      <w:szCs w:val="21"/>
                    </w:rPr>
                    <w:t>州河</w:t>
                  </w:r>
                </w:p>
              </w:tc>
              <w:tc>
                <w:tcPr>
                  <w:tcW w:w="1006" w:type="pct"/>
                  <w:tcBorders>
                    <w:top w:val="single" w:color="auto" w:sz="4" w:space="0"/>
                    <w:left w:val="single" w:color="auto" w:sz="4" w:space="0"/>
                    <w:bottom w:val="single" w:color="auto" w:sz="4" w:space="0"/>
                    <w:right w:val="single" w:color="auto" w:sz="4" w:space="0"/>
                  </w:tcBorders>
                  <w:vAlign w:val="center"/>
                </w:tcPr>
                <w:p>
                  <w:pPr>
                    <w:pStyle w:val="124"/>
                    <w:jc w:val="center"/>
                    <w:rPr>
                      <w:rFonts w:hint="default" w:ascii="Times New Roman" w:hAnsi="Times New Roman" w:cs="Times New Roman"/>
                      <w:szCs w:val="21"/>
                    </w:rPr>
                  </w:pPr>
                  <w:r>
                    <w:rPr>
                      <w:rFonts w:hint="default" w:ascii="Times New Roman" w:hAnsi="Times New Roman" w:cs="Times New Roman"/>
                      <w:kern w:val="0"/>
                      <w:szCs w:val="24"/>
                      <w:lang w:bidi="ar"/>
                    </w:rPr>
                    <w:t>连续排放，流量不稳定且无规律，但不属于冲击型排放</w:t>
                  </w:r>
                </w:p>
              </w:tc>
            </w:tr>
            <w:bookmarkEnd w:id="25"/>
            <w:bookmarkEnd w:id="26"/>
          </w:tbl>
          <w:p>
            <w:pPr>
              <w:pStyle w:val="40"/>
              <w:widowControl/>
              <w:numPr>
                <w:ilvl w:val="0"/>
                <w:numId w:val="7"/>
              </w:numPr>
              <w:autoSpaceDE w:val="0"/>
              <w:autoSpaceDN w:val="0"/>
              <w:spacing w:before="0" w:beforeAutospacing="0" w:after="0" w:afterAutospacing="0" w:line="360" w:lineRule="auto"/>
              <w:jc w:val="center"/>
              <w:rPr>
                <w:rFonts w:hint="default" w:ascii="Times New Roman" w:hAnsi="Times New Roman" w:eastAsia="黑体" w:cs="Times New Roman"/>
                <w:kern w:val="2"/>
                <w:szCs w:val="24"/>
              </w:rPr>
            </w:pPr>
            <w:r>
              <w:rPr>
                <w:rFonts w:hint="default" w:ascii="Times New Roman" w:hAnsi="Times New Roman" w:eastAsia="黑体" w:cs="Times New Roman"/>
                <w:kern w:val="2"/>
                <w:szCs w:val="24"/>
              </w:rPr>
              <w:t>废水污染物排放信息表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09"/>
              <w:gridCol w:w="427"/>
              <w:gridCol w:w="763"/>
              <w:gridCol w:w="835"/>
              <w:gridCol w:w="843"/>
              <w:gridCol w:w="1383"/>
              <w:gridCol w:w="702"/>
              <w:gridCol w:w="763"/>
              <w:gridCol w:w="836"/>
              <w:gridCol w:w="749"/>
              <w:gridCol w:w="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9"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污染源</w:t>
                  </w:r>
                </w:p>
              </w:tc>
              <w:tc>
                <w:tcPr>
                  <w:tcW w:w="436"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w:t>
                  </w:r>
                </w:p>
              </w:tc>
              <w:tc>
                <w:tcPr>
                  <w:tcW w:w="1533"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污染物产生</w:t>
                  </w:r>
                </w:p>
              </w:tc>
              <w:tc>
                <w:tcPr>
                  <w:tcW w:w="1126"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治理措施</w:t>
                  </w:r>
                </w:p>
              </w:tc>
              <w:tc>
                <w:tcPr>
                  <w:tcW w:w="1676"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污染物排放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blHeader/>
              </w:trPr>
              <w:tc>
                <w:tcPr>
                  <w:tcW w:w="2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b/>
                      <w:bCs/>
                      <w:sz w:val="21"/>
                      <w:szCs w:val="21"/>
                    </w:rPr>
                  </w:pPr>
                </w:p>
              </w:tc>
              <w:tc>
                <w:tcPr>
                  <w:tcW w:w="436"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b/>
                      <w:bCs/>
                      <w:sz w:val="21"/>
                      <w:szCs w:val="21"/>
                    </w:rPr>
                  </w:pPr>
                </w:p>
              </w:tc>
              <w:tc>
                <w:tcPr>
                  <w:tcW w:w="22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核算方法</w:t>
                  </w:r>
                </w:p>
              </w:tc>
              <w:tc>
                <w:tcPr>
                  <w:tcW w:w="39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废水量(m</w:t>
                  </w:r>
                  <w:r>
                    <w:rPr>
                      <w:rFonts w:hint="default" w:ascii="Times New Roman" w:hAnsi="Times New Roman" w:cs="Times New Roman"/>
                      <w:b/>
                      <w:bCs/>
                      <w:sz w:val="21"/>
                      <w:szCs w:val="21"/>
                      <w:vertAlign w:val="superscript"/>
                    </w:rPr>
                    <w:t>3</w:t>
                  </w:r>
                  <w:r>
                    <w:rPr>
                      <w:rFonts w:hint="default" w:ascii="Times New Roman" w:hAnsi="Times New Roman" w:cs="Times New Roman"/>
                      <w:b/>
                      <w:bCs/>
                      <w:sz w:val="21"/>
                      <w:szCs w:val="21"/>
                    </w:rPr>
                    <w:t>/a)</w:t>
                  </w: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浓度(mg/L)</w:t>
                  </w:r>
                </w:p>
              </w:tc>
              <w:tc>
                <w:tcPr>
                  <w:tcW w:w="471"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产生量(t/a)</w:t>
                  </w:r>
                </w:p>
              </w:tc>
              <w:tc>
                <w:tcPr>
                  <w:tcW w:w="74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治理工艺</w:t>
                  </w:r>
                </w:p>
              </w:tc>
              <w:tc>
                <w:tcPr>
                  <w:tcW w:w="38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处理效率(%)</w:t>
                  </w:r>
                </w:p>
              </w:tc>
              <w:tc>
                <w:tcPr>
                  <w:tcW w:w="39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废水量(m</w:t>
                  </w:r>
                  <w:r>
                    <w:rPr>
                      <w:rFonts w:hint="default" w:ascii="Times New Roman" w:hAnsi="Times New Roman" w:cs="Times New Roman"/>
                      <w:b/>
                      <w:bCs/>
                      <w:sz w:val="21"/>
                      <w:szCs w:val="21"/>
                      <w:vertAlign w:val="superscript"/>
                    </w:rPr>
                    <w:t>3</w:t>
                  </w:r>
                  <w:r>
                    <w:rPr>
                      <w:rFonts w:hint="default" w:ascii="Times New Roman" w:hAnsi="Times New Roman" w:cs="Times New Roman"/>
                      <w:b/>
                      <w:bCs/>
                      <w:sz w:val="21"/>
                      <w:szCs w:val="21"/>
                    </w:rPr>
                    <w:t>/a)</w:t>
                  </w: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浓度(mg/L)</w:t>
                  </w:r>
                </w:p>
              </w:tc>
              <w:tc>
                <w:tcPr>
                  <w:tcW w:w="40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排放量(t/a)</w:t>
                  </w: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排放标准(mg/L)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29"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生活污水</w:t>
                  </w: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COD</w:t>
                  </w:r>
                </w:p>
              </w:tc>
              <w:tc>
                <w:tcPr>
                  <w:tcW w:w="229"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w:t>
                  </w:r>
                </w:p>
              </w:tc>
              <w:tc>
                <w:tcPr>
                  <w:tcW w:w="398"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365万</w:t>
                  </w: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350</w:t>
                  </w:r>
                </w:p>
              </w:tc>
              <w:tc>
                <w:tcPr>
                  <w:tcW w:w="471"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1277.5 </w:t>
                  </w:r>
                </w:p>
              </w:tc>
              <w:tc>
                <w:tcPr>
                  <w:tcW w:w="744"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粗格栅及调节池+细格栅旋流沉砂池+A</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O-MBBR生化池+二沉池+高效沉淀池+消毒池（次氯酸钠）</w:t>
                  </w:r>
                </w:p>
              </w:tc>
              <w:tc>
                <w:tcPr>
                  <w:tcW w:w="382" w:type="pct"/>
                  <w:tcBorders>
                    <w:top w:val="single" w:color="auto" w:sz="4" w:space="0"/>
                    <w:left w:val="single" w:color="auto" w:sz="4" w:space="0"/>
                    <w:bottom w:val="single" w:color="auto" w:sz="4" w:space="0"/>
                    <w:right w:val="single" w:color="auto" w:sz="4" w:space="0"/>
                  </w:tcBorders>
                  <w:vAlign w:val="bottom"/>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85.71 </w:t>
                  </w:r>
                </w:p>
              </w:tc>
              <w:tc>
                <w:tcPr>
                  <w:tcW w:w="398"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365万</w:t>
                  </w: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50</w:t>
                  </w:r>
                </w:p>
              </w:tc>
              <w:tc>
                <w:tcPr>
                  <w:tcW w:w="40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182.5 </w:t>
                  </w: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2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160</w:t>
                  </w:r>
                </w:p>
              </w:tc>
              <w:tc>
                <w:tcPr>
                  <w:tcW w:w="471"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584.0 </w:t>
                  </w:r>
                </w:p>
              </w:tc>
              <w:tc>
                <w:tcPr>
                  <w:tcW w:w="744"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82" w:type="pct"/>
                  <w:tcBorders>
                    <w:top w:val="single" w:color="auto" w:sz="4" w:space="0"/>
                    <w:left w:val="single" w:color="auto" w:sz="4" w:space="0"/>
                    <w:bottom w:val="single" w:color="auto" w:sz="4" w:space="0"/>
                    <w:right w:val="single" w:color="auto" w:sz="4" w:space="0"/>
                  </w:tcBorders>
                  <w:vAlign w:val="bottom"/>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93.75 </w:t>
                  </w: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10</w:t>
                  </w:r>
                </w:p>
              </w:tc>
              <w:tc>
                <w:tcPr>
                  <w:tcW w:w="40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36.5 </w:t>
                  </w: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2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SS</w:t>
                  </w:r>
                </w:p>
              </w:tc>
              <w:tc>
                <w:tcPr>
                  <w:tcW w:w="2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400</w:t>
                  </w:r>
                </w:p>
              </w:tc>
              <w:tc>
                <w:tcPr>
                  <w:tcW w:w="471"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1460.0 </w:t>
                  </w:r>
                </w:p>
              </w:tc>
              <w:tc>
                <w:tcPr>
                  <w:tcW w:w="744"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82" w:type="pct"/>
                  <w:tcBorders>
                    <w:top w:val="single" w:color="auto" w:sz="4" w:space="0"/>
                    <w:left w:val="single" w:color="auto" w:sz="4" w:space="0"/>
                    <w:bottom w:val="single" w:color="auto" w:sz="4" w:space="0"/>
                    <w:right w:val="single" w:color="auto" w:sz="4" w:space="0"/>
                  </w:tcBorders>
                  <w:vAlign w:val="bottom"/>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97.50 </w:t>
                  </w: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10</w:t>
                  </w:r>
                </w:p>
              </w:tc>
              <w:tc>
                <w:tcPr>
                  <w:tcW w:w="40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36.5 </w:t>
                  </w: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textAlignment w:val="center"/>
                    <w:rPr>
                      <w:rFonts w:hint="default" w:ascii="Times New Roman" w:hAnsi="Times New Roman" w:cs="Times New Roman"/>
                      <w:sz w:val="21"/>
                      <w:szCs w:val="21"/>
                    </w:rPr>
                  </w:pPr>
                  <w:r>
                    <w:rPr>
                      <w:rFonts w:hint="default" w:ascii="Times New Roman" w:hAnsi="Times New Roman" w:cs="Times New Roman"/>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w:t>
                  </w:r>
                </w:p>
              </w:tc>
              <w:tc>
                <w:tcPr>
                  <w:tcW w:w="2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45</w:t>
                  </w:r>
                </w:p>
              </w:tc>
              <w:tc>
                <w:tcPr>
                  <w:tcW w:w="471"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164.25 </w:t>
                  </w:r>
                </w:p>
              </w:tc>
              <w:tc>
                <w:tcPr>
                  <w:tcW w:w="744"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82" w:type="pct"/>
                  <w:tcBorders>
                    <w:top w:val="single" w:color="auto" w:sz="4" w:space="0"/>
                    <w:left w:val="single" w:color="auto" w:sz="4" w:space="0"/>
                    <w:bottom w:val="single" w:color="auto" w:sz="4" w:space="0"/>
                    <w:right w:val="single" w:color="auto" w:sz="4" w:space="0"/>
                  </w:tcBorders>
                  <w:vAlign w:val="bottom"/>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88.89 </w:t>
                  </w: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5</w:t>
                  </w:r>
                </w:p>
              </w:tc>
              <w:tc>
                <w:tcPr>
                  <w:tcW w:w="40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18.25 </w:t>
                  </w: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TP</w:t>
                  </w:r>
                </w:p>
              </w:tc>
              <w:tc>
                <w:tcPr>
                  <w:tcW w:w="2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30</w:t>
                  </w:r>
                </w:p>
              </w:tc>
              <w:tc>
                <w:tcPr>
                  <w:tcW w:w="471"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109.5 </w:t>
                  </w:r>
                </w:p>
              </w:tc>
              <w:tc>
                <w:tcPr>
                  <w:tcW w:w="744"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82" w:type="pct"/>
                  <w:tcBorders>
                    <w:top w:val="single" w:color="auto" w:sz="4" w:space="0"/>
                    <w:left w:val="single" w:color="auto" w:sz="4" w:space="0"/>
                    <w:bottom w:val="single" w:color="auto" w:sz="4" w:space="0"/>
                    <w:right w:val="single" w:color="auto" w:sz="4" w:space="0"/>
                  </w:tcBorders>
                  <w:vAlign w:val="bottom"/>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50.00 </w:t>
                  </w: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15</w:t>
                  </w:r>
                </w:p>
              </w:tc>
              <w:tc>
                <w:tcPr>
                  <w:tcW w:w="40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54.75 </w:t>
                  </w: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TN</w:t>
                  </w:r>
                </w:p>
              </w:tc>
              <w:tc>
                <w:tcPr>
                  <w:tcW w:w="229"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4.5</w:t>
                  </w:r>
                </w:p>
              </w:tc>
              <w:tc>
                <w:tcPr>
                  <w:tcW w:w="471"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16.43 </w:t>
                  </w:r>
                </w:p>
              </w:tc>
              <w:tc>
                <w:tcPr>
                  <w:tcW w:w="744"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382" w:type="pct"/>
                  <w:tcBorders>
                    <w:top w:val="single" w:color="auto" w:sz="4" w:space="0"/>
                    <w:left w:val="single" w:color="auto" w:sz="4" w:space="0"/>
                    <w:bottom w:val="single" w:color="auto" w:sz="4" w:space="0"/>
                    <w:right w:val="single" w:color="auto" w:sz="4" w:space="0"/>
                  </w:tcBorders>
                  <w:vAlign w:val="bottom"/>
                </w:tcPr>
                <w:p>
                  <w:pPr>
                    <w:jc w:val="right"/>
                    <w:rPr>
                      <w:rFonts w:hint="default" w:ascii="Times New Roman" w:hAnsi="Times New Roman" w:cs="Times New Roman"/>
                      <w:sz w:val="21"/>
                      <w:szCs w:val="21"/>
                    </w:rPr>
                  </w:pPr>
                  <w:r>
                    <w:rPr>
                      <w:rFonts w:hint="default" w:ascii="Times New Roman" w:hAnsi="Times New Roman" w:cs="Times New Roman"/>
                      <w:sz w:val="21"/>
                      <w:szCs w:val="21"/>
                    </w:rPr>
                    <w:t xml:space="preserve">88.89 </w:t>
                  </w:r>
                </w:p>
              </w:tc>
              <w:tc>
                <w:tcPr>
                  <w:tcW w:w="398"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rPr>
                      <w:rFonts w:hint="default" w:ascii="Times New Roman" w:hAnsi="Times New Roman" w:cs="Times New Roman"/>
                      <w:sz w:val="21"/>
                      <w:szCs w:val="21"/>
                    </w:rPr>
                  </w:pP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0.5</w:t>
                  </w:r>
                </w:p>
              </w:tc>
              <w:tc>
                <w:tcPr>
                  <w:tcW w:w="40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 xml:space="preserve">1.83 </w:t>
                  </w:r>
                </w:p>
              </w:tc>
              <w:tc>
                <w:tcPr>
                  <w:tcW w:w="436" w:type="pct"/>
                  <w:tcBorders>
                    <w:top w:val="single" w:color="auto" w:sz="4" w:space="0"/>
                    <w:left w:val="single" w:color="auto" w:sz="4" w:space="0"/>
                    <w:bottom w:val="single" w:color="auto" w:sz="4" w:space="0"/>
                    <w:right w:val="single" w:color="auto" w:sz="4" w:space="0"/>
                  </w:tcBorders>
                  <w:vAlign w:val="bottom"/>
                </w:tcPr>
                <w:p>
                  <w:pPr>
                    <w:jc w:val="center"/>
                    <w:rPr>
                      <w:rFonts w:hint="default" w:ascii="Times New Roman" w:hAnsi="Times New Roman" w:eastAsia="等线" w:cs="Times New Roman"/>
                      <w:sz w:val="21"/>
                      <w:szCs w:val="21"/>
                    </w:rPr>
                  </w:pPr>
                  <w:r>
                    <w:rPr>
                      <w:rFonts w:hint="default" w:ascii="Times New Roman" w:hAnsi="Times New Roman" w:eastAsia="等线" w:cs="Times New Roman"/>
                      <w:sz w:val="21"/>
                      <w:szCs w:val="21"/>
                    </w:rPr>
                    <w:t>0.5</w:t>
                  </w:r>
                </w:p>
              </w:tc>
            </w:tr>
          </w:tbl>
          <w:p>
            <w:pPr>
              <w:widowControl w:val="0"/>
              <w:ind w:firstLine="480" w:firstLineChars="200"/>
              <w:jc w:val="both"/>
              <w:rPr>
                <w:rFonts w:hint="default" w:ascii="Times New Roman" w:hAnsi="Times New Roman" w:cs="Times New Roman"/>
              </w:rPr>
            </w:pPr>
            <w:r>
              <w:rPr>
                <w:rFonts w:hint="default" w:ascii="Times New Roman" w:hAnsi="Times New Roman" w:cs="Times New Roman"/>
                <w:bCs/>
              </w:rPr>
              <w:t>项目接纳以及产生的废水经污水处理厂处理达</w:t>
            </w:r>
            <w:r>
              <w:rPr>
                <w:rFonts w:hint="default" w:ascii="Times New Roman" w:hAnsi="Times New Roman" w:cs="Times New Roman"/>
              </w:rPr>
              <w:t>《城镇污水处理厂污染物排放标准》（GB18918-2002）表1中一级A标准要求后排入州河。</w:t>
            </w:r>
          </w:p>
        </w:tc>
      </w:tr>
    </w:tbl>
    <w:p>
      <w:pPr>
        <w:rPr>
          <w:rFonts w:asciiTheme="majorHAnsi" w:hAnsiTheme="majorHAnsi"/>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type="lines" w:linePitch="326" w:charSpace="0"/>
        </w:sectPr>
      </w:pPr>
    </w:p>
    <w:tbl>
      <w:tblPr>
        <w:tblStyle w:val="45"/>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9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 w:type="dxa"/>
          </w:tcPr>
          <w:p>
            <w:pPr>
              <w:widowControl w:val="0"/>
              <w:jc w:val="both"/>
            </w:pPr>
          </w:p>
        </w:tc>
        <w:tc>
          <w:tcPr>
            <w:tcW w:w="8757" w:type="dxa"/>
          </w:tcPr>
          <w:p>
            <w:pPr>
              <w:widowControl w:val="0"/>
              <w:numPr>
                <w:ilvl w:val="0"/>
                <w:numId w:val="8"/>
              </w:numPr>
              <w:ind w:firstLine="482" w:firstLineChars="200"/>
              <w:jc w:val="both"/>
              <w:rPr>
                <w:b/>
                <w:bCs/>
              </w:rPr>
            </w:pPr>
            <w:r>
              <w:rPr>
                <w:rFonts w:hint="eastAsia"/>
                <w:b/>
                <w:bCs/>
              </w:rPr>
              <w:t>预测结论</w:t>
            </w:r>
          </w:p>
          <w:p>
            <w:pPr>
              <w:widowControl w:val="0"/>
              <w:ind w:firstLine="480"/>
              <w:jc w:val="both"/>
              <w:rPr>
                <w:bCs/>
              </w:rPr>
            </w:pPr>
            <w:r>
              <w:rPr>
                <w:bCs/>
              </w:rPr>
              <w:t>根据</w:t>
            </w:r>
            <w:r>
              <w:rPr>
                <w:rFonts w:hint="eastAsia"/>
                <w:bCs/>
              </w:rPr>
              <w:t>地表水专项</w:t>
            </w:r>
            <w:r>
              <w:rPr>
                <w:bCs/>
              </w:rPr>
              <w:t>预测可知</w:t>
            </w:r>
            <w:r>
              <w:rPr>
                <w:rFonts w:hint="eastAsia"/>
                <w:bCs/>
              </w:rPr>
              <w:t>：</w:t>
            </w:r>
          </w:p>
          <w:p>
            <w:pPr>
              <w:widowControl w:val="0"/>
              <w:ind w:firstLine="480"/>
              <w:jc w:val="both"/>
              <w:rPr>
                <w:rFonts w:ascii="Times New Roman" w:hAnsi="Times New Roman"/>
                <w:bCs/>
                <w:kern w:val="0"/>
              </w:rPr>
            </w:pPr>
            <w:r>
              <w:rPr>
                <w:rFonts w:ascii="Times New Roman" w:hAnsi="Times New Roman"/>
                <w:bCs/>
                <w:kern w:val="0"/>
              </w:rPr>
              <w:t>1）正常排放预测结果</w:t>
            </w:r>
          </w:p>
          <w:p>
            <w:pPr>
              <w:widowControl w:val="0"/>
              <w:ind w:firstLine="480"/>
              <w:jc w:val="both"/>
              <w:rPr>
                <w:rFonts w:ascii="Times New Roman" w:hAnsi="Times New Roman"/>
                <w:bCs/>
                <w:kern w:val="0"/>
              </w:rPr>
            </w:pPr>
            <w:r>
              <w:rPr>
                <w:rFonts w:ascii="Times New Roman" w:hAnsi="Times New Roman"/>
                <w:bCs/>
                <w:kern w:val="0"/>
              </w:rPr>
              <w:t>根据预测模型计算，项目正常排放情况下，在枯水期90%保证率最不利水文条件下，排污口汇入</w:t>
            </w:r>
            <w:r>
              <w:rPr>
                <w:rFonts w:hint="eastAsia" w:ascii="Times New Roman" w:hAnsi="Times New Roman"/>
                <w:bCs/>
                <w:kern w:val="0"/>
              </w:rPr>
              <w:t>州河</w:t>
            </w:r>
            <w:r>
              <w:rPr>
                <w:rFonts w:ascii="Times New Roman" w:hAnsi="Times New Roman"/>
                <w:bCs/>
                <w:kern w:val="0"/>
              </w:rPr>
              <w:t>地表水CODcr、NH</w:t>
            </w:r>
            <w:r>
              <w:rPr>
                <w:rFonts w:ascii="Times New Roman" w:hAnsi="Times New Roman"/>
                <w:bCs/>
                <w:kern w:val="0"/>
                <w:vertAlign w:val="subscript"/>
              </w:rPr>
              <w:t>3</w:t>
            </w:r>
            <w:r>
              <w:rPr>
                <w:rFonts w:ascii="Times New Roman" w:hAnsi="Times New Roman"/>
                <w:bCs/>
                <w:kern w:val="0"/>
              </w:rPr>
              <w:t>-N、TP浓度均高于本底浓度，到</w:t>
            </w:r>
            <w:r>
              <w:rPr>
                <w:rFonts w:hint="eastAsia" w:ascii="Times New Roman" w:hAnsi="Times New Roman"/>
                <w:bCs/>
                <w:kern w:val="0"/>
              </w:rPr>
              <w:t>王咀岩处</w:t>
            </w:r>
            <w:r>
              <w:rPr>
                <w:rFonts w:ascii="Times New Roman" w:hAnsi="Times New Roman"/>
                <w:bCs/>
                <w:kern w:val="0"/>
              </w:rPr>
              <w:t>CODcr浓度为13.5565mg/L、NH</w:t>
            </w:r>
            <w:r>
              <w:rPr>
                <w:rFonts w:ascii="Times New Roman" w:hAnsi="Times New Roman"/>
                <w:bCs/>
                <w:kern w:val="0"/>
                <w:vertAlign w:val="subscript"/>
              </w:rPr>
              <w:t>3</w:t>
            </w:r>
            <w:r>
              <w:rPr>
                <w:rFonts w:ascii="Times New Roman" w:hAnsi="Times New Roman"/>
                <w:bCs/>
                <w:kern w:val="0"/>
              </w:rPr>
              <w:t>-N浓度</w:t>
            </w:r>
            <w:r>
              <w:rPr>
                <w:rFonts w:hint="eastAsia" w:ascii="Times New Roman" w:hAnsi="Times New Roman"/>
                <w:bCs/>
                <w:kern w:val="0"/>
              </w:rPr>
              <w:t>0.</w:t>
            </w:r>
            <w:r>
              <w:rPr>
                <w:rFonts w:ascii="Times New Roman" w:hAnsi="Times New Roman"/>
                <w:bCs/>
                <w:kern w:val="0"/>
              </w:rPr>
              <w:t>1670mg/L、TP浓度</w:t>
            </w:r>
            <w:r>
              <w:rPr>
                <w:rFonts w:hint="eastAsia" w:ascii="Times New Roman" w:hAnsi="Times New Roman"/>
                <w:bCs/>
                <w:kern w:val="0"/>
              </w:rPr>
              <w:t>0.</w:t>
            </w:r>
            <w:r>
              <w:rPr>
                <w:rFonts w:ascii="Times New Roman" w:hAnsi="Times New Roman"/>
                <w:bCs/>
                <w:kern w:val="0"/>
              </w:rPr>
              <w:t>1056mg/L，均能满足《地表水环境质量标准》（GB3838-2002）中Ⅲ类水域标准，可满足水质管理目标为Ⅲ类水质的要求。</w:t>
            </w:r>
          </w:p>
          <w:p>
            <w:pPr>
              <w:widowControl w:val="0"/>
              <w:ind w:firstLine="480"/>
              <w:jc w:val="both"/>
              <w:rPr>
                <w:rFonts w:ascii="Times New Roman" w:hAnsi="Times New Roman"/>
                <w:bCs/>
                <w:kern w:val="0"/>
              </w:rPr>
            </w:pPr>
            <w:r>
              <w:rPr>
                <w:rFonts w:ascii="Times New Roman" w:hAnsi="Times New Roman"/>
                <w:bCs/>
                <w:kern w:val="0"/>
              </w:rPr>
              <w:t>2）事故排放预测结果</w:t>
            </w:r>
          </w:p>
          <w:p>
            <w:pPr>
              <w:widowControl w:val="0"/>
              <w:ind w:firstLine="480"/>
              <w:jc w:val="both"/>
              <w:rPr>
                <w:rFonts w:ascii="Times New Roman" w:hAnsi="Times New Roman"/>
                <w:bCs/>
                <w:kern w:val="0"/>
              </w:rPr>
            </w:pPr>
            <w:r>
              <w:rPr>
                <w:rFonts w:ascii="Times New Roman" w:hAnsi="Times New Roman"/>
                <w:bCs/>
                <w:kern w:val="0"/>
              </w:rPr>
              <w:t>根据预测模型计算，项目</w:t>
            </w:r>
            <w:r>
              <w:rPr>
                <w:rFonts w:hint="eastAsia" w:ascii="Times New Roman" w:hAnsi="Times New Roman"/>
                <w:bCs/>
                <w:kern w:val="0"/>
              </w:rPr>
              <w:t>事故</w:t>
            </w:r>
            <w:r>
              <w:rPr>
                <w:rFonts w:ascii="Times New Roman" w:hAnsi="Times New Roman"/>
                <w:bCs/>
                <w:kern w:val="0"/>
              </w:rPr>
              <w:t>排放情况下，在枯水期90%保证率最不利水文条件下，排污口汇入</w:t>
            </w:r>
            <w:r>
              <w:rPr>
                <w:rFonts w:hint="eastAsia" w:ascii="Times New Roman" w:hAnsi="Times New Roman"/>
                <w:bCs/>
                <w:kern w:val="0"/>
              </w:rPr>
              <w:t>州河</w:t>
            </w:r>
            <w:r>
              <w:rPr>
                <w:rFonts w:ascii="Times New Roman" w:hAnsi="Times New Roman"/>
                <w:bCs/>
                <w:kern w:val="0"/>
              </w:rPr>
              <w:t>地表水CODcr、NH</w:t>
            </w:r>
            <w:r>
              <w:rPr>
                <w:rFonts w:ascii="Times New Roman" w:hAnsi="Times New Roman"/>
                <w:bCs/>
                <w:kern w:val="0"/>
                <w:vertAlign w:val="subscript"/>
              </w:rPr>
              <w:t>3</w:t>
            </w:r>
            <w:r>
              <w:rPr>
                <w:rFonts w:ascii="Times New Roman" w:hAnsi="Times New Roman"/>
                <w:bCs/>
                <w:kern w:val="0"/>
              </w:rPr>
              <w:t>-N、TP浓度均高于本底浓度，到</w:t>
            </w:r>
            <w:r>
              <w:rPr>
                <w:rFonts w:hint="eastAsia" w:ascii="Times New Roman" w:hAnsi="Times New Roman"/>
                <w:bCs/>
                <w:kern w:val="0"/>
              </w:rPr>
              <w:t>王咀岩处</w:t>
            </w:r>
            <w:r>
              <w:rPr>
                <w:rFonts w:ascii="Times New Roman" w:hAnsi="Times New Roman"/>
                <w:bCs/>
                <w:kern w:val="0"/>
              </w:rPr>
              <w:t>CODcr浓度为14.2675mg/L</w:t>
            </w:r>
            <w:r>
              <w:rPr>
                <w:rFonts w:hint="eastAsia" w:ascii="Times New Roman" w:hAnsi="Times New Roman"/>
                <w:bCs/>
                <w:kern w:val="0"/>
              </w:rPr>
              <w:t>、</w:t>
            </w:r>
            <w:r>
              <w:rPr>
                <w:rFonts w:ascii="Times New Roman" w:hAnsi="Times New Roman"/>
                <w:bCs/>
                <w:kern w:val="0"/>
              </w:rPr>
              <w:t>NH</w:t>
            </w:r>
            <w:r>
              <w:rPr>
                <w:rFonts w:ascii="Times New Roman" w:hAnsi="Times New Roman"/>
                <w:bCs/>
                <w:kern w:val="0"/>
                <w:vertAlign w:val="subscript"/>
              </w:rPr>
              <w:t>3</w:t>
            </w:r>
            <w:r>
              <w:rPr>
                <w:rFonts w:ascii="Times New Roman" w:hAnsi="Times New Roman"/>
                <w:bCs/>
                <w:kern w:val="0"/>
              </w:rPr>
              <w:t>-N浓度</w:t>
            </w:r>
            <w:r>
              <w:rPr>
                <w:rFonts w:hint="eastAsia" w:ascii="Times New Roman" w:hAnsi="Times New Roman"/>
                <w:bCs/>
                <w:kern w:val="0"/>
              </w:rPr>
              <w:tab/>
            </w:r>
            <w:r>
              <w:rPr>
                <w:rFonts w:ascii="Times New Roman" w:hAnsi="Times New Roman"/>
                <w:bCs/>
                <w:kern w:val="0"/>
              </w:rPr>
              <w:t>0.4371mg/L</w:t>
            </w:r>
            <w:r>
              <w:rPr>
                <w:rFonts w:hint="eastAsia" w:ascii="Times New Roman" w:hAnsi="Times New Roman"/>
                <w:bCs/>
                <w:kern w:val="0"/>
              </w:rPr>
              <w:t>、</w:t>
            </w:r>
            <w:r>
              <w:rPr>
                <w:rFonts w:ascii="Times New Roman" w:hAnsi="Times New Roman"/>
                <w:bCs/>
                <w:kern w:val="0"/>
              </w:rPr>
              <w:t>TP浓度</w:t>
            </w:r>
            <w:r>
              <w:rPr>
                <w:rFonts w:hint="eastAsia" w:ascii="Times New Roman" w:hAnsi="Times New Roman"/>
                <w:bCs/>
                <w:kern w:val="0"/>
              </w:rPr>
              <w:t>0.</w:t>
            </w:r>
            <w:r>
              <w:rPr>
                <w:rFonts w:ascii="Times New Roman" w:hAnsi="Times New Roman"/>
                <w:bCs/>
                <w:kern w:val="0"/>
              </w:rPr>
              <w:t>1162mg/L，均能满足《地表水环境质量标准》（GB3838-2002）中Ⅲ类水域标准，可满足水质管理目标为Ⅲ类水质的要求。</w:t>
            </w:r>
          </w:p>
          <w:p>
            <w:pPr>
              <w:pStyle w:val="187"/>
              <w:widowControl w:val="0"/>
              <w:ind w:firstLine="480"/>
              <w:jc w:val="both"/>
            </w:pPr>
            <w:r>
              <w:rPr>
                <w:rFonts w:hint="eastAsia"/>
              </w:rPr>
              <w:t>本项目实施后，</w:t>
            </w:r>
            <w:r>
              <w:rPr>
                <w:rFonts w:hint="eastAsia" w:cs="Calibri"/>
              </w:rPr>
              <w:t>对明月新城产生的污水进行有效收集和处理，防止污水乱排</w:t>
            </w:r>
            <w:r>
              <w:rPr>
                <w:rFonts w:hint="eastAsia"/>
              </w:rPr>
              <w:t>，其环境正效益非常明显，故本项目废水在严格落实本报告中提出的各项治理措施后，尾水能够达标排放，措施有效可行。</w:t>
            </w:r>
          </w:p>
          <w:p>
            <w:pPr>
              <w:widowControl w:val="0"/>
              <w:numPr>
                <w:ilvl w:val="0"/>
                <w:numId w:val="8"/>
              </w:numPr>
              <w:ind w:firstLine="482" w:firstLineChars="200"/>
              <w:jc w:val="both"/>
              <w:rPr>
                <w:b/>
                <w:bCs/>
              </w:rPr>
            </w:pPr>
            <w:r>
              <w:rPr>
                <w:rFonts w:hint="eastAsia"/>
                <w:b/>
                <w:bCs/>
              </w:rPr>
              <w:t>排污口设置情况及合法合规性分析</w:t>
            </w:r>
          </w:p>
          <w:p>
            <w:pPr>
              <w:widowControl w:val="0"/>
              <w:ind w:left="482"/>
              <w:jc w:val="both"/>
              <w:rPr>
                <w:b/>
                <w:bCs/>
              </w:rPr>
            </w:pPr>
            <w:r>
              <w:rPr>
                <w:rFonts w:hint="eastAsia"/>
                <w:b/>
                <w:bCs/>
              </w:rPr>
              <w:t>1）项目入河排污口设置情况</w:t>
            </w:r>
          </w:p>
          <w:p>
            <w:pPr>
              <w:widowControl w:val="0"/>
              <w:ind w:left="482"/>
              <w:jc w:val="both"/>
            </w:pPr>
            <w:r>
              <w:rPr>
                <w:rFonts w:hint="eastAsia"/>
              </w:rPr>
              <w:t>入河排污口地理位置：</w:t>
            </w:r>
            <w:r>
              <w:rPr>
                <w:rFonts w:hint="eastAsia" w:ascii="宋体" w:hAnsi="宋体"/>
              </w:rPr>
              <w:t>宣汉县城蒲江街道明月社区</w:t>
            </w:r>
            <w:r>
              <w:rPr>
                <w:rFonts w:hint="eastAsia"/>
              </w:rPr>
              <w:t>；</w:t>
            </w:r>
          </w:p>
          <w:p>
            <w:pPr>
              <w:widowControl w:val="0"/>
              <w:ind w:left="482"/>
              <w:jc w:val="both"/>
            </w:pPr>
            <w:r>
              <w:rPr>
                <w:rFonts w:hint="eastAsia"/>
              </w:rPr>
              <w:t>入河排污口坐标:东经</w:t>
            </w:r>
            <w:r>
              <w:t>107.736831</w:t>
            </w:r>
            <w:r>
              <w:rPr>
                <w:rFonts w:hint="eastAsia"/>
              </w:rPr>
              <w:t>，北纬</w:t>
            </w:r>
            <w:r>
              <w:t>31.355947</w:t>
            </w:r>
            <w:r>
              <w:rPr>
                <w:rFonts w:hint="eastAsia"/>
              </w:rPr>
              <w:t>；</w:t>
            </w:r>
          </w:p>
          <w:p>
            <w:pPr>
              <w:widowControl w:val="0"/>
              <w:ind w:left="482"/>
              <w:jc w:val="both"/>
            </w:pPr>
            <w:r>
              <w:rPr>
                <w:rFonts w:hint="eastAsia"/>
              </w:rPr>
              <w:t>入河排污口类型:生活污水排污口；</w:t>
            </w:r>
          </w:p>
          <w:p>
            <w:pPr>
              <w:widowControl w:val="0"/>
              <w:ind w:left="482"/>
              <w:jc w:val="both"/>
            </w:pPr>
            <w:r>
              <w:rPr>
                <w:rFonts w:hint="eastAsia"/>
              </w:rPr>
              <w:t>排放及入河方式：连续排放，明管明口；</w:t>
            </w:r>
            <w:r>
              <w:t xml:space="preserve"> </w:t>
            </w:r>
          </w:p>
          <w:p>
            <w:pPr>
              <w:widowControl w:val="0"/>
              <w:ind w:left="482"/>
              <w:jc w:val="both"/>
            </w:pPr>
            <w:r>
              <w:rPr>
                <w:rFonts w:hint="eastAsia"/>
              </w:rPr>
              <w:t>排放废水量:</w:t>
            </w:r>
            <w:r>
              <w:t>1</w:t>
            </w:r>
            <w:r>
              <w:rPr>
                <w:rFonts w:hint="eastAsia"/>
              </w:rPr>
              <w:t>万</w:t>
            </w:r>
            <w:r>
              <w:t>m</w:t>
            </w:r>
            <w:r>
              <w:rPr>
                <w:vertAlign w:val="superscript"/>
              </w:rPr>
              <w:t>3</w:t>
            </w:r>
            <w:r>
              <w:t>/d</w:t>
            </w:r>
            <w:r>
              <w:rPr>
                <w:rFonts w:hint="eastAsia"/>
              </w:rPr>
              <w:t>，</w:t>
            </w:r>
            <w:r>
              <w:t>365</w:t>
            </w:r>
            <w:r>
              <w:rPr>
                <w:rFonts w:hint="eastAsia"/>
              </w:rPr>
              <w:t>万m</w:t>
            </w:r>
            <w:r>
              <w:rPr>
                <w:vertAlign w:val="superscript"/>
              </w:rPr>
              <w:t>3</w:t>
            </w:r>
            <w:r>
              <w:rPr>
                <w:rFonts w:hint="eastAsia"/>
              </w:rPr>
              <w:t>/a；</w:t>
            </w:r>
          </w:p>
          <w:p>
            <w:pPr>
              <w:widowControl w:val="0"/>
              <w:ind w:left="482"/>
              <w:jc w:val="both"/>
            </w:pPr>
            <w:r>
              <w:rPr>
                <w:rFonts w:hint="eastAsia"/>
              </w:rPr>
              <w:t>排入的水功能区名称：州河，水质管理目标为Ⅲ类。</w:t>
            </w:r>
          </w:p>
          <w:p>
            <w:pPr>
              <w:widowControl w:val="0"/>
              <w:ind w:left="482"/>
              <w:jc w:val="both"/>
              <w:rPr>
                <w:b/>
                <w:bCs/>
              </w:rPr>
            </w:pPr>
            <w:r>
              <w:rPr>
                <w:b/>
                <w:bCs/>
              </w:rPr>
              <w:t>2</w:t>
            </w:r>
            <w:r>
              <w:rPr>
                <w:rFonts w:hint="eastAsia"/>
                <w:b/>
                <w:bCs/>
              </w:rPr>
              <w:t>）项目入河排污口合法合规性分析</w:t>
            </w:r>
          </w:p>
          <w:p>
            <w:pPr>
              <w:widowControl w:val="0"/>
              <w:adjustRightInd w:val="0"/>
              <w:snapToGrid w:val="0"/>
              <w:ind w:firstLine="480" w:firstLineChars="200"/>
              <w:jc w:val="both"/>
            </w:pPr>
            <w:r>
              <w:rPr>
                <w:rFonts w:hint="eastAsia"/>
              </w:rPr>
              <w:t>本项目污水处理厂设计处理规模为1万</w:t>
            </w:r>
            <w:r>
              <w:t>m</w:t>
            </w:r>
            <w:r>
              <w:rPr>
                <w:vertAlign w:val="superscript"/>
              </w:rPr>
              <w:t>3</w:t>
            </w:r>
            <w:r>
              <w:t>/d</w:t>
            </w:r>
            <w:r>
              <w:rPr>
                <w:rFonts w:hint="eastAsia"/>
              </w:rPr>
              <w:t>，采用“粗格栅及调节池+细格栅旋流沉砂池+A</w:t>
            </w:r>
            <w:r>
              <w:rPr>
                <w:rFonts w:hint="eastAsia"/>
                <w:vertAlign w:val="superscript"/>
              </w:rPr>
              <w:t>2</w:t>
            </w:r>
            <w:r>
              <w:rPr>
                <w:rFonts w:hint="eastAsia"/>
              </w:rPr>
              <w:t>O-MBBR生化池+二沉池+高效沉淀池+消毒池（次氯酸钠）”工艺，出水水质执行</w:t>
            </w:r>
            <w:r>
              <w:rPr>
                <w:rFonts w:ascii="Times New Roman" w:hAnsi="Times New Roman" w:cs="Times New Roman"/>
              </w:rPr>
              <w:t>《城镇污水处理厂污染物排放标准》（GB18918-2002）表1中一级A标准要求后排入</w:t>
            </w:r>
            <w:r>
              <w:rPr>
                <w:rFonts w:hint="eastAsia"/>
              </w:rPr>
              <w:t>州河。</w:t>
            </w:r>
          </w:p>
          <w:p>
            <w:pPr>
              <w:widowControl w:val="0"/>
              <w:adjustRightInd w:val="0"/>
              <w:snapToGrid w:val="0"/>
              <w:ind w:firstLine="480" w:firstLineChars="200"/>
              <w:jc w:val="both"/>
            </w:pPr>
            <w:r>
              <w:rPr>
                <w:rFonts w:hAnsi="宋体"/>
              </w:rPr>
              <w:t>在污水处理厂出厂界</w:t>
            </w:r>
            <w:r>
              <w:rPr>
                <w:rFonts w:hint="eastAsia"/>
              </w:rPr>
              <w:t>安装在线自动监测系统（监测因子主要有流量、pH、COD、NH</w:t>
            </w:r>
            <w:r>
              <w:rPr>
                <w:rFonts w:hint="eastAsia"/>
                <w:vertAlign w:val="subscript"/>
              </w:rPr>
              <w:t>3</w:t>
            </w:r>
            <w:r>
              <w:rPr>
                <w:rFonts w:hint="eastAsia"/>
              </w:rPr>
              <w:t>-N、TP、TN），相关环境数据向社会公开，与相关部门联网，接受监督。</w:t>
            </w:r>
          </w:p>
          <w:p>
            <w:pPr>
              <w:widowControl w:val="0"/>
              <w:adjustRightInd w:val="0"/>
              <w:snapToGrid w:val="0"/>
              <w:ind w:firstLine="482" w:firstLineChars="200"/>
              <w:jc w:val="both"/>
              <w:rPr>
                <w:b/>
                <w:bCs/>
              </w:rPr>
            </w:pPr>
            <w:r>
              <w:rPr>
                <w:rFonts w:hint="eastAsia"/>
                <w:b/>
                <w:bCs/>
              </w:rPr>
              <w:t>A、排污口位置设置合理性分析</w:t>
            </w:r>
          </w:p>
          <w:p>
            <w:pPr>
              <w:widowControl w:val="0"/>
              <w:adjustRightInd w:val="0"/>
              <w:snapToGrid w:val="0"/>
              <w:ind w:firstLine="480" w:firstLineChars="200"/>
              <w:jc w:val="both"/>
            </w:pPr>
            <w:r>
              <w:rPr>
                <w:rFonts w:hint="eastAsia"/>
              </w:rPr>
              <w:t>本项目排污口位于</w:t>
            </w:r>
            <w:r>
              <w:rPr>
                <w:rFonts w:hint="eastAsia" w:ascii="宋体" w:hAnsi="宋体"/>
              </w:rPr>
              <w:t>宣汉县城蒲江街道明月社区</w:t>
            </w:r>
            <w:r>
              <w:rPr>
                <w:rFonts w:hint="eastAsia"/>
              </w:rPr>
              <w:t>，采用明管明口排放污水。根据水质模拟计算结果，污水处理设施入河排污口正常排放情况下，在预测范围内（9.45km）污染带水质各指标满足地表水Ⅲ类水质标准，不会大范围影响到排污口上、下游水功能区。</w:t>
            </w:r>
          </w:p>
          <w:p>
            <w:pPr>
              <w:widowControl w:val="0"/>
              <w:adjustRightInd w:val="0"/>
              <w:snapToGrid w:val="0"/>
              <w:ind w:firstLine="480" w:firstLineChars="200"/>
              <w:jc w:val="both"/>
            </w:pPr>
            <w:r>
              <w:rPr>
                <w:rFonts w:hint="eastAsia"/>
              </w:rPr>
              <w:t>根据调查，排污口下游10km无集中式饮用水源取水口以及饮用水水源保护区，无生态敏感地带。</w:t>
            </w:r>
          </w:p>
          <w:p>
            <w:pPr>
              <w:widowControl w:val="0"/>
              <w:adjustRightInd w:val="0"/>
              <w:snapToGrid w:val="0"/>
              <w:ind w:firstLine="480" w:firstLineChars="200"/>
              <w:jc w:val="both"/>
            </w:pPr>
            <w:r>
              <w:rPr>
                <w:rFonts w:hint="eastAsia"/>
              </w:rPr>
              <w:t>综上所述，本项目入河排污口设置合理。</w:t>
            </w:r>
          </w:p>
          <w:p>
            <w:pPr>
              <w:widowControl w:val="0"/>
              <w:adjustRightInd w:val="0"/>
              <w:snapToGrid w:val="0"/>
              <w:ind w:firstLine="482" w:firstLineChars="200"/>
              <w:jc w:val="left"/>
            </w:pPr>
            <w:r>
              <w:rPr>
                <w:rFonts w:hint="eastAsia"/>
                <w:b/>
                <w:bCs/>
              </w:rPr>
              <w:t>环评要求：</w:t>
            </w:r>
            <w:r>
              <w:rPr>
                <w:rFonts w:hint="eastAsia"/>
              </w:rPr>
              <w:t>建设单位应编制入河排污口设置论证报告，进一步论证入河排污口设置合法合规性，在取得入河排污口批复前，污水处理厂不得排放污水。</w:t>
            </w:r>
          </w:p>
          <w:p>
            <w:pPr>
              <w:widowControl w:val="0"/>
              <w:numPr>
                <w:ilvl w:val="0"/>
                <w:numId w:val="8"/>
              </w:numPr>
              <w:ind w:firstLine="482" w:firstLineChars="200"/>
              <w:jc w:val="both"/>
              <w:rPr>
                <w:b/>
                <w:bCs/>
              </w:rPr>
            </w:pPr>
            <w:r>
              <w:rPr>
                <w:rFonts w:hint="eastAsia"/>
                <w:b/>
                <w:bCs/>
              </w:rPr>
              <w:t>对</w:t>
            </w:r>
            <w:r>
              <w:rPr>
                <w:rFonts w:hint="eastAsia" w:ascii="黑体" w:hAnsi="黑体" w:eastAsia="黑体"/>
                <w:shd w:val="clear" w:color="auto" w:fill="FFFFFF"/>
              </w:rPr>
              <w:t>宣汉县徐家坡水源地</w:t>
            </w:r>
            <w:r>
              <w:rPr>
                <w:rFonts w:hint="eastAsia"/>
                <w:b/>
                <w:bCs/>
              </w:rPr>
              <w:t>影响分析</w:t>
            </w:r>
          </w:p>
          <w:p>
            <w:pPr>
              <w:widowControl w:val="0"/>
              <w:ind w:firstLine="480" w:firstLineChars="200"/>
              <w:jc w:val="both"/>
              <w:rPr>
                <w:rFonts w:hAnsi="宋体"/>
              </w:rPr>
            </w:pPr>
            <w:r>
              <w:rPr>
                <w:rFonts w:hint="eastAsia" w:hAnsi="宋体"/>
                <w:kern w:val="0"/>
              </w:rPr>
              <w:t>项目位于</w:t>
            </w:r>
            <w:r>
              <w:rPr>
                <w:rFonts w:hint="eastAsia" w:hAnsi="宋体"/>
              </w:rPr>
              <w:t>宣汉县明月新城，项目所在地属于回水湾，经回填和修建挡土墙后，用于建设污水处理厂。</w:t>
            </w:r>
          </w:p>
          <w:p>
            <w:pPr>
              <w:widowControl w:val="0"/>
              <w:ind w:firstLine="480" w:firstLineChars="200"/>
              <w:jc w:val="both"/>
              <w:rPr>
                <w:kern w:val="0"/>
              </w:rPr>
            </w:pPr>
            <w:r>
              <w:rPr>
                <w:rFonts w:hint="eastAsia" w:hAnsi="宋体"/>
              </w:rPr>
              <w:t>污水处理厂与该集中式饮用水水源地取水口最近的直线距离约1.9km；入河排污口与该集中式饮用水水源地取水口最近的直线距离约2.5km；污水处理厂距饮用水源二级保护区陆域约0.77km；入河排污口距饮用水源二级保护区陆域约1.8km。项目不在</w:t>
            </w:r>
            <w:r>
              <w:rPr>
                <w:rFonts w:hint="eastAsia"/>
                <w:shd w:val="clear" w:color="auto" w:fill="FFFFFF"/>
              </w:rPr>
              <w:t>宣汉县省控集中式</w:t>
            </w:r>
            <w:r>
              <w:rPr>
                <w:rFonts w:hint="eastAsia"/>
                <w:kern w:val="0"/>
              </w:rPr>
              <w:t>饮用水源保护区（徐家坡）范围内。</w:t>
            </w:r>
          </w:p>
          <w:p>
            <w:pPr>
              <w:widowControl w:val="0"/>
              <w:ind w:firstLine="480" w:firstLineChars="200"/>
              <w:jc w:val="both"/>
              <w:rPr>
                <w:rFonts w:hAnsi="Times New Roman"/>
              </w:rPr>
            </w:pPr>
            <w:r>
              <w:rPr>
                <w:rFonts w:hint="eastAsia"/>
                <w:kern w:val="0"/>
              </w:rPr>
              <w:t>考虑项目</w:t>
            </w:r>
            <w:r>
              <w:rPr>
                <w:rFonts w:hint="eastAsia" w:hAnsi="宋体"/>
              </w:rPr>
              <w:t>西南侧紧邻后河，位置距水体较近。为确保项目施工期、运行期不对周围水体造成影响，本次环评要求：</w:t>
            </w:r>
          </w:p>
          <w:p>
            <w:pPr>
              <w:widowControl w:val="0"/>
              <w:adjustRightInd w:val="0"/>
              <w:ind w:firstLine="482" w:firstLineChars="200"/>
              <w:jc w:val="both"/>
              <w:rPr>
                <w:rFonts w:ascii="黑体" w:hAnsi="黑体" w:eastAsia="黑体"/>
                <w:b/>
                <w:bdr w:val="single" w:color="auto" w:sz="4" w:space="0"/>
              </w:rPr>
            </w:pPr>
            <w:r>
              <w:rPr>
                <w:rFonts w:hint="eastAsia" w:ascii="黑体" w:hAnsi="黑体" w:eastAsia="黑体"/>
                <w:b/>
                <w:bdr w:val="single" w:color="auto" w:sz="4" w:space="0"/>
              </w:rPr>
              <w:t>施工期</w:t>
            </w:r>
          </w:p>
          <w:p>
            <w:pPr>
              <w:widowControl w:val="0"/>
              <w:adjustRightInd w:val="0"/>
              <w:ind w:firstLine="480" w:firstLineChars="200"/>
              <w:jc w:val="both"/>
              <w:rPr>
                <w:rFonts w:ascii="宋体" w:hAnsi="宋体" w:cs="宋体"/>
                <w:b/>
                <w:kern w:val="0"/>
              </w:rPr>
            </w:pPr>
            <w:r>
              <w:t>1</w:t>
            </w:r>
            <w:r>
              <w:rPr>
                <w:rFonts w:hint="eastAsia" w:hAnsi="宋体"/>
              </w:rPr>
              <w:t>、</w:t>
            </w:r>
            <w:r>
              <w:rPr>
                <w:rFonts w:hint="eastAsia"/>
                <w:b/>
              </w:rPr>
              <w:t>加强</w:t>
            </w:r>
            <w:r>
              <w:rPr>
                <w:rFonts w:hint="eastAsia" w:hAnsi="宋体"/>
              </w:rPr>
              <w:t>施工人员以及管理人员的对</w:t>
            </w:r>
            <w:r>
              <w:rPr>
                <w:rFonts w:hint="eastAsia" w:hAnsi="宋体"/>
                <w:b/>
              </w:rPr>
              <w:t>饮用水源的保护意识</w:t>
            </w:r>
            <w:r>
              <w:rPr>
                <w:rFonts w:hint="eastAsia" w:hAnsi="宋体"/>
              </w:rPr>
              <w:t>，</w:t>
            </w:r>
            <w:r>
              <w:rPr>
                <w:rFonts w:hint="eastAsia"/>
                <w:szCs w:val="21"/>
              </w:rPr>
              <w:t>施工方应在施工营地处先行修建临时旱厕、污水沉淀池、隔油池等。严禁将项目区内产生的一切废水，直接排放至周边水体，</w:t>
            </w:r>
            <w:r>
              <w:rPr>
                <w:rFonts w:hint="eastAsia" w:hAnsi="宋体"/>
                <w:b/>
              </w:rPr>
              <w:t>严禁在项目厂区内私自设置排污口</w:t>
            </w:r>
            <w:r>
              <w:rPr>
                <w:rFonts w:hint="eastAsia" w:hAnsi="宋体"/>
              </w:rPr>
              <w:t>；</w:t>
            </w:r>
          </w:p>
          <w:p>
            <w:pPr>
              <w:widowControl w:val="0"/>
              <w:adjustRightInd w:val="0"/>
              <w:ind w:firstLine="480" w:firstLineChars="200"/>
              <w:jc w:val="both"/>
              <w:rPr>
                <w:rFonts w:hAnsi="宋体"/>
              </w:rPr>
            </w:pPr>
            <w:r>
              <w:t>2</w:t>
            </w:r>
            <w:r>
              <w:rPr>
                <w:rFonts w:hint="eastAsia" w:hAnsi="宋体"/>
              </w:rPr>
              <w:t>、</w:t>
            </w:r>
            <w:r>
              <w:rPr>
                <w:rFonts w:hint="eastAsia" w:hAnsi="宋体"/>
                <w:lang w:val="zh-CN"/>
              </w:rPr>
              <w:t>应充分做好污水管道的</w:t>
            </w:r>
            <w:r>
              <w:rPr>
                <w:rFonts w:hint="eastAsia" w:hAnsi="宋体"/>
                <w:b/>
                <w:lang w:val="zh-CN"/>
              </w:rPr>
              <w:t>防渗处理</w:t>
            </w:r>
            <w:r>
              <w:rPr>
                <w:rFonts w:hint="eastAsia" w:hAnsi="宋体"/>
                <w:lang w:val="zh-CN"/>
              </w:rPr>
              <w:t>，杜绝污水渗漏，确保污水收集处理系统衔接良好，严格用水管理，防止污水</w:t>
            </w:r>
            <w:r>
              <w:rPr>
                <w:lang w:val="zh-CN"/>
              </w:rPr>
              <w:t>“</w:t>
            </w:r>
            <w:r>
              <w:rPr>
                <w:rFonts w:hint="eastAsia" w:hAnsi="宋体"/>
                <w:lang w:val="zh-CN"/>
              </w:rPr>
              <w:t>跑、冒、滴、漏</w:t>
            </w:r>
            <w:r>
              <w:rPr>
                <w:lang w:val="zh-CN"/>
              </w:rPr>
              <w:t>”</w:t>
            </w:r>
            <w:r>
              <w:rPr>
                <w:rFonts w:hint="eastAsia" w:hAnsi="宋体"/>
                <w:lang w:val="zh-CN"/>
              </w:rPr>
              <w:t>现象的发生；</w:t>
            </w:r>
          </w:p>
          <w:p>
            <w:pPr>
              <w:widowControl w:val="0"/>
              <w:autoSpaceDE w:val="0"/>
              <w:autoSpaceDN w:val="0"/>
              <w:adjustRightInd w:val="0"/>
              <w:ind w:firstLine="480" w:firstLineChars="200"/>
              <w:jc w:val="left"/>
              <w:rPr>
                <w:rFonts w:ascii="宋体" w:hAnsi="宋体" w:cs="宋体"/>
                <w:b/>
                <w:kern w:val="0"/>
                <w:szCs w:val="21"/>
              </w:rPr>
            </w:pPr>
            <w:r>
              <w:rPr>
                <w:kern w:val="0"/>
              </w:rPr>
              <w:t>3</w:t>
            </w:r>
            <w:r>
              <w:rPr>
                <w:rFonts w:hint="eastAsia" w:hAnsi="宋体"/>
                <w:kern w:val="0"/>
              </w:rPr>
              <w:t>、</w:t>
            </w:r>
            <w:r>
              <w:rPr>
                <w:rFonts w:hint="eastAsia"/>
              </w:rPr>
              <w:t>施工过程中使用的建筑材料，应远离后河放置，同时采取设置围挡或堆砌围墙，并用防尘布覆盖；施工工程中产生的弃土、弃料及其他建筑垃圾远离后河放置，土方及挖及运，严防建筑材料、堆土等进入周边水体，从而影响沟渠、河道原有功能；</w:t>
            </w:r>
          </w:p>
          <w:p>
            <w:pPr>
              <w:widowControl w:val="0"/>
              <w:autoSpaceDE w:val="0"/>
              <w:autoSpaceDN w:val="0"/>
              <w:adjustRightInd w:val="0"/>
              <w:ind w:firstLine="480" w:firstLineChars="200"/>
              <w:jc w:val="left"/>
              <w:rPr>
                <w:rFonts w:ascii="宋体" w:hAnsi="宋体" w:cs="宋体"/>
                <w:b/>
                <w:kern w:val="0"/>
                <w:szCs w:val="21"/>
              </w:rPr>
            </w:pPr>
            <w:r>
              <w:t>4</w:t>
            </w:r>
            <w:r>
              <w:rPr>
                <w:rFonts w:hint="eastAsia" w:hAnsi="宋体"/>
              </w:rPr>
              <w:t>、严格禁止将建筑垃圾、施工弃土等随意倾倒入河，</w:t>
            </w:r>
            <w:r>
              <w:rPr>
                <w:rFonts w:hint="eastAsia" w:hAnsi="宋体"/>
                <w:kern w:val="0"/>
              </w:rPr>
              <w:t>建设单位或</w:t>
            </w:r>
            <w:r>
              <w:rPr>
                <w:rFonts w:hint="eastAsia" w:hAnsi="宋体"/>
              </w:rPr>
              <w:t>施工总承包单位须</w:t>
            </w:r>
            <w:r>
              <w:rPr>
                <w:rFonts w:hint="eastAsia" w:hAnsi="宋体"/>
                <w:b/>
              </w:rPr>
              <w:t>签订</w:t>
            </w:r>
            <w:r>
              <w:rPr>
                <w:rFonts w:hint="eastAsia" w:hAnsi="宋体"/>
                <w:b/>
                <w:kern w:val="0"/>
              </w:rPr>
              <w:t>弃土、弃渣清运以及</w:t>
            </w:r>
            <w:r>
              <w:rPr>
                <w:rFonts w:hint="eastAsia" w:hAnsi="宋体"/>
                <w:b/>
              </w:rPr>
              <w:t>建筑垃圾清运的合同</w:t>
            </w:r>
            <w:r>
              <w:rPr>
                <w:rFonts w:hint="eastAsia" w:hAnsi="宋体"/>
              </w:rPr>
              <w:t>，并落实污染物的最终排放去向；</w:t>
            </w:r>
          </w:p>
          <w:p>
            <w:pPr>
              <w:widowControl w:val="0"/>
              <w:adjustRightInd w:val="0"/>
              <w:ind w:firstLine="480" w:firstLineChars="200"/>
              <w:jc w:val="both"/>
              <w:rPr>
                <w:rFonts w:hAnsi="宋体"/>
              </w:rPr>
            </w:pPr>
            <w:r>
              <w:rPr>
                <w:rFonts w:hAnsi="宋体"/>
              </w:rPr>
              <w:t>5</w:t>
            </w:r>
            <w:r>
              <w:rPr>
                <w:rFonts w:hint="eastAsia" w:hAnsi="宋体"/>
              </w:rPr>
              <w:t>、</w:t>
            </w:r>
            <w:r>
              <w:rPr>
                <w:rFonts w:hint="eastAsia" w:hAnsi="宋体"/>
                <w:b/>
              </w:rPr>
              <w:t>严禁</w:t>
            </w:r>
            <w:r>
              <w:rPr>
                <w:rFonts w:hint="eastAsia" w:hAnsi="宋体"/>
              </w:rPr>
              <w:t>出入项目范围内的车辆出现</w:t>
            </w:r>
            <w:r>
              <w:rPr>
                <w:rFonts w:hint="eastAsia" w:hAnsi="宋体"/>
                <w:b/>
              </w:rPr>
              <w:t>超载、超速</w:t>
            </w:r>
            <w:r>
              <w:rPr>
                <w:rFonts w:hint="eastAsia" w:hAnsi="宋体"/>
              </w:rPr>
              <w:t>等情况，要求在驶入本项目区范围之前应提前减速至可控范围内，避免车辆因超速超载发生侧翻，掉进周围水体，污染地表水，危及饮用水源；</w:t>
            </w:r>
          </w:p>
          <w:p>
            <w:pPr>
              <w:widowControl w:val="0"/>
              <w:adjustRightInd w:val="0"/>
              <w:ind w:firstLine="480" w:firstLineChars="200"/>
              <w:jc w:val="both"/>
              <w:rPr>
                <w:rFonts w:hAnsi="宋体"/>
                <w:szCs w:val="21"/>
                <w:lang w:val="zh-CN"/>
              </w:rPr>
            </w:pPr>
            <w:r>
              <w:rPr>
                <w:lang w:val="zh-CN"/>
              </w:rPr>
              <w:t>6</w:t>
            </w:r>
            <w:r>
              <w:rPr>
                <w:rFonts w:hint="eastAsia" w:hAnsi="宋体"/>
                <w:lang w:val="zh-CN"/>
              </w:rPr>
              <w:t>、</w:t>
            </w:r>
            <w:r>
              <w:rPr>
                <w:rFonts w:hint="eastAsia"/>
              </w:rPr>
              <w:t>施工期根据项目周围环境的特点由施工队制定出一套施工环境管理方案并制定出合理的施工平面布置，可以有效控制施工期噪声污染、大气污染和水污染，使施工期对周围单位带来的不便和污染降到最低。</w:t>
            </w:r>
          </w:p>
          <w:p>
            <w:pPr>
              <w:widowControl w:val="0"/>
              <w:adjustRightInd w:val="0"/>
              <w:ind w:firstLine="480" w:firstLineChars="200"/>
              <w:jc w:val="both"/>
              <w:rPr>
                <w:rFonts w:ascii="黑体" w:hAnsi="黑体" w:eastAsia="黑体"/>
                <w:bdr w:val="single" w:color="auto" w:sz="4" w:space="0"/>
              </w:rPr>
            </w:pPr>
            <w:r>
              <w:rPr>
                <w:rFonts w:hint="eastAsia" w:ascii="黑体" w:hAnsi="黑体" w:eastAsia="黑体"/>
                <w:bdr w:val="single" w:color="auto" w:sz="4" w:space="0"/>
              </w:rPr>
              <w:t>营运期</w:t>
            </w:r>
          </w:p>
          <w:p>
            <w:pPr>
              <w:widowControl w:val="0"/>
              <w:adjustRightInd w:val="0"/>
              <w:ind w:firstLine="480" w:firstLineChars="200"/>
              <w:jc w:val="both"/>
              <w:rPr>
                <w:rFonts w:hAnsi="宋体"/>
              </w:rPr>
            </w:pPr>
            <w:r>
              <w:t>1</w:t>
            </w:r>
            <w:r>
              <w:rPr>
                <w:rFonts w:hint="eastAsia" w:hAnsi="宋体"/>
              </w:rPr>
              <w:t>、</w:t>
            </w:r>
            <w:r>
              <w:rPr>
                <w:rFonts w:hint="eastAsia"/>
                <w:b/>
              </w:rPr>
              <w:t>加强污水运行管理人员对</w:t>
            </w:r>
            <w:r>
              <w:rPr>
                <w:rFonts w:hint="eastAsia" w:hAnsi="宋体"/>
                <w:b/>
              </w:rPr>
              <w:t>饮用水源的保护意识</w:t>
            </w:r>
            <w:r>
              <w:rPr>
                <w:rFonts w:hint="eastAsia" w:hAnsi="宋体"/>
              </w:rPr>
              <w:t>，项目区营运期间接纳的生活污水以及本项目营运过程中产生的废水均须处理达标后外排，禁止超标排放。</w:t>
            </w:r>
          </w:p>
          <w:p>
            <w:pPr>
              <w:widowControl w:val="0"/>
              <w:autoSpaceDE w:val="0"/>
              <w:autoSpaceDN w:val="0"/>
              <w:adjustRightInd w:val="0"/>
              <w:ind w:firstLine="482" w:firstLineChars="200"/>
              <w:jc w:val="left"/>
              <w:rPr>
                <w:rFonts w:hAnsi="宋体"/>
              </w:rPr>
            </w:pPr>
            <w:r>
              <w:rPr>
                <w:b/>
                <w:kern w:val="0"/>
              </w:rPr>
              <w:t>2</w:t>
            </w:r>
            <w:r>
              <w:rPr>
                <w:rFonts w:hint="eastAsia" w:hAnsi="宋体"/>
                <w:b/>
                <w:kern w:val="0"/>
              </w:rPr>
              <w:t>、</w:t>
            </w:r>
            <w:r>
              <w:rPr>
                <w:rFonts w:hint="eastAsia" w:hAnsi="宋体"/>
              </w:rPr>
              <w:t>项目区内的</w:t>
            </w:r>
            <w:r>
              <w:rPr>
                <w:rFonts w:hint="eastAsia" w:hAnsi="宋体"/>
                <w:lang w:val="zh-CN"/>
              </w:rPr>
              <w:t>污水收集管道应做</w:t>
            </w:r>
            <w:r>
              <w:rPr>
                <w:rFonts w:hint="eastAsia" w:hAnsi="宋体"/>
                <w:b/>
                <w:lang w:val="zh-CN"/>
              </w:rPr>
              <w:t>防渗处理</w:t>
            </w:r>
            <w:r>
              <w:rPr>
                <w:rFonts w:hint="eastAsia" w:hAnsi="宋体"/>
                <w:lang w:val="zh-CN"/>
              </w:rPr>
              <w:t>，并定期检查，确保污水收集处理系统衔接良好，防止污水</w:t>
            </w:r>
            <w:r>
              <w:rPr>
                <w:lang w:val="zh-CN"/>
              </w:rPr>
              <w:t>“</w:t>
            </w:r>
            <w:r>
              <w:rPr>
                <w:rFonts w:hint="eastAsia" w:hAnsi="宋体"/>
                <w:lang w:val="zh-CN"/>
              </w:rPr>
              <w:t>跑、冒、滴、漏</w:t>
            </w:r>
            <w:r>
              <w:rPr>
                <w:lang w:val="zh-CN"/>
              </w:rPr>
              <w:t>”</w:t>
            </w:r>
            <w:r>
              <w:rPr>
                <w:rFonts w:hint="eastAsia" w:hAnsi="宋体"/>
                <w:lang w:val="zh-CN"/>
              </w:rPr>
              <w:t>现象的发生。</w:t>
            </w:r>
          </w:p>
          <w:p>
            <w:pPr>
              <w:widowControl w:val="0"/>
              <w:adjustRightInd w:val="0"/>
              <w:ind w:firstLine="480" w:firstLineChars="200"/>
              <w:jc w:val="both"/>
            </w:pPr>
            <w:r>
              <w:rPr>
                <w:rFonts w:hint="eastAsia"/>
              </w:rPr>
              <w:t>3、</w:t>
            </w:r>
            <w:r>
              <w:rPr>
                <w:rFonts w:hint="eastAsia" w:hAnsi="宋体"/>
              </w:rPr>
              <w:t>加强项目分区防渗管理，</w:t>
            </w:r>
            <w:r>
              <w:rPr>
                <w:rFonts w:hint="eastAsia" w:hAnsi="宋体"/>
                <w:b/>
              </w:rPr>
              <w:t>规范危险废物暂存间设置情况，危废暂存间、污水处理设施等，采取重点防渗措施</w:t>
            </w:r>
            <w:r>
              <w:rPr>
                <w:rFonts w:hint="eastAsia" w:hAnsi="宋体"/>
              </w:rPr>
              <w:t>。严格禁止将生活垃圾、一般固废、危险废物等倾倒入河；</w:t>
            </w:r>
          </w:p>
          <w:p>
            <w:pPr>
              <w:widowControl w:val="0"/>
              <w:adjustRightInd w:val="0"/>
              <w:ind w:firstLine="480" w:firstLineChars="200"/>
              <w:jc w:val="both"/>
            </w:pPr>
            <w:r>
              <w:t>4</w:t>
            </w:r>
            <w:r>
              <w:rPr>
                <w:rFonts w:hint="eastAsia" w:hAnsi="宋体"/>
              </w:rPr>
              <w:t>、</w:t>
            </w:r>
            <w:r>
              <w:rPr>
                <w:rFonts w:hint="eastAsia" w:hAnsi="宋体"/>
                <w:b/>
                <w:lang w:val="zh-CN"/>
              </w:rPr>
              <w:t>制定环境风险应急预案</w:t>
            </w:r>
            <w:r>
              <w:rPr>
                <w:rFonts w:hint="eastAsia" w:hAnsi="宋体"/>
                <w:lang w:val="zh-CN"/>
              </w:rPr>
              <w:t>，确保可能发生的突发性环境污染事件不对徐家坡饮用水源造成污染。</w:t>
            </w:r>
          </w:p>
          <w:p>
            <w:pPr>
              <w:pStyle w:val="16"/>
              <w:spacing w:before="0" w:line="360" w:lineRule="auto"/>
              <w:ind w:firstLine="480" w:firstLineChars="200"/>
              <w:rPr>
                <w:rFonts w:ascii="Times New Roman" w:hAnsi="Times New Roman" w:cs="Times New Roman" w:eastAsiaTheme="minorEastAsia"/>
                <w:sz w:val="24"/>
              </w:rPr>
            </w:pPr>
            <w:r>
              <w:rPr>
                <w:rFonts w:hint="eastAsia" w:ascii="黑体" w:hAnsi="黑体" w:eastAsia="黑体"/>
                <w:sz w:val="24"/>
              </w:rPr>
              <w:t>同时，建设单位须充分认识本项目所处位置的特殊性，</w:t>
            </w:r>
            <w:r>
              <w:rPr>
                <w:rFonts w:hint="eastAsia" w:ascii="黑体" w:hAnsi="黑体" w:eastAsia="黑体"/>
                <w:b/>
                <w:sz w:val="24"/>
              </w:rPr>
              <w:t>施工期、运行期严格遵守《</w:t>
            </w:r>
            <w:r>
              <w:rPr>
                <w:rFonts w:hint="eastAsia" w:ascii="黑体" w:hAnsi="黑体" w:eastAsia="黑体"/>
                <w:sz w:val="24"/>
              </w:rPr>
              <w:t>中华人民共和国水污染防治法》、《四川省饮用水水源保护管理条例》、《达州市集中式饮用水水源保护管理条例》等关于地表水饮用水水源准保护区的相关规定，认真落实环境影响评价文件提出的污染防治措施和环境风险防范措施，同时增强居民对饮用水源保护的意识，保证饮用水源安全。在此前提下，本项目不会对徐家坡饮用水水源水质造成污染影响。</w:t>
            </w:r>
          </w:p>
          <w:p>
            <w:pPr>
              <w:widowControl/>
              <w:ind w:firstLine="482" w:firstLineChars="200"/>
              <w:jc w:val="left"/>
              <w:rPr>
                <w:rFonts w:cs="Times New Roman" w:asciiTheme="majorHAnsi" w:hAnsiTheme="majorHAnsi"/>
                <w:b/>
                <w:bCs/>
                <w:kern w:val="0"/>
                <w:szCs w:val="20"/>
              </w:rPr>
            </w:pPr>
            <w:r>
              <w:rPr>
                <w:rFonts w:hint="eastAsia" w:cs="Times New Roman" w:asciiTheme="majorHAnsi" w:hAnsiTheme="majorHAnsi"/>
                <w:b/>
                <w:bCs/>
                <w:kern w:val="0"/>
                <w:szCs w:val="20"/>
              </w:rPr>
              <w:t>4.2.</w:t>
            </w:r>
            <w:r>
              <w:rPr>
                <w:rFonts w:cs="Times New Roman" w:asciiTheme="majorHAnsi" w:hAnsiTheme="majorHAnsi"/>
                <w:b/>
                <w:bCs/>
                <w:kern w:val="0"/>
                <w:szCs w:val="20"/>
              </w:rPr>
              <w:t>3</w:t>
            </w:r>
            <w:r>
              <w:rPr>
                <w:rFonts w:hint="eastAsia" w:cs="Times New Roman" w:asciiTheme="majorHAnsi" w:hAnsiTheme="majorHAnsi"/>
                <w:b/>
                <w:bCs/>
                <w:kern w:val="0"/>
                <w:szCs w:val="20"/>
              </w:rPr>
              <w:t>噪声</w:t>
            </w:r>
          </w:p>
          <w:p>
            <w:pPr>
              <w:widowControl w:val="0"/>
              <w:ind w:firstLine="482" w:firstLineChars="200"/>
              <w:jc w:val="both"/>
              <w:rPr>
                <w:b/>
                <w:bCs/>
              </w:rPr>
            </w:pPr>
            <w:r>
              <w:rPr>
                <w:b/>
                <w:bCs/>
              </w:rPr>
              <w:t>1）源强分析</w:t>
            </w:r>
          </w:p>
          <w:p>
            <w:pPr>
              <w:widowControl w:val="0"/>
              <w:ind w:firstLine="480" w:firstLineChars="200"/>
              <w:jc w:val="both"/>
            </w:pPr>
            <w:r>
              <w:rPr>
                <w:rFonts w:hint="eastAsia"/>
              </w:rPr>
              <w:t>污水处理厂的噪声来源于厂内传动机械工作时发出的噪声，有潜污泵、鼓风机、压滤机、风机等的噪声，还有厂区内来往车辆等。其中噪声较大的设备主要为各类风机。</w:t>
            </w:r>
          </w:p>
          <w:p>
            <w:pPr>
              <w:widowControl w:val="0"/>
              <w:ind w:firstLine="480" w:firstLineChars="200"/>
              <w:jc w:val="both"/>
            </w:pPr>
            <w:r>
              <w:rPr>
                <w:rFonts w:hint="eastAsia"/>
              </w:rPr>
              <w:t>本项目鼓风机房设置风机，污泥脱水车间设置空压机，鼓风机和空压机产生的噪声通过墙体隔声后传播到外环境，生物除臭设施风机采用低噪声机型并加装减振垫后传播到外环境，其余的泵等位于室内或水下，经过墙壁隔声或水体隔声以后传播到外部环境时已衰减很多。污水处理工程机械产生噪声源强见下表：</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hint="eastAsia" w:ascii="Times New Roman" w:hAnsi="Times New Roman" w:eastAsia="黑体"/>
                <w:kern w:val="2"/>
                <w:szCs w:val="24"/>
              </w:rPr>
              <w:t>主要设备</w:t>
            </w:r>
            <w:r>
              <w:rPr>
                <w:rFonts w:ascii="Times New Roman" w:hAnsi="Times New Roman" w:eastAsia="黑体"/>
                <w:kern w:val="2"/>
                <w:szCs w:val="24"/>
              </w:rPr>
              <w:t>噪声污染源源强</w:t>
            </w:r>
            <w:r>
              <w:rPr>
                <w:rFonts w:hint="eastAsia" w:ascii="Times New Roman" w:hAnsi="Times New Roman" w:eastAsia="黑体"/>
                <w:kern w:val="2"/>
                <w:szCs w:val="24"/>
              </w:rPr>
              <w:t xml:space="preserve"> 单位：</w:t>
            </w:r>
            <w:r>
              <w:rPr>
                <w:rFonts w:ascii="Times New Roman" w:hAnsi="Times New Roman" w:eastAsia="黑体"/>
                <w:kern w:val="2"/>
                <w:szCs w:val="24"/>
              </w:rPr>
              <w:t>dB</w:t>
            </w:r>
            <w:r>
              <w:rPr>
                <w:rFonts w:hint="eastAsia" w:ascii="Times New Roman" w:hAnsi="Times New Roman" w:eastAsia="黑体"/>
                <w:kern w:val="2"/>
                <w:szCs w:val="24"/>
              </w:rPr>
              <w:t>（</w:t>
            </w:r>
            <w:r>
              <w:rPr>
                <w:rFonts w:ascii="Times New Roman" w:hAnsi="Times New Roman" w:eastAsia="黑体"/>
                <w:kern w:val="2"/>
                <w:szCs w:val="24"/>
              </w:rPr>
              <w:t>A</w:t>
            </w:r>
            <w:r>
              <w:rPr>
                <w:rFonts w:hint="eastAsia" w:ascii="Times New Roman" w:hAnsi="Times New Roman" w:eastAsia="黑体"/>
                <w:kern w:val="2"/>
                <w:szCs w:val="24"/>
              </w:rPr>
              <w:t>）</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340"/>
              <w:gridCol w:w="1067"/>
              <w:gridCol w:w="1276"/>
              <w:gridCol w:w="2126"/>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widowControl w:val="0"/>
                    <w:adjustRightInd w:val="0"/>
                    <w:snapToGrid w:val="0"/>
                    <w:spacing w:line="360" w:lineRule="exact"/>
                    <w:jc w:val="center"/>
                    <w:rPr>
                      <w:rFonts w:ascii="Times New Roman" w:hAnsi="Times New Roman" w:eastAsia="宋体" w:cs="Times New Roman"/>
                      <w:b/>
                      <w:sz w:val="21"/>
                      <w:szCs w:val="21"/>
                    </w:rPr>
                  </w:pPr>
                  <w:r>
                    <w:rPr>
                      <w:rFonts w:ascii="Times New Roman" w:hAnsi="Times New Roman" w:eastAsia="宋体" w:cs="Times New Roman"/>
                      <w:b/>
                      <w:sz w:val="21"/>
                      <w:szCs w:val="21"/>
                    </w:rPr>
                    <w:t>构筑物</w:t>
                  </w:r>
                </w:p>
              </w:tc>
              <w:tc>
                <w:tcPr>
                  <w:tcW w:w="1340" w:type="dxa"/>
                  <w:vAlign w:val="center"/>
                </w:tcPr>
                <w:p>
                  <w:pPr>
                    <w:widowControl w:val="0"/>
                    <w:adjustRightInd w:val="0"/>
                    <w:snapToGrid w:val="0"/>
                    <w:spacing w:line="360" w:lineRule="exact"/>
                    <w:jc w:val="center"/>
                    <w:rPr>
                      <w:rFonts w:ascii="Times New Roman" w:hAnsi="Times New Roman" w:eastAsia="宋体" w:cs="Times New Roman"/>
                      <w:b/>
                      <w:sz w:val="21"/>
                      <w:szCs w:val="21"/>
                    </w:rPr>
                  </w:pPr>
                  <w:r>
                    <w:rPr>
                      <w:rFonts w:ascii="Times New Roman" w:hAnsi="Times New Roman" w:eastAsia="宋体" w:cs="Times New Roman"/>
                      <w:b/>
                      <w:sz w:val="21"/>
                      <w:szCs w:val="21"/>
                    </w:rPr>
                    <w:t>设备名称</w:t>
                  </w:r>
                </w:p>
              </w:tc>
              <w:tc>
                <w:tcPr>
                  <w:tcW w:w="1067" w:type="dxa"/>
                  <w:vAlign w:val="center"/>
                </w:tcPr>
                <w:p>
                  <w:pPr>
                    <w:widowControl w:val="0"/>
                    <w:adjustRightInd w:val="0"/>
                    <w:snapToGrid w:val="0"/>
                    <w:spacing w:line="360" w:lineRule="exact"/>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运行数量</w:t>
                  </w:r>
                </w:p>
              </w:tc>
              <w:tc>
                <w:tcPr>
                  <w:tcW w:w="1276" w:type="dxa"/>
                  <w:vAlign w:val="center"/>
                </w:tcPr>
                <w:p>
                  <w:pPr>
                    <w:widowControl w:val="0"/>
                    <w:adjustRightInd w:val="0"/>
                    <w:snapToGrid w:val="0"/>
                    <w:spacing w:line="360" w:lineRule="exact"/>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单台设备</w:t>
                  </w:r>
                  <w:r>
                    <w:rPr>
                      <w:rFonts w:ascii="Times New Roman" w:hAnsi="Times New Roman" w:eastAsia="宋体" w:cs="Times New Roman"/>
                      <w:b/>
                      <w:sz w:val="21"/>
                      <w:szCs w:val="21"/>
                    </w:rPr>
                    <w:t>源强dB（A）</w:t>
                  </w:r>
                </w:p>
              </w:tc>
              <w:tc>
                <w:tcPr>
                  <w:tcW w:w="2126" w:type="dxa"/>
                  <w:vAlign w:val="center"/>
                </w:tcPr>
                <w:p>
                  <w:pPr>
                    <w:widowControl w:val="0"/>
                    <w:adjustRightInd w:val="0"/>
                    <w:snapToGrid w:val="0"/>
                    <w:spacing w:line="360" w:lineRule="exact"/>
                    <w:jc w:val="center"/>
                    <w:rPr>
                      <w:rFonts w:ascii="Times New Roman" w:hAnsi="Times New Roman" w:eastAsia="宋体" w:cs="Times New Roman"/>
                      <w:b/>
                      <w:sz w:val="21"/>
                      <w:szCs w:val="21"/>
                    </w:rPr>
                  </w:pPr>
                  <w:r>
                    <w:rPr>
                      <w:rFonts w:ascii="Times New Roman" w:hAnsi="Times New Roman" w:eastAsia="宋体" w:cs="Times New Roman"/>
                      <w:b/>
                      <w:sz w:val="21"/>
                      <w:szCs w:val="21"/>
                    </w:rPr>
                    <w:t>治理措施</w:t>
                  </w:r>
                </w:p>
              </w:tc>
              <w:tc>
                <w:tcPr>
                  <w:tcW w:w="1684" w:type="dxa"/>
                  <w:vAlign w:val="center"/>
                </w:tcPr>
                <w:p>
                  <w:pPr>
                    <w:widowControl w:val="0"/>
                    <w:adjustRightInd w:val="0"/>
                    <w:snapToGrid w:val="0"/>
                    <w:spacing w:line="360" w:lineRule="exact"/>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单台设备治理后源强</w:t>
                  </w:r>
                  <w:r>
                    <w:rPr>
                      <w:rFonts w:ascii="Times New Roman" w:hAnsi="Times New Roman" w:eastAsia="宋体" w:cs="Times New Roman"/>
                      <w:b/>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粗格栅及调节池</w:t>
                  </w: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潜污泵</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80~95</w:t>
                  </w:r>
                </w:p>
              </w:tc>
              <w:tc>
                <w:tcPr>
                  <w:tcW w:w="2126" w:type="dxa"/>
                  <w:vMerge w:val="restart"/>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优选低噪声设备、合理布局；室外噪声设备，主要为风机等，在风机进风口设置消声器、</w:t>
                  </w:r>
                  <w:r>
                    <w:rPr>
                      <w:rFonts w:ascii="Times New Roman" w:hAnsi="Times New Roman" w:eastAsia="宋体" w:cs="Times New Roman"/>
                      <w:bCs/>
                      <w:sz w:val="21"/>
                      <w:szCs w:val="21"/>
                    </w:rPr>
                    <w:t>加装减振垫</w:t>
                  </w:r>
                  <w:r>
                    <w:rPr>
                      <w:rFonts w:hint="eastAsia" w:ascii="Times New Roman" w:hAnsi="Times New Roman" w:eastAsia="宋体" w:cs="Times New Roman"/>
                      <w:bCs/>
                      <w:sz w:val="21"/>
                      <w:szCs w:val="21"/>
                    </w:rPr>
                    <w:t>等；室内噪声设备，主要封闭车间，采用墙体隔声、</w:t>
                  </w:r>
                  <w:r>
                    <w:rPr>
                      <w:rFonts w:ascii="Times New Roman" w:hAnsi="Times New Roman" w:eastAsia="宋体" w:cs="Times New Roman"/>
                      <w:bCs/>
                      <w:sz w:val="21"/>
                      <w:szCs w:val="21"/>
                    </w:rPr>
                    <w:t>加装减振垫</w:t>
                  </w:r>
                  <w:r>
                    <w:rPr>
                      <w:rFonts w:hint="eastAsia" w:ascii="Times New Roman" w:hAnsi="Times New Roman" w:eastAsia="宋体" w:cs="Times New Roman"/>
                      <w:bCs/>
                      <w:sz w:val="21"/>
                      <w:szCs w:val="21"/>
                    </w:rPr>
                    <w:t>等；空压机等高噪声设备设置单独的隔声间，隔声门窗，墙体采取吸声材料。</w:t>
                  </w: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清污机</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80~85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细格栅及旋流沉砂池</w:t>
                  </w: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宋体" w:hAnsi="宋体" w:cs="宋体"/>
                      <w:kern w:val="0"/>
                      <w:sz w:val="21"/>
                      <w:szCs w:val="21"/>
                    </w:rPr>
                    <w:t>罗茨鼓风机</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2套</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75~90</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一期</w:t>
                  </w:r>
                  <w:r>
                    <w:rPr>
                      <w:rFonts w:ascii="Times New Roman" w:hAnsi="Times New Roman" w:eastAsia="宋体" w:cs="Times New Roman"/>
                      <w:bCs/>
                      <w:sz w:val="21"/>
                      <w:szCs w:val="21"/>
                    </w:rPr>
                    <w:t>AAO-MBBR池</w:t>
                  </w:r>
                </w:p>
              </w:tc>
              <w:tc>
                <w:tcPr>
                  <w:tcW w:w="1340" w:type="dxa"/>
                  <w:vAlign w:val="center"/>
                </w:tcPr>
                <w:p>
                  <w:pPr>
                    <w:widowControl w:val="0"/>
                    <w:adjustRightInd w:val="0"/>
                    <w:snapToGrid w:val="0"/>
                    <w:spacing w:line="360" w:lineRule="exact"/>
                    <w:jc w:val="center"/>
                    <w:rPr>
                      <w:rFonts w:ascii="宋体" w:hAnsi="宋体" w:cs="宋体"/>
                      <w:kern w:val="0"/>
                      <w:sz w:val="21"/>
                      <w:szCs w:val="21"/>
                    </w:rPr>
                  </w:pPr>
                  <w:r>
                    <w:rPr>
                      <w:rFonts w:ascii="Times New Roman" w:hAnsi="Times New Roman" w:eastAsia="宋体" w:cs="Times New Roman"/>
                      <w:bCs/>
                      <w:sz w:val="21"/>
                      <w:szCs w:val="21"/>
                    </w:rPr>
                    <w:t>潜水搅拌机</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80~85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回流泵</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5台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80~95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一期污泥泵池</w:t>
                  </w: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潜污泵</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hint="eastAsia" w:ascii="Times New Roman" w:hAnsi="Times New Roman" w:eastAsia="宋体" w:cs="Times New Roman"/>
                      <w:bCs/>
                      <w:sz w:val="21"/>
                      <w:szCs w:val="21"/>
                    </w:rPr>
                    <w:t>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80~95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一期</w:t>
                  </w:r>
                  <w:r>
                    <w:rPr>
                      <w:rFonts w:ascii="Times New Roman" w:hAnsi="Times New Roman" w:eastAsia="宋体" w:cs="Times New Roman"/>
                      <w:bCs/>
                      <w:sz w:val="21"/>
                      <w:szCs w:val="21"/>
                    </w:rPr>
                    <w:t>高效沉淀池</w:t>
                  </w: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搅拌机</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80~85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螺杆泵</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6套</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80~95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污泥储池</w:t>
                  </w: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搅拌机</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r>
                    <w:rPr>
                      <w:rFonts w:hint="eastAsia" w:ascii="Times New Roman" w:hAnsi="Times New Roman" w:eastAsia="宋体" w:cs="Times New Roman"/>
                      <w:bCs/>
                      <w:sz w:val="21"/>
                      <w:szCs w:val="21"/>
                    </w:rPr>
                    <w:t>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80~85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widowControl w:val="0"/>
                    <w:adjustRightInd w:val="0"/>
                    <w:snapToGrid w:val="0"/>
                    <w:spacing w:line="360" w:lineRule="exact"/>
                    <w:jc w:val="center"/>
                    <w:rPr>
                      <w:rFonts w:ascii="Times New Roman" w:hAnsi="Times New Roman" w:eastAsia="宋体" w:cs="Times New Roman"/>
                      <w:b/>
                      <w:sz w:val="21"/>
                      <w:szCs w:val="21"/>
                    </w:rPr>
                  </w:pPr>
                  <w:r>
                    <w:rPr>
                      <w:rFonts w:ascii="Times New Roman" w:hAnsi="Times New Roman" w:eastAsia="宋体" w:cs="Times New Roman"/>
                      <w:b/>
                      <w:sz w:val="21"/>
                      <w:szCs w:val="21"/>
                    </w:rPr>
                    <w:t>加氯加药间</w:t>
                  </w: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潜污泵</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80~95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widowControl w:val="0"/>
                    <w:adjustRightInd w:val="0"/>
                    <w:snapToGrid w:val="0"/>
                    <w:spacing w:line="360" w:lineRule="exact"/>
                    <w:jc w:val="center"/>
                    <w:rPr>
                      <w:rFonts w:ascii="Times New Roman" w:hAnsi="Times New Roman" w:eastAsia="宋体" w:cs="Times New Roman"/>
                      <w:b/>
                      <w:sz w:val="21"/>
                      <w:szCs w:val="21"/>
                    </w:rPr>
                  </w:pP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反应搅拌机</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4台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80~85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widowControl w:val="0"/>
                    <w:adjustRightInd w:val="0"/>
                    <w:snapToGrid w:val="0"/>
                    <w:spacing w:line="360" w:lineRule="exact"/>
                    <w:jc w:val="center"/>
                    <w:rPr>
                      <w:rFonts w:ascii="Times New Roman" w:hAnsi="Times New Roman" w:eastAsia="宋体" w:cs="Times New Roman"/>
                      <w:b/>
                      <w:sz w:val="21"/>
                      <w:szCs w:val="21"/>
                    </w:rPr>
                  </w:pP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轴流风机</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r>
                    <w:rPr>
                      <w:rFonts w:hint="eastAsia" w:ascii="Times New Roman" w:hAnsi="Times New Roman" w:eastAsia="宋体" w:cs="Times New Roman"/>
                      <w:bCs/>
                      <w:sz w:val="21"/>
                      <w:szCs w:val="21"/>
                    </w:rPr>
                    <w:t>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75~90</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widowControl w:val="0"/>
                    <w:adjustRightInd w:val="0"/>
                    <w:snapToGrid w:val="0"/>
                    <w:spacing w:line="360" w:lineRule="exact"/>
                    <w:jc w:val="center"/>
                    <w:rPr>
                      <w:rFonts w:ascii="Times New Roman" w:hAnsi="Times New Roman" w:eastAsia="宋体" w:cs="Times New Roman"/>
                      <w:b/>
                      <w:sz w:val="21"/>
                      <w:szCs w:val="21"/>
                    </w:rPr>
                  </w:pPr>
                  <w:r>
                    <w:rPr>
                      <w:rFonts w:ascii="Times New Roman" w:hAnsi="Times New Roman" w:eastAsia="宋体" w:cs="Times New Roman"/>
                      <w:b/>
                      <w:sz w:val="21"/>
                      <w:szCs w:val="21"/>
                    </w:rPr>
                    <w:t>鼓风机房</w:t>
                  </w: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螺杆鼓风机</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3台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75~90</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轴流风机</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8台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75~90</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widowControl w:val="0"/>
                    <w:adjustRightInd w:val="0"/>
                    <w:snapToGrid w:val="0"/>
                    <w:spacing w:line="360" w:lineRule="exact"/>
                    <w:jc w:val="center"/>
                    <w:rPr>
                      <w:rFonts w:ascii="Times New Roman" w:hAnsi="Times New Roman" w:eastAsia="宋体" w:cs="Times New Roman"/>
                      <w:b/>
                      <w:sz w:val="21"/>
                      <w:szCs w:val="21"/>
                    </w:rPr>
                  </w:pPr>
                  <w:r>
                    <w:rPr>
                      <w:rFonts w:hint="eastAsia" w:ascii="Times New Roman" w:hAnsi="Times New Roman" w:eastAsia="宋体" w:cs="Times New Roman"/>
                      <w:b/>
                      <w:sz w:val="21"/>
                      <w:szCs w:val="21"/>
                    </w:rPr>
                    <w:t>污泥脱水车间</w:t>
                  </w: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压滤机</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80~85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冲洗泵</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80~95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空压机</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85~100</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restart"/>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二期</w:t>
                  </w:r>
                  <w:r>
                    <w:rPr>
                      <w:rFonts w:ascii="Times New Roman" w:hAnsi="Times New Roman" w:eastAsia="宋体" w:cs="Times New Roman"/>
                      <w:bCs/>
                      <w:sz w:val="21"/>
                      <w:szCs w:val="21"/>
                    </w:rPr>
                    <w:t>AAO-MBBR池</w:t>
                  </w: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kern w:val="0"/>
                      <w:sz w:val="21"/>
                      <w:szCs w:val="21"/>
                    </w:rPr>
                    <w:t>搅拌机</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1台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80~85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340" w:type="dxa"/>
                  <w:vAlign w:val="center"/>
                </w:tcPr>
                <w:p>
                  <w:pPr>
                    <w:widowControl w:val="0"/>
                    <w:adjustRightInd w:val="0"/>
                    <w:snapToGrid w:val="0"/>
                    <w:spacing w:line="360" w:lineRule="exact"/>
                    <w:jc w:val="center"/>
                    <w:rPr>
                      <w:rFonts w:ascii="Times New Roman" w:hAnsi="Times New Roman" w:eastAsia="宋体" w:cs="Times New Roman"/>
                      <w:kern w:val="0"/>
                      <w:sz w:val="21"/>
                      <w:szCs w:val="21"/>
                    </w:rPr>
                  </w:pPr>
                  <w:r>
                    <w:rPr>
                      <w:rFonts w:hint="eastAsia" w:ascii="Times New Roman" w:hAnsi="Times New Roman" w:eastAsia="宋体" w:cs="Times New Roman"/>
                      <w:bCs/>
                      <w:sz w:val="21"/>
                      <w:szCs w:val="21"/>
                    </w:rPr>
                    <w:t>回流泵</w:t>
                  </w:r>
                </w:p>
              </w:tc>
              <w:tc>
                <w:tcPr>
                  <w:tcW w:w="1067" w:type="dxa"/>
                  <w:vAlign w:val="center"/>
                </w:tcPr>
                <w:p>
                  <w:pPr>
                    <w:widowControl w:val="0"/>
                    <w:adjustRightInd w:val="0"/>
                    <w:snapToGrid w:val="0"/>
                    <w:spacing w:line="360" w:lineRule="exact"/>
                    <w:jc w:val="center"/>
                    <w:rPr>
                      <w:rFonts w:ascii="Times New Roman" w:hAnsi="Times New Roman" w:eastAsia="宋体" w:cs="Times New Roman"/>
                      <w:kern w:val="0"/>
                      <w:sz w:val="21"/>
                      <w:szCs w:val="21"/>
                    </w:rPr>
                  </w:pPr>
                  <w:r>
                    <w:rPr>
                      <w:rFonts w:ascii="Times New Roman" w:hAnsi="Times New Roman" w:eastAsia="宋体" w:cs="Times New Roman"/>
                      <w:bCs/>
                      <w:sz w:val="21"/>
                      <w:szCs w:val="21"/>
                    </w:rPr>
                    <w:t>2</w:t>
                  </w:r>
                  <w:r>
                    <w:rPr>
                      <w:rFonts w:hint="eastAsia" w:ascii="Times New Roman" w:hAnsi="Times New Roman" w:eastAsia="宋体" w:cs="Times New Roman"/>
                      <w:bCs/>
                      <w:sz w:val="21"/>
                      <w:szCs w:val="21"/>
                    </w:rPr>
                    <w:t>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80~95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2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二期污泥泵池</w:t>
                  </w: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潜污泵</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r>
                    <w:rPr>
                      <w:rFonts w:hint="eastAsia" w:ascii="Times New Roman" w:hAnsi="Times New Roman" w:eastAsia="宋体" w:cs="Times New Roman"/>
                      <w:bCs/>
                      <w:sz w:val="21"/>
                      <w:szCs w:val="21"/>
                    </w:rPr>
                    <w:t>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80~95</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6</w:t>
                  </w:r>
                  <w:r>
                    <w:rPr>
                      <w:rFonts w:ascii="Times New Roman" w:hAnsi="Times New Roman" w:eastAsia="宋体" w:cs="Times New Roman"/>
                      <w:bCs/>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除臭设备</w:t>
                  </w:r>
                </w:p>
              </w:tc>
              <w:tc>
                <w:tcPr>
                  <w:tcW w:w="1340"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风机</w:t>
                  </w:r>
                </w:p>
              </w:tc>
              <w:tc>
                <w:tcPr>
                  <w:tcW w:w="1067"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rPr>
                    <w:t>2台</w:t>
                  </w:r>
                </w:p>
              </w:tc>
              <w:tc>
                <w:tcPr>
                  <w:tcW w:w="1276"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75~90</w:t>
                  </w:r>
                </w:p>
              </w:tc>
              <w:tc>
                <w:tcPr>
                  <w:tcW w:w="2126" w:type="dxa"/>
                  <w:vMerge w:val="continue"/>
                  <w:vAlign w:val="center"/>
                </w:tcPr>
                <w:p>
                  <w:pPr>
                    <w:widowControl w:val="0"/>
                    <w:adjustRightInd w:val="0"/>
                    <w:snapToGrid w:val="0"/>
                    <w:spacing w:line="360" w:lineRule="exact"/>
                    <w:jc w:val="center"/>
                    <w:rPr>
                      <w:rFonts w:ascii="Times New Roman" w:hAnsi="Times New Roman" w:eastAsia="宋体" w:cs="Times New Roman"/>
                      <w:bCs/>
                      <w:sz w:val="21"/>
                      <w:szCs w:val="21"/>
                    </w:rPr>
                  </w:pPr>
                </w:p>
              </w:tc>
              <w:tc>
                <w:tcPr>
                  <w:tcW w:w="1684" w:type="dxa"/>
                  <w:vAlign w:val="center"/>
                </w:tcPr>
                <w:p>
                  <w:pPr>
                    <w:widowControl w:val="0"/>
                    <w:adjustRightInd w:val="0"/>
                    <w:snapToGrid w:val="0"/>
                    <w:spacing w:line="360" w:lineRule="exact"/>
                    <w:jc w:val="center"/>
                    <w:rPr>
                      <w:rFonts w:ascii="Times New Roman" w:hAnsi="Times New Roman" w:eastAsia="宋体" w:cs="Times New Roman"/>
                      <w:bCs/>
                      <w:sz w:val="21"/>
                      <w:szCs w:val="21"/>
                    </w:rPr>
                  </w:pPr>
                  <w:r>
                    <w:rPr>
                      <w:rFonts w:ascii="Times New Roman" w:hAnsi="Times New Roman" w:eastAsia="宋体" w:cs="Times New Roman"/>
                      <w:bCs/>
                      <w:sz w:val="21"/>
                      <w:szCs w:val="21"/>
                    </w:rPr>
                    <w:t>65</w:t>
                  </w:r>
                </w:p>
              </w:tc>
            </w:tr>
          </w:tbl>
          <w:p>
            <w:pPr>
              <w:widowControl w:val="0"/>
              <w:numPr>
                <w:ilvl w:val="0"/>
                <w:numId w:val="9"/>
              </w:numPr>
              <w:ind w:firstLine="482" w:firstLineChars="200"/>
              <w:jc w:val="both"/>
              <w:rPr>
                <w:b/>
              </w:rPr>
            </w:pPr>
            <w:r>
              <w:rPr>
                <w:rFonts w:hint="eastAsia"/>
                <w:b/>
              </w:rPr>
              <w:t>防治措施</w:t>
            </w:r>
          </w:p>
          <w:p>
            <w:pPr>
              <w:widowControl w:val="0"/>
              <w:ind w:firstLine="480" w:firstLineChars="200"/>
              <w:jc w:val="both"/>
            </w:pPr>
            <w:r>
              <w:rPr>
                <w:rFonts w:hint="eastAsia"/>
              </w:rPr>
              <w:t>a.合理布局：将高噪声设备布置于围护结构内，如泵房、鼓风机房、污泥脱水车间等，同时本项目大部分设备设置在地下，隔声量大于</w:t>
            </w:r>
            <w:r>
              <w:t>20dB</w:t>
            </w:r>
            <w:r>
              <w:rPr>
                <w:rFonts w:hint="eastAsia"/>
              </w:rPr>
              <w:t>（</w:t>
            </w:r>
            <w:r>
              <w:t>A</w:t>
            </w:r>
            <w:r>
              <w:rPr>
                <w:rFonts w:hint="eastAsia"/>
              </w:rPr>
              <w:t>）；</w:t>
            </w:r>
          </w:p>
          <w:p>
            <w:pPr>
              <w:widowControl w:val="0"/>
              <w:ind w:firstLine="480" w:firstLineChars="200"/>
              <w:jc w:val="both"/>
            </w:pPr>
            <w:r>
              <w:rPr>
                <w:rFonts w:hint="eastAsia"/>
              </w:rPr>
              <w:t>b.选用低噪声设备：项目设备选型时应优先选用先进的低噪设备，采取减振措施，并通过提高生产设备的安装质量和精度，从源头减轻设备的噪声量；</w:t>
            </w:r>
          </w:p>
          <w:p>
            <w:pPr>
              <w:widowControl w:val="0"/>
              <w:ind w:firstLine="480" w:firstLineChars="200"/>
              <w:jc w:val="both"/>
            </w:pPr>
            <w:r>
              <w:rPr>
                <w:rFonts w:hint="eastAsia"/>
              </w:rPr>
              <w:t>c.建设单位应注意维护各种机械设备的正常运转，加强对主要产噪设备的维护保养，确保各生产设备均处于良好的运转状态，杜绝因设备不正常运转时产生的高噪声现象；</w:t>
            </w:r>
          </w:p>
          <w:p>
            <w:pPr>
              <w:widowControl w:val="0"/>
              <w:ind w:firstLine="480" w:firstLineChars="200"/>
              <w:jc w:val="both"/>
            </w:pPr>
            <w:r>
              <w:rPr>
                <w:rFonts w:hint="eastAsia"/>
              </w:rPr>
              <w:t>d.本工程设计采用的提升泵为潜水泵，运行时，整个机组均淹没在水面下，其噪声值一般不超过</w:t>
            </w:r>
            <w:r>
              <w:t>60dB</w:t>
            </w:r>
            <w:r>
              <w:rPr>
                <w:rFonts w:hint="eastAsia"/>
              </w:rPr>
              <w:t>（</w:t>
            </w:r>
            <w:r>
              <w:t>A</w:t>
            </w:r>
            <w:r>
              <w:rPr>
                <w:rFonts w:hint="eastAsia"/>
              </w:rPr>
              <w:t>）。</w:t>
            </w:r>
          </w:p>
          <w:p>
            <w:pPr>
              <w:widowControl w:val="0"/>
              <w:ind w:firstLine="482" w:firstLineChars="200"/>
              <w:jc w:val="both"/>
            </w:pPr>
            <w:r>
              <w:rPr>
                <w:rFonts w:hint="eastAsia"/>
                <w:b/>
              </w:rPr>
              <w:t>3）</w:t>
            </w:r>
            <w:r>
              <w:rPr>
                <w:b/>
              </w:rPr>
              <w:t>噪声达标分析</w:t>
            </w:r>
          </w:p>
          <w:p>
            <w:pPr>
              <w:widowControl w:val="0"/>
              <w:ind w:firstLine="482" w:firstLineChars="200"/>
              <w:jc w:val="both"/>
              <w:rPr>
                <w:b/>
                <w:kern w:val="0"/>
              </w:rPr>
            </w:pPr>
            <w:r>
              <w:rPr>
                <w:rFonts w:hint="eastAsia" w:ascii="宋体" w:hAnsi="宋体" w:cs="宋体"/>
                <w:b/>
              </w:rPr>
              <w:t>①</w:t>
            </w:r>
            <w:r>
              <w:rPr>
                <w:b/>
                <w:kern w:val="0"/>
              </w:rPr>
              <w:t>噪声预测模式</w:t>
            </w:r>
          </w:p>
          <w:p>
            <w:pPr>
              <w:widowControl w:val="0"/>
              <w:ind w:firstLine="480"/>
              <w:jc w:val="both"/>
            </w:pPr>
            <w:r>
              <w:rPr>
                <w:rFonts w:hint="eastAsia"/>
              </w:rPr>
              <w:t>根据《环境影响评价技术导则声环境》（HJ2.4-2021）推荐的方法，采用点生源传播预测噪声影响，其公式为：</w:t>
            </w:r>
          </w:p>
          <w:p>
            <w:pPr>
              <w:widowControl w:val="0"/>
              <w:adjustRightInd w:val="0"/>
              <w:snapToGrid w:val="0"/>
              <w:ind w:firstLine="480" w:firstLineChars="200"/>
              <w:jc w:val="both"/>
            </w:pPr>
            <w:r>
              <w:rPr>
                <w:rFonts w:hint="eastAsia"/>
              </w:rPr>
              <w:t>Lp（r）=Lw-20lgr-TL-△L-8</w:t>
            </w:r>
          </w:p>
          <w:p>
            <w:pPr>
              <w:widowControl w:val="0"/>
              <w:adjustRightInd w:val="0"/>
              <w:snapToGrid w:val="0"/>
              <w:ind w:firstLine="480" w:firstLineChars="200"/>
              <w:jc w:val="both"/>
            </w:pPr>
            <w:r>
              <w:rPr>
                <w:rFonts w:hint="eastAsia"/>
              </w:rPr>
              <w:t>式中：Lp——预测点的声压级dB（A）；</w:t>
            </w:r>
          </w:p>
          <w:p>
            <w:pPr>
              <w:widowControl w:val="0"/>
              <w:adjustRightInd w:val="0"/>
              <w:snapToGrid w:val="0"/>
              <w:ind w:firstLine="480" w:firstLineChars="200"/>
              <w:jc w:val="both"/>
            </w:pPr>
            <w:r>
              <w:rPr>
                <w:rFonts w:hint="eastAsia"/>
              </w:rPr>
              <w:t xml:space="preserve">      Lw——生源的声功率级dB（A）；</w:t>
            </w:r>
          </w:p>
          <w:p>
            <w:pPr>
              <w:widowControl w:val="0"/>
              <w:adjustRightInd w:val="0"/>
              <w:snapToGrid w:val="0"/>
              <w:ind w:firstLine="480" w:firstLineChars="200"/>
              <w:jc w:val="both"/>
            </w:pPr>
            <w:r>
              <w:rPr>
                <w:rFonts w:hint="eastAsia"/>
              </w:rPr>
              <w:t xml:space="preserve">       r——生源与预测点的距离（m）；</w:t>
            </w:r>
          </w:p>
          <w:p>
            <w:pPr>
              <w:widowControl w:val="0"/>
              <w:adjustRightInd w:val="0"/>
              <w:snapToGrid w:val="0"/>
              <w:ind w:firstLine="480" w:firstLineChars="200"/>
              <w:jc w:val="both"/>
            </w:pPr>
            <w:r>
              <w:rPr>
                <w:rFonts w:hint="eastAsia"/>
              </w:rPr>
              <w:t xml:space="preserve">      TL——为墙体隔声量dB（A）；</w:t>
            </w:r>
          </w:p>
          <w:p>
            <w:pPr>
              <w:widowControl w:val="0"/>
              <w:adjustRightInd w:val="0"/>
              <w:snapToGrid w:val="0"/>
              <w:ind w:firstLine="480" w:firstLineChars="200"/>
              <w:jc w:val="both"/>
            </w:pPr>
            <w:r>
              <w:rPr>
                <w:rFonts w:hint="eastAsia"/>
              </w:rPr>
              <w:t>△L——为其他屏障的隔声量dB（A），取值0。</w:t>
            </w:r>
          </w:p>
          <w:p>
            <w:pPr>
              <w:widowControl w:val="0"/>
              <w:ind w:firstLine="482" w:firstLineChars="200"/>
              <w:jc w:val="both"/>
              <w:rPr>
                <w:b/>
              </w:rPr>
            </w:pPr>
            <w:r>
              <w:rPr>
                <w:rFonts w:hint="eastAsia" w:ascii="宋体" w:hAnsi="宋体" w:cs="宋体"/>
                <w:b/>
              </w:rPr>
              <w:t>②</w:t>
            </w:r>
            <w:r>
              <w:rPr>
                <w:rFonts w:hint="eastAsia"/>
                <w:b/>
              </w:rPr>
              <w:t>场界</w:t>
            </w:r>
            <w:r>
              <w:rPr>
                <w:b/>
              </w:rPr>
              <w:t>噪声预测</w:t>
            </w:r>
          </w:p>
          <w:p>
            <w:pPr>
              <w:widowControl w:val="0"/>
              <w:ind w:firstLine="480" w:firstLineChars="200"/>
              <w:jc w:val="both"/>
              <w:rPr>
                <w:rFonts w:hAnsi="宋体"/>
              </w:rPr>
            </w:pPr>
            <w:r>
              <w:rPr>
                <w:rFonts w:hint="eastAsia" w:hAnsi="宋体"/>
              </w:rPr>
              <w:t>厂区噪声源叠加值为 72.05dB（A），项目提升泵房以及污水二次泵房采用污水提升泵为潜污泵，运行时，整个机组均淹没在水面下；污泥泵数量虽然较多，但分布位置较分散，且机组一般安装的位置位于地面下；鼓风机、压滤机和除臭风机等噪声相对较大，但通过选择低噪声设备、风机安装消声器、厂房隔声吸声、基础减震后一般可减少 10dB（A），本项目运营期厂界预测结果见下表。</w:t>
            </w:r>
          </w:p>
          <w:p>
            <w:pPr>
              <w:widowControl w:val="0"/>
              <w:ind w:firstLine="480" w:firstLineChars="200"/>
              <w:jc w:val="both"/>
              <w:rPr>
                <w:rFonts w:hAnsi="宋体"/>
              </w:rPr>
            </w:pPr>
            <w:r>
              <w:rPr>
                <w:rFonts w:hint="eastAsia" w:hAnsi="宋体"/>
              </w:rPr>
              <w:t>本项目场界噪声贡献值及评价结果见下表。</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ascii="Times New Roman" w:hAnsi="Times New Roman" w:eastAsia="黑体"/>
                <w:kern w:val="2"/>
                <w:szCs w:val="24"/>
              </w:rPr>
              <w:t>厂界噪声预测结果</w:t>
            </w:r>
            <w:r>
              <w:rPr>
                <w:rFonts w:hint="eastAsia" w:ascii="Times New Roman" w:hAnsi="Times New Roman" w:eastAsia="黑体"/>
                <w:kern w:val="2"/>
                <w:szCs w:val="24"/>
              </w:rPr>
              <w:t xml:space="preserve"> 单位：dB（A）</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2170"/>
              <w:gridCol w:w="1745"/>
              <w:gridCol w:w="1420"/>
              <w:gridCol w:w="1420"/>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533" w:type="pct"/>
                  <w:noWrap/>
                  <w:vAlign w:val="center"/>
                </w:tcPr>
                <w:p>
                  <w:pPr>
                    <w:spacing w:line="360" w:lineRule="exact"/>
                    <w:jc w:val="center"/>
                    <w:rPr>
                      <w:rFonts w:ascii="Times New Roman" w:hAnsi="Times New Roman" w:cs="Times New Roman"/>
                      <w:b/>
                      <w:bCs/>
                      <w:kern w:val="0"/>
                      <w:sz w:val="21"/>
                      <w:szCs w:val="21"/>
                    </w:rPr>
                  </w:pPr>
                  <w:r>
                    <w:rPr>
                      <w:rFonts w:ascii="Times New Roman" w:hAnsi="宋体" w:cs="Times New Roman"/>
                      <w:b/>
                      <w:bCs/>
                      <w:kern w:val="0"/>
                      <w:sz w:val="21"/>
                      <w:szCs w:val="21"/>
                    </w:rPr>
                    <w:t>编号</w:t>
                  </w:r>
                </w:p>
              </w:tc>
              <w:tc>
                <w:tcPr>
                  <w:tcW w:w="1184" w:type="pct"/>
                  <w:noWrap/>
                  <w:vAlign w:val="center"/>
                </w:tcPr>
                <w:p>
                  <w:pPr>
                    <w:spacing w:line="360" w:lineRule="exact"/>
                    <w:jc w:val="center"/>
                    <w:rPr>
                      <w:rFonts w:ascii="Times New Roman" w:hAnsi="Times New Roman" w:cs="Times New Roman"/>
                      <w:b/>
                      <w:bCs/>
                      <w:kern w:val="0"/>
                      <w:sz w:val="21"/>
                      <w:szCs w:val="21"/>
                    </w:rPr>
                  </w:pPr>
                  <w:r>
                    <w:rPr>
                      <w:rFonts w:ascii="Times New Roman" w:hAnsi="宋体" w:cs="Times New Roman"/>
                      <w:b/>
                      <w:bCs/>
                      <w:kern w:val="0"/>
                      <w:sz w:val="21"/>
                      <w:szCs w:val="21"/>
                    </w:rPr>
                    <w:t>方位</w:t>
                  </w:r>
                </w:p>
              </w:tc>
              <w:tc>
                <w:tcPr>
                  <w:tcW w:w="952" w:type="pct"/>
                  <w:noWrap/>
                  <w:vAlign w:val="center"/>
                </w:tcPr>
                <w:p>
                  <w:pPr>
                    <w:spacing w:line="360" w:lineRule="exact"/>
                    <w:jc w:val="center"/>
                    <w:rPr>
                      <w:rFonts w:ascii="Times New Roman" w:hAnsi="Times New Roman" w:cs="Times New Roman"/>
                      <w:b/>
                      <w:bCs/>
                      <w:kern w:val="0"/>
                      <w:sz w:val="21"/>
                      <w:szCs w:val="21"/>
                    </w:rPr>
                  </w:pPr>
                  <w:r>
                    <w:rPr>
                      <w:rFonts w:hint="eastAsia" w:ascii="Times New Roman" w:hAnsi="Times New Roman" w:cs="Times New Roman"/>
                      <w:b/>
                      <w:bCs/>
                      <w:kern w:val="0"/>
                      <w:sz w:val="21"/>
                      <w:szCs w:val="21"/>
                    </w:rPr>
                    <w:t>厂界距离</w:t>
                  </w:r>
                </w:p>
              </w:tc>
              <w:tc>
                <w:tcPr>
                  <w:tcW w:w="775" w:type="pct"/>
                  <w:vAlign w:val="center"/>
                </w:tcPr>
                <w:p>
                  <w:pPr>
                    <w:spacing w:line="360" w:lineRule="exact"/>
                    <w:jc w:val="center"/>
                    <w:rPr>
                      <w:rFonts w:ascii="Times New Roman" w:hAnsi="Times New Roman" w:cs="Times New Roman"/>
                      <w:b/>
                      <w:bCs/>
                      <w:kern w:val="0"/>
                      <w:sz w:val="21"/>
                      <w:szCs w:val="21"/>
                    </w:rPr>
                  </w:pPr>
                  <w:r>
                    <w:rPr>
                      <w:rFonts w:ascii="Times New Roman" w:hAnsi="宋体" w:cs="Times New Roman"/>
                      <w:b/>
                      <w:bCs/>
                      <w:kern w:val="0"/>
                      <w:sz w:val="21"/>
                      <w:szCs w:val="21"/>
                    </w:rPr>
                    <w:t>贡献值之和</w:t>
                  </w:r>
                </w:p>
              </w:tc>
              <w:tc>
                <w:tcPr>
                  <w:tcW w:w="775" w:type="pct"/>
                  <w:noWrap/>
                  <w:vAlign w:val="center"/>
                </w:tcPr>
                <w:p>
                  <w:pPr>
                    <w:spacing w:line="360" w:lineRule="exact"/>
                    <w:jc w:val="center"/>
                    <w:rPr>
                      <w:rFonts w:ascii="Times New Roman" w:hAnsi="Times New Roman" w:cs="Times New Roman"/>
                      <w:b/>
                      <w:bCs/>
                      <w:kern w:val="0"/>
                      <w:sz w:val="21"/>
                      <w:szCs w:val="21"/>
                    </w:rPr>
                  </w:pPr>
                  <w:r>
                    <w:rPr>
                      <w:rFonts w:ascii="Times New Roman" w:hAnsi="宋体" w:cs="Times New Roman"/>
                      <w:b/>
                      <w:bCs/>
                      <w:kern w:val="0"/>
                      <w:sz w:val="21"/>
                      <w:szCs w:val="21"/>
                    </w:rPr>
                    <w:t>标准值</w:t>
                  </w:r>
                </w:p>
              </w:tc>
              <w:tc>
                <w:tcPr>
                  <w:tcW w:w="777" w:type="pct"/>
                  <w:noWrap/>
                  <w:vAlign w:val="center"/>
                </w:tcPr>
                <w:p>
                  <w:pPr>
                    <w:spacing w:line="360" w:lineRule="exact"/>
                    <w:jc w:val="center"/>
                    <w:rPr>
                      <w:rFonts w:ascii="Times New Roman" w:hAnsi="Times New Roman" w:cs="Times New Roman"/>
                      <w:b/>
                      <w:bCs/>
                      <w:kern w:val="0"/>
                      <w:sz w:val="21"/>
                      <w:szCs w:val="21"/>
                    </w:rPr>
                  </w:pPr>
                  <w:r>
                    <w:rPr>
                      <w:rFonts w:ascii="Times New Roman" w:hAnsi="宋体" w:cs="Times New Roman"/>
                      <w:b/>
                      <w:bCs/>
                      <w:kern w:val="0"/>
                      <w:sz w:val="21"/>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533" w:type="pct"/>
                  <w:noWrap/>
                  <w:vAlign w:val="center"/>
                </w:tcPr>
                <w:p>
                  <w:pPr>
                    <w:spacing w:line="360" w:lineRule="exact"/>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1184" w:type="pct"/>
                  <w:noWrap/>
                  <w:vAlign w:val="center"/>
                </w:tcPr>
                <w:p>
                  <w:pPr>
                    <w:spacing w:line="360" w:lineRule="exact"/>
                    <w:jc w:val="center"/>
                    <w:rPr>
                      <w:rFonts w:ascii="Times New Roman" w:hAnsi="Times New Roman" w:cs="Times New Roman"/>
                      <w:kern w:val="0"/>
                      <w:sz w:val="21"/>
                      <w:szCs w:val="21"/>
                    </w:rPr>
                  </w:pPr>
                  <w:r>
                    <w:rPr>
                      <w:rFonts w:ascii="Times New Roman" w:hAnsi="宋体" w:cs="Times New Roman"/>
                      <w:kern w:val="0"/>
                      <w:sz w:val="21"/>
                      <w:szCs w:val="21"/>
                    </w:rPr>
                    <w:t>项目东南侧厂界</w:t>
                  </w:r>
                </w:p>
              </w:tc>
              <w:tc>
                <w:tcPr>
                  <w:tcW w:w="952" w:type="pct"/>
                  <w:noWrap/>
                  <w:vAlign w:val="center"/>
                </w:tcPr>
                <w:p>
                  <w:pPr>
                    <w:spacing w:line="360" w:lineRule="exact"/>
                    <w:jc w:val="center"/>
                    <w:rPr>
                      <w:rFonts w:ascii="Times New Roman" w:hAnsi="Times New Roman" w:cs="Times New Roman"/>
                      <w:kern w:val="0"/>
                      <w:sz w:val="21"/>
                      <w:szCs w:val="21"/>
                    </w:rPr>
                  </w:pPr>
                  <w:r>
                    <w:rPr>
                      <w:rFonts w:hint="eastAsia" w:ascii="Times New Roman" w:hAnsi="Times New Roman" w:cs="Times New Roman"/>
                      <w:kern w:val="0"/>
                      <w:sz w:val="21"/>
                      <w:szCs w:val="21"/>
                    </w:rPr>
                    <w:t>50m</w:t>
                  </w:r>
                </w:p>
              </w:tc>
              <w:tc>
                <w:tcPr>
                  <w:tcW w:w="775" w:type="pct"/>
                  <w:vAlign w:val="center"/>
                </w:tcPr>
                <w:p>
                  <w:pPr>
                    <w:spacing w:line="360" w:lineRule="exact"/>
                    <w:jc w:val="center"/>
                    <w:rPr>
                      <w:rFonts w:ascii="Times New Roman" w:hAnsi="Times New Roman" w:cs="Times New Roman"/>
                      <w:kern w:val="0"/>
                      <w:sz w:val="21"/>
                      <w:szCs w:val="21"/>
                    </w:rPr>
                  </w:pPr>
                  <w:r>
                    <w:rPr>
                      <w:rFonts w:ascii="Times New Roman" w:hAnsi="Times New Roman" w:cs="Times New Roman"/>
                      <w:kern w:val="0"/>
                      <w:sz w:val="21"/>
                      <w:szCs w:val="21"/>
                    </w:rPr>
                    <w:t>38.07</w:t>
                  </w:r>
                </w:p>
              </w:tc>
              <w:tc>
                <w:tcPr>
                  <w:tcW w:w="775" w:type="pct"/>
                  <w:vMerge w:val="restart"/>
                  <w:vAlign w:val="center"/>
                </w:tcPr>
                <w:p>
                  <w:pPr>
                    <w:spacing w:line="360" w:lineRule="exact"/>
                    <w:jc w:val="center"/>
                    <w:rPr>
                      <w:rFonts w:ascii="Times New Roman" w:hAnsi="Times New Roman" w:cs="Times New Roman"/>
                      <w:kern w:val="0"/>
                      <w:sz w:val="21"/>
                      <w:szCs w:val="21"/>
                    </w:rPr>
                  </w:pPr>
                  <w:r>
                    <w:rPr>
                      <w:rFonts w:ascii="Times New Roman" w:hAnsi="宋体" w:cs="Times New Roman"/>
                      <w:kern w:val="0"/>
                      <w:sz w:val="21"/>
                      <w:szCs w:val="21"/>
                    </w:rPr>
                    <w:t>昼间</w:t>
                  </w:r>
                  <w:r>
                    <w:rPr>
                      <w:rFonts w:ascii="Times New Roman" w:hAnsi="Times New Roman" w:cs="Times New Roman"/>
                      <w:kern w:val="0"/>
                      <w:sz w:val="21"/>
                      <w:szCs w:val="21"/>
                    </w:rPr>
                    <w:t>60</w:t>
                  </w:r>
                </w:p>
                <w:p>
                  <w:pPr>
                    <w:spacing w:line="360" w:lineRule="exact"/>
                    <w:jc w:val="center"/>
                    <w:rPr>
                      <w:rFonts w:ascii="Times New Roman" w:hAnsi="Times New Roman" w:cs="Times New Roman"/>
                      <w:kern w:val="0"/>
                      <w:sz w:val="21"/>
                      <w:szCs w:val="21"/>
                    </w:rPr>
                  </w:pPr>
                  <w:r>
                    <w:rPr>
                      <w:rFonts w:ascii="Times New Roman" w:hAnsi="宋体" w:cs="Times New Roman"/>
                      <w:kern w:val="0"/>
                      <w:sz w:val="21"/>
                      <w:szCs w:val="21"/>
                    </w:rPr>
                    <w:t>夜间</w:t>
                  </w:r>
                  <w:r>
                    <w:rPr>
                      <w:rFonts w:ascii="Times New Roman" w:hAnsi="Times New Roman" w:cs="Times New Roman"/>
                      <w:kern w:val="0"/>
                      <w:sz w:val="21"/>
                      <w:szCs w:val="21"/>
                    </w:rPr>
                    <w:t>50</w:t>
                  </w:r>
                </w:p>
              </w:tc>
              <w:tc>
                <w:tcPr>
                  <w:tcW w:w="777" w:type="pct"/>
                  <w:noWrap/>
                  <w:vAlign w:val="center"/>
                </w:tcPr>
                <w:p>
                  <w:pPr>
                    <w:spacing w:line="360" w:lineRule="exact"/>
                    <w:jc w:val="center"/>
                    <w:rPr>
                      <w:rFonts w:ascii="Times New Roman" w:hAnsi="Times New Roman" w:cs="Times New Roman"/>
                      <w:kern w:val="0"/>
                      <w:sz w:val="21"/>
                      <w:szCs w:val="21"/>
                    </w:rPr>
                  </w:pPr>
                  <w:r>
                    <w:rPr>
                      <w:rFonts w:ascii="Times New Roman" w:hAnsi="宋体" w:cs="Times New Roman"/>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533" w:type="pct"/>
                  <w:noWrap/>
                  <w:vAlign w:val="center"/>
                </w:tcPr>
                <w:p>
                  <w:pPr>
                    <w:spacing w:line="360" w:lineRule="exact"/>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1184" w:type="pct"/>
                  <w:noWrap/>
                  <w:vAlign w:val="center"/>
                </w:tcPr>
                <w:p>
                  <w:pPr>
                    <w:spacing w:line="360" w:lineRule="exact"/>
                    <w:jc w:val="center"/>
                    <w:rPr>
                      <w:rFonts w:ascii="Times New Roman" w:hAnsi="Times New Roman" w:cs="Times New Roman"/>
                      <w:kern w:val="0"/>
                      <w:sz w:val="21"/>
                      <w:szCs w:val="21"/>
                    </w:rPr>
                  </w:pPr>
                  <w:r>
                    <w:rPr>
                      <w:rFonts w:ascii="Times New Roman" w:hAnsi="宋体" w:cs="Times New Roman"/>
                      <w:kern w:val="0"/>
                      <w:sz w:val="21"/>
                      <w:szCs w:val="21"/>
                    </w:rPr>
                    <w:t>项目</w:t>
                  </w:r>
                  <w:r>
                    <w:rPr>
                      <w:rFonts w:hint="eastAsia" w:ascii="Times New Roman" w:hAnsi="宋体" w:cs="Times New Roman"/>
                      <w:kern w:val="0"/>
                      <w:sz w:val="21"/>
                      <w:szCs w:val="21"/>
                    </w:rPr>
                    <w:t>西</w:t>
                  </w:r>
                  <w:r>
                    <w:rPr>
                      <w:rFonts w:ascii="Times New Roman" w:hAnsi="宋体" w:cs="Times New Roman"/>
                      <w:kern w:val="0"/>
                      <w:sz w:val="21"/>
                      <w:szCs w:val="21"/>
                    </w:rPr>
                    <w:t>南侧厂界</w:t>
                  </w:r>
                </w:p>
              </w:tc>
              <w:tc>
                <w:tcPr>
                  <w:tcW w:w="952" w:type="pct"/>
                  <w:noWrap/>
                  <w:vAlign w:val="center"/>
                </w:tcPr>
                <w:p>
                  <w:pPr>
                    <w:spacing w:line="360" w:lineRule="exact"/>
                    <w:jc w:val="center"/>
                    <w:rPr>
                      <w:rFonts w:ascii="Times New Roman" w:hAnsi="Times New Roman" w:cs="Times New Roman"/>
                      <w:kern w:val="0"/>
                      <w:sz w:val="21"/>
                      <w:szCs w:val="21"/>
                    </w:rPr>
                  </w:pPr>
                  <w:r>
                    <w:rPr>
                      <w:rFonts w:hint="eastAsia" w:ascii="Times New Roman" w:hAnsi="Times New Roman" w:cs="Times New Roman"/>
                      <w:kern w:val="0"/>
                      <w:sz w:val="21"/>
                      <w:szCs w:val="21"/>
                    </w:rPr>
                    <w:t>18 m</w:t>
                  </w:r>
                </w:p>
              </w:tc>
              <w:tc>
                <w:tcPr>
                  <w:tcW w:w="775" w:type="pct"/>
                  <w:vAlign w:val="center"/>
                </w:tcPr>
                <w:p>
                  <w:pPr>
                    <w:spacing w:line="360" w:lineRule="exact"/>
                    <w:jc w:val="center"/>
                    <w:rPr>
                      <w:rFonts w:ascii="Times New Roman" w:hAnsi="Times New Roman" w:cs="Times New Roman"/>
                      <w:kern w:val="0"/>
                      <w:sz w:val="21"/>
                      <w:szCs w:val="21"/>
                    </w:rPr>
                  </w:pPr>
                  <w:r>
                    <w:rPr>
                      <w:rFonts w:ascii="Times New Roman" w:hAnsi="Times New Roman" w:cs="Times New Roman"/>
                      <w:kern w:val="0"/>
                      <w:sz w:val="21"/>
                      <w:szCs w:val="21"/>
                    </w:rPr>
                    <w:t>46.95</w:t>
                  </w:r>
                </w:p>
              </w:tc>
              <w:tc>
                <w:tcPr>
                  <w:tcW w:w="775" w:type="pct"/>
                  <w:vMerge w:val="continue"/>
                  <w:vAlign w:val="center"/>
                </w:tcPr>
                <w:p>
                  <w:pPr>
                    <w:spacing w:line="360" w:lineRule="exact"/>
                    <w:rPr>
                      <w:rFonts w:ascii="Times New Roman" w:hAnsi="Times New Roman" w:cs="Times New Roman"/>
                      <w:kern w:val="0"/>
                      <w:sz w:val="21"/>
                      <w:szCs w:val="21"/>
                    </w:rPr>
                  </w:pPr>
                </w:p>
              </w:tc>
              <w:tc>
                <w:tcPr>
                  <w:tcW w:w="777" w:type="pct"/>
                  <w:noWrap/>
                  <w:vAlign w:val="center"/>
                </w:tcPr>
                <w:p>
                  <w:pPr>
                    <w:spacing w:line="360" w:lineRule="exact"/>
                    <w:jc w:val="center"/>
                    <w:rPr>
                      <w:rFonts w:ascii="Times New Roman" w:hAnsi="Times New Roman" w:cs="Times New Roman"/>
                      <w:kern w:val="0"/>
                      <w:sz w:val="21"/>
                      <w:szCs w:val="21"/>
                    </w:rPr>
                  </w:pPr>
                  <w:r>
                    <w:rPr>
                      <w:rFonts w:ascii="Times New Roman" w:hAnsi="宋体" w:cs="Times New Roman"/>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533" w:type="pct"/>
                  <w:noWrap/>
                  <w:vAlign w:val="center"/>
                </w:tcPr>
                <w:p>
                  <w:pPr>
                    <w:spacing w:line="360" w:lineRule="exact"/>
                    <w:jc w:val="center"/>
                    <w:rPr>
                      <w:rFonts w:ascii="Times New Roman" w:hAnsi="Times New Roman" w:cs="Times New Roman"/>
                      <w:kern w:val="0"/>
                      <w:sz w:val="21"/>
                      <w:szCs w:val="21"/>
                    </w:rPr>
                  </w:pPr>
                  <w:r>
                    <w:rPr>
                      <w:rFonts w:ascii="Times New Roman" w:hAnsi="Times New Roman" w:cs="Times New Roman"/>
                      <w:kern w:val="0"/>
                      <w:sz w:val="21"/>
                      <w:szCs w:val="21"/>
                    </w:rPr>
                    <w:t>3</w:t>
                  </w:r>
                </w:p>
              </w:tc>
              <w:tc>
                <w:tcPr>
                  <w:tcW w:w="1184" w:type="pct"/>
                  <w:noWrap/>
                  <w:vAlign w:val="center"/>
                </w:tcPr>
                <w:p>
                  <w:pPr>
                    <w:spacing w:line="360" w:lineRule="exact"/>
                    <w:jc w:val="center"/>
                    <w:rPr>
                      <w:rFonts w:ascii="Times New Roman" w:hAnsi="Times New Roman" w:cs="Times New Roman"/>
                      <w:kern w:val="0"/>
                      <w:sz w:val="21"/>
                      <w:szCs w:val="21"/>
                    </w:rPr>
                  </w:pPr>
                  <w:r>
                    <w:rPr>
                      <w:rFonts w:ascii="Times New Roman" w:hAnsi="宋体" w:cs="Times New Roman"/>
                      <w:kern w:val="0"/>
                      <w:sz w:val="21"/>
                      <w:szCs w:val="21"/>
                    </w:rPr>
                    <w:t>项目</w:t>
                  </w:r>
                  <w:r>
                    <w:rPr>
                      <w:rFonts w:hint="eastAsia" w:ascii="Times New Roman" w:hAnsi="宋体" w:cs="Times New Roman"/>
                      <w:kern w:val="0"/>
                      <w:sz w:val="21"/>
                      <w:szCs w:val="21"/>
                    </w:rPr>
                    <w:t>西北</w:t>
                  </w:r>
                  <w:r>
                    <w:rPr>
                      <w:rFonts w:ascii="Times New Roman" w:hAnsi="宋体" w:cs="Times New Roman"/>
                      <w:kern w:val="0"/>
                      <w:sz w:val="21"/>
                      <w:szCs w:val="21"/>
                    </w:rPr>
                    <w:t>侧厂界</w:t>
                  </w:r>
                </w:p>
              </w:tc>
              <w:tc>
                <w:tcPr>
                  <w:tcW w:w="952" w:type="pct"/>
                  <w:noWrap/>
                  <w:vAlign w:val="center"/>
                </w:tcPr>
                <w:p>
                  <w:pPr>
                    <w:spacing w:line="360" w:lineRule="exact"/>
                    <w:jc w:val="center"/>
                    <w:rPr>
                      <w:rFonts w:ascii="Times New Roman" w:hAnsi="Times New Roman" w:cs="Times New Roman"/>
                      <w:kern w:val="0"/>
                      <w:sz w:val="21"/>
                      <w:szCs w:val="21"/>
                    </w:rPr>
                  </w:pPr>
                  <w:r>
                    <w:rPr>
                      <w:rFonts w:hint="eastAsia" w:ascii="Times New Roman" w:hAnsi="Times New Roman" w:cs="Times New Roman"/>
                      <w:kern w:val="0"/>
                      <w:sz w:val="21"/>
                      <w:szCs w:val="21"/>
                    </w:rPr>
                    <w:t>50 m</w:t>
                  </w:r>
                </w:p>
              </w:tc>
              <w:tc>
                <w:tcPr>
                  <w:tcW w:w="775" w:type="pct"/>
                  <w:vAlign w:val="center"/>
                </w:tcPr>
                <w:p>
                  <w:pPr>
                    <w:spacing w:line="360" w:lineRule="exact"/>
                    <w:jc w:val="center"/>
                    <w:rPr>
                      <w:rFonts w:ascii="Times New Roman" w:hAnsi="Times New Roman" w:cs="Times New Roman"/>
                      <w:kern w:val="0"/>
                      <w:sz w:val="21"/>
                      <w:szCs w:val="21"/>
                    </w:rPr>
                  </w:pPr>
                  <w:r>
                    <w:rPr>
                      <w:rFonts w:ascii="Times New Roman" w:hAnsi="Times New Roman" w:cs="Times New Roman"/>
                      <w:kern w:val="0"/>
                      <w:sz w:val="21"/>
                      <w:szCs w:val="21"/>
                    </w:rPr>
                    <w:t>38.07</w:t>
                  </w:r>
                </w:p>
              </w:tc>
              <w:tc>
                <w:tcPr>
                  <w:tcW w:w="775" w:type="pct"/>
                  <w:vMerge w:val="continue"/>
                  <w:vAlign w:val="center"/>
                </w:tcPr>
                <w:p>
                  <w:pPr>
                    <w:spacing w:line="360" w:lineRule="exact"/>
                    <w:rPr>
                      <w:rFonts w:ascii="Times New Roman" w:hAnsi="Times New Roman" w:cs="Times New Roman"/>
                      <w:kern w:val="0"/>
                      <w:sz w:val="21"/>
                      <w:szCs w:val="21"/>
                    </w:rPr>
                  </w:pPr>
                </w:p>
              </w:tc>
              <w:tc>
                <w:tcPr>
                  <w:tcW w:w="777" w:type="pct"/>
                  <w:noWrap/>
                  <w:vAlign w:val="center"/>
                </w:tcPr>
                <w:p>
                  <w:pPr>
                    <w:spacing w:line="360" w:lineRule="exact"/>
                    <w:jc w:val="center"/>
                    <w:rPr>
                      <w:rFonts w:ascii="Times New Roman" w:hAnsi="Times New Roman" w:cs="Times New Roman"/>
                      <w:kern w:val="0"/>
                      <w:sz w:val="21"/>
                      <w:szCs w:val="21"/>
                    </w:rPr>
                  </w:pPr>
                  <w:r>
                    <w:rPr>
                      <w:rFonts w:ascii="Times New Roman" w:hAnsi="宋体" w:cs="Times New Roman"/>
                      <w:kern w:val="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533" w:type="pct"/>
                  <w:noWrap/>
                  <w:vAlign w:val="center"/>
                </w:tcPr>
                <w:p>
                  <w:pPr>
                    <w:spacing w:line="360" w:lineRule="exact"/>
                    <w:jc w:val="center"/>
                    <w:rPr>
                      <w:rFonts w:ascii="Times New Roman" w:hAnsi="Times New Roman" w:cs="Times New Roman"/>
                      <w:kern w:val="0"/>
                      <w:sz w:val="21"/>
                      <w:szCs w:val="21"/>
                    </w:rPr>
                  </w:pPr>
                  <w:r>
                    <w:rPr>
                      <w:rFonts w:ascii="Times New Roman" w:hAnsi="Times New Roman" w:cs="Times New Roman"/>
                      <w:kern w:val="0"/>
                      <w:sz w:val="21"/>
                      <w:szCs w:val="21"/>
                    </w:rPr>
                    <w:t>4</w:t>
                  </w:r>
                </w:p>
              </w:tc>
              <w:tc>
                <w:tcPr>
                  <w:tcW w:w="1184" w:type="pct"/>
                  <w:noWrap/>
                  <w:vAlign w:val="center"/>
                </w:tcPr>
                <w:p>
                  <w:pPr>
                    <w:spacing w:line="360" w:lineRule="exact"/>
                    <w:jc w:val="center"/>
                    <w:rPr>
                      <w:rFonts w:ascii="Times New Roman" w:hAnsi="Times New Roman" w:cs="Times New Roman"/>
                      <w:kern w:val="0"/>
                      <w:sz w:val="21"/>
                      <w:szCs w:val="21"/>
                    </w:rPr>
                  </w:pPr>
                  <w:r>
                    <w:rPr>
                      <w:rFonts w:ascii="Times New Roman" w:hAnsi="宋体" w:cs="Times New Roman"/>
                      <w:kern w:val="0"/>
                      <w:sz w:val="21"/>
                      <w:szCs w:val="21"/>
                    </w:rPr>
                    <w:t>项目东北侧厂界</w:t>
                  </w:r>
                </w:p>
              </w:tc>
              <w:tc>
                <w:tcPr>
                  <w:tcW w:w="952" w:type="pct"/>
                  <w:noWrap/>
                  <w:vAlign w:val="center"/>
                </w:tcPr>
                <w:p>
                  <w:pPr>
                    <w:spacing w:line="360" w:lineRule="exact"/>
                    <w:jc w:val="center"/>
                    <w:rPr>
                      <w:rFonts w:ascii="Times New Roman" w:hAnsi="Times New Roman" w:cs="Times New Roman"/>
                      <w:kern w:val="0"/>
                      <w:sz w:val="21"/>
                      <w:szCs w:val="21"/>
                    </w:rPr>
                  </w:pPr>
                  <w:r>
                    <w:rPr>
                      <w:rFonts w:hint="eastAsia" w:ascii="Times New Roman" w:hAnsi="Times New Roman" w:cs="Times New Roman"/>
                      <w:kern w:val="0"/>
                      <w:sz w:val="21"/>
                      <w:szCs w:val="21"/>
                    </w:rPr>
                    <w:t>19 m</w:t>
                  </w:r>
                </w:p>
              </w:tc>
              <w:tc>
                <w:tcPr>
                  <w:tcW w:w="775" w:type="pct"/>
                  <w:vAlign w:val="center"/>
                </w:tcPr>
                <w:p>
                  <w:pPr>
                    <w:spacing w:line="360" w:lineRule="exact"/>
                    <w:jc w:val="center"/>
                    <w:rPr>
                      <w:rFonts w:ascii="Times New Roman" w:hAnsi="Times New Roman" w:cs="Times New Roman"/>
                      <w:kern w:val="0"/>
                      <w:sz w:val="21"/>
                      <w:szCs w:val="21"/>
                    </w:rPr>
                  </w:pPr>
                  <w:r>
                    <w:rPr>
                      <w:rFonts w:ascii="Times New Roman" w:hAnsi="Times New Roman" w:cs="Times New Roman"/>
                      <w:kern w:val="0"/>
                      <w:sz w:val="21"/>
                      <w:szCs w:val="21"/>
                    </w:rPr>
                    <w:t>46.48</w:t>
                  </w:r>
                </w:p>
              </w:tc>
              <w:tc>
                <w:tcPr>
                  <w:tcW w:w="775" w:type="pct"/>
                  <w:vMerge w:val="continue"/>
                  <w:vAlign w:val="center"/>
                </w:tcPr>
                <w:p>
                  <w:pPr>
                    <w:spacing w:line="360" w:lineRule="exact"/>
                    <w:rPr>
                      <w:rFonts w:ascii="Times New Roman" w:hAnsi="Times New Roman" w:cs="Times New Roman"/>
                      <w:kern w:val="0"/>
                      <w:sz w:val="21"/>
                      <w:szCs w:val="21"/>
                    </w:rPr>
                  </w:pPr>
                </w:p>
              </w:tc>
              <w:tc>
                <w:tcPr>
                  <w:tcW w:w="777" w:type="pct"/>
                  <w:noWrap/>
                  <w:vAlign w:val="center"/>
                </w:tcPr>
                <w:p>
                  <w:pPr>
                    <w:spacing w:line="360" w:lineRule="exact"/>
                    <w:jc w:val="center"/>
                    <w:rPr>
                      <w:rFonts w:ascii="Times New Roman" w:hAnsi="Times New Roman" w:cs="Times New Roman"/>
                      <w:kern w:val="0"/>
                      <w:sz w:val="21"/>
                      <w:szCs w:val="21"/>
                    </w:rPr>
                  </w:pPr>
                  <w:r>
                    <w:rPr>
                      <w:rFonts w:ascii="Times New Roman" w:hAnsi="宋体" w:cs="Times New Roman"/>
                      <w:kern w:val="0"/>
                      <w:sz w:val="21"/>
                      <w:szCs w:val="21"/>
                    </w:rPr>
                    <w:t>达标</w:t>
                  </w:r>
                </w:p>
              </w:tc>
            </w:tr>
          </w:tbl>
          <w:p>
            <w:pPr>
              <w:widowControl w:val="0"/>
              <w:spacing w:before="163" w:beforeLines="50"/>
              <w:ind w:firstLine="480" w:firstLineChars="200"/>
              <w:jc w:val="both"/>
              <w:rPr>
                <w:rFonts w:ascii="黑体" w:hAnsi="黑体" w:eastAsia="黑体"/>
              </w:rPr>
            </w:pPr>
            <w:r>
              <w:rPr>
                <w:rFonts w:hint="eastAsia" w:ascii="黑体" w:hAnsi="黑体" w:eastAsia="黑体"/>
              </w:rPr>
              <w:t>由上表可知，本项目采用上述各种噪声防治措施，项目各侧场界噪声能够达到《工业企业厂界环境噪声排放标准》（GB12348-2008）中2类中的昼间、夜间标准限值要求；</w:t>
            </w:r>
          </w:p>
          <w:p>
            <w:pPr>
              <w:widowControl/>
              <w:ind w:firstLine="482" w:firstLineChars="200"/>
              <w:jc w:val="left"/>
              <w:rPr>
                <w:rFonts w:cs="Times New Roman" w:asciiTheme="majorHAnsi" w:hAnsiTheme="majorHAnsi"/>
                <w:b/>
                <w:bCs/>
                <w:kern w:val="0"/>
                <w:szCs w:val="20"/>
              </w:rPr>
            </w:pPr>
            <w:r>
              <w:rPr>
                <w:rFonts w:hint="eastAsia" w:cs="Times New Roman" w:asciiTheme="majorHAnsi" w:hAnsiTheme="majorHAnsi"/>
                <w:b/>
                <w:bCs/>
                <w:kern w:val="0"/>
                <w:szCs w:val="20"/>
              </w:rPr>
              <w:t>4.2.</w:t>
            </w:r>
            <w:r>
              <w:rPr>
                <w:rFonts w:cs="Times New Roman" w:asciiTheme="majorHAnsi" w:hAnsiTheme="majorHAnsi"/>
                <w:b/>
                <w:bCs/>
                <w:kern w:val="0"/>
                <w:szCs w:val="20"/>
              </w:rPr>
              <w:t>4</w:t>
            </w:r>
            <w:r>
              <w:rPr>
                <w:rFonts w:hint="eastAsia" w:cs="Times New Roman" w:asciiTheme="majorHAnsi" w:hAnsiTheme="majorHAnsi"/>
                <w:b/>
                <w:bCs/>
                <w:kern w:val="0"/>
                <w:szCs w:val="20"/>
              </w:rPr>
              <w:t>固废</w:t>
            </w:r>
          </w:p>
          <w:p>
            <w:pPr>
              <w:widowControl w:val="0"/>
              <w:ind w:firstLine="482" w:firstLineChars="200"/>
              <w:jc w:val="both"/>
              <w:rPr>
                <w:rFonts w:ascii="Times New Roman" w:hAnsi="Times New Roman" w:eastAsia="宋体" w:cs="Times New Roman"/>
                <w:b/>
                <w:bCs/>
                <w:kern w:val="0"/>
              </w:rPr>
            </w:pPr>
            <w:r>
              <w:rPr>
                <w:rFonts w:ascii="Times New Roman" w:hAnsi="Times New Roman" w:eastAsia="宋体" w:cs="Times New Roman"/>
                <w:b/>
                <w:bCs/>
                <w:kern w:val="0"/>
              </w:rPr>
              <w:t>1</w:t>
            </w:r>
            <w:r>
              <w:rPr>
                <w:rFonts w:hint="eastAsia" w:ascii="Times New Roman" w:hAnsi="Times New Roman" w:eastAsia="宋体" w:cs="Times New Roman"/>
                <w:b/>
                <w:bCs/>
                <w:kern w:val="0"/>
              </w:rPr>
              <w:t>、产生量分析</w:t>
            </w:r>
          </w:p>
          <w:p>
            <w:pPr>
              <w:widowControl w:val="0"/>
              <w:ind w:firstLine="482" w:firstLineChars="200"/>
              <w:jc w:val="both"/>
              <w:rPr>
                <w:rFonts w:ascii="Times New Roman" w:hAnsi="Times New Roman" w:eastAsia="宋体" w:cs="Times New Roman"/>
                <w:b/>
                <w:bCs/>
                <w:kern w:val="0"/>
                <w:szCs w:val="20"/>
              </w:rPr>
            </w:pPr>
            <w:r>
              <w:rPr>
                <w:rFonts w:hint="eastAsia" w:ascii="Times New Roman" w:hAnsi="Times New Roman" w:eastAsia="宋体" w:cs="Times New Roman"/>
                <w:b/>
                <w:bCs/>
                <w:kern w:val="0"/>
              </w:rPr>
              <w:t>1）</w:t>
            </w:r>
            <w:r>
              <w:rPr>
                <w:rFonts w:hint="eastAsia"/>
                <w:b/>
                <w:bCs/>
              </w:rPr>
              <w:t>生活垃圾、餐厨垃圾</w:t>
            </w:r>
            <w:r>
              <w:rPr>
                <w:rFonts w:hint="eastAsia" w:eastAsia="新宋体"/>
                <w:b/>
              </w:rPr>
              <w:t>（含食物残渣、隔油池废油脂等）</w:t>
            </w:r>
          </w:p>
          <w:p>
            <w:pPr>
              <w:widowControl w:val="0"/>
              <w:ind w:firstLine="480"/>
              <w:jc w:val="both"/>
              <w:rPr>
                <w:b/>
                <w:bCs/>
              </w:rPr>
            </w:pPr>
            <w:r>
              <w:rPr>
                <w:rFonts w:hint="eastAsia" w:ascii="Times New Roman" w:hAnsi="Times New Roman" w:eastAsia="宋体" w:cs="Times New Roman"/>
                <w:b/>
                <w:kern w:val="0"/>
                <w:szCs w:val="20"/>
              </w:rPr>
              <w:t>生活垃圾：</w:t>
            </w:r>
            <w:r>
              <w:rPr>
                <w:rFonts w:ascii="Times New Roman" w:hAnsi="Times New Roman" w:eastAsia="宋体" w:cs="Times New Roman"/>
                <w:kern w:val="0"/>
                <w:szCs w:val="20"/>
              </w:rPr>
              <w:t>职工办公生活垃圾产生量按照</w:t>
            </w:r>
            <w:r>
              <w:rPr>
                <w:rFonts w:hint="eastAsia" w:ascii="Times New Roman" w:hAnsi="Times New Roman" w:eastAsia="宋体" w:cs="Times New Roman"/>
                <w:kern w:val="0"/>
                <w:szCs w:val="20"/>
              </w:rPr>
              <w:t>1</w:t>
            </w:r>
            <w:r>
              <w:rPr>
                <w:rFonts w:ascii="Times New Roman" w:hAnsi="Times New Roman" w:eastAsia="宋体" w:cs="Times New Roman"/>
                <w:kern w:val="0"/>
                <w:szCs w:val="20"/>
              </w:rPr>
              <w:t>kg/人d计，则本项目营运期办公生活垃圾产生量约</w:t>
            </w:r>
            <w:r>
              <w:rPr>
                <w:rFonts w:hint="eastAsia" w:ascii="Times New Roman" w:hAnsi="Times New Roman" w:eastAsia="宋体" w:cs="Times New Roman"/>
                <w:kern w:val="0"/>
                <w:szCs w:val="20"/>
              </w:rPr>
              <w:t>3.65</w:t>
            </w:r>
            <w:r>
              <w:rPr>
                <w:rFonts w:ascii="Times New Roman" w:hAnsi="Times New Roman" w:eastAsia="宋体" w:cs="Times New Roman"/>
                <w:kern w:val="0"/>
                <w:szCs w:val="20"/>
              </w:rPr>
              <w:t>t/a</w:t>
            </w:r>
            <w:r>
              <w:rPr>
                <w:rFonts w:hint="eastAsia" w:ascii="Times New Roman" w:hAnsi="Times New Roman" w:eastAsia="宋体" w:cs="Times New Roman"/>
                <w:kern w:val="0"/>
                <w:szCs w:val="20"/>
              </w:rPr>
              <w:t>。</w:t>
            </w:r>
            <w:r>
              <w:rPr>
                <w:rFonts w:hint="eastAsia"/>
              </w:rPr>
              <w:t>项目</w:t>
            </w:r>
            <w:r>
              <w:t>采用垃圾桶进行袋装收集，生活垃圾经收集后每天由环卫部门清运处理。</w:t>
            </w:r>
          </w:p>
          <w:p>
            <w:pPr>
              <w:widowControl w:val="0"/>
              <w:ind w:firstLine="571" w:firstLineChars="237"/>
              <w:jc w:val="both"/>
              <w:rPr>
                <w:spacing w:val="-2"/>
                <w:kern w:val="0"/>
              </w:rPr>
            </w:pPr>
            <w:r>
              <w:rPr>
                <w:rFonts w:hint="eastAsia"/>
                <w:b/>
                <w:bCs/>
              </w:rPr>
              <w:t>餐厨垃圾</w:t>
            </w:r>
            <w:r>
              <w:rPr>
                <w:rFonts w:hint="eastAsia" w:eastAsia="新宋体"/>
                <w:b/>
              </w:rPr>
              <w:t>（含食物残渣、隔油池废油脂等）：</w:t>
            </w:r>
            <w:r>
              <w:rPr>
                <w:rFonts w:hint="eastAsia" w:eastAsia="新宋体"/>
              </w:rPr>
              <w:t>综合用房内设置一处员工食堂，</w:t>
            </w:r>
            <w:r>
              <w:rPr>
                <w:rFonts w:hint="eastAsia" w:hAnsi="宋体"/>
                <w:spacing w:val="-2"/>
                <w:kern w:val="0"/>
              </w:rPr>
              <w:t>食物餐厨按0.2</w:t>
            </w:r>
            <w:r>
              <w:rPr>
                <w:spacing w:val="-2"/>
                <w:kern w:val="0"/>
              </w:rPr>
              <w:t xml:space="preserve"> kg/</w:t>
            </w:r>
            <w:r>
              <w:rPr>
                <w:rFonts w:hint="eastAsia"/>
                <w:spacing w:val="-2"/>
                <w:kern w:val="0"/>
              </w:rPr>
              <w:t>人·</w:t>
            </w:r>
            <w:r>
              <w:rPr>
                <w:spacing w:val="-2"/>
                <w:kern w:val="0"/>
              </w:rPr>
              <w:t>d</w:t>
            </w:r>
            <w:r>
              <w:rPr>
                <w:rFonts w:hint="eastAsia"/>
                <w:spacing w:val="-2"/>
                <w:kern w:val="0"/>
              </w:rPr>
              <w:t>计，则餐厨垃圾产生量约为2kg/d（0.73t/a）；项目隔油池废油脂产生量按餐饮废水的</w:t>
            </w:r>
            <w:r>
              <w:rPr>
                <w:spacing w:val="-2"/>
                <w:kern w:val="0"/>
              </w:rPr>
              <w:t>0.02%</w:t>
            </w:r>
            <w:r>
              <w:rPr>
                <w:rFonts w:hint="eastAsia"/>
                <w:spacing w:val="-2"/>
                <w:kern w:val="0"/>
              </w:rPr>
              <w:t>计，餐饮废水产生量为182.5t/</w:t>
            </w:r>
            <w:r>
              <w:rPr>
                <w:spacing w:val="-2"/>
                <w:kern w:val="0"/>
              </w:rPr>
              <w:t>a</w:t>
            </w:r>
            <w:r>
              <w:rPr>
                <w:rFonts w:hint="eastAsia"/>
                <w:spacing w:val="-2"/>
                <w:kern w:val="0"/>
              </w:rPr>
              <w:t>，则隔油池废油脂产生量约为0.04t/a。因此，项目餐厨垃圾合计为0.77 t/a。</w:t>
            </w:r>
          </w:p>
          <w:p>
            <w:pPr>
              <w:widowControl w:val="0"/>
              <w:snapToGrid w:val="0"/>
              <w:ind w:firstLine="482" w:firstLineChars="200"/>
              <w:jc w:val="both"/>
              <w:rPr>
                <w:b/>
                <w:bCs/>
              </w:rPr>
            </w:pPr>
            <w:r>
              <w:rPr>
                <w:rFonts w:hint="eastAsia" w:ascii="Times New Roman" w:hAnsi="Times New Roman" w:eastAsia="宋体" w:cs="Times New Roman"/>
                <w:b/>
                <w:bCs/>
                <w:kern w:val="0"/>
              </w:rPr>
              <w:t>2）</w:t>
            </w:r>
            <w:r>
              <w:rPr>
                <w:rFonts w:hint="eastAsia"/>
                <w:b/>
                <w:bCs/>
              </w:rPr>
              <w:t>一般固废</w:t>
            </w:r>
          </w:p>
          <w:p>
            <w:pPr>
              <w:pStyle w:val="187"/>
              <w:widowControl w:val="0"/>
              <w:ind w:firstLine="482"/>
              <w:jc w:val="both"/>
            </w:pPr>
            <w:r>
              <w:rPr>
                <w:rFonts w:hint="eastAsia"/>
                <w:b/>
                <w:bCs/>
              </w:rPr>
              <w:t>①</w:t>
            </w:r>
            <w:r>
              <w:rPr>
                <w:b/>
                <w:bCs/>
              </w:rPr>
              <w:t>栅渣：</w:t>
            </w:r>
            <w:r>
              <w:rPr>
                <w:rFonts w:hint="eastAsia"/>
              </w:rPr>
              <w:t>根据《给水排水设计手册》，栅渣产生量为</w:t>
            </w:r>
            <w:r>
              <w:t>0.01~0.10m</w:t>
            </w:r>
            <w:r>
              <w:rPr>
                <w:vertAlign w:val="superscript"/>
              </w:rPr>
              <w:t>3</w:t>
            </w:r>
            <w:r>
              <w:rPr>
                <w:rFonts w:hint="eastAsia"/>
              </w:rPr>
              <w:t>栅渣</w:t>
            </w:r>
            <w:r>
              <w:t>/1000m</w:t>
            </w:r>
            <w:r>
              <w:rPr>
                <w:vertAlign w:val="superscript"/>
              </w:rPr>
              <w:t>3</w:t>
            </w:r>
            <w:r>
              <w:rPr>
                <w:rFonts w:hint="eastAsia"/>
              </w:rPr>
              <w:t>污水，栅渣的含水率一般为</w:t>
            </w:r>
            <w:r>
              <w:t>80%</w:t>
            </w:r>
            <w:r>
              <w:rPr>
                <w:rFonts w:hint="eastAsia"/>
              </w:rPr>
              <w:t>，密度约为</w:t>
            </w:r>
            <w:r>
              <w:t>960kg/m</w:t>
            </w:r>
            <w:r>
              <w:rPr>
                <w:vertAlign w:val="superscript"/>
              </w:rPr>
              <w:t>3</w:t>
            </w:r>
            <w:r>
              <w:rPr>
                <w:rFonts w:hint="eastAsia"/>
              </w:rPr>
              <w:t>。本次栅渣产生量按</w:t>
            </w:r>
            <w:r>
              <w:t>0.05m</w:t>
            </w:r>
            <w:r>
              <w:rPr>
                <w:vertAlign w:val="superscript"/>
              </w:rPr>
              <w:t>3</w:t>
            </w:r>
            <w:r>
              <w:rPr>
                <w:rFonts w:hint="eastAsia"/>
              </w:rPr>
              <w:t>栅渣</w:t>
            </w:r>
            <w:r>
              <w:t>/1000m</w:t>
            </w:r>
            <w:r>
              <w:rPr>
                <w:vertAlign w:val="superscript"/>
              </w:rPr>
              <w:t>3</w:t>
            </w:r>
            <w:r>
              <w:rPr>
                <w:rFonts w:hint="eastAsia"/>
              </w:rPr>
              <w:t>污水，本项目日处理废水共计10000</w:t>
            </w:r>
            <w:r>
              <w:t>m</w:t>
            </w:r>
            <w:r>
              <w:rPr>
                <w:vertAlign w:val="superscript"/>
              </w:rPr>
              <w:t>3</w:t>
            </w:r>
            <w:r>
              <w:rPr>
                <w:rFonts w:hint="eastAsia"/>
              </w:rPr>
              <w:t>，则栅渣产生量为480</w:t>
            </w:r>
            <w:r>
              <w:t>kg/d</w:t>
            </w:r>
            <w:r>
              <w:rPr>
                <w:rFonts w:hint="eastAsia"/>
              </w:rPr>
              <w:t>（175.2</w:t>
            </w:r>
            <w:r>
              <w:t>t/a</w:t>
            </w:r>
            <w:r>
              <w:rPr>
                <w:rFonts w:hint="eastAsia"/>
              </w:rPr>
              <w:t>），含水率为</w:t>
            </w:r>
            <w:r>
              <w:t>80%</w:t>
            </w:r>
            <w:r>
              <w:rPr>
                <w:rFonts w:hint="eastAsia"/>
              </w:rPr>
              <w:t>。</w:t>
            </w:r>
          </w:p>
          <w:p>
            <w:pPr>
              <w:pStyle w:val="187"/>
              <w:widowControl w:val="0"/>
              <w:ind w:firstLine="480"/>
              <w:jc w:val="both"/>
            </w:pPr>
            <w:r>
              <w:rPr>
                <w:rFonts w:hint="eastAsia"/>
              </w:rPr>
              <w:t>栅渣收集后由宣汉县环卫部门统一清运，送至垃圾填埋场处置，不会对环境产生不利影响。</w:t>
            </w:r>
          </w:p>
          <w:p>
            <w:pPr>
              <w:pStyle w:val="187"/>
              <w:widowControl w:val="0"/>
              <w:ind w:firstLine="482"/>
              <w:jc w:val="both"/>
            </w:pPr>
            <w:r>
              <w:rPr>
                <w:rFonts w:hint="eastAsia" w:ascii="Times New Roman" w:hAnsi="Times New Roman" w:eastAsia="宋体" w:cs="Times New Roman"/>
                <w:b/>
                <w:bCs/>
                <w:kern w:val="0"/>
                <w:szCs w:val="20"/>
              </w:rPr>
              <w:t>②</w:t>
            </w:r>
            <w:r>
              <w:rPr>
                <w:rFonts w:hint="eastAsia"/>
                <w:b/>
                <w:bCs/>
              </w:rPr>
              <w:t>沉砂：</w:t>
            </w:r>
            <w:r>
              <w:rPr>
                <w:rFonts w:hint="eastAsia"/>
              </w:rPr>
              <w:t>根据《给水排水设计手册》，城市污水的沉砂量可按</w:t>
            </w:r>
            <w:r>
              <w:t>10</w:t>
            </w:r>
            <w:r>
              <w:rPr>
                <w:vertAlign w:val="superscript"/>
              </w:rPr>
              <w:t>6</w:t>
            </w:r>
            <w:r>
              <w:t>m</w:t>
            </w:r>
            <w:r>
              <w:rPr>
                <w:vertAlign w:val="superscript"/>
              </w:rPr>
              <w:t>3</w:t>
            </w:r>
            <w:r>
              <w:rPr>
                <w:rFonts w:hint="eastAsia"/>
              </w:rPr>
              <w:t>污水沉砂</w:t>
            </w:r>
            <w:r>
              <w:t>30m</w:t>
            </w:r>
            <w:r>
              <w:rPr>
                <w:vertAlign w:val="superscript"/>
              </w:rPr>
              <w:t>3</w:t>
            </w:r>
            <w:r>
              <w:rPr>
                <w:rFonts w:hint="eastAsia"/>
              </w:rPr>
              <w:t>计算，其含水率为</w:t>
            </w:r>
            <w:r>
              <w:t>80%</w:t>
            </w:r>
            <w:r>
              <w:rPr>
                <w:rFonts w:hint="eastAsia"/>
              </w:rPr>
              <w:t>，密度为</w:t>
            </w:r>
            <w:r>
              <w:t>1500kg/m</w:t>
            </w:r>
            <w:r>
              <w:rPr>
                <w:vertAlign w:val="superscript"/>
              </w:rPr>
              <w:t>3</w:t>
            </w:r>
            <w:r>
              <w:rPr>
                <w:rFonts w:hint="eastAsia"/>
              </w:rPr>
              <w:t>。本评价参考城市污水的沉砂量产生系数</w:t>
            </w:r>
            <w:r>
              <w:t>30m</w:t>
            </w:r>
            <w:r>
              <w:rPr>
                <w:vertAlign w:val="superscript"/>
              </w:rPr>
              <w:t>3</w:t>
            </w:r>
            <w:r>
              <w:rPr>
                <w:rFonts w:hint="eastAsia"/>
              </w:rPr>
              <w:t>沉砂</w:t>
            </w:r>
            <w:r>
              <w:t>/10</w:t>
            </w:r>
            <w:r>
              <w:rPr>
                <w:vertAlign w:val="superscript"/>
              </w:rPr>
              <w:t>6</w:t>
            </w:r>
            <w:r>
              <w:t>m</w:t>
            </w:r>
            <w:r>
              <w:rPr>
                <w:vertAlign w:val="superscript"/>
              </w:rPr>
              <w:t>3</w:t>
            </w:r>
            <w:r>
              <w:rPr>
                <w:rFonts w:hint="eastAsia"/>
              </w:rPr>
              <w:t>污水，本项目日处理废水10000</w:t>
            </w:r>
            <w:r>
              <w:t>m</w:t>
            </w:r>
            <w:r>
              <w:rPr>
                <w:vertAlign w:val="superscript"/>
              </w:rPr>
              <w:t>3</w:t>
            </w:r>
            <w:r>
              <w:rPr>
                <w:rFonts w:hint="eastAsia"/>
              </w:rPr>
              <w:t>，则沉砂产生量为164.25</w:t>
            </w:r>
            <w:r>
              <w:t>t/a</w:t>
            </w:r>
            <w:r>
              <w:rPr>
                <w:rFonts w:hint="eastAsia"/>
              </w:rPr>
              <w:t>。</w:t>
            </w:r>
          </w:p>
          <w:p>
            <w:pPr>
              <w:pStyle w:val="187"/>
              <w:widowControl w:val="0"/>
              <w:ind w:firstLine="480"/>
              <w:jc w:val="both"/>
            </w:pPr>
            <w:r>
              <w:rPr>
                <w:rFonts w:hint="eastAsia"/>
              </w:rPr>
              <w:t>沉砂经脱水后由宣汉县环卫部门统一清运，送至垃圾填埋场处置，不会对环境产生不利影响。</w:t>
            </w:r>
          </w:p>
          <w:p>
            <w:pPr>
              <w:pStyle w:val="187"/>
              <w:widowControl w:val="0"/>
              <w:ind w:firstLine="482"/>
              <w:jc w:val="both"/>
              <w:rPr>
                <w:b/>
                <w:bCs/>
                <w:szCs w:val="24"/>
              </w:rPr>
            </w:pPr>
            <w:r>
              <w:rPr>
                <w:rFonts w:hint="eastAsia" w:ascii="Times New Roman" w:hAnsi="Times New Roman" w:eastAsia="宋体" w:cs="Times New Roman"/>
                <w:b/>
                <w:bCs/>
              </w:rPr>
              <w:t>③</w:t>
            </w:r>
            <w:r>
              <w:rPr>
                <w:b/>
                <w:bCs/>
                <w:szCs w:val="24"/>
              </w:rPr>
              <w:t>污泥：</w:t>
            </w:r>
            <w:r>
              <w:rPr>
                <w:rFonts w:hint="eastAsia"/>
                <w:bCs/>
                <w:szCs w:val="24"/>
              </w:rPr>
              <w:t>根据《排污许可证申请与核发技术规范 水处理（试行）》（HJ 978-2018）中干污泥的产生量计算公式可知，本项目干污泥产生量为3.4t/d，年产生量为1241 t/a。</w:t>
            </w:r>
          </w:p>
          <w:p>
            <w:pPr>
              <w:pStyle w:val="187"/>
              <w:widowControl w:val="0"/>
              <w:ind w:firstLine="480"/>
              <w:jc w:val="both"/>
              <w:rPr>
                <w:bCs/>
                <w:szCs w:val="24"/>
              </w:rPr>
            </w:pPr>
            <w:r>
              <w:rPr>
                <w:rFonts w:hint="eastAsia"/>
                <w:bCs/>
                <w:szCs w:val="24"/>
              </w:rPr>
              <w:t>本项目污泥须经污泥脱水机房进行浓缩脱水使含水率低于60%，委托有相应污泥处置资质的单位进行无害化处置，并签订处置协议，要求污泥处理处置利用技术符合《排污许可证申请与核发技术规范 水处理（试行）》（HJ978-2018）6.4 污泥处理处置可行技术。</w:t>
            </w:r>
          </w:p>
          <w:p>
            <w:pPr>
              <w:pStyle w:val="187"/>
              <w:widowControl w:val="0"/>
              <w:ind w:firstLine="482"/>
              <w:jc w:val="both"/>
            </w:pPr>
            <w:r>
              <w:rPr>
                <w:rFonts w:hint="eastAsia" w:asciiTheme="minorEastAsia" w:hAnsiTheme="minorEastAsia"/>
                <w:b/>
                <w:bCs/>
              </w:rPr>
              <w:t>④</w:t>
            </w:r>
            <w:r>
              <w:rPr>
                <w:rFonts w:hint="eastAsia"/>
                <w:b/>
                <w:bCs/>
              </w:rPr>
              <w:t>废包装物：</w:t>
            </w:r>
            <w:r>
              <w:rPr>
                <w:rFonts w:hint="eastAsia"/>
              </w:rPr>
              <w:t>项目运营期的废包装物主要是污水处理厂添加的</w:t>
            </w:r>
            <w:r>
              <w:t>PAC</w:t>
            </w:r>
            <w:r>
              <w:rPr>
                <w:rFonts w:hint="eastAsia"/>
              </w:rPr>
              <w:t>和</w:t>
            </w:r>
            <w:r>
              <w:t>PAM</w:t>
            </w:r>
            <w:r>
              <w:rPr>
                <w:rFonts w:hint="eastAsia"/>
              </w:rPr>
              <w:t>等废包装桶，本项目废包装物的产生量约0.5</w:t>
            </w:r>
            <w:r>
              <w:t>t/a</w:t>
            </w:r>
            <w:r>
              <w:rPr>
                <w:rFonts w:hint="eastAsia"/>
              </w:rPr>
              <w:t>，作为一般废物管理，收集后交由资源回收单位处理。</w:t>
            </w:r>
          </w:p>
          <w:p>
            <w:pPr>
              <w:pStyle w:val="187"/>
              <w:widowControl w:val="0"/>
              <w:ind w:firstLine="482"/>
              <w:jc w:val="both"/>
            </w:pPr>
            <w:r>
              <w:rPr>
                <w:rFonts w:hint="eastAsia" w:asciiTheme="minorEastAsia" w:hAnsiTheme="minorEastAsia"/>
                <w:b/>
                <w:szCs w:val="21"/>
              </w:rPr>
              <w:t>⑤</w:t>
            </w:r>
            <w:r>
              <w:rPr>
                <w:b/>
                <w:szCs w:val="21"/>
              </w:rPr>
              <w:t>废生物填料：</w:t>
            </w:r>
            <w:r>
              <w:rPr>
                <w:szCs w:val="21"/>
              </w:rPr>
              <w:t>本项目生物滤池系统每隔3~5年更换一次填料，产生量为0.</w:t>
            </w:r>
            <w:r>
              <w:rPr>
                <w:rFonts w:hint="eastAsia"/>
                <w:szCs w:val="21"/>
              </w:rPr>
              <w:t>1</w:t>
            </w:r>
            <w:r>
              <w:rPr>
                <w:szCs w:val="21"/>
              </w:rPr>
              <w:t>t/a。</w:t>
            </w:r>
            <w:r>
              <w:rPr>
                <w:rFonts w:hint="eastAsia"/>
              </w:rPr>
              <w:t>该废弃填料为一般固废，由填料生产厂家统一回收。</w:t>
            </w:r>
          </w:p>
          <w:p>
            <w:pPr>
              <w:widowControl w:val="0"/>
              <w:snapToGrid w:val="0"/>
              <w:ind w:firstLine="482" w:firstLineChars="200"/>
              <w:jc w:val="both"/>
              <w:rPr>
                <w:b/>
                <w:bCs/>
              </w:rPr>
            </w:pPr>
            <w:r>
              <w:rPr>
                <w:rFonts w:ascii="Times New Roman" w:hAnsi="Times New Roman" w:eastAsia="宋体" w:cs="Times New Roman"/>
                <w:b/>
                <w:bCs/>
                <w:kern w:val="0"/>
              </w:rPr>
              <w:t>3</w:t>
            </w:r>
            <w:r>
              <w:rPr>
                <w:rFonts w:hint="eastAsia" w:ascii="Times New Roman" w:hAnsi="Times New Roman" w:eastAsia="宋体" w:cs="Times New Roman"/>
                <w:b/>
                <w:bCs/>
                <w:kern w:val="0"/>
              </w:rPr>
              <w:t>）</w:t>
            </w:r>
            <w:r>
              <w:rPr>
                <w:rFonts w:hint="eastAsia"/>
                <w:b/>
                <w:bCs/>
              </w:rPr>
              <w:t>危险废物</w:t>
            </w:r>
          </w:p>
          <w:p>
            <w:pPr>
              <w:widowControl w:val="0"/>
              <w:ind w:firstLine="482" w:firstLineChars="200"/>
              <w:jc w:val="both"/>
            </w:pPr>
            <w:r>
              <w:rPr>
                <w:rFonts w:hint="eastAsia"/>
                <w:b/>
                <w:bCs/>
              </w:rPr>
              <w:t>①在线监测废液、废弃化学试剂药品、废试剂瓶</w:t>
            </w:r>
            <w:r>
              <w:rPr>
                <w:b/>
                <w:bCs/>
              </w:rPr>
              <w:t>：</w:t>
            </w:r>
            <w:r>
              <w:t>本项目设置COD、NH</w:t>
            </w:r>
            <w:r>
              <w:rPr>
                <w:vertAlign w:val="subscript"/>
              </w:rPr>
              <w:t>3</w:t>
            </w:r>
            <w:r>
              <w:t>-N、TP在线监测设备，根据建设单位提供的资料，在线监测设备产生废液约0.</w:t>
            </w:r>
            <w:r>
              <w:rPr>
                <w:rFonts w:hint="eastAsia"/>
              </w:rPr>
              <w:t>5</w:t>
            </w:r>
            <w:r>
              <w:t>t/a</w:t>
            </w:r>
            <w:r>
              <w:rPr>
                <w:rFonts w:hint="eastAsia"/>
              </w:rPr>
              <w:t>，废弃化学试剂药品、废试剂瓶产生量约为0.1t/a。属于《国家危险废物名录（2021年版）》中“HW49其他废物”的“900-047-49 生产、研究、开发、教学、环境检测（监测）活动中，化学和生物实验室（不包含感染性医学实验室及医疗机构化验室）产生的含氰、氟、重金属无机废液及无机废液处理产生的残渣、残液，含矿物油、有机溶剂、甲醛有机废液，废酸、废碱”。项目产生的危险废物</w:t>
            </w:r>
            <w:r>
              <w:t>暂存于危废暂存间内，并定期交由</w:t>
            </w:r>
            <w:r>
              <w:rPr>
                <w:rFonts w:hint="eastAsia"/>
              </w:rPr>
              <w:t>有危废资质的单位进行处理。</w:t>
            </w:r>
          </w:p>
          <w:p>
            <w:pPr>
              <w:widowControl/>
              <w:ind w:firstLine="480" w:firstLineChars="200"/>
              <w:jc w:val="both"/>
              <w:rPr>
                <w:rFonts w:hint="eastAsia" w:ascii="Times New Roman" w:hAnsi="Times New Roman" w:eastAsia="宋体" w:cs="Times New Roman"/>
                <w:kern w:val="0"/>
              </w:rPr>
            </w:pPr>
            <w:r>
              <w:rPr>
                <w:rFonts w:hint="eastAsia" w:ascii="Times New Roman" w:hAnsi="Times New Roman" w:eastAsia="宋体" w:cs="Times New Roman"/>
                <w:kern w:val="0"/>
              </w:rPr>
              <w:t>综上，本项目固体废物产生及处置措施见下表。</w:t>
            </w:r>
          </w:p>
          <w:p>
            <w:pPr>
              <w:widowControl/>
              <w:ind w:firstLine="480" w:firstLineChars="200"/>
              <w:jc w:val="both"/>
              <w:rPr>
                <w:rFonts w:hint="eastAsia" w:ascii="Times New Roman" w:hAnsi="Times New Roman" w:eastAsia="宋体" w:cs="Times New Roman"/>
                <w:kern w:val="0"/>
              </w:rPr>
            </w:pP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hint="eastAsia" w:ascii="Times New Roman" w:hAnsi="Times New Roman" w:eastAsia="黑体"/>
                <w:kern w:val="2"/>
                <w:szCs w:val="24"/>
              </w:rPr>
              <w:t>固体废物污染源强及处置措施表</w:t>
            </w:r>
          </w:p>
          <w:tbl>
            <w:tblPr>
              <w:tblStyle w:val="44"/>
              <w:tblW w:w="9170" w:type="dxa"/>
              <w:jc w:val="center"/>
              <w:tblLayout w:type="autofit"/>
              <w:tblCellMar>
                <w:top w:w="0" w:type="dxa"/>
                <w:left w:w="0" w:type="dxa"/>
                <w:bottom w:w="0" w:type="dxa"/>
                <w:right w:w="0" w:type="dxa"/>
              </w:tblCellMar>
            </w:tblPr>
            <w:tblGrid>
              <w:gridCol w:w="786"/>
              <w:gridCol w:w="835"/>
              <w:gridCol w:w="644"/>
              <w:gridCol w:w="870"/>
              <w:gridCol w:w="700"/>
              <w:gridCol w:w="571"/>
              <w:gridCol w:w="586"/>
              <w:gridCol w:w="615"/>
              <w:gridCol w:w="453"/>
              <w:gridCol w:w="646"/>
              <w:gridCol w:w="703"/>
              <w:gridCol w:w="466"/>
              <w:gridCol w:w="703"/>
              <w:gridCol w:w="592"/>
            </w:tblGrid>
            <w:tr>
              <w:tblPrEx>
                <w:tblCellMar>
                  <w:top w:w="0" w:type="dxa"/>
                  <w:left w:w="0" w:type="dxa"/>
                  <w:bottom w:w="0" w:type="dxa"/>
                  <w:right w:w="0" w:type="dxa"/>
                </w:tblCellMar>
              </w:tblPrEx>
              <w:trPr>
                <w:trHeight w:val="90" w:hRule="atLeast"/>
                <w:jc w:val="center"/>
              </w:trPr>
              <w:tc>
                <w:tcPr>
                  <w:tcW w:w="78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固体废物来源</w:t>
                  </w:r>
                </w:p>
              </w:tc>
              <w:tc>
                <w:tcPr>
                  <w:tcW w:w="8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固体废物名称</w:t>
                  </w:r>
                </w:p>
              </w:tc>
              <w:tc>
                <w:tcPr>
                  <w:tcW w:w="64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固体废物属性（一般或危废）</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编码</w:t>
                  </w:r>
                </w:p>
              </w:tc>
              <w:tc>
                <w:tcPr>
                  <w:tcW w:w="70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有毒有害名称</w:t>
                  </w:r>
                </w:p>
              </w:tc>
              <w:tc>
                <w:tcPr>
                  <w:tcW w:w="5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物理性状</w:t>
                  </w:r>
                </w:p>
              </w:tc>
              <w:tc>
                <w:tcPr>
                  <w:tcW w:w="58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环境危险特性</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年度产生量t/a</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贮存方式</w:t>
                  </w:r>
                </w:p>
              </w:tc>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利用处置方式</w:t>
                  </w:r>
                </w:p>
              </w:tc>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处理去向</w:t>
                  </w:r>
                </w:p>
              </w:tc>
            </w:tr>
            <w:tr>
              <w:tblPrEx>
                <w:tblCellMar>
                  <w:top w:w="0" w:type="dxa"/>
                  <w:left w:w="0" w:type="dxa"/>
                  <w:bottom w:w="0" w:type="dxa"/>
                  <w:right w:w="0" w:type="dxa"/>
                </w:tblCellMar>
              </w:tblPrEx>
              <w:trPr>
                <w:trHeight w:val="90" w:hRule="atLeast"/>
                <w:jc w:val="center"/>
              </w:trPr>
              <w:tc>
                <w:tcPr>
                  <w:tcW w:w="7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自行贮存量（t/a）</w:t>
                  </w:r>
                </w:p>
              </w:tc>
              <w:tc>
                <w:tcPr>
                  <w:tcW w:w="116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转移量（t/a）</w:t>
                  </w:r>
                </w:p>
              </w:tc>
              <w:tc>
                <w:tcPr>
                  <w:tcW w:w="59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排放量（t/a）</w:t>
                  </w:r>
                </w:p>
              </w:tc>
            </w:tr>
            <w:tr>
              <w:tblPrEx>
                <w:tblCellMar>
                  <w:top w:w="0" w:type="dxa"/>
                  <w:left w:w="0" w:type="dxa"/>
                  <w:bottom w:w="0" w:type="dxa"/>
                  <w:right w:w="0" w:type="dxa"/>
                </w:tblCellMar>
              </w:tblPrEx>
              <w:trPr>
                <w:trHeight w:val="90" w:hRule="atLeast"/>
                <w:jc w:val="center"/>
              </w:trPr>
              <w:tc>
                <w:tcPr>
                  <w:tcW w:w="7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8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6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70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5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c>
                <w:tcPr>
                  <w:tcW w:w="4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委托利用量</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b/>
                      <w:sz w:val="18"/>
                      <w:szCs w:val="18"/>
                    </w:rPr>
                  </w:pPr>
                  <w:r>
                    <w:rPr>
                      <w:b/>
                      <w:kern w:val="0"/>
                      <w:sz w:val="18"/>
                      <w:szCs w:val="18"/>
                    </w:rPr>
                    <w:t>委托处置量</w:t>
                  </w:r>
                </w:p>
              </w:tc>
              <w:tc>
                <w:tcPr>
                  <w:tcW w:w="5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b/>
                      <w:sz w:val="18"/>
                      <w:szCs w:val="18"/>
                    </w:rPr>
                  </w:pPr>
                </w:p>
              </w:tc>
            </w:tr>
            <w:tr>
              <w:tblPrEx>
                <w:tblCellMar>
                  <w:top w:w="0" w:type="dxa"/>
                  <w:left w:w="0" w:type="dxa"/>
                  <w:bottom w:w="0" w:type="dxa"/>
                  <w:right w:w="0" w:type="dxa"/>
                </w:tblCellMar>
              </w:tblPrEx>
              <w:trPr>
                <w:trHeight w:val="90" w:hRule="atLeast"/>
                <w:jc w:val="center"/>
              </w:trPr>
              <w:tc>
                <w:tcPr>
                  <w:tcW w:w="786"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办公生活</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sz w:val="18"/>
                      <w:szCs w:val="18"/>
                    </w:rPr>
                    <w:t>生活垃圾</w:t>
                  </w:r>
                </w:p>
              </w:tc>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w:t>
                  </w:r>
                </w:p>
              </w:tc>
              <w:tc>
                <w:tcPr>
                  <w:tcW w:w="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固体</w:t>
                  </w:r>
                </w:p>
              </w:tc>
              <w:tc>
                <w:tcPr>
                  <w:tcW w:w="5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3.65</w:t>
                  </w: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rFonts w:hint="eastAsia"/>
                      <w:sz w:val="18"/>
                      <w:szCs w:val="18"/>
                    </w:rPr>
                    <w:t>垃圾桶</w:t>
                  </w:r>
                </w:p>
              </w:tc>
              <w:tc>
                <w:tcPr>
                  <w:tcW w:w="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委托</w:t>
                  </w:r>
                  <w:r>
                    <w:rPr>
                      <w:rFonts w:hint="eastAsia"/>
                      <w:kern w:val="0"/>
                      <w:sz w:val="18"/>
                      <w:szCs w:val="18"/>
                    </w:rPr>
                    <w:t>处置</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3.65</w:t>
                  </w:r>
                </w:p>
              </w:tc>
              <w:tc>
                <w:tcPr>
                  <w:tcW w:w="4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0</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3.65</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0</w:t>
                  </w:r>
                </w:p>
              </w:tc>
            </w:tr>
            <w:tr>
              <w:tblPrEx>
                <w:tblCellMar>
                  <w:top w:w="0" w:type="dxa"/>
                  <w:left w:w="0" w:type="dxa"/>
                  <w:bottom w:w="0" w:type="dxa"/>
                  <w:right w:w="0" w:type="dxa"/>
                </w:tblCellMar>
              </w:tblPrEx>
              <w:trPr>
                <w:trHeight w:val="90" w:hRule="atLeast"/>
                <w:jc w:val="center"/>
              </w:trPr>
              <w:tc>
                <w:tcPr>
                  <w:tcW w:w="786"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餐厨垃圾</w:t>
                  </w:r>
                </w:p>
              </w:tc>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p>
              </w:tc>
              <w:tc>
                <w:tcPr>
                  <w:tcW w:w="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kern w:val="0"/>
                      <w:sz w:val="18"/>
                      <w:szCs w:val="18"/>
                    </w:rPr>
                  </w:pPr>
                  <w:r>
                    <w:rPr>
                      <w:kern w:val="0"/>
                      <w:sz w:val="18"/>
                      <w:szCs w:val="18"/>
                    </w:rPr>
                    <w:t>固体</w:t>
                  </w:r>
                </w:p>
                <w:p>
                  <w:pPr>
                    <w:spacing w:line="360" w:lineRule="exact"/>
                    <w:jc w:val="center"/>
                    <w:rPr>
                      <w:sz w:val="18"/>
                      <w:szCs w:val="18"/>
                    </w:rPr>
                  </w:pPr>
                  <w:r>
                    <w:rPr>
                      <w:rFonts w:hint="eastAsia"/>
                      <w:kern w:val="0"/>
                      <w:sz w:val="18"/>
                      <w:szCs w:val="18"/>
                    </w:rPr>
                    <w:t>液体</w:t>
                  </w:r>
                </w:p>
              </w:tc>
              <w:tc>
                <w:tcPr>
                  <w:tcW w:w="5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0.77</w:t>
                  </w:r>
                </w:p>
              </w:tc>
              <w:tc>
                <w:tcPr>
                  <w:tcW w:w="45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厨余桶</w:t>
                  </w:r>
                </w:p>
              </w:tc>
              <w:tc>
                <w:tcPr>
                  <w:tcW w:w="6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kern w:val="0"/>
                      <w:sz w:val="18"/>
                      <w:szCs w:val="18"/>
                    </w:rPr>
                    <w:t>委托</w:t>
                  </w:r>
                  <w:r>
                    <w:rPr>
                      <w:rFonts w:hint="eastAsia"/>
                      <w:kern w:val="0"/>
                      <w:sz w:val="18"/>
                      <w:szCs w:val="18"/>
                    </w:rPr>
                    <w:t>处置</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0.77</w:t>
                  </w:r>
                </w:p>
              </w:tc>
              <w:tc>
                <w:tcPr>
                  <w:tcW w:w="4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0.77</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w:t>
                  </w:r>
                </w:p>
              </w:tc>
            </w:tr>
            <w:tr>
              <w:tblPrEx>
                <w:tblCellMar>
                  <w:top w:w="0" w:type="dxa"/>
                  <w:left w:w="0" w:type="dxa"/>
                  <w:bottom w:w="0" w:type="dxa"/>
                  <w:right w:w="0" w:type="dxa"/>
                </w:tblCellMar>
              </w:tblPrEx>
              <w:trPr>
                <w:trHeight w:val="563"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sz w:val="18"/>
                      <w:szCs w:val="18"/>
                    </w:rPr>
                    <w:t>格栅池、</w:t>
                  </w:r>
                  <w:r>
                    <w:rPr>
                      <w:rFonts w:hint="eastAsia"/>
                      <w:sz w:val="18"/>
                      <w:szCs w:val="18"/>
                    </w:rPr>
                    <w:t>二沉池、</w:t>
                  </w:r>
                  <w:r>
                    <w:rPr>
                      <w:sz w:val="18"/>
                      <w:szCs w:val="18"/>
                    </w:rPr>
                    <w:t>污泥池</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sz w:val="18"/>
                      <w:szCs w:val="18"/>
                    </w:rPr>
                    <w:t>栅渣</w:t>
                  </w:r>
                  <w:r>
                    <w:rPr>
                      <w:rFonts w:hint="eastAsia"/>
                      <w:sz w:val="18"/>
                      <w:szCs w:val="18"/>
                    </w:rPr>
                    <w:t>、沉砂和</w:t>
                  </w:r>
                  <w:r>
                    <w:rPr>
                      <w:sz w:val="18"/>
                      <w:szCs w:val="18"/>
                    </w:rPr>
                    <w:t>污泥</w:t>
                  </w:r>
                </w:p>
              </w:tc>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一般工业固废</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rFonts w:ascii="Times New Roman" w:hAnsi="Times New Roman"/>
                      <w:sz w:val="18"/>
                      <w:szCs w:val="18"/>
                    </w:rPr>
                    <w:t>900-999-99</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w:t>
                  </w:r>
                </w:p>
              </w:tc>
              <w:tc>
                <w:tcPr>
                  <w:tcW w:w="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固体</w:t>
                  </w:r>
                </w:p>
              </w:tc>
              <w:tc>
                <w:tcPr>
                  <w:tcW w:w="5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1580.45</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rFonts w:hint="eastAsia"/>
                      <w:kern w:val="0"/>
                      <w:sz w:val="18"/>
                      <w:szCs w:val="18"/>
                    </w:rPr>
                    <w:t>桶装于一般固废</w:t>
                  </w:r>
                  <w:r>
                    <w:rPr>
                      <w:kern w:val="0"/>
                      <w:sz w:val="18"/>
                      <w:szCs w:val="18"/>
                    </w:rPr>
                    <w:t>堆放区</w:t>
                  </w:r>
                </w:p>
              </w:tc>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委托处置</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1580.45</w:t>
                  </w:r>
                </w:p>
              </w:tc>
              <w:tc>
                <w:tcPr>
                  <w:tcW w:w="4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0</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1580.45</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0</w:t>
                  </w:r>
                </w:p>
              </w:tc>
            </w:tr>
            <w:tr>
              <w:tblPrEx>
                <w:tblCellMar>
                  <w:top w:w="0" w:type="dxa"/>
                  <w:left w:w="0" w:type="dxa"/>
                  <w:bottom w:w="0" w:type="dxa"/>
                  <w:right w:w="0" w:type="dxa"/>
                </w:tblCellMar>
              </w:tblPrEx>
              <w:trPr>
                <w:trHeight w:val="563"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加药间</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废包装物</w:t>
                  </w:r>
                </w:p>
              </w:tc>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kern w:val="0"/>
                      <w:sz w:val="18"/>
                      <w:szCs w:val="18"/>
                    </w:rPr>
                  </w:pPr>
                  <w:r>
                    <w:rPr>
                      <w:kern w:val="0"/>
                      <w:sz w:val="18"/>
                      <w:szCs w:val="18"/>
                    </w:rPr>
                    <w:t>一般工业固废</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kern w:val="0"/>
                      <w:sz w:val="18"/>
                      <w:szCs w:val="18"/>
                    </w:rPr>
                  </w:pPr>
                  <w:r>
                    <w:rPr>
                      <w:rFonts w:ascii="Times New Roman" w:hAnsi="Times New Roman"/>
                      <w:sz w:val="18"/>
                      <w:szCs w:val="18"/>
                    </w:rPr>
                    <w:t>900-999-99</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kern w:val="0"/>
                      <w:sz w:val="18"/>
                      <w:szCs w:val="18"/>
                    </w:rPr>
                  </w:pPr>
                  <w:r>
                    <w:rPr>
                      <w:rFonts w:hint="eastAsia"/>
                      <w:kern w:val="0"/>
                      <w:sz w:val="18"/>
                      <w:szCs w:val="18"/>
                    </w:rPr>
                    <w:t>/</w:t>
                  </w:r>
                </w:p>
              </w:tc>
              <w:tc>
                <w:tcPr>
                  <w:tcW w:w="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kern w:val="0"/>
                      <w:sz w:val="18"/>
                      <w:szCs w:val="18"/>
                    </w:rPr>
                  </w:pPr>
                  <w:r>
                    <w:rPr>
                      <w:kern w:val="0"/>
                      <w:sz w:val="18"/>
                      <w:szCs w:val="18"/>
                    </w:rPr>
                    <w:t>固体</w:t>
                  </w:r>
                </w:p>
              </w:tc>
              <w:tc>
                <w:tcPr>
                  <w:tcW w:w="5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kern w:val="0"/>
                      <w:sz w:val="18"/>
                      <w:szCs w:val="18"/>
                    </w:rPr>
                  </w:pPr>
                  <w:r>
                    <w:rPr>
                      <w:kern w:val="0"/>
                      <w:sz w:val="18"/>
                      <w:szCs w:val="18"/>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0.5</w:t>
                  </w: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kern w:val="0"/>
                      <w:sz w:val="18"/>
                      <w:szCs w:val="18"/>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kern w:val="0"/>
                      <w:sz w:val="18"/>
                      <w:szCs w:val="18"/>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0.5</w:t>
                  </w:r>
                </w:p>
              </w:tc>
              <w:tc>
                <w:tcPr>
                  <w:tcW w:w="4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kern w:val="0"/>
                      <w:sz w:val="18"/>
                      <w:szCs w:val="18"/>
                    </w:rPr>
                  </w:pPr>
                  <w:r>
                    <w:rPr>
                      <w:kern w:val="0"/>
                      <w:sz w:val="18"/>
                      <w:szCs w:val="18"/>
                    </w:rPr>
                    <w:t>0</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0.5</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kern w:val="0"/>
                      <w:sz w:val="18"/>
                      <w:szCs w:val="18"/>
                    </w:rPr>
                  </w:pPr>
                  <w:r>
                    <w:rPr>
                      <w:kern w:val="0"/>
                      <w:sz w:val="18"/>
                      <w:szCs w:val="18"/>
                    </w:rPr>
                    <w:t>0</w:t>
                  </w:r>
                </w:p>
              </w:tc>
            </w:tr>
            <w:tr>
              <w:tblPrEx>
                <w:tblCellMar>
                  <w:top w:w="0" w:type="dxa"/>
                  <w:left w:w="0" w:type="dxa"/>
                  <w:bottom w:w="0" w:type="dxa"/>
                  <w:right w:w="0" w:type="dxa"/>
                </w:tblCellMar>
              </w:tblPrEx>
              <w:trPr>
                <w:trHeight w:val="832"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sz w:val="18"/>
                      <w:szCs w:val="18"/>
                    </w:rPr>
                    <w:t>生物除臭装置</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sz w:val="18"/>
                      <w:szCs w:val="18"/>
                    </w:rPr>
                    <w:t>废生物填料</w:t>
                  </w:r>
                </w:p>
              </w:tc>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一般工业固废</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rFonts w:ascii="Times New Roman" w:hAnsi="Times New Roman"/>
                      <w:sz w:val="18"/>
                      <w:szCs w:val="18"/>
                    </w:rPr>
                    <w:t>900-999-99</w:t>
                  </w:r>
                </w:p>
              </w:tc>
              <w:tc>
                <w:tcPr>
                  <w:tcW w:w="7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w:t>
                  </w:r>
                </w:p>
              </w:tc>
              <w:tc>
                <w:tcPr>
                  <w:tcW w:w="57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固体</w:t>
                  </w:r>
                </w:p>
              </w:tc>
              <w:tc>
                <w:tcPr>
                  <w:tcW w:w="5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0.1</w:t>
                  </w: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0.1</w:t>
                  </w:r>
                </w:p>
              </w:tc>
              <w:tc>
                <w:tcPr>
                  <w:tcW w:w="4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0</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0.1</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0</w:t>
                  </w:r>
                </w:p>
              </w:tc>
            </w:tr>
            <w:tr>
              <w:tblPrEx>
                <w:tblCellMar>
                  <w:top w:w="0" w:type="dxa"/>
                  <w:left w:w="0" w:type="dxa"/>
                  <w:bottom w:w="0" w:type="dxa"/>
                  <w:right w:w="0" w:type="dxa"/>
                </w:tblCellMar>
              </w:tblPrEx>
              <w:trPr>
                <w:trHeight w:val="338"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sz w:val="18"/>
                      <w:szCs w:val="18"/>
                    </w:rPr>
                    <w:t>在线监测设备</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sz w:val="18"/>
                      <w:szCs w:val="18"/>
                    </w:rPr>
                    <w:t>在线监测设备废液</w:t>
                  </w:r>
                </w:p>
              </w:tc>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危险废物</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sz w:val="18"/>
                      <w:szCs w:val="18"/>
                    </w:rPr>
                  </w:pPr>
                  <w:r>
                    <w:rPr>
                      <w:sz w:val="18"/>
                      <w:szCs w:val="18"/>
                    </w:rPr>
                    <w:t>900-047-49</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exact"/>
                    <w:jc w:val="center"/>
                    <w:rPr>
                      <w:sz w:val="18"/>
                      <w:szCs w:val="18"/>
                    </w:rPr>
                  </w:pPr>
                  <w:r>
                    <w:rPr>
                      <w:sz w:val="18"/>
                      <w:szCs w:val="18"/>
                    </w:rPr>
                    <w:t>酸、碱、重金属等</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exact"/>
                    <w:jc w:val="center"/>
                    <w:rPr>
                      <w:sz w:val="18"/>
                      <w:szCs w:val="18"/>
                    </w:rPr>
                  </w:pPr>
                  <w:r>
                    <w:rPr>
                      <w:sz w:val="18"/>
                      <w:szCs w:val="18"/>
                    </w:rPr>
                    <w:t>液态</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exact"/>
                    <w:jc w:val="center"/>
                    <w:rPr>
                      <w:sz w:val="18"/>
                      <w:szCs w:val="18"/>
                    </w:rPr>
                  </w:pPr>
                  <w:r>
                    <w:rPr>
                      <w:sz w:val="18"/>
                      <w:szCs w:val="18"/>
                    </w:rPr>
                    <w:t>T,I</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0.5</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危废暂存间</w:t>
                  </w:r>
                </w:p>
              </w:tc>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委托处置</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0.5</w:t>
                  </w:r>
                </w:p>
              </w:tc>
              <w:tc>
                <w:tcPr>
                  <w:tcW w:w="4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0</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0.5</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0</w:t>
                  </w:r>
                </w:p>
              </w:tc>
            </w:tr>
            <w:tr>
              <w:tblPrEx>
                <w:tblCellMar>
                  <w:top w:w="0" w:type="dxa"/>
                  <w:left w:w="0" w:type="dxa"/>
                  <w:bottom w:w="0" w:type="dxa"/>
                  <w:right w:w="0" w:type="dxa"/>
                </w:tblCellMar>
              </w:tblPrEx>
              <w:trPr>
                <w:trHeight w:val="338" w:hRule="atLeast"/>
                <w:jc w:val="center"/>
              </w:trPr>
              <w:tc>
                <w:tcPr>
                  <w:tcW w:w="7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sz w:val="18"/>
                      <w:szCs w:val="18"/>
                    </w:rPr>
                    <w:t>在线监测设备</w:t>
                  </w:r>
                </w:p>
              </w:tc>
              <w:tc>
                <w:tcPr>
                  <w:tcW w:w="8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废弃化学试剂药品、废试剂瓶</w:t>
                  </w:r>
                </w:p>
              </w:tc>
              <w:tc>
                <w:tcPr>
                  <w:tcW w:w="6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危险废物</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sz w:val="18"/>
                      <w:szCs w:val="18"/>
                    </w:rPr>
                  </w:pPr>
                  <w:r>
                    <w:rPr>
                      <w:sz w:val="18"/>
                      <w:szCs w:val="18"/>
                    </w:rPr>
                    <w:t>900-047-49</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8"/>
                    <w:spacing w:line="360" w:lineRule="exact"/>
                    <w:contextualSpacing/>
                    <w:rPr>
                      <w:b w:val="0"/>
                      <w:sz w:val="18"/>
                      <w:szCs w:val="18"/>
                    </w:rPr>
                  </w:pPr>
                  <w:r>
                    <w:rPr>
                      <w:b w:val="0"/>
                      <w:sz w:val="18"/>
                      <w:szCs w:val="18"/>
                    </w:rPr>
                    <w:t>有机物</w:t>
                  </w:r>
                </w:p>
              </w:tc>
              <w:tc>
                <w:tcPr>
                  <w:tcW w:w="5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8"/>
                    <w:spacing w:line="360" w:lineRule="exact"/>
                    <w:contextualSpacing/>
                    <w:rPr>
                      <w:b w:val="0"/>
                      <w:sz w:val="18"/>
                      <w:szCs w:val="18"/>
                    </w:rPr>
                  </w:pPr>
                  <w:r>
                    <w:rPr>
                      <w:b w:val="0"/>
                      <w:sz w:val="18"/>
                      <w:szCs w:val="18"/>
                    </w:rPr>
                    <w:t>固态</w:t>
                  </w:r>
                  <w:r>
                    <w:rPr>
                      <w:rFonts w:hint="eastAsia"/>
                      <w:b w:val="0"/>
                      <w:sz w:val="18"/>
                      <w:szCs w:val="18"/>
                    </w:rPr>
                    <w:t>、液态</w:t>
                  </w: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108"/>
                    <w:spacing w:line="360" w:lineRule="exact"/>
                    <w:contextualSpacing/>
                    <w:rPr>
                      <w:sz w:val="18"/>
                      <w:szCs w:val="18"/>
                    </w:rPr>
                  </w:pPr>
                  <w:r>
                    <w:rPr>
                      <w:sz w:val="18"/>
                      <w:szCs w:val="18"/>
                    </w:rPr>
                    <w:t>T/C/I/R</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0.1</w:t>
                  </w:r>
                </w:p>
              </w:tc>
              <w:tc>
                <w:tcPr>
                  <w:tcW w:w="453" w:type="dxa"/>
                  <w:vMerge w:val="continue"/>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spacing w:line="360" w:lineRule="exact"/>
                    <w:rPr>
                      <w:sz w:val="18"/>
                      <w:szCs w:val="18"/>
                    </w:rPr>
                  </w:pP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0.1</w:t>
                  </w:r>
                </w:p>
              </w:tc>
              <w:tc>
                <w:tcPr>
                  <w:tcW w:w="46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0</w:t>
                  </w:r>
                </w:p>
              </w:tc>
              <w:tc>
                <w:tcPr>
                  <w:tcW w:w="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rPr>
                      <w:sz w:val="18"/>
                      <w:szCs w:val="18"/>
                    </w:rPr>
                  </w:pPr>
                  <w:r>
                    <w:rPr>
                      <w:rFonts w:hint="eastAsia"/>
                      <w:sz w:val="18"/>
                      <w:szCs w:val="18"/>
                    </w:rPr>
                    <w:t>0.1</w:t>
                  </w:r>
                </w:p>
              </w:tc>
              <w:tc>
                <w:tcPr>
                  <w:tcW w:w="5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360" w:lineRule="exact"/>
                    <w:jc w:val="center"/>
                    <w:textAlignment w:val="center"/>
                    <w:rPr>
                      <w:sz w:val="18"/>
                      <w:szCs w:val="18"/>
                    </w:rPr>
                  </w:pPr>
                  <w:r>
                    <w:rPr>
                      <w:kern w:val="0"/>
                      <w:sz w:val="18"/>
                      <w:szCs w:val="18"/>
                    </w:rPr>
                    <w:t>0</w:t>
                  </w:r>
                </w:p>
              </w:tc>
            </w:tr>
          </w:tbl>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ascii="Times New Roman" w:hAnsi="Times New Roman" w:eastAsia="黑体"/>
                <w:kern w:val="2"/>
                <w:szCs w:val="24"/>
              </w:rPr>
              <w:t>项目危险废物相关信息汇总表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797"/>
              <w:gridCol w:w="822"/>
              <w:gridCol w:w="1159"/>
              <w:gridCol w:w="833"/>
              <w:gridCol w:w="799"/>
              <w:gridCol w:w="662"/>
              <w:gridCol w:w="662"/>
              <w:gridCol w:w="664"/>
              <w:gridCol w:w="677"/>
              <w:gridCol w:w="778"/>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序号</w:t>
                  </w: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危险废物名称</w:t>
                  </w:r>
                </w:p>
              </w:tc>
              <w:tc>
                <w:tcPr>
                  <w:tcW w:w="45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危险废物类别</w:t>
                  </w:r>
                </w:p>
              </w:tc>
              <w:tc>
                <w:tcPr>
                  <w:tcW w:w="63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危险废物代码</w:t>
                  </w:r>
                </w:p>
              </w:tc>
              <w:tc>
                <w:tcPr>
                  <w:tcW w:w="45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产生量</w:t>
                  </w:r>
                </w:p>
                <w:p>
                  <w:pPr>
                    <w:spacing w:line="360" w:lineRule="exact"/>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（t/a）</w:t>
                  </w:r>
                </w:p>
              </w:tc>
              <w:tc>
                <w:tcPr>
                  <w:tcW w:w="43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产生工序及装置</w:t>
                  </w:r>
                </w:p>
              </w:tc>
              <w:tc>
                <w:tcPr>
                  <w:tcW w:w="36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形态</w:t>
                  </w:r>
                </w:p>
              </w:tc>
              <w:tc>
                <w:tcPr>
                  <w:tcW w:w="36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主要成分</w:t>
                  </w:r>
                </w:p>
              </w:tc>
              <w:tc>
                <w:tcPr>
                  <w:tcW w:w="36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有害成分</w:t>
                  </w:r>
                </w:p>
              </w:tc>
              <w:tc>
                <w:tcPr>
                  <w:tcW w:w="37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产废周期</w:t>
                  </w:r>
                </w:p>
              </w:tc>
              <w:tc>
                <w:tcPr>
                  <w:tcW w:w="415"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危险特性</w:t>
                  </w:r>
                </w:p>
              </w:tc>
              <w:tc>
                <w:tcPr>
                  <w:tcW w:w="479"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b/>
                      <w:bCs/>
                      <w:sz w:val="18"/>
                      <w:szCs w:val="18"/>
                    </w:rPr>
                  </w:pPr>
                  <w:r>
                    <w:rPr>
                      <w:rFonts w:ascii="Times New Roman" w:hAnsi="Times New Roman" w:eastAsia="宋体" w:cs="Times New Roman"/>
                      <w:b/>
                      <w:bCs/>
                      <w:sz w:val="18"/>
                      <w:szCs w:val="18"/>
                    </w:rPr>
                    <w:t>污染物防治措施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1</w:t>
                  </w: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在线监测设备废液</w:t>
                  </w:r>
                </w:p>
              </w:tc>
              <w:tc>
                <w:tcPr>
                  <w:tcW w:w="45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HW49</w:t>
                  </w:r>
                </w:p>
              </w:tc>
              <w:tc>
                <w:tcPr>
                  <w:tcW w:w="63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900-047-49</w:t>
                  </w:r>
                </w:p>
              </w:tc>
              <w:tc>
                <w:tcPr>
                  <w:tcW w:w="45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0.5</w:t>
                  </w:r>
                </w:p>
              </w:tc>
              <w:tc>
                <w:tcPr>
                  <w:tcW w:w="43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在线监测设备</w:t>
                  </w:r>
                </w:p>
              </w:tc>
              <w:tc>
                <w:tcPr>
                  <w:tcW w:w="36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液态</w:t>
                  </w:r>
                </w:p>
              </w:tc>
              <w:tc>
                <w:tcPr>
                  <w:tcW w:w="36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酸、碱、重金属等</w:t>
                  </w:r>
                </w:p>
              </w:tc>
              <w:tc>
                <w:tcPr>
                  <w:tcW w:w="363"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酸、碱、重金属等</w:t>
                  </w:r>
                </w:p>
              </w:tc>
              <w:tc>
                <w:tcPr>
                  <w:tcW w:w="37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每天</w:t>
                  </w:r>
                </w:p>
              </w:tc>
              <w:tc>
                <w:tcPr>
                  <w:tcW w:w="415"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T,I</w:t>
                  </w:r>
                </w:p>
              </w:tc>
              <w:tc>
                <w:tcPr>
                  <w:tcW w:w="479" w:type="pct"/>
                  <w:vMerge w:val="restart"/>
                  <w:tcBorders>
                    <w:top w:val="single" w:color="auto" w:sz="4" w:space="0"/>
                    <w:left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分类收集后暂存于危废暂存间，定期交由有资质的单位进行处理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2</w:t>
                  </w:r>
                </w:p>
              </w:tc>
              <w:tc>
                <w:tcPr>
                  <w:tcW w:w="43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废弃化学试剂药品、废试剂瓶</w:t>
                  </w:r>
                </w:p>
              </w:tc>
              <w:tc>
                <w:tcPr>
                  <w:tcW w:w="45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HW49</w:t>
                  </w:r>
                </w:p>
              </w:tc>
              <w:tc>
                <w:tcPr>
                  <w:tcW w:w="63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900-047-49</w:t>
                  </w:r>
                </w:p>
              </w:tc>
              <w:tc>
                <w:tcPr>
                  <w:tcW w:w="45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0.1</w:t>
                  </w:r>
                </w:p>
              </w:tc>
              <w:tc>
                <w:tcPr>
                  <w:tcW w:w="43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t>在线监测设备</w:t>
                  </w:r>
                </w:p>
              </w:tc>
              <w:tc>
                <w:tcPr>
                  <w:tcW w:w="362" w:type="pct"/>
                  <w:tcBorders>
                    <w:top w:val="single" w:color="auto" w:sz="4" w:space="0"/>
                    <w:left w:val="single" w:color="auto" w:sz="4" w:space="0"/>
                    <w:bottom w:val="single" w:color="auto" w:sz="4" w:space="0"/>
                    <w:right w:val="single" w:color="auto" w:sz="4" w:space="0"/>
                  </w:tcBorders>
                  <w:vAlign w:val="center"/>
                </w:tcPr>
                <w:p>
                  <w:pPr>
                    <w:pStyle w:val="108"/>
                    <w:spacing w:line="360" w:lineRule="exact"/>
                    <w:contextualSpacing/>
                    <w:rPr>
                      <w:rFonts w:ascii="Times New Roman" w:hAnsi="Times New Roman"/>
                      <w:b w:val="0"/>
                      <w:bCs w:val="0"/>
                      <w:sz w:val="18"/>
                      <w:szCs w:val="18"/>
                    </w:rPr>
                  </w:pPr>
                  <w:r>
                    <w:rPr>
                      <w:rFonts w:ascii="Times New Roman" w:hAnsi="Times New Roman"/>
                      <w:b w:val="0"/>
                      <w:bCs w:val="0"/>
                      <w:sz w:val="18"/>
                      <w:szCs w:val="18"/>
                    </w:rPr>
                    <w:t>固态、液态</w:t>
                  </w:r>
                </w:p>
              </w:tc>
              <w:tc>
                <w:tcPr>
                  <w:tcW w:w="362" w:type="pct"/>
                  <w:tcBorders>
                    <w:top w:val="single" w:color="auto" w:sz="4" w:space="0"/>
                    <w:left w:val="single" w:color="auto" w:sz="4" w:space="0"/>
                    <w:bottom w:val="single" w:color="auto" w:sz="4" w:space="0"/>
                    <w:right w:val="single" w:color="auto" w:sz="4" w:space="0"/>
                  </w:tcBorders>
                  <w:vAlign w:val="center"/>
                </w:tcPr>
                <w:p>
                  <w:pPr>
                    <w:pStyle w:val="108"/>
                    <w:spacing w:line="360" w:lineRule="exact"/>
                    <w:contextualSpacing/>
                    <w:rPr>
                      <w:rFonts w:ascii="Times New Roman" w:hAnsi="Times New Roman"/>
                      <w:b w:val="0"/>
                      <w:bCs w:val="0"/>
                      <w:sz w:val="18"/>
                      <w:szCs w:val="18"/>
                    </w:rPr>
                  </w:pPr>
                  <w:r>
                    <w:rPr>
                      <w:rFonts w:ascii="Times New Roman" w:hAnsi="Times New Roman"/>
                      <w:b w:val="0"/>
                      <w:bCs w:val="0"/>
                      <w:sz w:val="18"/>
                      <w:szCs w:val="18"/>
                    </w:rPr>
                    <w:t>有机物</w:t>
                  </w:r>
                </w:p>
              </w:tc>
              <w:tc>
                <w:tcPr>
                  <w:tcW w:w="363" w:type="pct"/>
                  <w:tcBorders>
                    <w:top w:val="single" w:color="auto" w:sz="4" w:space="0"/>
                    <w:left w:val="single" w:color="auto" w:sz="4" w:space="0"/>
                    <w:bottom w:val="single" w:color="auto" w:sz="4" w:space="0"/>
                    <w:right w:val="single" w:color="auto" w:sz="4" w:space="0"/>
                  </w:tcBorders>
                  <w:vAlign w:val="center"/>
                </w:tcPr>
                <w:p>
                  <w:pPr>
                    <w:pStyle w:val="108"/>
                    <w:spacing w:line="360" w:lineRule="exact"/>
                    <w:contextualSpacing/>
                    <w:rPr>
                      <w:rFonts w:ascii="Times New Roman" w:hAnsi="Times New Roman"/>
                      <w:b w:val="0"/>
                      <w:bCs w:val="0"/>
                      <w:sz w:val="18"/>
                      <w:szCs w:val="18"/>
                    </w:rPr>
                  </w:pPr>
                  <w:r>
                    <w:rPr>
                      <w:rFonts w:ascii="Times New Roman" w:hAnsi="Times New Roman"/>
                      <w:b w:val="0"/>
                      <w:bCs w:val="0"/>
                      <w:sz w:val="18"/>
                      <w:szCs w:val="18"/>
                    </w:rPr>
                    <w:t>有机物</w:t>
                  </w:r>
                </w:p>
              </w:tc>
              <w:tc>
                <w:tcPr>
                  <w:tcW w:w="370" w:type="pct"/>
                  <w:tcBorders>
                    <w:top w:val="single" w:color="auto" w:sz="4" w:space="0"/>
                    <w:left w:val="single" w:color="auto" w:sz="4" w:space="0"/>
                    <w:bottom w:val="single" w:color="auto" w:sz="4" w:space="0"/>
                    <w:right w:val="single" w:color="auto" w:sz="4" w:space="0"/>
                  </w:tcBorders>
                  <w:vAlign w:val="center"/>
                </w:tcPr>
                <w:p>
                  <w:pPr>
                    <w:pStyle w:val="108"/>
                    <w:spacing w:line="360" w:lineRule="exact"/>
                    <w:contextualSpacing/>
                    <w:rPr>
                      <w:rFonts w:ascii="Times New Roman" w:hAnsi="Times New Roman"/>
                      <w:b w:val="0"/>
                      <w:bCs w:val="0"/>
                      <w:sz w:val="18"/>
                      <w:szCs w:val="18"/>
                    </w:rPr>
                  </w:pPr>
                  <w:r>
                    <w:rPr>
                      <w:rFonts w:ascii="Times New Roman" w:hAnsi="Times New Roman"/>
                      <w:b w:val="0"/>
                      <w:bCs w:val="0"/>
                      <w:sz w:val="18"/>
                      <w:szCs w:val="18"/>
                    </w:rPr>
                    <w:t>一年</w:t>
                  </w:r>
                </w:p>
              </w:tc>
              <w:tc>
                <w:tcPr>
                  <w:tcW w:w="415" w:type="pct"/>
                  <w:tcBorders>
                    <w:top w:val="single" w:color="auto" w:sz="4" w:space="0"/>
                    <w:left w:val="single" w:color="auto" w:sz="4" w:space="0"/>
                    <w:bottom w:val="single" w:color="auto" w:sz="4" w:space="0"/>
                    <w:right w:val="single" w:color="auto" w:sz="4" w:space="0"/>
                  </w:tcBorders>
                  <w:vAlign w:val="center"/>
                </w:tcPr>
                <w:p>
                  <w:pPr>
                    <w:pStyle w:val="108"/>
                    <w:spacing w:line="360" w:lineRule="exact"/>
                    <w:contextualSpacing/>
                    <w:rPr>
                      <w:rFonts w:ascii="Times New Roman" w:hAnsi="Times New Roman"/>
                      <w:b w:val="0"/>
                      <w:bCs w:val="0"/>
                      <w:sz w:val="18"/>
                      <w:szCs w:val="18"/>
                    </w:rPr>
                  </w:pPr>
                  <w:r>
                    <w:rPr>
                      <w:rFonts w:ascii="Times New Roman" w:hAnsi="Times New Roman"/>
                      <w:b w:val="0"/>
                      <w:bCs w:val="0"/>
                      <w:sz w:val="18"/>
                      <w:szCs w:val="18"/>
                    </w:rPr>
                    <w:t>T/C/I/R</w:t>
                  </w:r>
                </w:p>
              </w:tc>
              <w:tc>
                <w:tcPr>
                  <w:tcW w:w="479" w:type="pct"/>
                  <w:vMerge w:val="continue"/>
                  <w:tcBorders>
                    <w:left w:val="single" w:color="auto" w:sz="4" w:space="0"/>
                    <w:right w:val="single" w:color="auto" w:sz="4" w:space="0"/>
                  </w:tcBorders>
                  <w:vAlign w:val="center"/>
                </w:tcPr>
                <w:p>
                  <w:pPr>
                    <w:spacing w:line="360" w:lineRule="exact"/>
                    <w:jc w:val="center"/>
                    <w:rPr>
                      <w:rFonts w:ascii="Times New Roman" w:hAnsi="Times New Roman" w:eastAsia="宋体" w:cs="Times New Roman"/>
                      <w:sz w:val="18"/>
                      <w:szCs w:val="18"/>
                    </w:rPr>
                  </w:pPr>
                </w:p>
              </w:tc>
            </w:tr>
          </w:tbl>
          <w:p>
            <w:pPr>
              <w:widowControl w:val="0"/>
              <w:tabs>
                <w:tab w:val="left" w:pos="1699"/>
              </w:tabs>
              <w:adjustRightInd w:val="0"/>
              <w:snapToGrid w:val="0"/>
              <w:ind w:firstLine="420" w:firstLineChars="200"/>
              <w:jc w:val="left"/>
              <w:rPr>
                <w:sz w:val="21"/>
                <w:szCs w:val="21"/>
              </w:rPr>
            </w:pPr>
            <w:r>
              <w:rPr>
                <w:sz w:val="21"/>
                <w:szCs w:val="21"/>
              </w:rPr>
              <w:t>说明：危险特性，是指对生态环境和人体健康具有有害影响的毒性（Toxicity, T）、腐蚀性（ Corrosivity, C）、易燃性（ Ignitability, I）、反应性（ Reactivity, R）和感染性（Infectivity, In）</w:t>
            </w:r>
            <w:r>
              <w:rPr>
                <w:rFonts w:hint="eastAsia"/>
                <w:sz w:val="21"/>
                <w:szCs w:val="21"/>
              </w:rPr>
              <w:t>。</w:t>
            </w:r>
          </w:p>
          <w:p>
            <w:pPr>
              <w:widowControl w:val="0"/>
              <w:autoSpaceDE w:val="0"/>
              <w:autoSpaceDN w:val="0"/>
              <w:adjustRightInd w:val="0"/>
              <w:ind w:firstLine="480"/>
              <w:jc w:val="left"/>
              <w:rPr>
                <w:b/>
                <w:kern w:val="0"/>
              </w:rPr>
            </w:pPr>
            <w:r>
              <w:rPr>
                <w:rFonts w:hint="eastAsia"/>
                <w:b/>
                <w:kern w:val="0"/>
              </w:rPr>
              <w:t>2、</w:t>
            </w:r>
            <w:r>
              <w:rPr>
                <w:b/>
                <w:kern w:val="0"/>
              </w:rPr>
              <w:t>环境管理要求</w:t>
            </w:r>
          </w:p>
          <w:p>
            <w:pPr>
              <w:pStyle w:val="43"/>
              <w:ind w:firstLine="422"/>
              <w:rPr>
                <w:rFonts w:hAnsi="宋体"/>
                <w:b/>
              </w:rPr>
            </w:pPr>
            <w:r>
              <w:rPr>
                <w:rFonts w:hint="eastAsia" w:hAnsi="宋体"/>
                <w:b/>
              </w:rPr>
              <w:t>（1）</w:t>
            </w:r>
            <w:r>
              <w:rPr>
                <w:rFonts w:hAnsi="宋体"/>
                <w:b/>
              </w:rPr>
              <w:t>生活垃圾、</w:t>
            </w:r>
            <w:r>
              <w:rPr>
                <w:rFonts w:hint="eastAsia" w:hAnsi="宋体"/>
                <w:b/>
              </w:rPr>
              <w:t>餐厨垃圾</w:t>
            </w:r>
            <w:r>
              <w:rPr>
                <w:rFonts w:hAnsi="宋体"/>
                <w:b/>
              </w:rPr>
              <w:t>理要求</w:t>
            </w:r>
          </w:p>
          <w:p>
            <w:pPr>
              <w:widowControl w:val="0"/>
              <w:ind w:firstLine="480"/>
              <w:jc w:val="both"/>
              <w:rPr>
                <w:rFonts w:hAnsi="宋体"/>
                <w:bCs/>
              </w:rPr>
            </w:pPr>
            <w:r>
              <w:rPr>
                <w:rFonts w:hAnsi="宋体"/>
                <w:bCs/>
              </w:rPr>
              <w:t>加强管理，增强环保意识，生活垃圾袋装化收集在生活垃圾桶，日产日清，保持垃圾桶整洁</w:t>
            </w:r>
            <w:r>
              <w:rPr>
                <w:rFonts w:hint="eastAsia" w:hAnsi="宋体"/>
                <w:bCs/>
              </w:rPr>
              <w:t>；</w:t>
            </w:r>
            <w:r>
              <w:rPr>
                <w:rFonts w:hAnsi="宋体"/>
                <w:bCs/>
              </w:rPr>
              <w:t>餐厨垃圾日产日清，</w:t>
            </w:r>
            <w:r>
              <w:rPr>
                <w:rFonts w:hint="eastAsia" w:hAnsi="宋体"/>
                <w:bCs/>
              </w:rPr>
              <w:t>交有处理能力的单位处理；隔油池废油及时打捞，经铁桶收集后，交有处理能力的单位处理</w:t>
            </w:r>
            <w:r>
              <w:rPr>
                <w:rFonts w:hAnsi="宋体"/>
                <w:bCs/>
              </w:rPr>
              <w:t>，避免垃圾在项目区内停留时间过长，引来蝇虫产生恶臭</w:t>
            </w:r>
            <w:r>
              <w:rPr>
                <w:rFonts w:hint="eastAsia" w:hAnsi="宋体"/>
                <w:bCs/>
              </w:rPr>
              <w:t>，项目建设单位应严格执行以上要求及《饮食业环境保护技术规范》中的相关要求。</w:t>
            </w:r>
            <w:r>
              <w:rPr>
                <w:rFonts w:hAnsi="宋体"/>
                <w:bCs/>
              </w:rPr>
              <w:t xml:space="preserve"> </w:t>
            </w:r>
          </w:p>
          <w:p>
            <w:pPr>
              <w:pStyle w:val="43"/>
              <w:ind w:firstLine="422"/>
              <w:rPr>
                <w:rFonts w:hAnsi="宋体"/>
                <w:b/>
              </w:rPr>
            </w:pPr>
            <w:r>
              <w:rPr>
                <w:rFonts w:hint="eastAsia" w:hAnsi="宋体"/>
                <w:b/>
              </w:rPr>
              <w:t>（2）一般固体废物管理要求</w:t>
            </w:r>
          </w:p>
          <w:p>
            <w:pPr>
              <w:widowControl w:val="0"/>
              <w:ind w:firstLine="480" w:firstLineChars="200"/>
              <w:jc w:val="both"/>
              <w:rPr>
                <w:rFonts w:ascii="Times New Roman" w:hAnsi="Times New Roman" w:eastAsia="宋体" w:cs="Times New Roman"/>
              </w:rPr>
            </w:pPr>
            <w:r>
              <w:rPr>
                <w:rFonts w:hint="eastAsia"/>
              </w:rPr>
              <w:t>根据《中华人民共和国固体废物污染环境防治法》（</w:t>
            </w:r>
            <w:r>
              <w:t>2020</w:t>
            </w:r>
            <w:r>
              <w:rPr>
                <w:rFonts w:hint="eastAsia"/>
              </w:rPr>
              <w:t>年</w:t>
            </w:r>
            <w:r>
              <w:t>4</w:t>
            </w:r>
            <w:r>
              <w:rPr>
                <w:rFonts w:hint="eastAsia"/>
              </w:rPr>
              <w:t>月</w:t>
            </w:r>
            <w:r>
              <w:t>29</w:t>
            </w:r>
            <w:r>
              <w:rPr>
                <w:rFonts w:hint="eastAsia"/>
              </w:rPr>
              <w:t>日修订）本评价针对项目产生的</w:t>
            </w:r>
            <w:r>
              <w:rPr>
                <w:rFonts w:hint="eastAsia"/>
                <w:bCs/>
              </w:rPr>
              <w:t>一般</w:t>
            </w:r>
            <w:r>
              <w:rPr>
                <w:rFonts w:hint="eastAsia"/>
              </w:rPr>
              <w:t>工业固废的后续管理，提出相关的要求，具体如下：</w:t>
            </w:r>
          </w:p>
          <w:p>
            <w:pPr>
              <w:widowControl w:val="0"/>
              <w:ind w:firstLine="480" w:firstLineChars="200"/>
              <w:jc w:val="both"/>
            </w:pPr>
            <w:r>
              <w:rPr>
                <w:rFonts w:hint="eastAsia" w:ascii="宋体" w:hAnsi="宋体" w:eastAsia="宋体"/>
              </w:rPr>
              <w:t>①</w:t>
            </w:r>
            <w:r>
              <w:rPr>
                <w:rFonts w:hint="eastAsia"/>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pPr>
              <w:widowControl w:val="0"/>
              <w:ind w:firstLine="480" w:firstLineChars="200"/>
              <w:jc w:val="both"/>
            </w:pPr>
            <w:r>
              <w:rPr>
                <w:rFonts w:hint="eastAsia" w:asciiTheme="minorEastAsia" w:hAnsiTheme="minorEastAsia"/>
              </w:rPr>
              <w:t>②</w:t>
            </w:r>
            <w:r>
              <w:rPr>
                <w:rFonts w:hint="eastAsia"/>
              </w:rPr>
              <w:t>禁止向生活垃圾收集设施中投放工业固体废物。</w:t>
            </w:r>
          </w:p>
          <w:p>
            <w:pPr>
              <w:widowControl w:val="0"/>
              <w:ind w:firstLine="480" w:firstLineChars="200"/>
              <w:jc w:val="both"/>
            </w:pPr>
            <w:r>
              <w:rPr>
                <w:rFonts w:hint="eastAsia" w:asciiTheme="minorEastAsia" w:hAnsiTheme="minorEastAsia"/>
              </w:rPr>
              <w:t>③</w:t>
            </w:r>
            <w:r>
              <w:rPr>
                <w:rFonts w:hint="eastAsia"/>
              </w:rPr>
              <w:t>产生工业固体废物的单位委托他人运输、利用、处置工业固体废物的，应当对受托方的主体资格和技术能力进行核实，依法签订书面合同，在合同中约定污染防治要求。</w:t>
            </w:r>
          </w:p>
          <w:p>
            <w:pPr>
              <w:widowControl w:val="0"/>
              <w:ind w:firstLine="480" w:firstLineChars="200"/>
              <w:jc w:val="both"/>
            </w:pPr>
            <w:r>
              <w:rPr>
                <w:rFonts w:hint="eastAsia" w:ascii="宋体" w:hAnsi="宋体" w:eastAsia="宋体"/>
              </w:rPr>
              <w:t>④</w:t>
            </w:r>
            <w:r>
              <w:rPr>
                <w:rFonts w:hint="eastAsia"/>
              </w:rPr>
              <w:t>受托方运输、利用、处置工业固体废物，应当依照有关法律法规的规定和合同约定履行污染防治要求，并将运输、利用、处置情况告知产生工业固体废物的单位。</w:t>
            </w:r>
          </w:p>
          <w:p>
            <w:pPr>
              <w:pStyle w:val="43"/>
              <w:ind w:firstLine="422"/>
              <w:rPr>
                <w:b/>
              </w:rPr>
            </w:pPr>
            <w:r>
              <w:rPr>
                <w:rFonts w:hint="eastAsia" w:hAnsi="宋体" w:cs="宋体"/>
                <w:b/>
              </w:rPr>
              <w:t>（3）</w:t>
            </w:r>
            <w:r>
              <w:rPr>
                <w:b/>
              </w:rPr>
              <w:t>危险废物管理要求</w:t>
            </w:r>
          </w:p>
          <w:p>
            <w:pPr>
              <w:widowControl w:val="0"/>
              <w:ind w:firstLine="480" w:firstLineChars="200"/>
              <w:jc w:val="both"/>
            </w:pPr>
            <w:r>
              <w:rPr>
                <w:rFonts w:hint="eastAsia" w:asciiTheme="minorEastAsia" w:hAnsiTheme="minorEastAsia"/>
              </w:rPr>
              <w:t>①</w:t>
            </w:r>
            <w:r>
              <w:rPr>
                <w:rFonts w:hint="eastAsia"/>
              </w:rPr>
              <w:t>危废暂存间设置：</w:t>
            </w:r>
          </w:p>
          <w:p>
            <w:pPr>
              <w:widowControl w:val="0"/>
              <w:ind w:firstLine="480" w:firstLineChars="200"/>
              <w:jc w:val="both"/>
              <w:rPr>
                <w:shd w:val="pct10" w:color="auto" w:fill="FFFFFF"/>
              </w:rPr>
            </w:pPr>
            <w:r>
              <w:rPr>
                <w:rFonts w:hint="eastAsia"/>
              </w:rPr>
              <w:t>在线监控室西侧设置危险废物暂存间1间，占地面积约为20m</w:t>
            </w:r>
            <w:r>
              <w:rPr>
                <w:rFonts w:hint="eastAsia"/>
                <w:vertAlign w:val="superscript"/>
              </w:rPr>
              <w:t>2</w:t>
            </w:r>
            <w:r>
              <w:rPr>
                <w:rFonts w:hint="eastAsia"/>
              </w:rPr>
              <w:t>，主要用于堆放</w:t>
            </w:r>
            <w:r>
              <w:rPr>
                <w:rFonts w:hint="eastAsia"/>
                <w:bCs/>
              </w:rPr>
              <w:t>在线监测废液、废弃化学试剂药品、废试剂瓶等。</w:t>
            </w:r>
          </w:p>
          <w:p>
            <w:pPr>
              <w:widowControl w:val="0"/>
              <w:ind w:firstLine="480" w:firstLineChars="200"/>
              <w:jc w:val="both"/>
            </w:pPr>
            <w:r>
              <w:rPr>
                <w:rFonts w:hint="eastAsia"/>
              </w:rPr>
              <w:t>在危险废物暂存间的维护和管理过程中必须严格按照《危险废物贮存污染控制标准》的要求进行管理，做好防风、防雨、防晒、防渗漏“四防”措施，防止二次污染，应当注意以下问题：</w:t>
            </w:r>
          </w:p>
          <w:p>
            <w:pPr>
              <w:widowControl w:val="0"/>
              <w:ind w:firstLine="480" w:firstLineChars="200"/>
              <w:jc w:val="both"/>
            </w:pPr>
            <w:r>
              <w:rPr>
                <w:rFonts w:hint="eastAsia"/>
              </w:rPr>
              <w:t>A、地面与裙脚要用坚固、防渗的材料建造，建筑材料必须与危险废物相容；地面采用水泥硬化打底，再在上部铺设有环氧树脂防渗膜的地砖进行防腐、防渗；</w:t>
            </w:r>
          </w:p>
          <w:p>
            <w:pPr>
              <w:widowControl w:val="0"/>
              <w:ind w:firstLine="480" w:firstLineChars="200"/>
              <w:jc w:val="both"/>
            </w:pPr>
            <w:r>
              <w:rPr>
                <w:rFonts w:hint="eastAsia"/>
              </w:rPr>
              <w:t>B、危险废物暂存区内用于存放装载液体、半固体危险废物容易的地方，必须有耐腐蚀的硬化地面，且表面无裂隙。</w:t>
            </w:r>
          </w:p>
          <w:p>
            <w:pPr>
              <w:widowControl w:val="0"/>
              <w:ind w:firstLine="480" w:firstLineChars="200"/>
              <w:jc w:val="both"/>
            </w:pPr>
            <w:r>
              <w:rPr>
                <w:rFonts w:hint="eastAsia"/>
              </w:rPr>
              <w:t>C、危险废物暂存区基础必须防渗，防渗层为至少1.0m厚粘土层(渗透系数≤10</w:t>
            </w:r>
            <w:r>
              <w:rPr>
                <w:rFonts w:hint="eastAsia"/>
                <w:vertAlign w:val="superscript"/>
              </w:rPr>
              <w:t>-7</w:t>
            </w:r>
            <w:r>
              <w:rPr>
                <w:rFonts w:hint="eastAsia"/>
              </w:rPr>
              <w:t>cm/s)，或2mm厚高密度聚乙烯，或至少2mm厚的其它人工材料，渗透系数≤10</w:t>
            </w:r>
            <w:r>
              <w:rPr>
                <w:rFonts w:hint="eastAsia"/>
                <w:vertAlign w:val="superscript"/>
              </w:rPr>
              <w:t>-10</w:t>
            </w:r>
            <w:r>
              <w:rPr>
                <w:rFonts w:hint="eastAsia"/>
              </w:rPr>
              <w:t xml:space="preserve"> cm/s。</w:t>
            </w:r>
          </w:p>
          <w:p>
            <w:pPr>
              <w:widowControl w:val="0"/>
              <w:ind w:firstLine="480" w:firstLineChars="200"/>
              <w:jc w:val="both"/>
            </w:pPr>
            <w:r>
              <w:rPr>
                <w:rFonts w:hint="eastAsia"/>
              </w:rPr>
              <w:t>D、不同性质或者不相容危废之间，必须使用防腐防渗围堰进行分隔；</w:t>
            </w:r>
          </w:p>
          <w:p>
            <w:pPr>
              <w:widowControl w:val="0"/>
              <w:ind w:firstLine="480" w:firstLineChars="200"/>
              <w:jc w:val="both"/>
            </w:pPr>
            <w:r>
              <w:rPr>
                <w:rFonts w:hint="eastAsia"/>
              </w:rPr>
              <w:t>E、危险废物暂存区应按照 GB15562.2 的规定设置警示标志，并配备通讯设备，照明设施、安全防护服装及工具，并设有应急防护设施。</w:t>
            </w:r>
          </w:p>
          <w:p>
            <w:pPr>
              <w:widowControl w:val="0"/>
              <w:ind w:firstLine="480" w:firstLineChars="200"/>
              <w:jc w:val="both"/>
            </w:pPr>
            <w:r>
              <w:rPr>
                <w:rFonts w:hint="eastAsia" w:ascii="宋体" w:hAnsi="宋体" w:cs="宋体"/>
              </w:rPr>
              <w:t>②</w:t>
            </w:r>
            <w:r>
              <w:rPr>
                <w:rFonts w:hint="eastAsia"/>
              </w:rPr>
              <w:t>危险废物贮存设施的运行与管理：</w:t>
            </w:r>
          </w:p>
          <w:p>
            <w:pPr>
              <w:widowControl w:val="0"/>
              <w:ind w:firstLine="480" w:firstLineChars="200"/>
              <w:jc w:val="both"/>
            </w:pPr>
            <w:r>
              <w:rPr>
                <w:rFonts w:hint="eastAsia"/>
              </w:rPr>
              <w:t>A、危险废物暂存间应建有堵截泄漏设施，应设有隔离设施和防风、防晒、防雨设施，并设置标识牌；</w:t>
            </w:r>
          </w:p>
          <w:p>
            <w:pPr>
              <w:widowControl w:val="0"/>
              <w:ind w:firstLine="480" w:firstLineChars="200"/>
              <w:jc w:val="both"/>
            </w:pPr>
            <w:r>
              <w:rPr>
                <w:rFonts w:hint="eastAsia"/>
              </w:rPr>
              <w:t>B、存放装置半固体危险废物容器的地方，地面还须有耐腐蚀措施，且表面无裂痕；</w:t>
            </w:r>
          </w:p>
          <w:p>
            <w:pPr>
              <w:widowControl w:val="0"/>
              <w:ind w:firstLine="480" w:firstLineChars="200"/>
              <w:jc w:val="both"/>
            </w:pPr>
            <w:r>
              <w:rPr>
                <w:rFonts w:hint="eastAsia"/>
              </w:rPr>
              <w:t>C、不相容的危险废物堆放区隔断；</w:t>
            </w:r>
          </w:p>
          <w:p>
            <w:pPr>
              <w:widowControl w:val="0"/>
              <w:ind w:firstLine="480" w:firstLineChars="200"/>
              <w:jc w:val="both"/>
            </w:pPr>
            <w:r>
              <w:rPr>
                <w:rFonts w:hint="eastAsia"/>
              </w:rPr>
              <w:t>D、严禁将固体废物、危险废物随意露天堆放，其收集桶或箱的放置场所要进行防渗防漏处理，防止污染地下水；</w:t>
            </w:r>
          </w:p>
          <w:p>
            <w:pPr>
              <w:widowControl w:val="0"/>
              <w:ind w:firstLine="480" w:firstLineChars="200"/>
              <w:jc w:val="both"/>
            </w:pPr>
            <w:r>
              <w:rPr>
                <w:rFonts w:hint="eastAsia"/>
              </w:rPr>
              <w:t>E、厂内贮存危险废物的容器上必须粘贴本标准中规定的危险废物标签，容器材质与危险废物本身相容（不相互反应）；</w:t>
            </w:r>
          </w:p>
          <w:p>
            <w:pPr>
              <w:widowControl w:val="0"/>
              <w:ind w:firstLine="480" w:firstLineChars="200"/>
              <w:jc w:val="both"/>
            </w:pPr>
            <w:r>
              <w:rPr>
                <w:rFonts w:hint="eastAsia"/>
              </w:rPr>
              <w:t>F、作好危险废物情况的记录，记录上须注明危险废物的名称、来源、数量、特性和包装容器的类别、入库日期、存放库位、废物出库日期及接收单位名称。建立危险废物台账，并依据台账做好危险废物的申报登记工作。</w:t>
            </w:r>
          </w:p>
          <w:p>
            <w:pPr>
              <w:widowControl w:val="0"/>
              <w:ind w:firstLine="480" w:firstLineChars="200"/>
              <w:jc w:val="both"/>
            </w:pPr>
            <w:r>
              <w:rPr>
                <w:rFonts w:hint="eastAsia"/>
              </w:rPr>
              <w:t>G、直接从事收集、贮存、运输、利用、处置危险废物的人员，应当接受专业培训，经考核合格，方可从事该项工作。</w:t>
            </w:r>
          </w:p>
          <w:p>
            <w:pPr>
              <w:widowControl w:val="0"/>
              <w:ind w:firstLine="480" w:firstLineChars="200"/>
              <w:jc w:val="both"/>
            </w:pPr>
            <w:r>
              <w:rPr>
                <w:rFonts w:hint="eastAsia" w:cs="宋体" w:asciiTheme="minorEastAsia" w:hAnsiTheme="minorEastAsia"/>
              </w:rPr>
              <w:t>③</w:t>
            </w:r>
            <w:r>
              <w:rPr>
                <w:rFonts w:hint="eastAsia"/>
              </w:rPr>
              <w:t>危险废物转运要求：</w:t>
            </w:r>
          </w:p>
          <w:p>
            <w:pPr>
              <w:widowControl w:val="0"/>
              <w:ind w:firstLine="482" w:firstLineChars="200"/>
              <w:jc w:val="both"/>
              <w:rPr>
                <w:rFonts w:cs="Times New Roman"/>
              </w:rPr>
            </w:pPr>
            <w:r>
              <w:rPr>
                <w:rFonts w:hint="eastAsia" w:cs="Times New Roman"/>
                <w:b/>
                <w:bCs/>
              </w:rPr>
              <w:t>转运要求：</w:t>
            </w:r>
            <w:r>
              <w:rPr>
                <w:rFonts w:hint="eastAsia" w:cs="Times New Roman"/>
              </w:rPr>
              <w:t>危险废物转运时必须安全转移，防止撒漏，且由具处理资质的单位接手，并严格落实以下要求：</w:t>
            </w:r>
          </w:p>
          <w:p>
            <w:pPr>
              <w:widowControl w:val="0"/>
              <w:ind w:firstLine="480" w:firstLineChars="200"/>
              <w:jc w:val="both"/>
              <w:rPr>
                <w:rFonts w:cs="Times New Roman"/>
              </w:rPr>
            </w:pPr>
            <w:r>
              <w:rPr>
                <w:rFonts w:hint="eastAsia" w:cs="Times New Roman"/>
              </w:rPr>
              <w:t>①危险废物每次外运处置均需做好运输登记，认真填写危险废物转移联单。</w:t>
            </w:r>
          </w:p>
          <w:p>
            <w:pPr>
              <w:widowControl w:val="0"/>
              <w:ind w:firstLine="480" w:firstLineChars="200"/>
              <w:jc w:val="both"/>
              <w:rPr>
                <w:rFonts w:cs="Times New Roman"/>
              </w:rPr>
            </w:pPr>
            <w:r>
              <w:rPr>
                <w:rFonts w:hint="eastAsia" w:cs="Times New Roman"/>
              </w:rPr>
              <w:t>②废弃物运输必须由已签订的危废处置单位负责，处置单位每次处置应以书面形式告知建设单位危险废物最终去向。</w:t>
            </w:r>
          </w:p>
          <w:p>
            <w:pPr>
              <w:widowControl w:val="0"/>
              <w:ind w:firstLine="480" w:firstLineChars="200"/>
              <w:jc w:val="both"/>
              <w:rPr>
                <w:rFonts w:cs="Times New Roman"/>
              </w:rPr>
            </w:pPr>
            <w:r>
              <w:rPr>
                <w:rFonts w:hint="eastAsia" w:cs="Times New Roman"/>
              </w:rPr>
              <w:t>③危险废物运输路线必须严格按照有关部门批准的路线运输；若必须更改运输路线，需经有关部门同意后才可实施。</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ascii="Times New Roman" w:hAnsi="Times New Roman" w:eastAsia="黑体"/>
                <w:kern w:val="2"/>
                <w:szCs w:val="24"/>
              </w:rPr>
              <w:t>危险废物贮存场所基本情况表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
              <w:gridCol w:w="1143"/>
              <w:gridCol w:w="1002"/>
              <w:gridCol w:w="1290"/>
              <w:gridCol w:w="863"/>
              <w:gridCol w:w="854"/>
              <w:gridCol w:w="1145"/>
              <w:gridCol w:w="99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 w:val="18"/>
                      <w:szCs w:val="18"/>
                    </w:rPr>
                  </w:pPr>
                  <w:r>
                    <w:rPr>
                      <w:b/>
                      <w:bCs/>
                      <w:sz w:val="18"/>
                      <w:szCs w:val="18"/>
                    </w:rPr>
                    <w:t>贮存场所名称</w:t>
                  </w:r>
                </w:p>
              </w:tc>
              <w:tc>
                <w:tcPr>
                  <w:tcW w:w="62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 w:val="18"/>
                      <w:szCs w:val="18"/>
                    </w:rPr>
                  </w:pPr>
                  <w:r>
                    <w:rPr>
                      <w:b/>
                      <w:bCs/>
                      <w:sz w:val="18"/>
                      <w:szCs w:val="18"/>
                    </w:rPr>
                    <w:t>危险废物名称</w:t>
                  </w:r>
                </w:p>
              </w:tc>
              <w:tc>
                <w:tcPr>
                  <w:tcW w:w="5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 w:val="18"/>
                      <w:szCs w:val="18"/>
                    </w:rPr>
                  </w:pPr>
                  <w:r>
                    <w:rPr>
                      <w:b/>
                      <w:bCs/>
                      <w:sz w:val="18"/>
                      <w:szCs w:val="18"/>
                    </w:rPr>
                    <w:t>危险废物类别</w:t>
                  </w:r>
                </w:p>
              </w:tc>
              <w:tc>
                <w:tcPr>
                  <w:tcW w:w="70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 w:val="18"/>
                      <w:szCs w:val="18"/>
                    </w:rPr>
                  </w:pPr>
                  <w:r>
                    <w:rPr>
                      <w:b/>
                      <w:bCs/>
                      <w:sz w:val="18"/>
                      <w:szCs w:val="18"/>
                    </w:rPr>
                    <w:t>危险废物</w:t>
                  </w:r>
                </w:p>
                <w:p>
                  <w:pPr>
                    <w:spacing w:line="360" w:lineRule="exact"/>
                    <w:jc w:val="center"/>
                    <w:rPr>
                      <w:b/>
                      <w:bCs/>
                      <w:sz w:val="18"/>
                      <w:szCs w:val="18"/>
                    </w:rPr>
                  </w:pPr>
                  <w:r>
                    <w:rPr>
                      <w:b/>
                      <w:bCs/>
                      <w:sz w:val="18"/>
                      <w:szCs w:val="18"/>
                    </w:rPr>
                    <w:t>代码</w:t>
                  </w:r>
                </w:p>
              </w:tc>
              <w:tc>
                <w:tcPr>
                  <w:tcW w:w="471"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 w:val="18"/>
                      <w:szCs w:val="18"/>
                    </w:rPr>
                  </w:pPr>
                  <w:r>
                    <w:rPr>
                      <w:b/>
                      <w:bCs/>
                      <w:sz w:val="18"/>
                      <w:szCs w:val="18"/>
                    </w:rPr>
                    <w:t>位置</w:t>
                  </w:r>
                </w:p>
              </w:tc>
              <w:tc>
                <w:tcPr>
                  <w:tcW w:w="466"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 w:val="18"/>
                      <w:szCs w:val="18"/>
                    </w:rPr>
                  </w:pPr>
                  <w:r>
                    <w:rPr>
                      <w:b/>
                      <w:bCs/>
                      <w:sz w:val="18"/>
                      <w:szCs w:val="18"/>
                    </w:rPr>
                    <w:t>占地</w:t>
                  </w:r>
                </w:p>
                <w:p>
                  <w:pPr>
                    <w:spacing w:line="360" w:lineRule="exact"/>
                    <w:jc w:val="center"/>
                    <w:rPr>
                      <w:b/>
                      <w:bCs/>
                      <w:sz w:val="18"/>
                      <w:szCs w:val="18"/>
                    </w:rPr>
                  </w:pPr>
                  <w:r>
                    <w:rPr>
                      <w:b/>
                      <w:bCs/>
                      <w:sz w:val="18"/>
                      <w:szCs w:val="18"/>
                    </w:rPr>
                    <w:t>面积</w:t>
                  </w:r>
                </w:p>
              </w:tc>
              <w:tc>
                <w:tcPr>
                  <w:tcW w:w="625"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 w:val="18"/>
                      <w:szCs w:val="18"/>
                    </w:rPr>
                  </w:pPr>
                  <w:r>
                    <w:rPr>
                      <w:b/>
                      <w:bCs/>
                      <w:sz w:val="18"/>
                      <w:szCs w:val="18"/>
                    </w:rPr>
                    <w:t>贮存方式</w:t>
                  </w:r>
                </w:p>
              </w:tc>
              <w:tc>
                <w:tcPr>
                  <w:tcW w:w="54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 w:val="18"/>
                      <w:szCs w:val="18"/>
                    </w:rPr>
                  </w:pPr>
                  <w:r>
                    <w:rPr>
                      <w:b/>
                      <w:bCs/>
                      <w:sz w:val="18"/>
                      <w:szCs w:val="18"/>
                    </w:rPr>
                    <w:t>贮存</w:t>
                  </w:r>
                </w:p>
                <w:p>
                  <w:pPr>
                    <w:spacing w:line="360" w:lineRule="exact"/>
                    <w:jc w:val="center"/>
                    <w:rPr>
                      <w:b/>
                      <w:bCs/>
                      <w:sz w:val="18"/>
                      <w:szCs w:val="18"/>
                    </w:rPr>
                  </w:pPr>
                  <w:r>
                    <w:rPr>
                      <w:b/>
                      <w:bCs/>
                      <w:sz w:val="18"/>
                      <w:szCs w:val="18"/>
                    </w:rPr>
                    <w:t>能力</w:t>
                  </w:r>
                </w:p>
              </w:tc>
              <w:tc>
                <w:tcPr>
                  <w:tcW w:w="54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b/>
                      <w:bCs/>
                      <w:sz w:val="18"/>
                      <w:szCs w:val="18"/>
                    </w:rPr>
                  </w:pPr>
                  <w:r>
                    <w:rPr>
                      <w:b/>
                      <w:bCs/>
                      <w:sz w:val="18"/>
                      <w:szCs w:val="18"/>
                    </w:rPr>
                    <w:t>贮存</w:t>
                  </w:r>
                </w:p>
                <w:p>
                  <w:pPr>
                    <w:spacing w:line="360" w:lineRule="exact"/>
                    <w:jc w:val="center"/>
                    <w:rPr>
                      <w:b/>
                      <w:bCs/>
                      <w:sz w:val="18"/>
                      <w:szCs w:val="18"/>
                    </w:rPr>
                  </w:pPr>
                  <w:r>
                    <w:rPr>
                      <w:b/>
                      <w:bCs/>
                      <w:sz w:val="18"/>
                      <w:szCs w:val="18"/>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482" w:type="pct"/>
                  <w:vMerge w:val="restart"/>
                  <w:tcBorders>
                    <w:top w:val="single" w:color="auto" w:sz="4" w:space="0"/>
                    <w:left w:val="single" w:color="auto" w:sz="4" w:space="0"/>
                    <w:right w:val="single" w:color="auto" w:sz="4" w:space="0"/>
                  </w:tcBorders>
                  <w:vAlign w:val="center"/>
                </w:tcPr>
                <w:p>
                  <w:pPr>
                    <w:spacing w:line="360" w:lineRule="exact"/>
                    <w:jc w:val="center"/>
                    <w:rPr>
                      <w:sz w:val="18"/>
                      <w:szCs w:val="18"/>
                    </w:rPr>
                  </w:pPr>
                  <w:r>
                    <w:rPr>
                      <w:sz w:val="18"/>
                      <w:szCs w:val="18"/>
                    </w:rPr>
                    <w:t>危废暂存间</w:t>
                  </w:r>
                </w:p>
              </w:tc>
              <w:tc>
                <w:tcPr>
                  <w:tcW w:w="62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18"/>
                      <w:szCs w:val="18"/>
                    </w:rPr>
                  </w:pPr>
                  <w:r>
                    <w:rPr>
                      <w:sz w:val="18"/>
                      <w:szCs w:val="18"/>
                    </w:rPr>
                    <w:t>在线监测设备废液</w:t>
                  </w:r>
                </w:p>
              </w:tc>
              <w:tc>
                <w:tcPr>
                  <w:tcW w:w="5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18"/>
                      <w:szCs w:val="18"/>
                    </w:rPr>
                  </w:pPr>
                  <w:r>
                    <w:rPr>
                      <w:sz w:val="18"/>
                      <w:szCs w:val="18"/>
                    </w:rPr>
                    <w:t>HW49</w:t>
                  </w:r>
                </w:p>
              </w:tc>
              <w:tc>
                <w:tcPr>
                  <w:tcW w:w="70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18"/>
                      <w:szCs w:val="18"/>
                    </w:rPr>
                  </w:pPr>
                  <w:r>
                    <w:rPr>
                      <w:sz w:val="18"/>
                      <w:szCs w:val="18"/>
                    </w:rPr>
                    <w:t>900-047-49</w:t>
                  </w:r>
                </w:p>
              </w:tc>
              <w:tc>
                <w:tcPr>
                  <w:tcW w:w="471" w:type="pct"/>
                  <w:vMerge w:val="restart"/>
                  <w:tcBorders>
                    <w:top w:val="single" w:color="auto" w:sz="4" w:space="0"/>
                    <w:left w:val="single" w:color="auto" w:sz="4" w:space="0"/>
                    <w:right w:val="single" w:color="auto" w:sz="4" w:space="0"/>
                  </w:tcBorders>
                  <w:vAlign w:val="center"/>
                </w:tcPr>
                <w:p>
                  <w:pPr>
                    <w:spacing w:line="360" w:lineRule="exact"/>
                    <w:jc w:val="center"/>
                    <w:rPr>
                      <w:sz w:val="18"/>
                      <w:szCs w:val="18"/>
                    </w:rPr>
                  </w:pPr>
                  <w:r>
                    <w:rPr>
                      <w:rFonts w:hint="eastAsia"/>
                      <w:sz w:val="18"/>
                      <w:szCs w:val="18"/>
                    </w:rPr>
                    <w:t>综合用房内</w:t>
                  </w:r>
                </w:p>
              </w:tc>
              <w:tc>
                <w:tcPr>
                  <w:tcW w:w="466" w:type="pct"/>
                  <w:vMerge w:val="restart"/>
                  <w:tcBorders>
                    <w:top w:val="single" w:color="auto" w:sz="4" w:space="0"/>
                    <w:left w:val="single" w:color="auto" w:sz="4" w:space="0"/>
                    <w:right w:val="single" w:color="auto" w:sz="4" w:space="0"/>
                  </w:tcBorders>
                  <w:vAlign w:val="center"/>
                </w:tcPr>
                <w:p>
                  <w:pPr>
                    <w:spacing w:line="360" w:lineRule="exact"/>
                    <w:jc w:val="center"/>
                    <w:rPr>
                      <w:sz w:val="18"/>
                      <w:szCs w:val="18"/>
                    </w:rPr>
                  </w:pPr>
                  <w:r>
                    <w:rPr>
                      <w:sz w:val="18"/>
                      <w:szCs w:val="18"/>
                    </w:rPr>
                    <w:t>20m</w:t>
                  </w:r>
                  <w:r>
                    <w:rPr>
                      <w:sz w:val="18"/>
                      <w:szCs w:val="18"/>
                      <w:vertAlign w:val="superscript"/>
                    </w:rPr>
                    <w:t>2</w:t>
                  </w:r>
                </w:p>
              </w:tc>
              <w:tc>
                <w:tcPr>
                  <w:tcW w:w="625" w:type="pct"/>
                  <w:vMerge w:val="restart"/>
                  <w:tcBorders>
                    <w:top w:val="single" w:color="auto" w:sz="4" w:space="0"/>
                    <w:left w:val="single" w:color="auto" w:sz="4" w:space="0"/>
                    <w:right w:val="single" w:color="auto" w:sz="4" w:space="0"/>
                  </w:tcBorders>
                  <w:vAlign w:val="center"/>
                </w:tcPr>
                <w:p>
                  <w:pPr>
                    <w:spacing w:line="360" w:lineRule="exact"/>
                    <w:jc w:val="center"/>
                    <w:rPr>
                      <w:sz w:val="18"/>
                      <w:szCs w:val="18"/>
                    </w:rPr>
                  </w:pPr>
                  <w:r>
                    <w:rPr>
                      <w:sz w:val="18"/>
                      <w:szCs w:val="18"/>
                    </w:rPr>
                    <w:t>专用桶装</w:t>
                  </w:r>
                </w:p>
              </w:tc>
              <w:tc>
                <w:tcPr>
                  <w:tcW w:w="540" w:type="pct"/>
                  <w:vMerge w:val="restart"/>
                  <w:tcBorders>
                    <w:top w:val="single" w:color="auto" w:sz="4" w:space="0"/>
                    <w:left w:val="single" w:color="auto" w:sz="4" w:space="0"/>
                    <w:right w:val="single" w:color="auto" w:sz="4" w:space="0"/>
                  </w:tcBorders>
                  <w:vAlign w:val="center"/>
                </w:tcPr>
                <w:p>
                  <w:pPr>
                    <w:spacing w:line="360" w:lineRule="exact"/>
                    <w:jc w:val="center"/>
                    <w:rPr>
                      <w:sz w:val="18"/>
                      <w:szCs w:val="18"/>
                    </w:rPr>
                  </w:pPr>
                  <w:r>
                    <w:rPr>
                      <w:sz w:val="18"/>
                      <w:szCs w:val="18"/>
                    </w:rPr>
                    <w:t>5t</w:t>
                  </w:r>
                </w:p>
              </w:tc>
              <w:tc>
                <w:tcPr>
                  <w:tcW w:w="54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18"/>
                      <w:szCs w:val="18"/>
                    </w:rPr>
                  </w:pPr>
                  <w:r>
                    <w:rPr>
                      <w:sz w:val="18"/>
                      <w:szCs w:val="18"/>
                    </w:rPr>
                    <w:t>一</w:t>
                  </w:r>
                  <w:r>
                    <w:rPr>
                      <w:rFonts w:hint="eastAsia"/>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482" w:type="pct"/>
                  <w:vMerge w:val="continue"/>
                  <w:tcBorders>
                    <w:left w:val="single" w:color="auto" w:sz="4" w:space="0"/>
                    <w:right w:val="single" w:color="auto" w:sz="4" w:space="0"/>
                  </w:tcBorders>
                  <w:vAlign w:val="center"/>
                </w:tcPr>
                <w:p>
                  <w:pPr>
                    <w:spacing w:line="360" w:lineRule="exact"/>
                    <w:jc w:val="center"/>
                    <w:rPr>
                      <w:sz w:val="18"/>
                      <w:szCs w:val="18"/>
                    </w:rPr>
                  </w:pPr>
                </w:p>
              </w:tc>
              <w:tc>
                <w:tcPr>
                  <w:tcW w:w="62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18"/>
                      <w:szCs w:val="18"/>
                    </w:rPr>
                  </w:pPr>
                  <w:r>
                    <w:rPr>
                      <w:rFonts w:hint="eastAsia"/>
                      <w:sz w:val="18"/>
                      <w:szCs w:val="18"/>
                    </w:rPr>
                    <w:t>废弃化学试剂药品、废试剂瓶</w:t>
                  </w:r>
                </w:p>
              </w:tc>
              <w:tc>
                <w:tcPr>
                  <w:tcW w:w="5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18"/>
                      <w:szCs w:val="18"/>
                    </w:rPr>
                  </w:pPr>
                  <w:r>
                    <w:rPr>
                      <w:sz w:val="18"/>
                      <w:szCs w:val="18"/>
                    </w:rPr>
                    <w:t>HW49</w:t>
                  </w:r>
                </w:p>
              </w:tc>
              <w:tc>
                <w:tcPr>
                  <w:tcW w:w="704"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18"/>
                      <w:szCs w:val="18"/>
                    </w:rPr>
                  </w:pPr>
                  <w:r>
                    <w:rPr>
                      <w:sz w:val="18"/>
                      <w:szCs w:val="18"/>
                    </w:rPr>
                    <w:t>900-047-49</w:t>
                  </w:r>
                </w:p>
              </w:tc>
              <w:tc>
                <w:tcPr>
                  <w:tcW w:w="471" w:type="pct"/>
                  <w:vMerge w:val="continue"/>
                  <w:tcBorders>
                    <w:left w:val="single" w:color="auto" w:sz="4" w:space="0"/>
                    <w:bottom w:val="single" w:color="auto" w:sz="4" w:space="0"/>
                    <w:right w:val="single" w:color="auto" w:sz="4" w:space="0"/>
                  </w:tcBorders>
                  <w:vAlign w:val="center"/>
                </w:tcPr>
                <w:p>
                  <w:pPr>
                    <w:spacing w:line="360" w:lineRule="exact"/>
                    <w:jc w:val="center"/>
                    <w:rPr>
                      <w:sz w:val="18"/>
                      <w:szCs w:val="18"/>
                    </w:rPr>
                  </w:pPr>
                </w:p>
              </w:tc>
              <w:tc>
                <w:tcPr>
                  <w:tcW w:w="466" w:type="pct"/>
                  <w:vMerge w:val="continue"/>
                  <w:tcBorders>
                    <w:left w:val="single" w:color="auto" w:sz="4" w:space="0"/>
                    <w:bottom w:val="single" w:color="auto" w:sz="4" w:space="0"/>
                    <w:right w:val="single" w:color="auto" w:sz="4" w:space="0"/>
                  </w:tcBorders>
                  <w:vAlign w:val="center"/>
                </w:tcPr>
                <w:p>
                  <w:pPr>
                    <w:spacing w:line="360" w:lineRule="exact"/>
                    <w:jc w:val="center"/>
                    <w:rPr>
                      <w:sz w:val="18"/>
                      <w:szCs w:val="18"/>
                    </w:rPr>
                  </w:pPr>
                </w:p>
              </w:tc>
              <w:tc>
                <w:tcPr>
                  <w:tcW w:w="625" w:type="pct"/>
                  <w:vMerge w:val="continue"/>
                  <w:tcBorders>
                    <w:left w:val="single" w:color="auto" w:sz="4" w:space="0"/>
                    <w:bottom w:val="single" w:color="auto" w:sz="4" w:space="0"/>
                    <w:right w:val="single" w:color="auto" w:sz="4" w:space="0"/>
                  </w:tcBorders>
                  <w:vAlign w:val="center"/>
                </w:tcPr>
                <w:p>
                  <w:pPr>
                    <w:spacing w:line="360" w:lineRule="exact"/>
                    <w:jc w:val="center"/>
                    <w:rPr>
                      <w:sz w:val="18"/>
                      <w:szCs w:val="18"/>
                    </w:rPr>
                  </w:pPr>
                </w:p>
              </w:tc>
              <w:tc>
                <w:tcPr>
                  <w:tcW w:w="540" w:type="pct"/>
                  <w:vMerge w:val="continue"/>
                  <w:tcBorders>
                    <w:left w:val="single" w:color="auto" w:sz="4" w:space="0"/>
                    <w:bottom w:val="single" w:color="auto" w:sz="4" w:space="0"/>
                    <w:right w:val="single" w:color="auto" w:sz="4" w:space="0"/>
                  </w:tcBorders>
                  <w:vAlign w:val="center"/>
                </w:tcPr>
                <w:p>
                  <w:pPr>
                    <w:spacing w:line="360" w:lineRule="exact"/>
                    <w:jc w:val="center"/>
                    <w:rPr>
                      <w:sz w:val="18"/>
                      <w:szCs w:val="18"/>
                    </w:rPr>
                  </w:pPr>
                </w:p>
              </w:tc>
              <w:tc>
                <w:tcPr>
                  <w:tcW w:w="540"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sz w:val="18"/>
                      <w:szCs w:val="18"/>
                    </w:rPr>
                  </w:pPr>
                  <w:r>
                    <w:rPr>
                      <w:sz w:val="18"/>
                      <w:szCs w:val="18"/>
                    </w:rPr>
                    <w:t>一</w:t>
                  </w:r>
                  <w:r>
                    <w:rPr>
                      <w:rFonts w:hint="eastAsia"/>
                      <w:sz w:val="18"/>
                      <w:szCs w:val="18"/>
                    </w:rPr>
                    <w:t>年</w:t>
                  </w:r>
                </w:p>
              </w:tc>
            </w:tr>
          </w:tbl>
          <w:p>
            <w:pPr>
              <w:widowControl w:val="0"/>
              <w:ind w:firstLine="480" w:firstLineChars="200"/>
              <w:jc w:val="both"/>
            </w:pPr>
            <w:r>
              <w:t>综上所述，本项目营运期严格落实本环评中提出的各类废物处置措施，落实危险废物储存和转运要求，可防止因处置不当出现的环境二次污染。</w:t>
            </w:r>
          </w:p>
          <w:p>
            <w:pPr>
              <w:widowControl w:val="0"/>
              <w:ind w:firstLine="482" w:firstLineChars="200"/>
              <w:jc w:val="both"/>
              <w:rPr>
                <w:b/>
                <w:bCs/>
              </w:rPr>
            </w:pPr>
            <w:r>
              <w:rPr>
                <w:rFonts w:hint="eastAsia"/>
                <w:b/>
                <w:bCs/>
              </w:rPr>
              <w:t>4.2.5</w:t>
            </w:r>
            <w:r>
              <w:rPr>
                <w:b/>
                <w:bCs/>
              </w:rPr>
              <w:t>地下水、土壤</w:t>
            </w:r>
          </w:p>
          <w:p>
            <w:pPr>
              <w:widowControl w:val="0"/>
              <w:ind w:firstLine="361" w:firstLineChars="150"/>
              <w:jc w:val="both"/>
              <w:rPr>
                <w:b/>
              </w:rPr>
            </w:pPr>
            <w:r>
              <w:rPr>
                <w:b/>
              </w:rPr>
              <w:t>（1）污染途径</w:t>
            </w:r>
          </w:p>
          <w:p>
            <w:pPr>
              <w:widowControl w:val="0"/>
              <w:ind w:firstLine="480" w:firstLineChars="200"/>
              <w:jc w:val="both"/>
            </w:pPr>
            <w:r>
              <w:t>营运期污染物进入地下水环境的途径主要是废水、物料泄漏通过垂直渗透进入包气带，进入包气带的污染物在物理、化学和生物作用下经吸附、转化、迁移和分解后输入地下水，营运期因渗漏可能产生的污染地下水环节为废水处理设施、危废暂存间等发生“跑、冒、滴、漏”使污染物进入地下水环境。</w:t>
            </w:r>
          </w:p>
          <w:p>
            <w:pPr>
              <w:widowControl w:val="0"/>
              <w:ind w:firstLine="361" w:firstLineChars="150"/>
              <w:jc w:val="both"/>
              <w:rPr>
                <w:b/>
              </w:rPr>
            </w:pPr>
            <w:r>
              <w:rPr>
                <w:b/>
              </w:rPr>
              <w:t>（2）防渗分区</w:t>
            </w:r>
          </w:p>
          <w:p>
            <w:pPr>
              <w:widowControl w:val="0"/>
              <w:ind w:firstLine="480" w:firstLineChars="200"/>
              <w:jc w:val="both"/>
            </w:pPr>
            <w:r>
              <w:t>根据《环境影响评价技术导则 地下水环境》（HJ610-2016）防渗分区原则，将本项目分划为重点防渗区、一般防渗区和简单防渗区，划分区域如下：</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ascii="Times New Roman" w:hAnsi="Times New Roman" w:eastAsia="黑体"/>
                <w:kern w:val="2"/>
                <w:szCs w:val="24"/>
              </w:rPr>
              <w:t>厂区分区防渗内容汇总表</w:t>
            </w:r>
          </w:p>
          <w:tbl>
            <w:tblPr>
              <w:tblStyle w:val="4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1695"/>
              <w:gridCol w:w="6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82" w:type="pct"/>
                  <w:tcBorders>
                    <w:tl2br w:val="nil"/>
                    <w:tr2bl w:val="nil"/>
                  </w:tcBorders>
                  <w:vAlign w:val="center"/>
                </w:tcPr>
                <w:p>
                  <w:pPr>
                    <w:spacing w:line="360" w:lineRule="exact"/>
                    <w:jc w:val="center"/>
                    <w:rPr>
                      <w:b/>
                      <w:bCs/>
                      <w:sz w:val="21"/>
                      <w:szCs w:val="21"/>
                    </w:rPr>
                  </w:pPr>
                  <w:r>
                    <w:rPr>
                      <w:b/>
                      <w:bCs/>
                      <w:sz w:val="21"/>
                      <w:szCs w:val="21"/>
                    </w:rPr>
                    <w:t>序  号</w:t>
                  </w:r>
                </w:p>
              </w:tc>
              <w:tc>
                <w:tcPr>
                  <w:tcW w:w="925" w:type="pct"/>
                  <w:tcBorders>
                    <w:tl2br w:val="nil"/>
                    <w:tr2bl w:val="nil"/>
                  </w:tcBorders>
                  <w:vAlign w:val="center"/>
                </w:tcPr>
                <w:p>
                  <w:pPr>
                    <w:spacing w:line="360" w:lineRule="exact"/>
                    <w:jc w:val="center"/>
                    <w:rPr>
                      <w:b/>
                      <w:bCs/>
                      <w:sz w:val="21"/>
                      <w:szCs w:val="21"/>
                    </w:rPr>
                  </w:pPr>
                  <w:r>
                    <w:rPr>
                      <w:b/>
                      <w:bCs/>
                      <w:sz w:val="21"/>
                      <w:szCs w:val="21"/>
                    </w:rPr>
                    <w:t>类  别</w:t>
                  </w:r>
                </w:p>
              </w:tc>
              <w:tc>
                <w:tcPr>
                  <w:tcW w:w="3492" w:type="pct"/>
                  <w:tcBorders>
                    <w:tl2br w:val="nil"/>
                    <w:tr2bl w:val="nil"/>
                  </w:tcBorders>
                  <w:vAlign w:val="center"/>
                </w:tcPr>
                <w:p>
                  <w:pPr>
                    <w:spacing w:line="360" w:lineRule="exact"/>
                    <w:jc w:val="center"/>
                    <w:rPr>
                      <w:b/>
                      <w:bCs/>
                      <w:sz w:val="21"/>
                      <w:szCs w:val="21"/>
                    </w:rPr>
                  </w:pPr>
                  <w:r>
                    <w:rPr>
                      <w:b/>
                      <w:bCs/>
                      <w:sz w:val="21"/>
                      <w:szCs w:val="21"/>
                    </w:rPr>
                    <w:t>区  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82" w:type="pct"/>
                  <w:tcBorders>
                    <w:tl2br w:val="nil"/>
                    <w:tr2bl w:val="nil"/>
                  </w:tcBorders>
                  <w:vAlign w:val="center"/>
                </w:tcPr>
                <w:p>
                  <w:pPr>
                    <w:spacing w:line="360" w:lineRule="exact"/>
                    <w:jc w:val="center"/>
                    <w:rPr>
                      <w:sz w:val="21"/>
                      <w:szCs w:val="21"/>
                    </w:rPr>
                  </w:pPr>
                  <w:r>
                    <w:rPr>
                      <w:sz w:val="21"/>
                      <w:szCs w:val="21"/>
                    </w:rPr>
                    <w:t>1</w:t>
                  </w:r>
                </w:p>
              </w:tc>
              <w:tc>
                <w:tcPr>
                  <w:tcW w:w="925" w:type="pct"/>
                  <w:tcBorders>
                    <w:tl2br w:val="nil"/>
                    <w:tr2bl w:val="nil"/>
                  </w:tcBorders>
                  <w:vAlign w:val="center"/>
                </w:tcPr>
                <w:p>
                  <w:pPr>
                    <w:spacing w:line="360" w:lineRule="exact"/>
                    <w:jc w:val="center"/>
                    <w:rPr>
                      <w:sz w:val="21"/>
                      <w:szCs w:val="21"/>
                    </w:rPr>
                  </w:pPr>
                  <w:r>
                    <w:rPr>
                      <w:sz w:val="21"/>
                      <w:szCs w:val="21"/>
                    </w:rPr>
                    <w:t>重点防渗区</w:t>
                  </w:r>
                </w:p>
              </w:tc>
              <w:tc>
                <w:tcPr>
                  <w:tcW w:w="3492" w:type="pct"/>
                  <w:tcBorders>
                    <w:tl2br w:val="nil"/>
                    <w:tr2bl w:val="nil"/>
                  </w:tcBorders>
                  <w:vAlign w:val="center"/>
                </w:tcPr>
                <w:p>
                  <w:pPr>
                    <w:spacing w:line="360" w:lineRule="exact"/>
                    <w:jc w:val="center"/>
                    <w:rPr>
                      <w:sz w:val="21"/>
                      <w:szCs w:val="21"/>
                    </w:rPr>
                  </w:pPr>
                  <w:r>
                    <w:rPr>
                      <w:rFonts w:hint="eastAsia"/>
                      <w:sz w:val="21"/>
                      <w:szCs w:val="21"/>
                    </w:rPr>
                    <w:t>危废暂存间、</w:t>
                  </w:r>
                  <w:r>
                    <w:rPr>
                      <w:sz w:val="21"/>
                      <w:szCs w:val="21"/>
                    </w:rPr>
                    <w:t>污水处理设施（包括格栅池、调节池、</w:t>
                  </w:r>
                  <w:r>
                    <w:rPr>
                      <w:rFonts w:hint="eastAsia"/>
                      <w:sz w:val="21"/>
                      <w:szCs w:val="21"/>
                    </w:rPr>
                    <w:t>沉砂池、</w:t>
                  </w:r>
                  <w:r>
                    <w:rPr>
                      <w:sz w:val="21"/>
                      <w:szCs w:val="21"/>
                    </w:rPr>
                    <w:t>生化处理设施</w:t>
                  </w:r>
                  <w:r>
                    <w:rPr>
                      <w:rFonts w:hint="eastAsia"/>
                      <w:sz w:val="21"/>
                      <w:szCs w:val="21"/>
                    </w:rPr>
                    <w:t>、二沉池、高效沉淀池及消毒池等</w:t>
                  </w:r>
                  <w:r>
                    <w:rPr>
                      <w:sz w:val="21"/>
                      <w:szCs w:val="21"/>
                    </w:rPr>
                    <w:t>）、污泥</w:t>
                  </w:r>
                  <w:r>
                    <w:rPr>
                      <w:rFonts w:hint="eastAsia"/>
                      <w:sz w:val="21"/>
                      <w:szCs w:val="21"/>
                    </w:rPr>
                    <w:t>储</w:t>
                  </w:r>
                  <w:r>
                    <w:rPr>
                      <w:sz w:val="21"/>
                      <w:szCs w:val="21"/>
                    </w:rPr>
                    <w:t>池、</w:t>
                  </w:r>
                  <w:r>
                    <w:rPr>
                      <w:rFonts w:hint="eastAsia"/>
                      <w:sz w:val="21"/>
                      <w:szCs w:val="21"/>
                    </w:rPr>
                    <w:t>污水</w:t>
                  </w:r>
                  <w:r>
                    <w:rPr>
                      <w:sz w:val="21"/>
                      <w:szCs w:val="21"/>
                    </w:rPr>
                    <w:t>脱水</w:t>
                  </w:r>
                  <w:r>
                    <w:rPr>
                      <w:rFonts w:hint="eastAsia"/>
                      <w:sz w:val="21"/>
                      <w:szCs w:val="21"/>
                    </w:rPr>
                    <w:t>车间、加氯加药间等</w:t>
                  </w:r>
                  <w:r>
                    <w:rPr>
                      <w:sz w:val="21"/>
                      <w:szCs w:val="21"/>
                    </w:rPr>
                    <w:t>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2" w:type="pct"/>
                  <w:tcBorders>
                    <w:tl2br w:val="nil"/>
                    <w:tr2bl w:val="nil"/>
                  </w:tcBorders>
                  <w:vAlign w:val="center"/>
                </w:tcPr>
                <w:p>
                  <w:pPr>
                    <w:spacing w:line="360" w:lineRule="exact"/>
                    <w:jc w:val="center"/>
                    <w:rPr>
                      <w:sz w:val="21"/>
                      <w:szCs w:val="21"/>
                    </w:rPr>
                  </w:pPr>
                  <w:r>
                    <w:rPr>
                      <w:sz w:val="21"/>
                      <w:szCs w:val="21"/>
                    </w:rPr>
                    <w:t>2</w:t>
                  </w:r>
                </w:p>
              </w:tc>
              <w:tc>
                <w:tcPr>
                  <w:tcW w:w="925" w:type="pct"/>
                  <w:tcBorders>
                    <w:tl2br w:val="nil"/>
                    <w:tr2bl w:val="nil"/>
                  </w:tcBorders>
                  <w:vAlign w:val="center"/>
                </w:tcPr>
                <w:p>
                  <w:pPr>
                    <w:spacing w:line="360" w:lineRule="exact"/>
                    <w:jc w:val="center"/>
                    <w:rPr>
                      <w:sz w:val="21"/>
                      <w:szCs w:val="21"/>
                    </w:rPr>
                  </w:pPr>
                  <w:r>
                    <w:rPr>
                      <w:sz w:val="21"/>
                      <w:szCs w:val="21"/>
                    </w:rPr>
                    <w:t>一般防渗区</w:t>
                  </w:r>
                </w:p>
              </w:tc>
              <w:tc>
                <w:tcPr>
                  <w:tcW w:w="3492" w:type="pct"/>
                  <w:tcBorders>
                    <w:tl2br w:val="nil"/>
                    <w:tr2bl w:val="nil"/>
                  </w:tcBorders>
                  <w:vAlign w:val="center"/>
                </w:tcPr>
                <w:p>
                  <w:pPr>
                    <w:spacing w:line="360" w:lineRule="exact"/>
                    <w:jc w:val="center"/>
                    <w:rPr>
                      <w:sz w:val="21"/>
                      <w:szCs w:val="21"/>
                    </w:rPr>
                  </w:pPr>
                  <w:r>
                    <w:rPr>
                      <w:rFonts w:hint="eastAsia"/>
                      <w:sz w:val="21"/>
                      <w:szCs w:val="21"/>
                    </w:rPr>
                    <w:t>隔油池、在线监测室、鼓风机房、综合用房（除重点防渗区外的区域）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82" w:type="pct"/>
                  <w:tcBorders>
                    <w:tl2br w:val="nil"/>
                    <w:tr2bl w:val="nil"/>
                  </w:tcBorders>
                  <w:vAlign w:val="center"/>
                </w:tcPr>
                <w:p>
                  <w:pPr>
                    <w:spacing w:line="360" w:lineRule="exact"/>
                    <w:jc w:val="center"/>
                    <w:rPr>
                      <w:sz w:val="21"/>
                      <w:szCs w:val="21"/>
                    </w:rPr>
                  </w:pPr>
                  <w:r>
                    <w:rPr>
                      <w:rFonts w:hint="eastAsia"/>
                      <w:sz w:val="21"/>
                      <w:szCs w:val="21"/>
                    </w:rPr>
                    <w:t>3</w:t>
                  </w:r>
                </w:p>
              </w:tc>
              <w:tc>
                <w:tcPr>
                  <w:tcW w:w="925" w:type="pct"/>
                  <w:tcBorders>
                    <w:tl2br w:val="nil"/>
                    <w:tr2bl w:val="nil"/>
                  </w:tcBorders>
                  <w:vAlign w:val="center"/>
                </w:tcPr>
                <w:p>
                  <w:pPr>
                    <w:spacing w:line="360" w:lineRule="exact"/>
                    <w:jc w:val="center"/>
                    <w:rPr>
                      <w:sz w:val="21"/>
                      <w:szCs w:val="21"/>
                    </w:rPr>
                  </w:pPr>
                  <w:r>
                    <w:rPr>
                      <w:rFonts w:hint="eastAsia"/>
                      <w:sz w:val="21"/>
                      <w:szCs w:val="21"/>
                    </w:rPr>
                    <w:t>简单防渗区</w:t>
                  </w:r>
                </w:p>
              </w:tc>
              <w:tc>
                <w:tcPr>
                  <w:tcW w:w="3492" w:type="pct"/>
                  <w:tcBorders>
                    <w:tl2br w:val="nil"/>
                    <w:tr2bl w:val="nil"/>
                  </w:tcBorders>
                  <w:vAlign w:val="center"/>
                </w:tcPr>
                <w:p>
                  <w:pPr>
                    <w:spacing w:line="360" w:lineRule="exact"/>
                    <w:jc w:val="center"/>
                    <w:rPr>
                      <w:sz w:val="21"/>
                      <w:szCs w:val="21"/>
                    </w:rPr>
                  </w:pPr>
                  <w:r>
                    <w:rPr>
                      <w:rFonts w:hint="eastAsia"/>
                      <w:sz w:val="21"/>
                      <w:szCs w:val="21"/>
                    </w:rPr>
                    <w:t>道路、门卫等</w:t>
                  </w:r>
                </w:p>
              </w:tc>
            </w:tr>
          </w:tbl>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ascii="Times New Roman" w:hAnsi="Times New Roman" w:eastAsia="黑体"/>
                <w:kern w:val="2"/>
                <w:szCs w:val="24"/>
              </w:rPr>
              <w:t>地下水和土壤污染防控措施</w:t>
            </w:r>
          </w:p>
          <w:tbl>
            <w:tblPr>
              <w:tblStyle w:val="44"/>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84"/>
              <w:gridCol w:w="2281"/>
              <w:gridCol w:w="3151"/>
              <w:gridCol w:w="26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 w:hRule="atLeast"/>
                <w:jc w:val="center"/>
              </w:trPr>
              <w:tc>
                <w:tcPr>
                  <w:tcW w:w="592" w:type="pct"/>
                  <w:vAlign w:val="center"/>
                </w:tcPr>
                <w:p>
                  <w:pPr>
                    <w:spacing w:line="360" w:lineRule="exact"/>
                    <w:jc w:val="center"/>
                    <w:rPr>
                      <w:b/>
                      <w:bCs/>
                      <w:sz w:val="21"/>
                      <w:szCs w:val="21"/>
                    </w:rPr>
                  </w:pPr>
                  <w:r>
                    <w:rPr>
                      <w:b/>
                      <w:bCs/>
                      <w:sz w:val="21"/>
                      <w:szCs w:val="21"/>
                    </w:rPr>
                    <w:t>防渗级别</w:t>
                  </w:r>
                </w:p>
              </w:tc>
              <w:tc>
                <w:tcPr>
                  <w:tcW w:w="1245" w:type="pct"/>
                  <w:vAlign w:val="center"/>
                </w:tcPr>
                <w:p>
                  <w:pPr>
                    <w:spacing w:line="360" w:lineRule="exact"/>
                    <w:jc w:val="center"/>
                    <w:rPr>
                      <w:b/>
                      <w:bCs/>
                      <w:sz w:val="21"/>
                      <w:szCs w:val="21"/>
                    </w:rPr>
                  </w:pPr>
                  <w:r>
                    <w:rPr>
                      <w:b/>
                      <w:bCs/>
                      <w:sz w:val="21"/>
                      <w:szCs w:val="21"/>
                    </w:rPr>
                    <w:t>工作区</w:t>
                  </w:r>
                </w:p>
              </w:tc>
              <w:tc>
                <w:tcPr>
                  <w:tcW w:w="1720" w:type="pct"/>
                  <w:tcBorders>
                    <w:right w:val="single" w:color="auto" w:sz="4" w:space="0"/>
                  </w:tcBorders>
                  <w:vAlign w:val="center"/>
                </w:tcPr>
                <w:p>
                  <w:pPr>
                    <w:spacing w:line="360" w:lineRule="exact"/>
                    <w:jc w:val="center"/>
                    <w:rPr>
                      <w:b/>
                      <w:bCs/>
                      <w:sz w:val="21"/>
                      <w:szCs w:val="21"/>
                    </w:rPr>
                  </w:pPr>
                  <w:r>
                    <w:rPr>
                      <w:b/>
                      <w:bCs/>
                      <w:sz w:val="21"/>
                      <w:szCs w:val="21"/>
                    </w:rPr>
                    <w:t>防渗要求</w:t>
                  </w:r>
                </w:p>
              </w:tc>
              <w:tc>
                <w:tcPr>
                  <w:tcW w:w="1441" w:type="pct"/>
                  <w:tcBorders>
                    <w:left w:val="single" w:color="auto" w:sz="4" w:space="0"/>
                  </w:tcBorders>
                  <w:vAlign w:val="center"/>
                </w:tcPr>
                <w:p>
                  <w:pPr>
                    <w:spacing w:line="360" w:lineRule="exact"/>
                    <w:jc w:val="center"/>
                    <w:rPr>
                      <w:b/>
                      <w:bCs/>
                      <w:sz w:val="21"/>
                      <w:szCs w:val="21"/>
                    </w:rPr>
                  </w:pPr>
                  <w:r>
                    <w:rPr>
                      <w:rFonts w:hint="eastAsia"/>
                      <w:b/>
                      <w:bCs/>
                      <w:sz w:val="21"/>
                      <w:szCs w:val="21"/>
                    </w:rPr>
                    <w:t>具体防渗措施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592" w:type="pct"/>
                  <w:vMerge w:val="restart"/>
                  <w:vAlign w:val="center"/>
                </w:tcPr>
                <w:p>
                  <w:pPr>
                    <w:spacing w:line="360" w:lineRule="exact"/>
                    <w:jc w:val="center"/>
                    <w:rPr>
                      <w:sz w:val="21"/>
                      <w:szCs w:val="21"/>
                    </w:rPr>
                  </w:pPr>
                  <w:r>
                    <w:rPr>
                      <w:rFonts w:hint="eastAsia"/>
                      <w:sz w:val="21"/>
                      <w:szCs w:val="21"/>
                    </w:rPr>
                    <w:t>重点</w:t>
                  </w:r>
                </w:p>
                <w:p>
                  <w:pPr>
                    <w:spacing w:line="360" w:lineRule="exact"/>
                    <w:jc w:val="center"/>
                    <w:rPr>
                      <w:sz w:val="21"/>
                      <w:szCs w:val="21"/>
                    </w:rPr>
                  </w:pPr>
                  <w:r>
                    <w:rPr>
                      <w:rFonts w:hint="eastAsia"/>
                      <w:sz w:val="21"/>
                      <w:szCs w:val="21"/>
                    </w:rPr>
                    <w:t>防渗区</w:t>
                  </w:r>
                </w:p>
              </w:tc>
              <w:tc>
                <w:tcPr>
                  <w:tcW w:w="1245" w:type="pct"/>
                  <w:tcBorders>
                    <w:top w:val="single" w:color="auto" w:sz="4" w:space="0"/>
                    <w:bottom w:val="single" w:color="auto" w:sz="4" w:space="0"/>
                  </w:tcBorders>
                  <w:vAlign w:val="center"/>
                </w:tcPr>
                <w:p>
                  <w:pPr>
                    <w:spacing w:line="360" w:lineRule="exact"/>
                    <w:jc w:val="center"/>
                    <w:rPr>
                      <w:sz w:val="21"/>
                      <w:szCs w:val="21"/>
                    </w:rPr>
                  </w:pPr>
                  <w:r>
                    <w:rPr>
                      <w:sz w:val="21"/>
                      <w:szCs w:val="21"/>
                    </w:rPr>
                    <w:t>危废</w:t>
                  </w:r>
                  <w:r>
                    <w:rPr>
                      <w:rFonts w:hint="eastAsia"/>
                      <w:sz w:val="21"/>
                      <w:szCs w:val="21"/>
                    </w:rPr>
                    <w:t>暂</w:t>
                  </w:r>
                  <w:r>
                    <w:rPr>
                      <w:sz w:val="21"/>
                      <w:szCs w:val="21"/>
                    </w:rPr>
                    <w:t>存间</w:t>
                  </w:r>
                </w:p>
              </w:tc>
              <w:tc>
                <w:tcPr>
                  <w:tcW w:w="1720" w:type="pct"/>
                  <w:tcBorders>
                    <w:right w:val="single" w:color="auto" w:sz="4" w:space="0"/>
                  </w:tcBorders>
                  <w:vAlign w:val="center"/>
                </w:tcPr>
                <w:p>
                  <w:pPr>
                    <w:spacing w:line="360" w:lineRule="exact"/>
                    <w:rPr>
                      <w:sz w:val="21"/>
                      <w:szCs w:val="21"/>
                    </w:rPr>
                  </w:pPr>
                  <w:r>
                    <w:rPr>
                      <w:rFonts w:hint="eastAsia"/>
                      <w:bCs/>
                      <w:sz w:val="21"/>
                      <w:szCs w:val="21"/>
                    </w:rPr>
                    <w:t>防渗层为至少1米厚粘土层</w:t>
                  </w:r>
                  <w:r>
                    <w:rPr>
                      <w:bCs/>
                      <w:sz w:val="21"/>
                      <w:szCs w:val="21"/>
                    </w:rPr>
                    <w:t>(渗透系数≤10</w:t>
                  </w:r>
                  <w:r>
                    <w:rPr>
                      <w:bCs/>
                      <w:sz w:val="21"/>
                      <w:szCs w:val="21"/>
                      <w:vertAlign w:val="superscript"/>
                    </w:rPr>
                    <w:t>-7</w:t>
                  </w:r>
                  <w:r>
                    <w:rPr>
                      <w:rFonts w:hint="eastAsia"/>
                      <w:bCs/>
                      <w:sz w:val="21"/>
                      <w:szCs w:val="21"/>
                    </w:rPr>
                    <w:t>cm</w:t>
                  </w:r>
                  <w:r>
                    <w:rPr>
                      <w:bCs/>
                      <w:sz w:val="21"/>
                      <w:szCs w:val="21"/>
                    </w:rPr>
                    <w:t>/</w:t>
                  </w:r>
                  <w:r>
                    <w:rPr>
                      <w:rFonts w:hint="eastAsia"/>
                      <w:bCs/>
                      <w:sz w:val="21"/>
                      <w:szCs w:val="21"/>
                    </w:rPr>
                    <w:t>s</w:t>
                  </w:r>
                  <w:r>
                    <w:rPr>
                      <w:bCs/>
                      <w:sz w:val="21"/>
                      <w:szCs w:val="21"/>
                    </w:rPr>
                    <w:t>)，</w:t>
                  </w:r>
                  <w:r>
                    <w:rPr>
                      <w:rFonts w:hint="eastAsia"/>
                      <w:bCs/>
                      <w:sz w:val="21"/>
                      <w:szCs w:val="21"/>
                    </w:rPr>
                    <w:t>或2毫米厚高密度聚乙烯，或至少</w:t>
                  </w:r>
                  <w:r>
                    <w:rPr>
                      <w:bCs/>
                      <w:sz w:val="21"/>
                      <w:szCs w:val="21"/>
                    </w:rPr>
                    <w:t>2毫米厚的</w:t>
                  </w:r>
                  <w:r>
                    <w:rPr>
                      <w:rFonts w:hint="eastAsia"/>
                      <w:bCs/>
                      <w:sz w:val="21"/>
                      <w:szCs w:val="21"/>
                    </w:rPr>
                    <w:t>其它人工材料，渗透系数≤10</w:t>
                  </w:r>
                  <w:r>
                    <w:rPr>
                      <w:rFonts w:hint="eastAsia"/>
                      <w:bCs/>
                      <w:sz w:val="21"/>
                      <w:szCs w:val="21"/>
                      <w:vertAlign w:val="superscript"/>
                    </w:rPr>
                    <w:t>-10</w:t>
                  </w:r>
                  <w:r>
                    <w:rPr>
                      <w:rFonts w:hint="eastAsia"/>
                      <w:bCs/>
                      <w:sz w:val="21"/>
                      <w:szCs w:val="21"/>
                    </w:rPr>
                    <w:t xml:space="preserve"> cm/s。</w:t>
                  </w:r>
                </w:p>
              </w:tc>
              <w:tc>
                <w:tcPr>
                  <w:tcW w:w="1441" w:type="pct"/>
                  <w:tcBorders>
                    <w:left w:val="single" w:color="auto" w:sz="4" w:space="0"/>
                    <w:bottom w:val="single" w:color="auto" w:sz="4" w:space="0"/>
                  </w:tcBorders>
                  <w:vAlign w:val="center"/>
                </w:tcPr>
                <w:p>
                  <w:pPr>
                    <w:spacing w:line="360" w:lineRule="exact"/>
                    <w:rPr>
                      <w:sz w:val="21"/>
                      <w:szCs w:val="21"/>
                    </w:rPr>
                  </w:pPr>
                  <w:r>
                    <w:rPr>
                      <w:rFonts w:hint="eastAsia"/>
                      <w:bCs/>
                      <w:sz w:val="21"/>
                      <w:szCs w:val="21"/>
                    </w:rPr>
                    <w:t>建议铺设</w:t>
                  </w:r>
                  <w:r>
                    <w:rPr>
                      <w:rFonts w:hint="eastAsia"/>
                      <w:sz w:val="21"/>
                      <w:szCs w:val="21"/>
                    </w:rPr>
                    <w:t>防渗混凝土+</w:t>
                  </w:r>
                  <w:r>
                    <w:rPr>
                      <w:rFonts w:hint="eastAsia"/>
                      <w:bCs/>
                      <w:sz w:val="21"/>
                      <w:szCs w:val="21"/>
                    </w:rPr>
                    <w:t xml:space="preserve"> 2mm厚的HDPE膜/环氧树脂漆，或者同等防渗作用的其他材料。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3" w:hRule="atLeast"/>
                <w:jc w:val="center"/>
              </w:trPr>
              <w:tc>
                <w:tcPr>
                  <w:tcW w:w="592" w:type="pct"/>
                  <w:vMerge w:val="continue"/>
                  <w:vAlign w:val="center"/>
                </w:tcPr>
                <w:p>
                  <w:pPr>
                    <w:spacing w:line="360" w:lineRule="exact"/>
                    <w:jc w:val="center"/>
                    <w:rPr>
                      <w:sz w:val="21"/>
                      <w:szCs w:val="21"/>
                    </w:rPr>
                  </w:pPr>
                </w:p>
              </w:tc>
              <w:tc>
                <w:tcPr>
                  <w:tcW w:w="1245" w:type="pct"/>
                  <w:tcBorders>
                    <w:top w:val="single" w:color="auto" w:sz="4" w:space="0"/>
                  </w:tcBorders>
                  <w:vAlign w:val="center"/>
                </w:tcPr>
                <w:p>
                  <w:pPr>
                    <w:spacing w:line="360" w:lineRule="exact"/>
                    <w:jc w:val="center"/>
                    <w:rPr>
                      <w:sz w:val="21"/>
                      <w:szCs w:val="21"/>
                    </w:rPr>
                  </w:pPr>
                  <w:r>
                    <w:rPr>
                      <w:sz w:val="21"/>
                      <w:szCs w:val="21"/>
                    </w:rPr>
                    <w:t>污水处理设施（包括格栅池、调节池、</w:t>
                  </w:r>
                  <w:r>
                    <w:rPr>
                      <w:rFonts w:hint="eastAsia"/>
                      <w:sz w:val="21"/>
                      <w:szCs w:val="21"/>
                    </w:rPr>
                    <w:t>沉砂池、</w:t>
                  </w:r>
                  <w:r>
                    <w:rPr>
                      <w:sz w:val="21"/>
                      <w:szCs w:val="21"/>
                    </w:rPr>
                    <w:t>生化处理设施</w:t>
                  </w:r>
                  <w:r>
                    <w:rPr>
                      <w:rFonts w:hint="eastAsia"/>
                      <w:sz w:val="21"/>
                      <w:szCs w:val="21"/>
                    </w:rPr>
                    <w:t>、二沉池、高效沉淀池及消毒池等</w:t>
                  </w:r>
                  <w:r>
                    <w:rPr>
                      <w:sz w:val="21"/>
                      <w:szCs w:val="21"/>
                    </w:rPr>
                    <w:t>）、污泥</w:t>
                  </w:r>
                  <w:r>
                    <w:rPr>
                      <w:rFonts w:hint="eastAsia"/>
                      <w:sz w:val="21"/>
                      <w:szCs w:val="21"/>
                    </w:rPr>
                    <w:t>储</w:t>
                  </w:r>
                  <w:r>
                    <w:rPr>
                      <w:sz w:val="21"/>
                      <w:szCs w:val="21"/>
                    </w:rPr>
                    <w:t>池、</w:t>
                  </w:r>
                  <w:r>
                    <w:rPr>
                      <w:rFonts w:hint="eastAsia"/>
                      <w:sz w:val="21"/>
                      <w:szCs w:val="21"/>
                    </w:rPr>
                    <w:t>污水</w:t>
                  </w:r>
                  <w:r>
                    <w:rPr>
                      <w:sz w:val="21"/>
                      <w:szCs w:val="21"/>
                    </w:rPr>
                    <w:t>脱水</w:t>
                  </w:r>
                  <w:r>
                    <w:rPr>
                      <w:rFonts w:hint="eastAsia"/>
                      <w:sz w:val="21"/>
                      <w:szCs w:val="21"/>
                    </w:rPr>
                    <w:t>车间、加氯加药间等</w:t>
                  </w:r>
                  <w:r>
                    <w:rPr>
                      <w:sz w:val="21"/>
                      <w:szCs w:val="21"/>
                    </w:rPr>
                    <w:t>区域</w:t>
                  </w:r>
                </w:p>
              </w:tc>
              <w:tc>
                <w:tcPr>
                  <w:tcW w:w="1720" w:type="pct"/>
                  <w:tcBorders>
                    <w:right w:val="single" w:color="auto" w:sz="4" w:space="0"/>
                  </w:tcBorders>
                  <w:vAlign w:val="center"/>
                </w:tcPr>
                <w:p>
                  <w:pPr>
                    <w:spacing w:line="360" w:lineRule="exact"/>
                    <w:rPr>
                      <w:bCs/>
                      <w:sz w:val="21"/>
                      <w:szCs w:val="21"/>
                    </w:rPr>
                  </w:pPr>
                  <w:r>
                    <w:rPr>
                      <w:rFonts w:hint="eastAsia"/>
                      <w:bCs/>
                      <w:sz w:val="21"/>
                      <w:szCs w:val="21"/>
                    </w:rPr>
                    <w:t>等效黏土防渗层Mb≥6.0m，渗透系数K≤1×10</w:t>
                  </w:r>
                  <w:r>
                    <w:rPr>
                      <w:rFonts w:hint="eastAsia"/>
                      <w:bCs/>
                      <w:sz w:val="21"/>
                      <w:szCs w:val="21"/>
                      <w:vertAlign w:val="superscript"/>
                    </w:rPr>
                    <w:t>-7</w:t>
                  </w:r>
                  <w:r>
                    <w:rPr>
                      <w:rFonts w:hint="eastAsia"/>
                      <w:bCs/>
                      <w:sz w:val="21"/>
                      <w:szCs w:val="21"/>
                    </w:rPr>
                    <w:t>cm/s。</w:t>
                  </w:r>
                </w:p>
              </w:tc>
              <w:tc>
                <w:tcPr>
                  <w:tcW w:w="1441" w:type="pct"/>
                  <w:tcBorders>
                    <w:left w:val="single" w:color="auto" w:sz="4" w:space="0"/>
                  </w:tcBorders>
                  <w:vAlign w:val="center"/>
                </w:tcPr>
                <w:p>
                  <w:pPr>
                    <w:spacing w:line="360" w:lineRule="exact"/>
                    <w:rPr>
                      <w:sz w:val="21"/>
                      <w:szCs w:val="21"/>
                    </w:rPr>
                  </w:pPr>
                  <w:r>
                    <w:rPr>
                      <w:rFonts w:hint="eastAsia"/>
                      <w:sz w:val="21"/>
                      <w:szCs w:val="21"/>
                    </w:rPr>
                    <w:t>建议采用P8 等级混凝土（厚度 150mm）+HDPE 膜（厚度 1.5mm）防渗结构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92" w:type="pct"/>
                  <w:vMerge w:val="restart"/>
                  <w:vAlign w:val="center"/>
                </w:tcPr>
                <w:p>
                  <w:pPr>
                    <w:spacing w:line="360" w:lineRule="exact"/>
                    <w:jc w:val="center"/>
                    <w:rPr>
                      <w:sz w:val="21"/>
                      <w:szCs w:val="21"/>
                    </w:rPr>
                  </w:pPr>
                  <w:r>
                    <w:rPr>
                      <w:sz w:val="21"/>
                      <w:szCs w:val="21"/>
                    </w:rPr>
                    <w:t>一般</w:t>
                  </w:r>
                </w:p>
                <w:p>
                  <w:pPr>
                    <w:spacing w:line="360" w:lineRule="exact"/>
                    <w:jc w:val="center"/>
                    <w:rPr>
                      <w:sz w:val="21"/>
                      <w:szCs w:val="21"/>
                    </w:rPr>
                  </w:pPr>
                  <w:r>
                    <w:rPr>
                      <w:rFonts w:hint="eastAsia"/>
                      <w:sz w:val="21"/>
                      <w:szCs w:val="21"/>
                    </w:rPr>
                    <w:t>防渗</w:t>
                  </w:r>
                  <w:r>
                    <w:rPr>
                      <w:sz w:val="21"/>
                      <w:szCs w:val="21"/>
                    </w:rPr>
                    <w:t>区</w:t>
                  </w:r>
                </w:p>
              </w:tc>
              <w:tc>
                <w:tcPr>
                  <w:tcW w:w="1245" w:type="pct"/>
                  <w:vAlign w:val="center"/>
                </w:tcPr>
                <w:p>
                  <w:pPr>
                    <w:spacing w:line="360" w:lineRule="exact"/>
                    <w:jc w:val="center"/>
                    <w:rPr>
                      <w:sz w:val="21"/>
                      <w:szCs w:val="21"/>
                    </w:rPr>
                  </w:pPr>
                  <w:r>
                    <w:rPr>
                      <w:rFonts w:hint="eastAsia"/>
                      <w:sz w:val="21"/>
                      <w:szCs w:val="21"/>
                    </w:rPr>
                    <w:t>隔油池</w:t>
                  </w:r>
                </w:p>
              </w:tc>
              <w:tc>
                <w:tcPr>
                  <w:tcW w:w="1720" w:type="pct"/>
                  <w:vMerge w:val="restart"/>
                  <w:tcBorders>
                    <w:right w:val="single" w:color="auto" w:sz="4" w:space="0"/>
                  </w:tcBorders>
                  <w:vAlign w:val="center"/>
                </w:tcPr>
                <w:p>
                  <w:pPr>
                    <w:spacing w:line="360" w:lineRule="exact"/>
                    <w:jc w:val="center"/>
                    <w:rPr>
                      <w:bCs/>
                      <w:sz w:val="21"/>
                      <w:szCs w:val="21"/>
                    </w:rPr>
                  </w:pPr>
                  <w:r>
                    <w:rPr>
                      <w:rFonts w:hint="eastAsia"/>
                      <w:sz w:val="21"/>
                      <w:szCs w:val="21"/>
                    </w:rPr>
                    <w:t>防渗性能应与</w:t>
                  </w:r>
                  <w:r>
                    <w:rPr>
                      <w:sz w:val="21"/>
                      <w:szCs w:val="21"/>
                    </w:rPr>
                    <w:t xml:space="preserve">1.5m </w:t>
                  </w:r>
                  <w:r>
                    <w:rPr>
                      <w:rFonts w:hint="eastAsia"/>
                      <w:sz w:val="21"/>
                      <w:szCs w:val="21"/>
                    </w:rPr>
                    <w:t>厚粘土层（渗透系数≤</w:t>
                  </w:r>
                  <w:r>
                    <w:rPr>
                      <w:sz w:val="21"/>
                      <w:szCs w:val="21"/>
                    </w:rPr>
                    <w:t>1.0×10</w:t>
                  </w:r>
                  <w:r>
                    <w:rPr>
                      <w:sz w:val="21"/>
                      <w:szCs w:val="21"/>
                      <w:vertAlign w:val="superscript"/>
                    </w:rPr>
                    <w:t>-</w:t>
                  </w:r>
                  <w:r>
                    <w:rPr>
                      <w:rFonts w:hint="eastAsia"/>
                      <w:sz w:val="21"/>
                      <w:szCs w:val="21"/>
                      <w:vertAlign w:val="superscript"/>
                    </w:rPr>
                    <w:t>7</w:t>
                  </w:r>
                  <w:r>
                    <w:rPr>
                      <w:sz w:val="21"/>
                      <w:szCs w:val="21"/>
                    </w:rPr>
                    <w:t>cm/s</w:t>
                  </w:r>
                  <w:r>
                    <w:rPr>
                      <w:rFonts w:hint="eastAsia"/>
                      <w:sz w:val="21"/>
                      <w:szCs w:val="21"/>
                    </w:rPr>
                    <w:t>）等效；如一般防渗区内局部存在污染源，应根据污染源类型按照相关标准对地面局部进行防渗加强措施。</w:t>
                  </w:r>
                </w:p>
              </w:tc>
              <w:tc>
                <w:tcPr>
                  <w:tcW w:w="1441" w:type="pct"/>
                  <w:tcBorders>
                    <w:top w:val="single" w:color="auto" w:sz="4" w:space="0"/>
                    <w:left w:val="single" w:color="auto" w:sz="4" w:space="0"/>
                  </w:tcBorders>
                  <w:vAlign w:val="center"/>
                </w:tcPr>
                <w:p>
                  <w:pPr>
                    <w:spacing w:line="360" w:lineRule="exact"/>
                    <w:rPr>
                      <w:sz w:val="21"/>
                      <w:szCs w:val="21"/>
                    </w:rPr>
                  </w:pPr>
                  <w:r>
                    <w:rPr>
                      <w:rFonts w:hint="eastAsia"/>
                      <w:sz w:val="21"/>
                      <w:szCs w:val="21"/>
                    </w:rPr>
                    <w:t>建议</w:t>
                  </w:r>
                  <w:r>
                    <w:rPr>
                      <w:sz w:val="21"/>
                      <w:szCs w:val="21"/>
                    </w:rPr>
                    <w:t>采用</w:t>
                  </w:r>
                  <w:r>
                    <w:rPr>
                      <w:rFonts w:hint="eastAsia"/>
                      <w:sz w:val="21"/>
                      <w:szCs w:val="21"/>
                    </w:rPr>
                    <w:t>一体化</w:t>
                  </w:r>
                  <w:r>
                    <w:rPr>
                      <w:sz w:val="21"/>
                      <w:szCs w:val="21"/>
                    </w:rPr>
                    <w:t>不锈钢材质或者是防渗混凝土池体，并定期维护清掏。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8" w:hRule="atLeast"/>
                <w:jc w:val="center"/>
              </w:trPr>
              <w:tc>
                <w:tcPr>
                  <w:tcW w:w="592" w:type="pct"/>
                  <w:vMerge w:val="continue"/>
                  <w:vAlign w:val="center"/>
                </w:tcPr>
                <w:p>
                  <w:pPr>
                    <w:spacing w:line="360" w:lineRule="exact"/>
                    <w:jc w:val="center"/>
                    <w:rPr>
                      <w:sz w:val="21"/>
                      <w:szCs w:val="21"/>
                    </w:rPr>
                  </w:pPr>
                </w:p>
              </w:tc>
              <w:tc>
                <w:tcPr>
                  <w:tcW w:w="1245" w:type="pct"/>
                  <w:vAlign w:val="center"/>
                </w:tcPr>
                <w:p>
                  <w:pPr>
                    <w:spacing w:line="360" w:lineRule="exact"/>
                    <w:jc w:val="center"/>
                    <w:rPr>
                      <w:kern w:val="0"/>
                      <w:sz w:val="21"/>
                      <w:szCs w:val="21"/>
                    </w:rPr>
                  </w:pPr>
                  <w:r>
                    <w:rPr>
                      <w:rFonts w:hint="eastAsia"/>
                      <w:sz w:val="21"/>
                      <w:szCs w:val="21"/>
                    </w:rPr>
                    <w:t>在线监测室、鼓风机房、综合用房（除重点防渗区外的区域）</w:t>
                  </w:r>
                </w:p>
              </w:tc>
              <w:tc>
                <w:tcPr>
                  <w:tcW w:w="1720" w:type="pct"/>
                  <w:vMerge w:val="continue"/>
                  <w:tcBorders>
                    <w:right w:val="single" w:color="auto" w:sz="4" w:space="0"/>
                  </w:tcBorders>
                  <w:vAlign w:val="center"/>
                </w:tcPr>
                <w:p>
                  <w:pPr>
                    <w:spacing w:line="360" w:lineRule="exact"/>
                    <w:jc w:val="center"/>
                    <w:rPr>
                      <w:sz w:val="21"/>
                      <w:szCs w:val="21"/>
                    </w:rPr>
                  </w:pPr>
                </w:p>
              </w:tc>
              <w:tc>
                <w:tcPr>
                  <w:tcW w:w="1441" w:type="pct"/>
                  <w:tcBorders>
                    <w:top w:val="single" w:color="auto" w:sz="4" w:space="0"/>
                    <w:left w:val="single" w:color="auto" w:sz="4" w:space="0"/>
                  </w:tcBorders>
                  <w:vAlign w:val="center"/>
                </w:tcPr>
                <w:p>
                  <w:pPr>
                    <w:spacing w:line="360" w:lineRule="exact"/>
                    <w:rPr>
                      <w:sz w:val="21"/>
                      <w:szCs w:val="21"/>
                    </w:rPr>
                  </w:pPr>
                  <w:r>
                    <w:rPr>
                      <w:rFonts w:hint="eastAsia"/>
                      <w:sz w:val="21"/>
                      <w:szCs w:val="21"/>
                    </w:rPr>
                    <w:t>粘土铺底，再在上层铺 20cm 的防渗混凝土（厚度 100mm）进行硬化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92" w:type="pct"/>
                  <w:vAlign w:val="center"/>
                </w:tcPr>
                <w:p>
                  <w:pPr>
                    <w:spacing w:line="360" w:lineRule="exact"/>
                    <w:jc w:val="center"/>
                    <w:rPr>
                      <w:sz w:val="21"/>
                      <w:szCs w:val="21"/>
                    </w:rPr>
                  </w:pPr>
                  <w:r>
                    <w:rPr>
                      <w:rFonts w:hint="eastAsia"/>
                      <w:sz w:val="21"/>
                      <w:szCs w:val="21"/>
                    </w:rPr>
                    <w:t>简单</w:t>
                  </w:r>
                </w:p>
                <w:p>
                  <w:pPr>
                    <w:spacing w:line="360" w:lineRule="exact"/>
                    <w:jc w:val="center"/>
                    <w:rPr>
                      <w:sz w:val="21"/>
                      <w:szCs w:val="21"/>
                    </w:rPr>
                  </w:pPr>
                  <w:r>
                    <w:rPr>
                      <w:rFonts w:hint="eastAsia"/>
                      <w:sz w:val="21"/>
                      <w:szCs w:val="21"/>
                    </w:rPr>
                    <w:t>防渗</w:t>
                  </w:r>
                  <w:r>
                    <w:rPr>
                      <w:sz w:val="21"/>
                      <w:szCs w:val="21"/>
                    </w:rPr>
                    <w:t>区</w:t>
                  </w:r>
                </w:p>
              </w:tc>
              <w:tc>
                <w:tcPr>
                  <w:tcW w:w="1245" w:type="pct"/>
                  <w:vAlign w:val="center"/>
                </w:tcPr>
                <w:p>
                  <w:pPr>
                    <w:spacing w:line="360" w:lineRule="exact"/>
                    <w:jc w:val="center"/>
                    <w:rPr>
                      <w:sz w:val="21"/>
                      <w:szCs w:val="21"/>
                    </w:rPr>
                  </w:pPr>
                  <w:r>
                    <w:rPr>
                      <w:rFonts w:hint="eastAsia"/>
                      <w:sz w:val="21"/>
                      <w:szCs w:val="21"/>
                    </w:rPr>
                    <w:t>道路、门卫等</w:t>
                  </w:r>
                </w:p>
              </w:tc>
              <w:tc>
                <w:tcPr>
                  <w:tcW w:w="1720" w:type="pct"/>
                  <w:tcBorders>
                    <w:right w:val="single" w:color="auto" w:sz="4" w:space="0"/>
                  </w:tcBorders>
                  <w:vAlign w:val="center"/>
                </w:tcPr>
                <w:p>
                  <w:pPr>
                    <w:spacing w:line="360" w:lineRule="exact"/>
                    <w:jc w:val="center"/>
                    <w:rPr>
                      <w:sz w:val="21"/>
                      <w:szCs w:val="21"/>
                    </w:rPr>
                  </w:pPr>
                  <w:r>
                    <w:rPr>
                      <w:sz w:val="21"/>
                      <w:szCs w:val="21"/>
                    </w:rPr>
                    <w:t>不需要采取特别防渗措施，</w:t>
                  </w:r>
                  <w:r>
                    <w:rPr>
                      <w:rFonts w:hint="eastAsia"/>
                      <w:sz w:val="21"/>
                      <w:szCs w:val="21"/>
                    </w:rPr>
                    <w:t>地面硬化</w:t>
                  </w:r>
                </w:p>
              </w:tc>
              <w:tc>
                <w:tcPr>
                  <w:tcW w:w="1441" w:type="pct"/>
                  <w:tcBorders>
                    <w:left w:val="single" w:color="auto" w:sz="4" w:space="0"/>
                  </w:tcBorders>
                  <w:vAlign w:val="center"/>
                </w:tcPr>
                <w:p>
                  <w:pPr>
                    <w:spacing w:line="360" w:lineRule="exact"/>
                    <w:jc w:val="center"/>
                    <w:rPr>
                      <w:sz w:val="21"/>
                      <w:szCs w:val="21"/>
                    </w:rPr>
                  </w:pPr>
                  <w:r>
                    <w:rPr>
                      <w:rFonts w:hint="eastAsia"/>
                      <w:sz w:val="21"/>
                      <w:szCs w:val="21"/>
                    </w:rPr>
                    <w:t>/</w:t>
                  </w:r>
                </w:p>
              </w:tc>
            </w:tr>
          </w:tbl>
          <w:p>
            <w:pPr>
              <w:widowControl w:val="0"/>
              <w:ind w:firstLine="480" w:firstLineChars="200"/>
              <w:jc w:val="both"/>
            </w:pPr>
            <w:r>
              <w:t>采取上述治理措施后，本项目防渗措施基本满足《环境影响评价技术导则 地下水环境》（HJ610-2016）中防渗技术要求，可从污染源头和途径上减少因废水或物料泄漏渗、漏入地下水，不会对地下水</w:t>
            </w:r>
            <w:r>
              <w:rPr>
                <w:rFonts w:hint="eastAsia"/>
              </w:rPr>
              <w:t>、土壤</w:t>
            </w:r>
            <w:r>
              <w:t>环境造成不利影响。</w:t>
            </w:r>
          </w:p>
          <w:p>
            <w:pPr>
              <w:widowControl w:val="0"/>
              <w:ind w:firstLine="482" w:firstLineChars="200"/>
              <w:jc w:val="both"/>
              <w:rPr>
                <w:rFonts w:cs="宋体" w:asciiTheme="majorHAnsi" w:hAnsiTheme="majorHAnsi"/>
                <w:b/>
                <w:bCs/>
                <w:kern w:val="0"/>
                <w:szCs w:val="20"/>
              </w:rPr>
            </w:pPr>
            <w:r>
              <w:rPr>
                <w:rFonts w:hint="eastAsia"/>
                <w:b/>
                <w:bCs/>
              </w:rPr>
              <w:t>4.2.</w:t>
            </w:r>
            <w:r>
              <w:rPr>
                <w:b/>
                <w:bCs/>
              </w:rPr>
              <w:t>6</w:t>
            </w:r>
            <w:r>
              <w:rPr>
                <w:rFonts w:hint="eastAsia" w:ascii="Times New Roman" w:hAnsi="Times New Roman" w:eastAsia="宋体" w:cs="Times New Roman"/>
                <w:b/>
                <w:bCs/>
                <w:kern w:val="0"/>
                <w:szCs w:val="20"/>
              </w:rPr>
              <w:t>环境风险防范措施</w:t>
            </w:r>
          </w:p>
          <w:p>
            <w:pPr>
              <w:widowControl w:val="0"/>
              <w:ind w:firstLine="361" w:firstLineChars="150"/>
              <w:jc w:val="both"/>
              <w:rPr>
                <w:b/>
              </w:rPr>
            </w:pPr>
            <w:r>
              <w:rPr>
                <w:b/>
              </w:rPr>
              <w:t>（1）风险调查</w:t>
            </w:r>
          </w:p>
          <w:p>
            <w:pPr>
              <w:pStyle w:val="187"/>
              <w:widowControl w:val="0"/>
              <w:ind w:firstLine="480"/>
              <w:jc w:val="both"/>
            </w:pPr>
            <w:r>
              <w:rPr>
                <w:rFonts w:hint="eastAsia"/>
              </w:rPr>
              <w:t>根据本项目的危险物质，结合《建设项目环境风险评价技术导则》（HJ169-2018），本项目主要危险物质及产品的储存量及储存形式如下表所示：</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hint="eastAsia" w:ascii="Times New Roman" w:hAnsi="Times New Roman" w:eastAsia="黑体"/>
                <w:kern w:val="2"/>
                <w:szCs w:val="24"/>
              </w:rPr>
              <w:t>项目</w:t>
            </w:r>
            <w:r>
              <w:rPr>
                <w:rFonts w:ascii="Times New Roman" w:hAnsi="Times New Roman" w:eastAsia="黑体"/>
                <w:kern w:val="2"/>
                <w:szCs w:val="24"/>
              </w:rPr>
              <w:t>危险物质储</w:t>
            </w:r>
            <w:r>
              <w:rPr>
                <w:rFonts w:hint="eastAsia" w:ascii="Times New Roman" w:hAnsi="Times New Roman" w:eastAsia="黑体"/>
                <w:kern w:val="2"/>
                <w:szCs w:val="24"/>
              </w:rPr>
              <w:t>情况</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6"/>
              <w:gridCol w:w="1094"/>
              <w:gridCol w:w="1636"/>
              <w:gridCol w:w="2078"/>
              <w:gridCol w:w="2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blHeader/>
              </w:trPr>
              <w:tc>
                <w:tcPr>
                  <w:tcW w:w="1024" w:type="pct"/>
                  <w:vAlign w:val="center"/>
                </w:tcPr>
                <w:p>
                  <w:pPr>
                    <w:pStyle w:val="244"/>
                    <w:widowControl/>
                    <w:rPr>
                      <w:b/>
                      <w:bCs/>
                    </w:rPr>
                  </w:pPr>
                  <w:r>
                    <w:rPr>
                      <w:rFonts w:hint="eastAsia"/>
                      <w:b/>
                      <w:bCs/>
                    </w:rPr>
                    <w:t>危险</w:t>
                  </w:r>
                  <w:r>
                    <w:rPr>
                      <w:b/>
                      <w:bCs/>
                    </w:rPr>
                    <w:t>物质名称</w:t>
                  </w:r>
                </w:p>
              </w:tc>
              <w:tc>
                <w:tcPr>
                  <w:tcW w:w="597" w:type="pct"/>
                  <w:vAlign w:val="center"/>
                </w:tcPr>
                <w:p>
                  <w:pPr>
                    <w:pStyle w:val="244"/>
                    <w:widowControl/>
                    <w:rPr>
                      <w:b/>
                      <w:bCs/>
                    </w:rPr>
                  </w:pPr>
                  <w:r>
                    <w:rPr>
                      <w:rFonts w:hint="eastAsia"/>
                      <w:b/>
                      <w:bCs/>
                    </w:rPr>
                    <w:t>单位</w:t>
                  </w:r>
                </w:p>
              </w:tc>
              <w:tc>
                <w:tcPr>
                  <w:tcW w:w="893" w:type="pct"/>
                  <w:vAlign w:val="center"/>
                </w:tcPr>
                <w:p>
                  <w:pPr>
                    <w:pStyle w:val="244"/>
                    <w:widowControl/>
                    <w:rPr>
                      <w:b/>
                      <w:bCs/>
                    </w:rPr>
                  </w:pPr>
                  <w:r>
                    <w:rPr>
                      <w:rFonts w:hint="eastAsia"/>
                      <w:b/>
                      <w:bCs/>
                    </w:rPr>
                    <w:t>最大储存</w:t>
                  </w:r>
                  <w:r>
                    <w:rPr>
                      <w:b/>
                      <w:bCs/>
                    </w:rPr>
                    <w:t>量</w:t>
                  </w:r>
                </w:p>
              </w:tc>
              <w:tc>
                <w:tcPr>
                  <w:tcW w:w="1134" w:type="pct"/>
                  <w:vAlign w:val="center"/>
                </w:tcPr>
                <w:p>
                  <w:pPr>
                    <w:pStyle w:val="244"/>
                    <w:widowControl/>
                    <w:rPr>
                      <w:b/>
                      <w:bCs/>
                    </w:rPr>
                  </w:pPr>
                  <w:r>
                    <w:rPr>
                      <w:rFonts w:hint="eastAsia"/>
                      <w:b/>
                      <w:bCs/>
                    </w:rPr>
                    <w:t>储存</w:t>
                  </w:r>
                  <w:r>
                    <w:rPr>
                      <w:b/>
                      <w:bCs/>
                    </w:rPr>
                    <w:t>形式</w:t>
                  </w:r>
                </w:p>
              </w:tc>
              <w:tc>
                <w:tcPr>
                  <w:tcW w:w="1351" w:type="pct"/>
                  <w:vAlign w:val="center"/>
                </w:tcPr>
                <w:p>
                  <w:pPr>
                    <w:pStyle w:val="244"/>
                    <w:widowControl/>
                    <w:rPr>
                      <w:b/>
                      <w:bCs/>
                    </w:rPr>
                  </w:pPr>
                  <w:r>
                    <w:rPr>
                      <w:rFonts w:hint="eastAsia"/>
                      <w:b/>
                      <w:bCs/>
                    </w:rPr>
                    <w:t>危险性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24" w:type="pct"/>
                  <w:vAlign w:val="center"/>
                </w:tcPr>
                <w:p>
                  <w:pPr>
                    <w:pStyle w:val="244"/>
                    <w:widowControl/>
                  </w:pPr>
                  <w:r>
                    <w:t>次氯酸钠</w:t>
                  </w:r>
                </w:p>
              </w:tc>
              <w:tc>
                <w:tcPr>
                  <w:tcW w:w="597" w:type="pct"/>
                  <w:vAlign w:val="center"/>
                </w:tcPr>
                <w:p>
                  <w:pPr>
                    <w:pStyle w:val="244"/>
                    <w:widowControl/>
                  </w:pPr>
                  <w:r>
                    <w:t>t/a</w:t>
                  </w:r>
                </w:p>
              </w:tc>
              <w:tc>
                <w:tcPr>
                  <w:tcW w:w="893" w:type="pct"/>
                  <w:vAlign w:val="center"/>
                </w:tcPr>
                <w:p>
                  <w:pPr>
                    <w:pStyle w:val="244"/>
                    <w:widowControl/>
                  </w:pPr>
                  <w:r>
                    <w:t>3.3</w:t>
                  </w:r>
                </w:p>
              </w:tc>
              <w:tc>
                <w:tcPr>
                  <w:tcW w:w="1134" w:type="pct"/>
                  <w:vAlign w:val="center"/>
                </w:tcPr>
                <w:p>
                  <w:pPr>
                    <w:pStyle w:val="108"/>
                    <w:rPr>
                      <w:b w:val="0"/>
                      <w:bCs w:val="0"/>
                    </w:rPr>
                  </w:pPr>
                  <w:r>
                    <w:rPr>
                      <w:rFonts w:hint="eastAsia"/>
                      <w:b w:val="0"/>
                      <w:bCs w:val="0"/>
                    </w:rPr>
                    <w:t>储罐</w:t>
                  </w:r>
                </w:p>
              </w:tc>
              <w:tc>
                <w:tcPr>
                  <w:tcW w:w="1351" w:type="pct"/>
                  <w:vAlign w:val="center"/>
                </w:tcPr>
                <w:p>
                  <w:pPr>
                    <w:pStyle w:val="108"/>
                    <w:rPr>
                      <w:b w:val="0"/>
                      <w:bCs w:val="0"/>
                    </w:rPr>
                  </w:pPr>
                  <w:r>
                    <w:rPr>
                      <w:b w:val="0"/>
                      <w:bCs w:val="0"/>
                    </w:rPr>
                    <w:t>腐蚀性</w:t>
                  </w:r>
                </w:p>
              </w:tc>
            </w:tr>
          </w:tbl>
          <w:p>
            <w:pPr>
              <w:pStyle w:val="187"/>
              <w:widowControl w:val="0"/>
              <w:ind w:firstLine="480"/>
              <w:jc w:val="both"/>
            </w:pPr>
            <w:r>
              <w:rPr>
                <w:rFonts w:hint="eastAsia"/>
              </w:rPr>
              <w:t>项目</w:t>
            </w:r>
            <w:r>
              <w:t>危险物质</w:t>
            </w:r>
            <w:r>
              <w:rPr>
                <w:rFonts w:hint="eastAsia"/>
              </w:rPr>
              <w:t>主要原辅材料理化性质详见下表。</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hint="eastAsia" w:ascii="Times New Roman" w:hAnsi="Times New Roman" w:eastAsia="黑体"/>
                <w:kern w:val="2"/>
                <w:szCs w:val="24"/>
              </w:rPr>
              <w:t>主要原辅材料理化性质一览表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57"/>
              <w:gridCol w:w="1326"/>
              <w:gridCol w:w="3417"/>
              <w:gridCol w:w="1649"/>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tcBorders>
                    <w:top w:val="single" w:color="auto" w:sz="4" w:space="0"/>
                    <w:left w:val="single" w:color="auto" w:sz="4" w:space="0"/>
                    <w:bottom w:val="single" w:color="auto" w:sz="4" w:space="0"/>
                    <w:right w:val="single" w:color="auto" w:sz="4" w:space="0"/>
                  </w:tcBorders>
                  <w:vAlign w:val="center"/>
                </w:tcPr>
                <w:p>
                  <w:pPr>
                    <w:pStyle w:val="108"/>
                    <w:snapToGrid w:val="0"/>
                    <w:spacing w:line="360" w:lineRule="exact"/>
                    <w:rPr>
                      <w:b/>
                      <w:bCs w:val="0"/>
                    </w:rPr>
                  </w:pPr>
                  <w:r>
                    <w:rPr>
                      <w:b/>
                      <w:bCs w:val="0"/>
                    </w:rPr>
                    <w:t>名称</w:t>
                  </w:r>
                </w:p>
              </w:tc>
              <w:tc>
                <w:tcPr>
                  <w:tcW w:w="468" w:type="pct"/>
                  <w:tcBorders>
                    <w:top w:val="single" w:color="auto" w:sz="4" w:space="0"/>
                    <w:left w:val="nil"/>
                    <w:bottom w:val="single" w:color="auto" w:sz="4" w:space="0"/>
                    <w:right w:val="single" w:color="auto" w:sz="4" w:space="0"/>
                  </w:tcBorders>
                  <w:vAlign w:val="center"/>
                </w:tcPr>
                <w:p>
                  <w:pPr>
                    <w:pStyle w:val="108"/>
                    <w:snapToGrid w:val="0"/>
                    <w:spacing w:line="360" w:lineRule="exact"/>
                    <w:rPr>
                      <w:b/>
                      <w:bCs w:val="0"/>
                    </w:rPr>
                  </w:pPr>
                  <w:r>
                    <w:rPr>
                      <w:b/>
                      <w:bCs w:val="0"/>
                    </w:rPr>
                    <w:t>分子式</w:t>
                  </w:r>
                </w:p>
              </w:tc>
              <w:tc>
                <w:tcPr>
                  <w:tcW w:w="724" w:type="pct"/>
                  <w:tcBorders>
                    <w:top w:val="single" w:color="auto" w:sz="4" w:space="0"/>
                    <w:left w:val="nil"/>
                    <w:bottom w:val="single" w:color="auto" w:sz="4" w:space="0"/>
                    <w:right w:val="single" w:color="auto" w:sz="4" w:space="0"/>
                  </w:tcBorders>
                  <w:vAlign w:val="center"/>
                </w:tcPr>
                <w:p>
                  <w:pPr>
                    <w:pStyle w:val="108"/>
                    <w:snapToGrid w:val="0"/>
                    <w:spacing w:line="360" w:lineRule="exact"/>
                    <w:rPr>
                      <w:b/>
                      <w:bCs w:val="0"/>
                    </w:rPr>
                  </w:pPr>
                  <w:r>
                    <w:rPr>
                      <w:b/>
                      <w:bCs w:val="0"/>
                    </w:rPr>
                    <w:t>国际编号及危险标记</w:t>
                  </w:r>
                </w:p>
              </w:tc>
              <w:tc>
                <w:tcPr>
                  <w:tcW w:w="1865" w:type="pct"/>
                  <w:tcBorders>
                    <w:top w:val="single" w:color="auto" w:sz="4" w:space="0"/>
                    <w:left w:val="nil"/>
                    <w:bottom w:val="single" w:color="auto" w:sz="4" w:space="0"/>
                    <w:right w:val="single" w:color="auto" w:sz="4" w:space="0"/>
                  </w:tcBorders>
                  <w:vAlign w:val="center"/>
                </w:tcPr>
                <w:p>
                  <w:pPr>
                    <w:pStyle w:val="108"/>
                    <w:snapToGrid w:val="0"/>
                    <w:spacing w:line="360" w:lineRule="exact"/>
                    <w:rPr>
                      <w:b/>
                      <w:bCs w:val="0"/>
                    </w:rPr>
                  </w:pPr>
                  <w:r>
                    <w:rPr>
                      <w:b/>
                      <w:bCs w:val="0"/>
                    </w:rPr>
                    <w:t>理化性质</w:t>
                  </w:r>
                </w:p>
              </w:tc>
              <w:tc>
                <w:tcPr>
                  <w:tcW w:w="900" w:type="pct"/>
                  <w:tcBorders>
                    <w:top w:val="single" w:color="auto" w:sz="4" w:space="0"/>
                    <w:left w:val="nil"/>
                    <w:bottom w:val="single" w:color="auto" w:sz="4" w:space="0"/>
                    <w:right w:val="single" w:color="auto" w:sz="4" w:space="0"/>
                  </w:tcBorders>
                  <w:vAlign w:val="center"/>
                </w:tcPr>
                <w:p>
                  <w:pPr>
                    <w:pStyle w:val="108"/>
                    <w:snapToGrid w:val="0"/>
                    <w:spacing w:line="360" w:lineRule="exact"/>
                    <w:rPr>
                      <w:b/>
                      <w:bCs w:val="0"/>
                    </w:rPr>
                  </w:pPr>
                  <w:r>
                    <w:rPr>
                      <w:b/>
                      <w:bCs w:val="0"/>
                    </w:rPr>
                    <w:t>危险特性</w:t>
                  </w:r>
                </w:p>
              </w:tc>
              <w:tc>
                <w:tcPr>
                  <w:tcW w:w="597" w:type="pct"/>
                  <w:tcBorders>
                    <w:top w:val="single" w:color="auto" w:sz="4" w:space="0"/>
                    <w:left w:val="nil"/>
                    <w:bottom w:val="single" w:color="auto" w:sz="4" w:space="0"/>
                    <w:right w:val="single" w:color="auto" w:sz="4" w:space="0"/>
                  </w:tcBorders>
                  <w:vAlign w:val="center"/>
                </w:tcPr>
                <w:p>
                  <w:pPr>
                    <w:pStyle w:val="108"/>
                    <w:snapToGrid w:val="0"/>
                    <w:spacing w:line="360" w:lineRule="exact"/>
                    <w:rPr>
                      <w:b/>
                      <w:bCs w:val="0"/>
                    </w:rPr>
                  </w:pPr>
                  <w:r>
                    <w:rPr>
                      <w:b/>
                      <w:bCs w:val="0"/>
                    </w:rPr>
                    <w:t>毒理毒性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6" w:type="pct"/>
                  <w:tcBorders>
                    <w:top w:val="single" w:color="auto" w:sz="4" w:space="0"/>
                    <w:left w:val="single" w:color="auto" w:sz="4" w:space="0"/>
                    <w:bottom w:val="single" w:color="auto" w:sz="4" w:space="0"/>
                    <w:right w:val="single" w:color="auto" w:sz="4" w:space="0"/>
                  </w:tcBorders>
                  <w:vAlign w:val="center"/>
                </w:tcPr>
                <w:p>
                  <w:pPr>
                    <w:pStyle w:val="108"/>
                    <w:snapToGrid w:val="0"/>
                    <w:spacing w:line="360" w:lineRule="exact"/>
                    <w:rPr>
                      <w:b w:val="0"/>
                    </w:rPr>
                  </w:pPr>
                  <w:r>
                    <w:rPr>
                      <w:b w:val="0"/>
                    </w:rPr>
                    <w:t>次氯酸钠</w:t>
                  </w:r>
                </w:p>
              </w:tc>
              <w:tc>
                <w:tcPr>
                  <w:tcW w:w="468" w:type="pct"/>
                  <w:tcBorders>
                    <w:top w:val="single" w:color="auto" w:sz="4" w:space="0"/>
                    <w:left w:val="nil"/>
                    <w:bottom w:val="single" w:color="auto" w:sz="4" w:space="0"/>
                    <w:right w:val="single" w:color="auto" w:sz="4" w:space="0"/>
                  </w:tcBorders>
                  <w:vAlign w:val="center"/>
                </w:tcPr>
                <w:p>
                  <w:pPr>
                    <w:pStyle w:val="108"/>
                    <w:snapToGrid w:val="0"/>
                    <w:spacing w:line="360" w:lineRule="exact"/>
                    <w:rPr>
                      <w:b w:val="0"/>
                    </w:rPr>
                  </w:pPr>
                  <w:r>
                    <w:rPr>
                      <w:b w:val="0"/>
                    </w:rPr>
                    <w:t>NaClO</w:t>
                  </w:r>
                </w:p>
              </w:tc>
              <w:tc>
                <w:tcPr>
                  <w:tcW w:w="724" w:type="pct"/>
                  <w:tcBorders>
                    <w:top w:val="single" w:color="auto" w:sz="4" w:space="0"/>
                    <w:left w:val="nil"/>
                    <w:bottom w:val="single" w:color="auto" w:sz="4" w:space="0"/>
                    <w:right w:val="single" w:color="auto" w:sz="4" w:space="0"/>
                  </w:tcBorders>
                  <w:vAlign w:val="center"/>
                </w:tcPr>
                <w:p>
                  <w:pPr>
                    <w:pStyle w:val="108"/>
                    <w:snapToGrid w:val="0"/>
                    <w:spacing w:line="360" w:lineRule="exact"/>
                    <w:rPr>
                      <w:b w:val="0"/>
                    </w:rPr>
                  </w:pPr>
                  <w:r>
                    <w:rPr>
                      <w:b w:val="0"/>
                    </w:rPr>
                    <w:t>83501</w:t>
                  </w:r>
                </w:p>
              </w:tc>
              <w:tc>
                <w:tcPr>
                  <w:tcW w:w="1865" w:type="pct"/>
                  <w:tcBorders>
                    <w:top w:val="single" w:color="auto" w:sz="4" w:space="0"/>
                    <w:left w:val="nil"/>
                    <w:bottom w:val="single" w:color="auto" w:sz="4" w:space="0"/>
                    <w:right w:val="single" w:color="auto" w:sz="4" w:space="0"/>
                  </w:tcBorders>
                  <w:vAlign w:val="center"/>
                </w:tcPr>
                <w:p>
                  <w:pPr>
                    <w:pStyle w:val="108"/>
                    <w:snapToGrid w:val="0"/>
                    <w:spacing w:line="360" w:lineRule="exact"/>
                    <w:rPr>
                      <w:b w:val="0"/>
                    </w:rPr>
                  </w:pPr>
                  <w:r>
                    <w:rPr>
                      <w:b w:val="0"/>
                    </w:rPr>
                    <w:t>白色或微黄色等轴晶体。味咸而凉，易溶于水、微溶于乙醇。在酸性溶液中有强氧化作用，300℃ 以上分解出氧气。次氯酸钠不稳定。与磷、硫及有机物混合受撞击时易发生燃烧和爆炸，易吸潮结块，有毒。工业上主要用于制造二氧化氯、亚氯酸钠、高氯酸盐及其它氯酸盐。</w:t>
                  </w:r>
                </w:p>
              </w:tc>
              <w:tc>
                <w:tcPr>
                  <w:tcW w:w="900" w:type="pct"/>
                  <w:tcBorders>
                    <w:top w:val="single" w:color="auto" w:sz="4" w:space="0"/>
                    <w:left w:val="nil"/>
                    <w:bottom w:val="single" w:color="auto" w:sz="4" w:space="0"/>
                    <w:right w:val="single" w:color="auto" w:sz="4" w:space="0"/>
                  </w:tcBorders>
                  <w:vAlign w:val="center"/>
                </w:tcPr>
                <w:p>
                  <w:pPr>
                    <w:pStyle w:val="108"/>
                    <w:snapToGrid w:val="0"/>
                    <w:spacing w:line="360" w:lineRule="exact"/>
                    <w:rPr>
                      <w:b w:val="0"/>
                    </w:rPr>
                  </w:pPr>
                  <w:r>
                    <w:rPr>
                      <w:b w:val="0"/>
                    </w:rPr>
                    <w:t>与有机物、日光接触发出有毒的氯气。对大多数金属有轻微的腐蚀。与酸接触时散出具有强刺激性和腐蚀性气体。</w:t>
                  </w:r>
                </w:p>
              </w:tc>
              <w:tc>
                <w:tcPr>
                  <w:tcW w:w="597" w:type="pct"/>
                  <w:tcBorders>
                    <w:top w:val="single" w:color="auto" w:sz="4" w:space="0"/>
                    <w:left w:val="nil"/>
                    <w:bottom w:val="single" w:color="auto" w:sz="4" w:space="0"/>
                    <w:right w:val="single" w:color="auto" w:sz="4" w:space="0"/>
                  </w:tcBorders>
                  <w:vAlign w:val="center"/>
                </w:tcPr>
                <w:p>
                  <w:pPr>
                    <w:pStyle w:val="108"/>
                    <w:snapToGrid w:val="0"/>
                    <w:spacing w:line="360" w:lineRule="exact"/>
                    <w:rPr>
                      <w:b w:val="0"/>
                    </w:rPr>
                  </w:pPr>
                  <w:r>
                    <w:rPr>
                      <w:b w:val="0"/>
                    </w:rPr>
                    <w:t>本品放出的游离氯可能引起中毒</w:t>
                  </w:r>
                </w:p>
              </w:tc>
            </w:tr>
          </w:tbl>
          <w:p>
            <w:pPr>
              <w:widowControl w:val="0"/>
              <w:ind w:firstLine="361" w:firstLineChars="150"/>
              <w:jc w:val="both"/>
            </w:pPr>
            <w:r>
              <w:rPr>
                <w:b/>
              </w:rPr>
              <w:t>（2）风险潜势初判</w:t>
            </w:r>
          </w:p>
          <w:p>
            <w:pPr>
              <w:widowControl w:val="0"/>
              <w:ind w:firstLine="480" w:firstLineChars="200"/>
              <w:jc w:val="both"/>
              <w:rPr>
                <w:rFonts w:cs="宋体"/>
              </w:rPr>
            </w:pPr>
            <w:r>
              <w:rPr>
                <w:rFonts w:hint="eastAsia" w:cs="宋体"/>
              </w:rPr>
              <w:t>根据《建设项目环境风评价技术导则》</w:t>
            </w:r>
            <w:r>
              <w:rPr>
                <w:rFonts w:cs="宋体"/>
              </w:rPr>
              <w:t>HJ169-2018</w:t>
            </w:r>
            <w:r>
              <w:rPr>
                <w:rFonts w:hint="eastAsia" w:cs="宋体"/>
              </w:rPr>
              <w:t>，建设项目环境风险潜势划分为Ⅰ、Ⅱ、Ⅲ、Ⅳ、Ⅳ</w:t>
            </w:r>
            <w:r>
              <w:rPr>
                <w:rFonts w:cs="宋体"/>
              </w:rPr>
              <w:t>+</w:t>
            </w:r>
            <w:r>
              <w:rPr>
                <w:rFonts w:hint="eastAsia" w:cs="宋体"/>
              </w:rPr>
              <w:t>级。</w:t>
            </w:r>
            <w:r>
              <w:rPr>
                <w:rFonts w:cs="宋体"/>
              </w:rPr>
              <w:t>结合事故情形下环境影响途径，按照《建设项目环境风险评价技术导则》（HJ169-2018）表2进行确定，其中：危险物质数量与临界量比值（Q）为每种危险物质在厂界内的最大存在总量与其在</w:t>
            </w:r>
            <w:r>
              <w:rPr>
                <w:rFonts w:hint="eastAsia" w:cs="宋体"/>
              </w:rPr>
              <w:t>《建设项目</w:t>
            </w:r>
            <w:r>
              <w:rPr>
                <w:rFonts w:cs="宋体"/>
              </w:rPr>
              <w:t>环境风险</w:t>
            </w:r>
            <w:r>
              <w:rPr>
                <w:rFonts w:hint="eastAsia" w:cs="宋体"/>
              </w:rPr>
              <w:t>评价</w:t>
            </w:r>
            <w:r>
              <w:rPr>
                <w:rFonts w:cs="宋体"/>
              </w:rPr>
              <w:t>技术导则</w:t>
            </w:r>
            <w:r>
              <w:rPr>
                <w:rFonts w:hint="eastAsia" w:cs="宋体"/>
              </w:rPr>
              <w:t>》（HJ169</w:t>
            </w:r>
            <w:r>
              <w:rPr>
                <w:rFonts w:cs="宋体"/>
              </w:rPr>
              <w:t>-2018</w:t>
            </w:r>
            <w:r>
              <w:rPr>
                <w:rFonts w:hint="eastAsia" w:cs="宋体"/>
              </w:rPr>
              <w:t>）附录B</w:t>
            </w:r>
            <w:r>
              <w:rPr>
                <w:rFonts w:cs="宋体"/>
              </w:rPr>
              <w:t>中对应临界量的比值，即</w:t>
            </w:r>
            <w:r>
              <w:rPr>
                <w:rFonts w:hint="eastAsia" w:cs="宋体"/>
              </w:rPr>
              <w:t>：</w:t>
            </w:r>
          </w:p>
          <w:p>
            <w:pPr>
              <w:widowControl w:val="0"/>
              <w:ind w:firstLine="480" w:firstLineChars="200"/>
              <w:jc w:val="both"/>
            </w:pPr>
            <w:r>
              <w:drawing>
                <wp:anchor distT="0" distB="0" distL="114300" distR="114300" simplePos="0" relativeHeight="251659264" behindDoc="0" locked="0" layoutInCell="1" allowOverlap="1">
                  <wp:simplePos x="0" y="0"/>
                  <wp:positionH relativeFrom="column">
                    <wp:posOffset>1834515</wp:posOffset>
                  </wp:positionH>
                  <wp:positionV relativeFrom="paragraph">
                    <wp:posOffset>20955</wp:posOffset>
                  </wp:positionV>
                  <wp:extent cx="1714500" cy="55245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714500" cy="552450"/>
                          </a:xfrm>
                          <a:prstGeom prst="rect">
                            <a:avLst/>
                          </a:prstGeom>
                          <a:noFill/>
                          <a:ln>
                            <a:noFill/>
                          </a:ln>
                        </pic:spPr>
                      </pic:pic>
                    </a:graphicData>
                  </a:graphic>
                </wp:anchor>
              </w:drawing>
            </w:r>
          </w:p>
          <w:p>
            <w:pPr>
              <w:widowControl w:val="0"/>
              <w:ind w:firstLine="480" w:firstLineChars="200"/>
              <w:jc w:val="both"/>
            </w:pPr>
          </w:p>
          <w:p>
            <w:pPr>
              <w:widowControl w:val="0"/>
              <w:ind w:firstLine="480" w:firstLineChars="200"/>
              <w:jc w:val="both"/>
            </w:pPr>
            <w:r>
              <w:rPr>
                <w:rFonts w:hint="eastAsia"/>
              </w:rPr>
              <w:t>式中：q</w:t>
            </w:r>
            <w:r>
              <w:rPr>
                <w:rFonts w:hint="eastAsia"/>
                <w:vertAlign w:val="subscript"/>
              </w:rPr>
              <w:t>1</w:t>
            </w:r>
            <w:r>
              <w:rPr>
                <w:rFonts w:hint="eastAsia"/>
              </w:rPr>
              <w:t>，q</w:t>
            </w:r>
            <w:r>
              <w:rPr>
                <w:rFonts w:hint="eastAsia"/>
                <w:vertAlign w:val="subscript"/>
              </w:rPr>
              <w:t>1</w:t>
            </w:r>
            <w:r>
              <w:rPr>
                <w:rFonts w:hint="eastAsia"/>
              </w:rPr>
              <w:t>，</w:t>
            </w:r>
            <w:r>
              <w:t>…</w:t>
            </w:r>
            <w:r>
              <w:rPr>
                <w:rFonts w:hint="eastAsia"/>
              </w:rPr>
              <w:t>，q</w:t>
            </w:r>
            <w:r>
              <w:rPr>
                <w:rFonts w:hint="eastAsia"/>
                <w:vertAlign w:val="subscript"/>
              </w:rPr>
              <w:t>n</w:t>
            </w:r>
            <w:r>
              <w:rPr>
                <w:rFonts w:hint="eastAsia"/>
              </w:rPr>
              <w:t>-每种危险物质的最大存在总量，t；</w:t>
            </w:r>
          </w:p>
          <w:p>
            <w:pPr>
              <w:widowControl w:val="0"/>
              <w:ind w:firstLine="480" w:firstLineChars="200"/>
              <w:jc w:val="both"/>
            </w:pPr>
            <w:r>
              <w:rPr>
                <w:rFonts w:hint="eastAsia"/>
              </w:rPr>
              <w:t xml:space="preserve">      Q</w:t>
            </w:r>
            <w:r>
              <w:rPr>
                <w:rFonts w:hint="eastAsia"/>
                <w:vertAlign w:val="subscript"/>
              </w:rPr>
              <w:t>1</w:t>
            </w:r>
            <w:r>
              <w:rPr>
                <w:rFonts w:hint="eastAsia"/>
              </w:rPr>
              <w:t>，Q</w:t>
            </w:r>
            <w:r>
              <w:rPr>
                <w:rFonts w:hint="eastAsia"/>
                <w:vertAlign w:val="subscript"/>
              </w:rPr>
              <w:t>1</w:t>
            </w:r>
            <w:r>
              <w:rPr>
                <w:rFonts w:hint="eastAsia"/>
              </w:rPr>
              <w:t>，</w:t>
            </w:r>
            <w:r>
              <w:t>…</w:t>
            </w:r>
            <w:r>
              <w:rPr>
                <w:rFonts w:hint="eastAsia"/>
              </w:rPr>
              <w:t>，Q</w:t>
            </w:r>
            <w:r>
              <w:rPr>
                <w:rFonts w:hint="eastAsia"/>
                <w:vertAlign w:val="subscript"/>
              </w:rPr>
              <w:t>n</w:t>
            </w:r>
            <w:r>
              <w:rPr>
                <w:rFonts w:hint="eastAsia"/>
              </w:rPr>
              <w:t>-每种危险物质的临界量，t。</w:t>
            </w:r>
          </w:p>
          <w:p>
            <w:pPr>
              <w:widowControl w:val="0"/>
              <w:ind w:firstLine="480" w:firstLineChars="200"/>
              <w:jc w:val="both"/>
            </w:pPr>
            <w:r>
              <w:rPr>
                <w:rFonts w:hint="eastAsia"/>
              </w:rPr>
              <w:t>当Q﹤1时，该项目环境风险潜势为Ⅰ。</w:t>
            </w:r>
          </w:p>
          <w:p>
            <w:pPr>
              <w:widowControl w:val="0"/>
              <w:ind w:firstLine="480" w:firstLineChars="200"/>
              <w:jc w:val="both"/>
              <w:rPr>
                <w:b/>
              </w:rPr>
            </w:pPr>
            <w:r>
              <w:rPr>
                <w:rFonts w:hint="eastAsia"/>
              </w:rPr>
              <w:t>当Q≥1时，将Q值划分为：（1）1≤Q﹤10；（2）10≤Q﹤100；（3）Q≥100。</w:t>
            </w:r>
          </w:p>
          <w:p>
            <w:pPr>
              <w:widowControl w:val="0"/>
              <w:ind w:firstLine="480" w:firstLineChars="200"/>
              <w:jc w:val="both"/>
            </w:pPr>
            <w:r>
              <w:t>本项目危险物质数量与临界量比值</w:t>
            </w:r>
            <w:r>
              <w:rPr>
                <w:rFonts w:hint="eastAsia"/>
              </w:rPr>
              <w:t>如下表：</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hint="eastAsia" w:ascii="Times New Roman" w:hAnsi="Times New Roman" w:eastAsia="黑体"/>
                <w:kern w:val="2"/>
                <w:szCs w:val="24"/>
              </w:rPr>
              <w:t>建设项目</w:t>
            </w:r>
            <w:r>
              <w:rPr>
                <w:rFonts w:ascii="Times New Roman" w:hAnsi="Times New Roman" w:eastAsia="黑体"/>
                <w:kern w:val="2"/>
                <w:szCs w:val="24"/>
              </w:rPr>
              <w:t>Q</w:t>
            </w:r>
            <w:r>
              <w:rPr>
                <w:rFonts w:hint="eastAsia" w:ascii="Times New Roman" w:hAnsi="Times New Roman" w:eastAsia="黑体"/>
                <w:kern w:val="2"/>
                <w:szCs w:val="24"/>
              </w:rPr>
              <w:t>值确定表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2384"/>
              <w:gridCol w:w="1970"/>
              <w:gridCol w:w="2078"/>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tcBorders>
                    <w:top w:val="single" w:color="auto" w:sz="4" w:space="0"/>
                    <w:left w:val="single" w:color="auto" w:sz="4" w:space="0"/>
                    <w:bottom w:val="single" w:color="auto" w:sz="4" w:space="0"/>
                    <w:right w:val="single" w:color="auto" w:sz="4" w:space="0"/>
                  </w:tcBorders>
                  <w:vAlign w:val="center"/>
                </w:tcPr>
                <w:p>
                  <w:pPr>
                    <w:pStyle w:val="108"/>
                    <w:rPr>
                      <w:rFonts w:ascii="Times New Roman" w:hAnsi="Times New Roman"/>
                      <w:b/>
                      <w:bCs/>
                    </w:rPr>
                  </w:pPr>
                  <w:r>
                    <w:rPr>
                      <w:rFonts w:ascii="Times New Roman" w:hAnsi="Times New Roman"/>
                      <w:b/>
                      <w:bCs/>
                    </w:rPr>
                    <w:t>序号</w:t>
                  </w:r>
                </w:p>
              </w:tc>
              <w:tc>
                <w:tcPr>
                  <w:tcW w:w="1302" w:type="pct"/>
                  <w:tcBorders>
                    <w:top w:val="single" w:color="auto" w:sz="4" w:space="0"/>
                    <w:left w:val="single" w:color="auto" w:sz="4" w:space="0"/>
                    <w:bottom w:val="single" w:color="auto" w:sz="4" w:space="0"/>
                    <w:right w:val="single" w:color="auto" w:sz="4" w:space="0"/>
                  </w:tcBorders>
                  <w:vAlign w:val="center"/>
                </w:tcPr>
                <w:p>
                  <w:pPr>
                    <w:pStyle w:val="108"/>
                    <w:rPr>
                      <w:rFonts w:ascii="Times New Roman" w:hAnsi="Times New Roman"/>
                      <w:b/>
                      <w:bCs/>
                    </w:rPr>
                  </w:pPr>
                  <w:r>
                    <w:rPr>
                      <w:rFonts w:ascii="Times New Roman" w:hAnsi="Times New Roman"/>
                      <w:b/>
                      <w:bCs/>
                    </w:rPr>
                    <w:t>危险物质</w:t>
                  </w:r>
                </w:p>
              </w:tc>
              <w:tc>
                <w:tcPr>
                  <w:tcW w:w="1076" w:type="pct"/>
                  <w:tcBorders>
                    <w:top w:val="single" w:color="auto" w:sz="4" w:space="0"/>
                    <w:left w:val="single" w:color="auto" w:sz="4" w:space="0"/>
                    <w:bottom w:val="single" w:color="auto" w:sz="4" w:space="0"/>
                    <w:right w:val="single" w:color="auto" w:sz="4" w:space="0"/>
                  </w:tcBorders>
                  <w:vAlign w:val="center"/>
                </w:tcPr>
                <w:p>
                  <w:pPr>
                    <w:pStyle w:val="108"/>
                    <w:rPr>
                      <w:rFonts w:ascii="Times New Roman" w:hAnsi="Times New Roman"/>
                      <w:b/>
                      <w:bCs/>
                    </w:rPr>
                  </w:pPr>
                  <w:r>
                    <w:rPr>
                      <w:rFonts w:ascii="Times New Roman" w:hAnsi="Times New Roman"/>
                      <w:b/>
                      <w:bCs/>
                    </w:rPr>
                    <w:t>储存量（</w:t>
                  </w:r>
                  <w:r>
                    <w:rPr>
                      <w:rFonts w:ascii="Times New Roman" w:hAnsi="Times New Roman"/>
                      <w:b/>
                      <w:bCs/>
                      <w:i/>
                    </w:rPr>
                    <w:t>q</w:t>
                  </w:r>
                  <w:r>
                    <w:rPr>
                      <w:rFonts w:ascii="Times New Roman" w:hAnsi="Times New Roman"/>
                      <w:b/>
                      <w:bCs/>
                    </w:rPr>
                    <w:t>）</w:t>
                  </w:r>
                </w:p>
              </w:tc>
              <w:tc>
                <w:tcPr>
                  <w:tcW w:w="1135" w:type="pct"/>
                  <w:tcBorders>
                    <w:top w:val="single" w:color="auto" w:sz="4" w:space="0"/>
                    <w:left w:val="single" w:color="auto" w:sz="4" w:space="0"/>
                    <w:bottom w:val="single" w:color="auto" w:sz="4" w:space="0"/>
                    <w:right w:val="single" w:color="auto" w:sz="4" w:space="0"/>
                  </w:tcBorders>
                  <w:vAlign w:val="center"/>
                </w:tcPr>
                <w:p>
                  <w:pPr>
                    <w:pStyle w:val="108"/>
                    <w:rPr>
                      <w:rFonts w:ascii="Times New Roman" w:hAnsi="Times New Roman"/>
                      <w:b/>
                      <w:bCs/>
                    </w:rPr>
                  </w:pPr>
                  <w:r>
                    <w:rPr>
                      <w:rFonts w:ascii="Times New Roman" w:hAnsi="Times New Roman"/>
                      <w:b/>
                      <w:bCs/>
                    </w:rPr>
                    <w:t>临界量（</w:t>
                  </w:r>
                  <w:r>
                    <w:rPr>
                      <w:rFonts w:ascii="Times New Roman" w:hAnsi="Times New Roman"/>
                      <w:b/>
                      <w:bCs/>
                      <w:i/>
                    </w:rPr>
                    <w:t>Q</w:t>
                  </w:r>
                  <w:r>
                    <w:rPr>
                      <w:rFonts w:ascii="Times New Roman" w:hAnsi="Times New Roman"/>
                      <w:b/>
                      <w:bCs/>
                    </w:rPr>
                    <w:t>）</w:t>
                  </w:r>
                </w:p>
              </w:tc>
              <w:tc>
                <w:tcPr>
                  <w:tcW w:w="957" w:type="pct"/>
                  <w:tcBorders>
                    <w:top w:val="single" w:color="auto" w:sz="4" w:space="0"/>
                    <w:left w:val="single" w:color="auto" w:sz="4" w:space="0"/>
                    <w:bottom w:val="single" w:color="auto" w:sz="4" w:space="0"/>
                    <w:right w:val="single" w:color="auto" w:sz="4" w:space="0"/>
                  </w:tcBorders>
                  <w:vAlign w:val="center"/>
                </w:tcPr>
                <w:p>
                  <w:pPr>
                    <w:pStyle w:val="108"/>
                    <w:rPr>
                      <w:rFonts w:ascii="Times New Roman" w:hAnsi="Times New Roman"/>
                      <w:b/>
                      <w:bCs/>
                    </w:rPr>
                  </w:pPr>
                  <w:r>
                    <w:rPr>
                      <w:rFonts w:ascii="Times New Roman" w:hAnsi="Times New Roman"/>
                      <w:b/>
                      <w:bCs/>
                    </w:rPr>
                    <w:t>计算值（</w:t>
                  </w:r>
                  <w:r>
                    <w:rPr>
                      <w:rFonts w:ascii="Times New Roman" w:hAnsi="Times New Roman"/>
                      <w:b/>
                      <w:bCs/>
                      <w:i/>
                    </w:rPr>
                    <w:t>Q</w:t>
                  </w:r>
                  <w:r>
                    <w:rPr>
                      <w:rFonts w:ascii="Times New Roman" w:hAnsi="Times New Roman"/>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530" w:type="pct"/>
                  <w:tcBorders>
                    <w:top w:val="single" w:color="auto" w:sz="4" w:space="0"/>
                    <w:left w:val="single" w:color="auto" w:sz="4" w:space="0"/>
                    <w:bottom w:val="single" w:color="auto" w:sz="4" w:space="0"/>
                    <w:right w:val="single" w:color="auto" w:sz="4" w:space="0"/>
                  </w:tcBorders>
                  <w:vAlign w:val="center"/>
                </w:tcPr>
                <w:p>
                  <w:pPr>
                    <w:pStyle w:val="108"/>
                    <w:rPr>
                      <w:rFonts w:ascii="Times New Roman" w:hAnsi="Times New Roman"/>
                      <w:b w:val="0"/>
                      <w:bCs w:val="0"/>
                    </w:rPr>
                  </w:pPr>
                  <w:r>
                    <w:rPr>
                      <w:rFonts w:ascii="Times New Roman" w:hAnsi="Times New Roman"/>
                      <w:b w:val="0"/>
                      <w:bCs w:val="0"/>
                    </w:rPr>
                    <w:t>1</w:t>
                  </w:r>
                </w:p>
              </w:tc>
              <w:tc>
                <w:tcPr>
                  <w:tcW w:w="1302" w:type="pct"/>
                  <w:tcBorders>
                    <w:top w:val="single" w:color="auto" w:sz="4" w:space="0"/>
                    <w:left w:val="single" w:color="auto" w:sz="4" w:space="0"/>
                    <w:bottom w:val="single" w:color="auto" w:sz="4" w:space="0"/>
                    <w:right w:val="single" w:color="auto" w:sz="4" w:space="0"/>
                  </w:tcBorders>
                  <w:vAlign w:val="center"/>
                </w:tcPr>
                <w:p>
                  <w:pPr>
                    <w:pStyle w:val="108"/>
                    <w:rPr>
                      <w:rFonts w:ascii="Times New Roman" w:hAnsi="Times New Roman"/>
                      <w:b w:val="0"/>
                      <w:bCs w:val="0"/>
                    </w:rPr>
                  </w:pPr>
                  <w:r>
                    <w:rPr>
                      <w:rFonts w:ascii="Times New Roman" w:hAnsi="Times New Roman"/>
                      <w:b w:val="0"/>
                      <w:bCs w:val="0"/>
                    </w:rPr>
                    <w:t>次氯酸钠</w:t>
                  </w:r>
                </w:p>
              </w:tc>
              <w:tc>
                <w:tcPr>
                  <w:tcW w:w="1076" w:type="pct"/>
                  <w:tcBorders>
                    <w:top w:val="single" w:color="auto" w:sz="4" w:space="0"/>
                    <w:left w:val="single" w:color="auto" w:sz="4" w:space="0"/>
                    <w:bottom w:val="single" w:color="auto" w:sz="4" w:space="0"/>
                    <w:right w:val="single" w:color="auto" w:sz="4" w:space="0"/>
                  </w:tcBorders>
                  <w:vAlign w:val="center"/>
                </w:tcPr>
                <w:p>
                  <w:pPr>
                    <w:pStyle w:val="108"/>
                    <w:contextualSpacing/>
                    <w:rPr>
                      <w:rFonts w:ascii="Times New Roman" w:hAnsi="Times New Roman"/>
                      <w:b w:val="0"/>
                      <w:bCs w:val="0"/>
                    </w:rPr>
                  </w:pPr>
                  <w:r>
                    <w:rPr>
                      <w:rFonts w:ascii="Times New Roman" w:hAnsi="Times New Roman"/>
                      <w:b w:val="0"/>
                      <w:bCs w:val="0"/>
                    </w:rPr>
                    <w:t>3.3</w:t>
                  </w:r>
                </w:p>
              </w:tc>
              <w:tc>
                <w:tcPr>
                  <w:tcW w:w="1135" w:type="pct"/>
                  <w:tcBorders>
                    <w:top w:val="single" w:color="auto" w:sz="4" w:space="0"/>
                    <w:left w:val="single" w:color="auto" w:sz="4" w:space="0"/>
                    <w:bottom w:val="single" w:color="auto" w:sz="4" w:space="0"/>
                    <w:right w:val="single" w:color="auto" w:sz="4" w:space="0"/>
                  </w:tcBorders>
                  <w:vAlign w:val="center"/>
                </w:tcPr>
                <w:p>
                  <w:pPr>
                    <w:pStyle w:val="108"/>
                    <w:rPr>
                      <w:rFonts w:ascii="Times New Roman" w:hAnsi="Times New Roman"/>
                      <w:b w:val="0"/>
                      <w:bCs w:val="0"/>
                    </w:rPr>
                  </w:pPr>
                  <w:r>
                    <w:rPr>
                      <w:rFonts w:ascii="Times New Roman" w:hAnsi="Times New Roman"/>
                      <w:b w:val="0"/>
                      <w:bCs w:val="0"/>
                    </w:rPr>
                    <w:t>5</w:t>
                  </w:r>
                </w:p>
              </w:tc>
              <w:tc>
                <w:tcPr>
                  <w:tcW w:w="957" w:type="pct"/>
                  <w:tcBorders>
                    <w:top w:val="nil"/>
                    <w:left w:val="single" w:color="auto" w:sz="4" w:space="0"/>
                    <w:bottom w:val="single" w:color="auto" w:sz="4" w:space="0"/>
                    <w:right w:val="single" w:color="auto" w:sz="4" w:space="0"/>
                  </w:tcBorders>
                  <w:vAlign w:val="center"/>
                </w:tcPr>
                <w:p>
                  <w:pPr>
                    <w:pStyle w:val="108"/>
                    <w:rPr>
                      <w:rFonts w:ascii="Times New Roman" w:hAnsi="Times New Roman"/>
                      <w:b w:val="0"/>
                      <w:bCs w:val="0"/>
                    </w:rPr>
                  </w:pPr>
                  <w:r>
                    <w:rPr>
                      <w:rFonts w:ascii="Times New Roman" w:hAnsi="Times New Roman"/>
                      <w:b w:val="0"/>
                      <w:bCs w:val="0"/>
                    </w:rPr>
                    <w:t>0.66</w:t>
                  </w:r>
                </w:p>
              </w:tc>
            </w:tr>
          </w:tbl>
          <w:p>
            <w:pPr>
              <w:pStyle w:val="187"/>
              <w:widowControl w:val="0"/>
              <w:ind w:firstLine="482"/>
              <w:jc w:val="both"/>
              <w:rPr>
                <w:b/>
              </w:rPr>
            </w:pPr>
            <w:r>
              <w:rPr>
                <w:rFonts w:hint="eastAsia"/>
                <w:b/>
              </w:rPr>
              <w:t>经计算，本项目</w:t>
            </w:r>
            <w:r>
              <w:rPr>
                <w:b/>
              </w:rPr>
              <w:t>Q</w:t>
            </w:r>
            <w:r>
              <w:rPr>
                <w:rFonts w:hint="eastAsia"/>
                <w:b/>
              </w:rPr>
              <w:t>＜</w:t>
            </w:r>
            <w:r>
              <w:rPr>
                <w:b/>
              </w:rPr>
              <w:t>1</w:t>
            </w:r>
            <w:r>
              <w:rPr>
                <w:rFonts w:hint="eastAsia"/>
                <w:b/>
              </w:rPr>
              <w:t>。该项目环境风险潜势为</w:t>
            </w:r>
            <w:r>
              <w:rPr>
                <w:rFonts w:hint="eastAsia" w:ascii="宋体" w:hAnsi="宋体" w:cs="宋体"/>
                <w:b/>
              </w:rPr>
              <w:t>Ⅰ</w:t>
            </w:r>
            <w:r>
              <w:rPr>
                <w:rFonts w:hint="eastAsia"/>
                <w:b/>
              </w:rPr>
              <w:t>。</w:t>
            </w:r>
          </w:p>
          <w:p>
            <w:pPr>
              <w:widowControl w:val="0"/>
              <w:ind w:firstLine="361" w:firstLineChars="150"/>
              <w:jc w:val="both"/>
              <w:rPr>
                <w:b/>
              </w:rPr>
            </w:pPr>
            <w:r>
              <w:rPr>
                <w:b/>
              </w:rPr>
              <w:t>（3）评价等级</w:t>
            </w:r>
          </w:p>
          <w:p>
            <w:pPr>
              <w:widowControl w:val="0"/>
              <w:ind w:firstLine="480"/>
              <w:jc w:val="both"/>
            </w:pPr>
            <w:r>
              <w:t>根据建设项目涉及的物质及工艺系统危险性和所在地的环境敏感性确定环境风险潜势，按照</w:t>
            </w:r>
            <w:r>
              <w:rPr>
                <w:rFonts w:hint="eastAsia"/>
              </w:rPr>
              <w:t>下表，</w:t>
            </w:r>
            <w:r>
              <w:t>确定评价工作等级。</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ascii="Times New Roman" w:hAnsi="Times New Roman" w:eastAsia="黑体"/>
                <w:kern w:val="2"/>
                <w:szCs w:val="24"/>
              </w:rPr>
              <w:t>环境风险评价工作等级划分</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3"/>
              <w:gridCol w:w="1603"/>
              <w:gridCol w:w="1832"/>
              <w:gridCol w:w="1832"/>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pct"/>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b/>
                      <w:bCs/>
                      <w:sz w:val="21"/>
                      <w:szCs w:val="21"/>
                    </w:rPr>
                    <w:t>环境风险潜势</w:t>
                  </w:r>
                </w:p>
              </w:tc>
              <w:tc>
                <w:tcPr>
                  <w:tcW w:w="875" w:type="pct"/>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b/>
                      <w:bCs/>
                      <w:sz w:val="21"/>
                      <w:szCs w:val="21"/>
                    </w:rPr>
                    <w:t>IV、IV</w:t>
                  </w:r>
                  <w:r>
                    <w:rPr>
                      <w:b/>
                      <w:bCs/>
                      <w:sz w:val="21"/>
                      <w:szCs w:val="21"/>
                      <w:vertAlign w:val="superscript"/>
                    </w:rPr>
                    <w:t>+</w:t>
                  </w:r>
                </w:p>
              </w:tc>
              <w:tc>
                <w:tcPr>
                  <w:tcW w:w="1000" w:type="pct"/>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b/>
                      <w:bCs/>
                      <w:sz w:val="21"/>
                      <w:szCs w:val="21"/>
                    </w:rPr>
                    <w:t>III</w:t>
                  </w:r>
                </w:p>
              </w:tc>
              <w:tc>
                <w:tcPr>
                  <w:tcW w:w="1000" w:type="pct"/>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b/>
                      <w:bCs/>
                      <w:sz w:val="21"/>
                      <w:szCs w:val="21"/>
                    </w:rPr>
                    <w:t>II</w:t>
                  </w:r>
                </w:p>
              </w:tc>
              <w:tc>
                <w:tcPr>
                  <w:tcW w:w="1000" w:type="pct"/>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b/>
                      <w:bCs/>
                      <w:sz w:val="21"/>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6" w:type="pct"/>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评价工作等级</w:t>
                  </w:r>
                </w:p>
              </w:tc>
              <w:tc>
                <w:tcPr>
                  <w:tcW w:w="875" w:type="pct"/>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一</w:t>
                  </w:r>
                </w:p>
              </w:tc>
              <w:tc>
                <w:tcPr>
                  <w:tcW w:w="1000" w:type="pct"/>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二</w:t>
                  </w:r>
                </w:p>
              </w:tc>
              <w:tc>
                <w:tcPr>
                  <w:tcW w:w="1000" w:type="pct"/>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三</w:t>
                  </w:r>
                </w:p>
              </w:tc>
              <w:tc>
                <w:tcPr>
                  <w:tcW w:w="1000" w:type="pct"/>
                  <w:tcBorders>
                    <w:top w:val="single" w:color="auto" w:sz="4" w:space="0"/>
                    <w:left w:val="single" w:color="auto" w:sz="4" w:space="0"/>
                    <w:bottom w:val="single" w:color="auto" w:sz="4" w:space="0"/>
                    <w:right w:val="single" w:color="auto" w:sz="4" w:space="0"/>
                  </w:tcBorders>
                  <w:vAlign w:val="center"/>
                </w:tcPr>
                <w:p>
                  <w:pPr>
                    <w:jc w:val="center"/>
                    <w:rPr>
                      <w:sz w:val="21"/>
                      <w:szCs w:val="21"/>
                    </w:rPr>
                  </w:pPr>
                  <w:r>
                    <w:rPr>
                      <w:sz w:val="21"/>
                      <w:szCs w:val="21"/>
                    </w:rPr>
                    <w:t>简单分析</w:t>
                  </w:r>
                  <w:r>
                    <w:rPr>
                      <w:rFonts w:hint="eastAsia" w:ascii="宋体" w:hAnsi="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Borders>
                    <w:top w:val="single" w:color="auto" w:sz="4" w:space="0"/>
                    <w:left w:val="single" w:color="auto" w:sz="4" w:space="0"/>
                    <w:bottom w:val="single" w:color="auto" w:sz="4" w:space="0"/>
                    <w:right w:val="single" w:color="auto" w:sz="4" w:space="0"/>
                  </w:tcBorders>
                  <w:vAlign w:val="center"/>
                </w:tcPr>
                <w:p>
                  <w:pPr>
                    <w:rPr>
                      <w:sz w:val="21"/>
                      <w:szCs w:val="21"/>
                    </w:rPr>
                  </w:pPr>
                  <w:r>
                    <w:rPr>
                      <w:rFonts w:hint="eastAsia" w:ascii="宋体" w:hAnsi="宋体"/>
                      <w:sz w:val="21"/>
                      <w:szCs w:val="21"/>
                    </w:rPr>
                    <w:t>*是相对于详细评价工作内容而言，在描述危险物质、环境影响途径、环境危害后果、风险防范措施等方面给出定性的说明。见附录A。</w:t>
                  </w:r>
                </w:p>
              </w:tc>
            </w:tr>
          </w:tbl>
          <w:p>
            <w:pPr>
              <w:widowControl w:val="0"/>
              <w:ind w:firstLine="480"/>
              <w:jc w:val="both"/>
            </w:pPr>
            <w:r>
              <w:t>本项目环境风险潜势为I，根据上述判定依据，确定本次环评仅开展简单分析。</w:t>
            </w:r>
          </w:p>
          <w:p>
            <w:pPr>
              <w:widowControl w:val="0"/>
              <w:ind w:firstLine="361" w:firstLineChars="150"/>
              <w:jc w:val="both"/>
              <w:rPr>
                <w:b/>
              </w:rPr>
            </w:pPr>
            <w:r>
              <w:rPr>
                <w:b/>
              </w:rPr>
              <w:t>（4）环境风险识别</w:t>
            </w:r>
          </w:p>
          <w:p>
            <w:pPr>
              <w:keepNext/>
              <w:keepLines/>
              <w:widowControl w:val="0"/>
              <w:adjustRightInd w:val="0"/>
              <w:ind w:firstLine="482" w:firstLineChars="200"/>
              <w:jc w:val="both"/>
              <w:outlineLvl w:val="4"/>
              <w:rPr>
                <w:rFonts w:ascii="Times New Roman" w:hAnsi="Times New Roman" w:eastAsia="宋体" w:cs="Times New Roman"/>
                <w:b/>
                <w:bCs/>
                <w:szCs w:val="28"/>
              </w:rPr>
            </w:pPr>
            <w:r>
              <w:rPr>
                <w:rFonts w:ascii="Times New Roman" w:hAnsi="Times New Roman" w:eastAsia="宋体" w:cs="Times New Roman"/>
                <w:b/>
                <w:bCs/>
                <w:szCs w:val="28"/>
              </w:rPr>
              <w:t>1）物质危险性识别</w:t>
            </w:r>
          </w:p>
          <w:p>
            <w:pPr>
              <w:widowControl w:val="0"/>
              <w:adjustRightInd w:val="0"/>
              <w:ind w:firstLine="480" w:firstLineChars="200"/>
              <w:contextualSpacing/>
              <w:jc w:val="both"/>
              <w:rPr>
                <w:rFonts w:ascii="Times New Roman" w:hAnsi="Times New Roman" w:eastAsia="宋体" w:cs="Times New Roman"/>
                <w:szCs w:val="30"/>
              </w:rPr>
            </w:pPr>
            <w:r>
              <w:rPr>
                <w:rFonts w:ascii="Times New Roman" w:hAnsi="Times New Roman" w:eastAsia="宋体" w:cs="Times New Roman"/>
                <w:szCs w:val="30"/>
              </w:rPr>
              <w:t>物质危险性识别包括主要原辅材料、燃料、污染物、火灾和爆炸伴生/次生物等。本项目</w:t>
            </w:r>
            <w:r>
              <w:rPr>
                <w:rFonts w:ascii="Times New Roman" w:hAnsi="Times New Roman" w:eastAsia="宋体" w:cs="Times New Roman"/>
              </w:rPr>
              <w:t>列入</w:t>
            </w:r>
            <w:r>
              <w:rPr>
                <w:rFonts w:ascii="Times New Roman" w:hAnsi="Times New Roman" w:eastAsia="宋体" w:cs="Times New Roman"/>
                <w:szCs w:val="30"/>
              </w:rPr>
              <w:t>《建设项目环境风险评价技术导则》（HJ169-2018）附录B重点关注的危险物质为次氯酸钠。</w:t>
            </w:r>
          </w:p>
          <w:p>
            <w:pPr>
              <w:keepNext/>
              <w:keepLines/>
              <w:widowControl w:val="0"/>
              <w:adjustRightInd w:val="0"/>
              <w:ind w:firstLine="482" w:firstLineChars="200"/>
              <w:jc w:val="both"/>
              <w:outlineLvl w:val="4"/>
              <w:rPr>
                <w:rFonts w:ascii="Times New Roman" w:hAnsi="Times New Roman" w:eastAsia="宋体" w:cs="Times New Roman"/>
                <w:b/>
                <w:bCs/>
                <w:szCs w:val="28"/>
              </w:rPr>
            </w:pPr>
            <w:r>
              <w:rPr>
                <w:rFonts w:ascii="Times New Roman" w:hAnsi="Times New Roman" w:eastAsia="宋体" w:cs="Times New Roman"/>
                <w:b/>
                <w:bCs/>
                <w:szCs w:val="28"/>
              </w:rPr>
              <w:t>2</w:t>
            </w:r>
            <w:r>
              <w:rPr>
                <w:rFonts w:hint="eastAsia" w:ascii="Times New Roman" w:hAnsi="Times New Roman" w:eastAsia="宋体" w:cs="Times New Roman"/>
                <w:b/>
                <w:bCs/>
                <w:szCs w:val="28"/>
              </w:rPr>
              <w:t>）</w:t>
            </w:r>
            <w:r>
              <w:rPr>
                <w:rFonts w:ascii="Times New Roman" w:hAnsi="Times New Roman" w:eastAsia="宋体" w:cs="Times New Roman"/>
                <w:b/>
                <w:bCs/>
                <w:szCs w:val="28"/>
              </w:rPr>
              <w:t>生产设施风险识别</w:t>
            </w:r>
          </w:p>
          <w:p>
            <w:pPr>
              <w:widowControl w:val="0"/>
              <w:adjustRightInd w:val="0"/>
              <w:ind w:firstLine="480" w:firstLineChars="200"/>
              <w:contextualSpacing/>
              <w:jc w:val="both"/>
              <w:rPr>
                <w:rFonts w:ascii="Times New Roman" w:hAnsi="Times New Roman" w:eastAsia="宋体" w:cs="Times New Roman"/>
                <w:szCs w:val="30"/>
              </w:rPr>
            </w:pPr>
            <w:r>
              <w:rPr>
                <w:rFonts w:ascii="Times New Roman" w:hAnsi="Times New Roman" w:eastAsia="宋体" w:cs="Times New Roman"/>
                <w:szCs w:val="30"/>
              </w:rPr>
              <w:t>生产系统危险性识别包括主要生产装置、储运设施、公用工程和辅助生产设施，以及环境保护设施等。各生产、储存设施单元主要风险因素列于下表：</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ascii="Times New Roman" w:hAnsi="Times New Roman" w:eastAsia="黑体"/>
                <w:kern w:val="2"/>
                <w:szCs w:val="24"/>
              </w:rPr>
              <w:t>各生产、储存设施单元主要风险因素</w:t>
            </w:r>
          </w:p>
          <w:tbl>
            <w:tblPr>
              <w:tblStyle w:val="1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0" w:type="dxa"/>
                </w:tcPr>
                <w:p>
                  <w:pPr>
                    <w:widowControl w:val="0"/>
                    <w:adjustRightInd w:val="0"/>
                    <w:spacing w:line="240" w:lineRule="auto"/>
                    <w:contextualSpacing/>
                    <w:jc w:val="center"/>
                    <w:rPr>
                      <w:rFonts w:ascii="Times New Roman" w:hAnsi="Times New Roman" w:eastAsia="宋体" w:cs="Times New Roman"/>
                      <w:b/>
                      <w:sz w:val="21"/>
                    </w:rPr>
                  </w:pPr>
                  <w:r>
                    <w:rPr>
                      <w:rFonts w:ascii="Times New Roman" w:hAnsi="Times New Roman" w:eastAsia="宋体" w:cs="Times New Roman"/>
                      <w:b/>
                      <w:sz w:val="21"/>
                    </w:rPr>
                    <w:t>生产、储存单元</w:t>
                  </w:r>
                </w:p>
              </w:tc>
              <w:tc>
                <w:tcPr>
                  <w:tcW w:w="4530" w:type="dxa"/>
                </w:tcPr>
                <w:p>
                  <w:pPr>
                    <w:widowControl w:val="0"/>
                    <w:adjustRightInd w:val="0"/>
                    <w:spacing w:line="240" w:lineRule="auto"/>
                    <w:contextualSpacing/>
                    <w:jc w:val="center"/>
                    <w:rPr>
                      <w:rFonts w:ascii="Times New Roman" w:hAnsi="Times New Roman" w:eastAsia="宋体" w:cs="Times New Roman"/>
                      <w:b/>
                      <w:sz w:val="21"/>
                    </w:rPr>
                  </w:pPr>
                  <w:r>
                    <w:rPr>
                      <w:rFonts w:ascii="Times New Roman" w:hAnsi="Times New Roman" w:eastAsia="宋体" w:cs="Times New Roman"/>
                      <w:b/>
                      <w:sz w:val="21"/>
                    </w:rPr>
                    <w:t>风险因素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0" w:type="dxa"/>
                </w:tcPr>
                <w:p>
                  <w:pPr>
                    <w:widowControl w:val="0"/>
                    <w:adjustRightInd w:val="0"/>
                    <w:spacing w:line="240" w:lineRule="auto"/>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次氯酸钠储存</w:t>
                  </w:r>
                </w:p>
              </w:tc>
              <w:tc>
                <w:tcPr>
                  <w:tcW w:w="4530" w:type="dxa"/>
                </w:tcPr>
                <w:p>
                  <w:pPr>
                    <w:widowControl w:val="0"/>
                    <w:adjustRightInd w:val="0"/>
                    <w:spacing w:line="240" w:lineRule="auto"/>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物料泄漏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30" w:type="dxa"/>
                </w:tcPr>
                <w:p>
                  <w:pPr>
                    <w:widowControl w:val="0"/>
                    <w:adjustRightInd w:val="0"/>
                    <w:spacing w:line="240" w:lineRule="auto"/>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污水处理</w:t>
                  </w:r>
                </w:p>
              </w:tc>
              <w:tc>
                <w:tcPr>
                  <w:tcW w:w="4530" w:type="dxa"/>
                </w:tcPr>
                <w:p>
                  <w:pPr>
                    <w:widowControl w:val="0"/>
                    <w:adjustRightInd w:val="0"/>
                    <w:spacing w:line="240" w:lineRule="auto"/>
                    <w:contextualSpacing/>
                    <w:jc w:val="center"/>
                    <w:rPr>
                      <w:rFonts w:ascii="Times New Roman" w:hAnsi="Times New Roman" w:eastAsia="宋体" w:cs="Times New Roman"/>
                      <w:sz w:val="21"/>
                      <w:szCs w:val="21"/>
                    </w:rPr>
                  </w:pPr>
                  <w:r>
                    <w:rPr>
                      <w:rFonts w:ascii="Times New Roman" w:hAnsi="Times New Roman" w:eastAsia="宋体" w:cs="Times New Roman"/>
                      <w:sz w:val="21"/>
                      <w:szCs w:val="21"/>
                    </w:rPr>
                    <w:t>废水事故性排放</w:t>
                  </w:r>
                </w:p>
              </w:tc>
            </w:tr>
          </w:tbl>
          <w:p>
            <w:pPr>
              <w:keepNext/>
              <w:keepLines/>
              <w:widowControl w:val="0"/>
              <w:adjustRightInd w:val="0"/>
              <w:ind w:firstLine="482" w:firstLineChars="200"/>
              <w:jc w:val="both"/>
              <w:outlineLvl w:val="4"/>
              <w:rPr>
                <w:rFonts w:ascii="Times New Roman" w:hAnsi="Times New Roman" w:eastAsia="宋体" w:cs="Times New Roman"/>
                <w:b/>
                <w:bCs/>
                <w:szCs w:val="28"/>
              </w:rPr>
            </w:pPr>
            <w:r>
              <w:rPr>
                <w:rFonts w:ascii="Times New Roman" w:hAnsi="Times New Roman" w:eastAsia="宋体" w:cs="Times New Roman"/>
                <w:b/>
                <w:bCs/>
                <w:szCs w:val="28"/>
              </w:rPr>
              <w:t>3</w:t>
            </w:r>
            <w:r>
              <w:rPr>
                <w:rFonts w:hint="eastAsia" w:ascii="Times New Roman" w:hAnsi="Times New Roman" w:eastAsia="宋体" w:cs="Times New Roman"/>
                <w:b/>
                <w:bCs/>
                <w:szCs w:val="28"/>
              </w:rPr>
              <w:t>）</w:t>
            </w:r>
            <w:r>
              <w:rPr>
                <w:rFonts w:ascii="Times New Roman" w:hAnsi="Times New Roman" w:eastAsia="宋体" w:cs="Times New Roman"/>
                <w:b/>
                <w:bCs/>
                <w:szCs w:val="28"/>
              </w:rPr>
              <w:t>影响环境的途径识别</w:t>
            </w:r>
          </w:p>
          <w:p>
            <w:pPr>
              <w:widowControl w:val="0"/>
              <w:adjustRightInd w:val="0"/>
              <w:ind w:firstLine="480" w:firstLineChars="200"/>
              <w:contextualSpacing/>
              <w:jc w:val="both"/>
              <w:rPr>
                <w:rFonts w:ascii="Times New Roman" w:hAnsi="Times New Roman" w:eastAsia="宋体" w:cs="Times New Roman"/>
                <w:szCs w:val="30"/>
              </w:rPr>
            </w:pPr>
            <w:r>
              <w:rPr>
                <w:rFonts w:ascii="Times New Roman" w:hAnsi="Times New Roman" w:eastAsia="宋体" w:cs="Times New Roman"/>
                <w:szCs w:val="30"/>
              </w:rPr>
              <w:t>危险物质向环境转移的途径识别包括分析危险物质特性及可能的环境风险类型，识别危险物质影响环境的途径，分析可能影响的环境敏感目标。</w:t>
            </w:r>
          </w:p>
          <w:p>
            <w:pPr>
              <w:widowControl w:val="0"/>
              <w:adjustRightInd w:val="0"/>
              <w:ind w:firstLine="480" w:firstLineChars="200"/>
              <w:contextualSpacing/>
              <w:jc w:val="both"/>
              <w:rPr>
                <w:rFonts w:ascii="Times New Roman" w:hAnsi="Times New Roman" w:eastAsia="宋体" w:cs="Times New Roman"/>
                <w:szCs w:val="30"/>
              </w:rPr>
            </w:pPr>
            <w:r>
              <w:rPr>
                <w:rFonts w:hint="eastAsia" w:ascii="Times New Roman" w:hAnsi="Times New Roman" w:eastAsia="宋体" w:cs="Times New Roman"/>
                <w:szCs w:val="30"/>
              </w:rPr>
              <w:t>A、</w:t>
            </w:r>
            <w:r>
              <w:rPr>
                <w:rFonts w:ascii="Times New Roman" w:hAnsi="Times New Roman" w:eastAsia="宋体" w:cs="Times New Roman"/>
                <w:szCs w:val="30"/>
              </w:rPr>
              <w:t>污水处理系统故障：</w:t>
            </w:r>
            <w:r>
              <w:rPr>
                <w:rFonts w:hint="eastAsia" w:ascii="宋体" w:hAnsi="宋体" w:eastAsia="宋体" w:cs="宋体"/>
                <w:szCs w:val="30"/>
              </w:rPr>
              <w:t>①</w:t>
            </w:r>
            <w:r>
              <w:rPr>
                <w:rFonts w:ascii="Times New Roman" w:hAnsi="Times New Roman" w:eastAsia="宋体" w:cs="Times New Roman"/>
                <w:szCs w:val="30"/>
              </w:rPr>
              <w:t>污水管网系统由于管网堵塞、破裂和接头处的破损等原因；</w:t>
            </w:r>
            <w:r>
              <w:rPr>
                <w:rFonts w:hint="eastAsia" w:ascii="宋体" w:hAnsi="宋体" w:eastAsia="宋体" w:cs="宋体"/>
                <w:szCs w:val="30"/>
              </w:rPr>
              <w:t>②</w:t>
            </w:r>
            <w:r>
              <w:rPr>
                <w:rFonts w:ascii="Times New Roman" w:hAnsi="Times New Roman" w:eastAsia="宋体" w:cs="Times New Roman"/>
                <w:szCs w:val="30"/>
              </w:rPr>
              <w:t>设备故障等；</w:t>
            </w:r>
            <w:r>
              <w:rPr>
                <w:rFonts w:hint="eastAsia" w:ascii="宋体" w:hAnsi="宋体" w:eastAsia="宋体" w:cs="宋体"/>
                <w:szCs w:val="30"/>
              </w:rPr>
              <w:t>③</w:t>
            </w:r>
            <w:r>
              <w:rPr>
                <w:rFonts w:ascii="Times New Roman" w:hAnsi="Times New Roman" w:eastAsia="宋体" w:cs="Times New Roman"/>
                <w:szCs w:val="30"/>
              </w:rPr>
              <w:t>停电等因素。</w:t>
            </w:r>
          </w:p>
          <w:p>
            <w:pPr>
              <w:widowControl w:val="0"/>
              <w:adjustRightInd w:val="0"/>
              <w:ind w:firstLine="480" w:firstLineChars="200"/>
              <w:contextualSpacing/>
              <w:jc w:val="both"/>
              <w:rPr>
                <w:rFonts w:ascii="Times New Roman" w:hAnsi="Times New Roman" w:eastAsia="宋体" w:cs="Times New Roman"/>
                <w:szCs w:val="30"/>
              </w:rPr>
            </w:pPr>
            <w:r>
              <w:rPr>
                <w:rFonts w:hint="eastAsia" w:ascii="Times New Roman" w:hAnsi="Times New Roman" w:eastAsia="宋体" w:cs="Times New Roman"/>
                <w:szCs w:val="30"/>
              </w:rPr>
              <w:t>B、</w:t>
            </w:r>
            <w:r>
              <w:rPr>
                <w:rFonts w:ascii="Times New Roman" w:hAnsi="Times New Roman" w:eastAsia="宋体" w:cs="Times New Roman"/>
                <w:szCs w:val="30"/>
              </w:rPr>
              <w:t>进水水质：本项目运营期环境风险主要可能由污水处理厂的异常进水可能对污水处理厂造成冲击等。</w:t>
            </w:r>
          </w:p>
          <w:p>
            <w:pPr>
              <w:widowControl w:val="0"/>
              <w:adjustRightInd w:val="0"/>
              <w:ind w:firstLine="480" w:firstLineChars="200"/>
              <w:contextualSpacing/>
              <w:jc w:val="both"/>
              <w:rPr>
                <w:rFonts w:ascii="Times New Roman" w:hAnsi="Times New Roman" w:eastAsia="宋体" w:cs="Times New Roman"/>
                <w:szCs w:val="30"/>
              </w:rPr>
            </w:pPr>
            <w:r>
              <w:rPr>
                <w:rFonts w:hint="eastAsia" w:ascii="Times New Roman" w:hAnsi="Times New Roman" w:eastAsia="宋体" w:cs="Times New Roman"/>
                <w:szCs w:val="30"/>
              </w:rPr>
              <w:t>C、</w:t>
            </w:r>
            <w:r>
              <w:rPr>
                <w:rFonts w:ascii="Times New Roman" w:hAnsi="Times New Roman" w:eastAsia="宋体" w:cs="Times New Roman"/>
                <w:szCs w:val="30"/>
              </w:rPr>
              <w:t>突发性外部事故：由于出现一些不可抗拒的外部原因，如停电、突发性自然灾害等，造成泵站或污水厂处理设施停止运行，大量未经处理的污水直接排放，这将是污水处理厂不正常排放的极限情况。</w:t>
            </w:r>
          </w:p>
          <w:p>
            <w:pPr>
              <w:widowControl w:val="0"/>
              <w:adjustRightInd w:val="0"/>
              <w:ind w:firstLine="480" w:firstLineChars="200"/>
              <w:contextualSpacing/>
              <w:jc w:val="both"/>
              <w:rPr>
                <w:rFonts w:ascii="Times New Roman" w:hAnsi="Times New Roman" w:eastAsia="宋体" w:cs="Times New Roman"/>
                <w:szCs w:val="30"/>
              </w:rPr>
            </w:pPr>
            <w:r>
              <w:rPr>
                <w:rFonts w:hint="eastAsia" w:ascii="Times New Roman" w:hAnsi="Times New Roman" w:eastAsia="宋体" w:cs="Times New Roman"/>
                <w:szCs w:val="30"/>
              </w:rPr>
              <w:t>D、</w:t>
            </w:r>
            <w:r>
              <w:rPr>
                <w:rFonts w:ascii="Times New Roman" w:hAnsi="Times New Roman" w:eastAsia="宋体" w:cs="Times New Roman"/>
                <w:szCs w:val="30"/>
              </w:rPr>
              <w:t>若污水处理池体发生泄露泄漏，不达标废水将可能进入地表水体或土壤。</w:t>
            </w:r>
          </w:p>
          <w:p>
            <w:pPr>
              <w:widowControl w:val="0"/>
              <w:adjustRightInd w:val="0"/>
              <w:ind w:firstLine="480" w:firstLineChars="200"/>
              <w:contextualSpacing/>
              <w:jc w:val="both"/>
              <w:rPr>
                <w:rFonts w:ascii="Times New Roman" w:hAnsi="Times New Roman" w:eastAsia="宋体" w:cs="Times New Roman"/>
                <w:szCs w:val="30"/>
              </w:rPr>
            </w:pPr>
            <w:r>
              <w:rPr>
                <w:rFonts w:hint="eastAsia" w:ascii="Times New Roman" w:hAnsi="Times New Roman" w:eastAsia="宋体" w:cs="Times New Roman"/>
                <w:szCs w:val="30"/>
              </w:rPr>
              <w:t>E、</w:t>
            </w:r>
            <w:r>
              <w:rPr>
                <w:rFonts w:ascii="Times New Roman" w:hAnsi="Times New Roman" w:eastAsia="宋体" w:cs="Times New Roman"/>
                <w:szCs w:val="30"/>
              </w:rPr>
              <w:t>突发性外部事故：由于出现一些不可抗拒的外部原因，如停电、突发性自然灾害等，造成泵站或净水厂处理设施停止运行，大量未经处理的污水直接排放，这将是净水厂不正常排放的极限情况。</w:t>
            </w:r>
          </w:p>
          <w:p>
            <w:pPr>
              <w:widowControl w:val="0"/>
              <w:adjustRightInd w:val="0"/>
              <w:ind w:firstLine="480" w:firstLineChars="200"/>
              <w:contextualSpacing/>
              <w:jc w:val="both"/>
              <w:rPr>
                <w:rFonts w:ascii="Times New Roman" w:hAnsi="Times New Roman" w:eastAsia="宋体" w:cs="Times New Roman"/>
                <w:szCs w:val="30"/>
              </w:rPr>
            </w:pPr>
            <w:r>
              <w:rPr>
                <w:rFonts w:hint="eastAsia" w:ascii="Times New Roman" w:hAnsi="Times New Roman" w:eastAsia="宋体" w:cs="Times New Roman"/>
                <w:szCs w:val="30"/>
              </w:rPr>
              <w:t>F、</w:t>
            </w:r>
            <w:r>
              <w:rPr>
                <w:rFonts w:ascii="Times New Roman" w:hAnsi="Times New Roman" w:eastAsia="宋体" w:cs="Times New Roman"/>
                <w:szCs w:val="30"/>
              </w:rPr>
              <w:t>废气处理设备故障：污水处理产生的废气采用生物滤池+活性炭处理，若处理装置发生故障，易造成恶臭污染物的局部污染。</w:t>
            </w:r>
          </w:p>
          <w:p>
            <w:pPr>
              <w:widowControl w:val="0"/>
              <w:ind w:firstLine="482" w:firstLineChars="200"/>
              <w:jc w:val="both"/>
              <w:rPr>
                <w:b/>
              </w:rPr>
            </w:pPr>
            <w:r>
              <w:rPr>
                <w:b/>
              </w:rPr>
              <w:t>（5）环境风险防范措施及应急要求</w:t>
            </w:r>
          </w:p>
          <w:p>
            <w:pPr>
              <w:pStyle w:val="187"/>
              <w:widowControl w:val="0"/>
              <w:ind w:firstLine="482"/>
              <w:jc w:val="both"/>
              <w:rPr>
                <w:b/>
                <w:bCs/>
              </w:rPr>
            </w:pPr>
            <w:r>
              <w:rPr>
                <w:b/>
                <w:bCs/>
              </w:rPr>
              <w:t>1）对进水水质污染事故防范措施</w:t>
            </w:r>
          </w:p>
          <w:p>
            <w:pPr>
              <w:pStyle w:val="187"/>
              <w:widowControl w:val="0"/>
              <w:ind w:firstLine="480"/>
              <w:jc w:val="both"/>
            </w:pPr>
            <w:r>
              <w:rPr>
                <w:rFonts w:hint="eastAsia" w:ascii="宋体" w:hAnsi="宋体" w:cs="宋体"/>
              </w:rPr>
              <w:t>①</w:t>
            </w:r>
            <w:r>
              <w:t>建设单位应针对可能发生的污染事故，建立合适的事故处理程序、机制和措施。一旦发生事故，则采取相应的措施，将事故对环境的影响控制在最小或较小范围内。</w:t>
            </w:r>
          </w:p>
          <w:p>
            <w:pPr>
              <w:pStyle w:val="187"/>
              <w:widowControl w:val="0"/>
              <w:ind w:firstLine="480"/>
              <w:jc w:val="both"/>
            </w:pPr>
            <w:r>
              <w:rPr>
                <w:rFonts w:hint="eastAsia" w:ascii="宋体" w:hAnsi="宋体" w:cs="宋体"/>
              </w:rPr>
              <w:t>②</w:t>
            </w:r>
            <w:r>
              <w:t>人为因素往往是事故发生的主要原因，因此严格管理，做好人的工作是预防事故发生的重要环节。对于污水管网这类隐蔽工程，建设单位应加强施工期间的管理、检查，确保施工质量。建设单位应加强对职工的思想教育，以提高工作人员的责任心和工作主动性；加强沿线管道和检查井的日常检查，特别是加强沿线新建项目施工的检查，避免施工不慎导致污水管道破损。</w:t>
            </w:r>
          </w:p>
          <w:p>
            <w:pPr>
              <w:pStyle w:val="187"/>
              <w:widowControl w:val="0"/>
              <w:ind w:firstLine="480"/>
              <w:jc w:val="both"/>
            </w:pPr>
            <w:r>
              <w:rPr>
                <w:rFonts w:hint="eastAsia" w:ascii="宋体" w:hAnsi="宋体" w:cs="宋体"/>
              </w:rPr>
              <w:t>③</w:t>
            </w:r>
            <w:r>
              <w:t>一旦发生事故，及时向有关部门反映，采取有效处理措施，最大限度降低对周围环境及财产造成的危害。</w:t>
            </w:r>
          </w:p>
          <w:p>
            <w:pPr>
              <w:pStyle w:val="187"/>
              <w:widowControl w:val="0"/>
              <w:ind w:firstLine="482"/>
              <w:jc w:val="both"/>
              <w:rPr>
                <w:b/>
                <w:bCs/>
              </w:rPr>
            </w:pPr>
            <w:r>
              <w:rPr>
                <w:rFonts w:hint="eastAsia" w:ascii="宋体" w:hAnsi="宋体" w:cs="宋体"/>
                <w:b/>
                <w:bCs/>
              </w:rPr>
              <w:t>④</w:t>
            </w:r>
            <w:r>
              <w:rPr>
                <w:b/>
                <w:bCs/>
              </w:rPr>
              <w:t>设置进、出水水质自动监测装置及报警装置，设置进厂、出厂污水截断装置，当事故发生后，立即截断污水来源和杜绝事故排放，及时发现不良水质进入污水处理厂。</w:t>
            </w:r>
          </w:p>
          <w:p>
            <w:pPr>
              <w:pStyle w:val="187"/>
              <w:widowControl w:val="0"/>
              <w:ind w:firstLine="482"/>
              <w:jc w:val="both"/>
              <w:rPr>
                <w:b/>
                <w:bCs/>
              </w:rPr>
            </w:pPr>
            <w:r>
              <w:rPr>
                <w:b/>
                <w:bCs/>
              </w:rPr>
              <w:t>对进水口的废水</w:t>
            </w:r>
            <w:r>
              <w:rPr>
                <w:rFonts w:hint="eastAsia"/>
                <w:b/>
                <w:bCs/>
              </w:rPr>
              <w:t>流量、pH、COD、NH</w:t>
            </w:r>
            <w:r>
              <w:rPr>
                <w:rFonts w:hint="eastAsia"/>
                <w:b/>
                <w:bCs/>
                <w:vertAlign w:val="subscript"/>
              </w:rPr>
              <w:t>3</w:t>
            </w:r>
            <w:r>
              <w:rPr>
                <w:rFonts w:hint="eastAsia"/>
                <w:b/>
                <w:bCs/>
              </w:rPr>
              <w:t>-N、TP、TN</w:t>
            </w:r>
            <w:r>
              <w:rPr>
                <w:b/>
                <w:bCs/>
              </w:rPr>
              <w:t>进行在线监测，对总排口废水量、</w:t>
            </w:r>
            <w:r>
              <w:rPr>
                <w:rFonts w:hint="eastAsia"/>
                <w:b/>
                <w:bCs/>
              </w:rPr>
              <w:t>pH、COD、NH</w:t>
            </w:r>
            <w:r>
              <w:rPr>
                <w:rFonts w:hint="eastAsia"/>
                <w:b/>
                <w:bCs/>
                <w:vertAlign w:val="subscript"/>
              </w:rPr>
              <w:t>3</w:t>
            </w:r>
            <w:r>
              <w:rPr>
                <w:rFonts w:hint="eastAsia"/>
                <w:b/>
                <w:bCs/>
              </w:rPr>
              <w:t>-N、TP、TN</w:t>
            </w:r>
            <w:r>
              <w:rPr>
                <w:b/>
                <w:bCs/>
              </w:rPr>
              <w:t>进行在线监测，一旦发现废水可生化性较低或总排口废水不达标立即报警，同时截断污水来源和杜绝事故排放。</w:t>
            </w:r>
          </w:p>
          <w:p>
            <w:pPr>
              <w:pStyle w:val="187"/>
              <w:widowControl w:val="0"/>
              <w:ind w:firstLine="480"/>
              <w:jc w:val="both"/>
            </w:pPr>
            <w:r>
              <w:rPr>
                <w:rFonts w:hint="eastAsia" w:ascii="宋体" w:hAnsi="宋体" w:cs="宋体"/>
              </w:rPr>
              <w:t>⑤</w:t>
            </w:r>
            <w:r>
              <w:t>加强事故苗头控制，做到定期巡检，调节、保养、维修，及时发现可能引起事故的异常运行苗头，消除事故隐患。</w:t>
            </w:r>
          </w:p>
          <w:p>
            <w:pPr>
              <w:pStyle w:val="187"/>
              <w:widowControl w:val="0"/>
              <w:ind w:firstLine="480"/>
              <w:jc w:val="both"/>
            </w:pPr>
            <w:r>
              <w:rPr>
                <w:rFonts w:hint="eastAsia" w:ascii="宋体" w:hAnsi="宋体" w:cs="宋体"/>
              </w:rPr>
              <w:t>⑥</w:t>
            </w:r>
            <w:r>
              <w:t>严格控制处理单元的水量、水质、停留时间、负荷强度等，确保处理效果的稳定性，定期采样监测，操作人员及时调整，使设备处于最佳工况，发现不正常现象，应立即采取预防措施。</w:t>
            </w:r>
          </w:p>
          <w:p>
            <w:pPr>
              <w:pStyle w:val="187"/>
              <w:widowControl w:val="0"/>
              <w:ind w:firstLine="480"/>
              <w:jc w:val="both"/>
            </w:pPr>
            <w:r>
              <w:rPr>
                <w:rFonts w:hint="eastAsia" w:ascii="宋体" w:hAnsi="宋体" w:cs="宋体"/>
              </w:rPr>
              <w:t>⑦</w:t>
            </w:r>
            <w:r>
              <w:t>加强运行管理和进出水的监测工作，未经处理达标的污水严禁外排。</w:t>
            </w:r>
          </w:p>
          <w:p>
            <w:pPr>
              <w:pStyle w:val="187"/>
              <w:widowControl w:val="0"/>
              <w:ind w:firstLine="482"/>
              <w:jc w:val="both"/>
              <w:rPr>
                <w:b/>
                <w:bCs/>
              </w:rPr>
            </w:pPr>
            <w:r>
              <w:rPr>
                <w:b/>
                <w:bCs/>
              </w:rPr>
              <w:t>2</w:t>
            </w:r>
            <w:r>
              <w:rPr>
                <w:rFonts w:hint="eastAsia"/>
                <w:b/>
                <w:bCs/>
              </w:rPr>
              <w:t>）</w:t>
            </w:r>
            <w:r>
              <w:rPr>
                <w:b/>
                <w:bCs/>
              </w:rPr>
              <w:t>废水事故排放防范措施</w:t>
            </w:r>
          </w:p>
          <w:p>
            <w:pPr>
              <w:pStyle w:val="187"/>
              <w:widowControl w:val="0"/>
              <w:ind w:firstLine="480"/>
              <w:jc w:val="both"/>
            </w:pPr>
            <w:r>
              <w:t>本项目事故排放主要由于停电或机械故障以及人为操作时导致废水处理系统不能正常运行所致。项目拟采取如下防范措施：</w:t>
            </w:r>
          </w:p>
          <w:p>
            <w:pPr>
              <w:pStyle w:val="187"/>
              <w:widowControl w:val="0"/>
              <w:ind w:firstLine="480"/>
              <w:jc w:val="both"/>
            </w:pPr>
            <w:r>
              <w:t>污水处理厂的事故来源于设备故障、检修或由于工艺参数改变而使处理效果变差，其防治措施为：</w:t>
            </w:r>
          </w:p>
          <w:p>
            <w:pPr>
              <w:pStyle w:val="187"/>
              <w:widowControl w:val="0"/>
              <w:ind w:firstLine="480"/>
              <w:jc w:val="both"/>
            </w:pPr>
            <w:r>
              <w:rPr>
                <w:rFonts w:hint="eastAsia" w:ascii="宋体" w:hAnsi="宋体" w:cs="宋体"/>
              </w:rPr>
              <w:t>①</w:t>
            </w:r>
            <w:r>
              <w:t>为使在事故状态下污水处理厂能够迅速恢复正常运行，应在主要水工建筑物的容积上留有相应的缓冲能力，并配有相应的设备（如回流泵、回流管道、阀门及仪表等）。</w:t>
            </w:r>
          </w:p>
          <w:p>
            <w:pPr>
              <w:pStyle w:val="187"/>
              <w:widowControl w:val="0"/>
              <w:ind w:firstLine="480"/>
              <w:jc w:val="both"/>
            </w:pPr>
            <w:r>
              <w:rPr>
                <w:rFonts w:hint="eastAsia" w:ascii="宋体" w:hAnsi="宋体" w:cs="宋体"/>
              </w:rPr>
              <w:t>②</w:t>
            </w:r>
            <w:r>
              <w:t>选用优质设备，对污水处理厂各种机械电器、仪表等设备，必须选择质量优良、事故率低、便于维修的产品。关键设备应一备一用，易损部件要有备用件，在出现事故时能及时更换。</w:t>
            </w:r>
          </w:p>
          <w:p>
            <w:pPr>
              <w:pStyle w:val="187"/>
              <w:widowControl w:val="0"/>
              <w:ind w:firstLine="480"/>
              <w:jc w:val="both"/>
            </w:pPr>
            <w:r>
              <w:rPr>
                <w:rFonts w:hint="eastAsia" w:ascii="宋体" w:hAnsi="宋体" w:cs="宋体"/>
              </w:rPr>
              <w:t>③</w:t>
            </w:r>
            <w:r>
              <w:t>加强事故苗头监控，定期巡检、调节、保养、维修。及时发现有可能引起事故的异常运行苗头，消除事故隐患。</w:t>
            </w:r>
          </w:p>
          <w:p>
            <w:pPr>
              <w:pStyle w:val="187"/>
              <w:widowControl w:val="0"/>
              <w:ind w:firstLine="480"/>
              <w:jc w:val="both"/>
            </w:pPr>
            <w:r>
              <w:rPr>
                <w:rFonts w:hint="eastAsia" w:ascii="宋体" w:hAnsi="宋体" w:cs="宋体"/>
              </w:rPr>
              <w:t>④</w:t>
            </w:r>
            <w:r>
              <w:t>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pPr>
              <w:pStyle w:val="187"/>
              <w:widowControl w:val="0"/>
              <w:ind w:firstLine="480"/>
              <w:jc w:val="both"/>
            </w:pPr>
            <w:r>
              <w:rPr>
                <w:rFonts w:hint="eastAsia" w:ascii="宋体" w:hAnsi="宋体" w:cs="宋体"/>
              </w:rPr>
              <w:t>⑤</w:t>
            </w:r>
            <w:r>
              <w:t>加强污水处理厂人员的理论知识和操作技能的培训。</w:t>
            </w:r>
          </w:p>
          <w:p>
            <w:pPr>
              <w:pStyle w:val="187"/>
              <w:widowControl w:val="0"/>
              <w:ind w:firstLine="480"/>
              <w:jc w:val="both"/>
            </w:pPr>
            <w:r>
              <w:rPr>
                <w:rFonts w:hint="eastAsia" w:ascii="宋体" w:hAnsi="宋体" w:cs="宋体"/>
              </w:rPr>
              <w:t>⑥</w:t>
            </w:r>
            <w:r>
              <w:t>加强管理和进出水的监测工作，严禁未经处理污水外排。</w:t>
            </w:r>
          </w:p>
          <w:p>
            <w:pPr>
              <w:pStyle w:val="187"/>
              <w:widowControl w:val="0"/>
              <w:ind w:firstLine="482"/>
              <w:jc w:val="both"/>
              <w:rPr>
                <w:b/>
                <w:bCs/>
              </w:rPr>
            </w:pPr>
            <w:r>
              <w:rPr>
                <w:rFonts w:hint="eastAsia"/>
                <w:b/>
                <w:bCs/>
              </w:rPr>
              <w:t>同时，本次环评建议项目设置1座事故应急池，容积不低于5</w:t>
            </w:r>
            <w:r>
              <w:rPr>
                <w:b/>
                <w:bCs/>
              </w:rPr>
              <w:t>0</w:t>
            </w:r>
            <w:r>
              <w:rPr>
                <w:rFonts w:hint="eastAsia"/>
                <w:b/>
                <w:bCs/>
              </w:rPr>
              <w:t>00m</w:t>
            </w:r>
            <w:r>
              <w:rPr>
                <w:rFonts w:hint="eastAsia"/>
                <w:b/>
                <w:bCs/>
                <w:vertAlign w:val="superscript"/>
              </w:rPr>
              <w:t>3</w:t>
            </w:r>
            <w:r>
              <w:rPr>
                <w:rFonts w:hint="eastAsia"/>
                <w:b/>
                <w:bCs/>
              </w:rPr>
              <w:t>，作为事故状态下生活污水的临时暂存。</w:t>
            </w:r>
          </w:p>
          <w:p>
            <w:pPr>
              <w:pStyle w:val="187"/>
              <w:widowControl w:val="0"/>
              <w:ind w:firstLine="482"/>
              <w:jc w:val="both"/>
              <w:rPr>
                <w:rFonts w:ascii="Times New Roman" w:hAnsi="Times New Roman" w:eastAsia="宋体" w:cs="Times New Roman"/>
                <w:b/>
                <w:bCs/>
                <w:szCs w:val="28"/>
              </w:rPr>
            </w:pPr>
            <w:r>
              <w:rPr>
                <w:b/>
              </w:rPr>
              <w:t>3）</w:t>
            </w:r>
            <w:r>
              <w:rPr>
                <w:rFonts w:hint="eastAsia" w:ascii="Times New Roman" w:hAnsi="Times New Roman" w:eastAsia="宋体" w:cs="Times New Roman"/>
                <w:b/>
                <w:bCs/>
                <w:szCs w:val="28"/>
              </w:rPr>
              <w:t>废气</w:t>
            </w:r>
            <w:r>
              <w:rPr>
                <w:rFonts w:ascii="Times New Roman" w:hAnsi="Times New Roman" w:eastAsia="宋体" w:cs="Times New Roman"/>
                <w:b/>
                <w:bCs/>
                <w:szCs w:val="28"/>
              </w:rPr>
              <w:t>处理设备故障</w:t>
            </w:r>
            <w:r>
              <w:rPr>
                <w:rFonts w:hint="eastAsia" w:ascii="Times New Roman" w:hAnsi="Times New Roman" w:eastAsia="宋体" w:cs="Times New Roman"/>
                <w:b/>
                <w:bCs/>
                <w:szCs w:val="28"/>
              </w:rPr>
              <w:t>风险</w:t>
            </w:r>
            <w:r>
              <w:rPr>
                <w:rFonts w:ascii="Times New Roman" w:hAnsi="Times New Roman" w:eastAsia="宋体" w:cs="Times New Roman"/>
                <w:b/>
                <w:bCs/>
                <w:szCs w:val="28"/>
              </w:rPr>
              <w:t>防范措施</w:t>
            </w:r>
          </w:p>
          <w:p>
            <w:pPr>
              <w:widowControl w:val="0"/>
              <w:adjustRightInd w:val="0"/>
              <w:ind w:firstLine="480" w:firstLineChars="200"/>
              <w:contextualSpacing/>
              <w:jc w:val="both"/>
              <w:rPr>
                <w:rFonts w:ascii="Times New Roman" w:hAnsi="Times New Roman" w:eastAsia="宋体" w:cs="Times New Roman"/>
                <w:szCs w:val="30"/>
              </w:rPr>
            </w:pPr>
            <w:r>
              <w:rPr>
                <w:rFonts w:hint="eastAsia" w:ascii="宋体" w:hAnsi="宋体" w:eastAsia="宋体" w:cs="宋体"/>
                <w:szCs w:val="30"/>
              </w:rPr>
              <w:t>①</w:t>
            </w:r>
            <w:r>
              <w:rPr>
                <w:rFonts w:ascii="Times New Roman" w:hAnsi="Times New Roman" w:eastAsia="宋体" w:cs="Times New Roman"/>
                <w:szCs w:val="30"/>
              </w:rPr>
              <w:t>根据设计资料，项目废气处理系统设有备用风机，故障时可立即启用备用设备，可有效保障系统24小时稳定运行。</w:t>
            </w:r>
          </w:p>
          <w:p>
            <w:pPr>
              <w:widowControl w:val="0"/>
              <w:adjustRightInd w:val="0"/>
              <w:ind w:firstLine="480" w:firstLineChars="200"/>
              <w:contextualSpacing/>
              <w:jc w:val="both"/>
              <w:rPr>
                <w:rFonts w:ascii="Times New Roman" w:hAnsi="Times New Roman" w:eastAsia="宋体" w:cs="Times New Roman"/>
                <w:szCs w:val="30"/>
              </w:rPr>
            </w:pPr>
            <w:r>
              <w:rPr>
                <w:rFonts w:hint="eastAsia" w:ascii="宋体" w:hAnsi="宋体" w:eastAsia="宋体" w:cs="宋体"/>
                <w:szCs w:val="30"/>
              </w:rPr>
              <w:t>②</w:t>
            </w:r>
            <w:r>
              <w:rPr>
                <w:rFonts w:ascii="Times New Roman" w:hAnsi="Times New Roman" w:eastAsia="宋体" w:cs="Times New Roman"/>
                <w:szCs w:val="30"/>
              </w:rPr>
              <w:t>加强废气设施的环境管理，污水处理厂因安排专人加强日常定期对废气收集系统和除臭系统进行维护，建立管理台账，认真填写巡检记录，认真记录设备运行情况，若发现异样，如设备参数等问题，应立即联系厂家进行处理，保证及时恢复正常运行。</w:t>
            </w:r>
          </w:p>
          <w:p>
            <w:pPr>
              <w:widowControl w:val="0"/>
              <w:adjustRightInd w:val="0"/>
              <w:ind w:firstLine="480" w:firstLineChars="200"/>
              <w:contextualSpacing/>
              <w:jc w:val="both"/>
              <w:rPr>
                <w:rFonts w:ascii="Times New Roman" w:hAnsi="Times New Roman" w:eastAsia="宋体" w:cs="Times New Roman"/>
                <w:szCs w:val="30"/>
              </w:rPr>
            </w:pPr>
            <w:r>
              <w:rPr>
                <w:rFonts w:hint="eastAsia" w:ascii="宋体" w:hAnsi="宋体" w:eastAsia="宋体" w:cs="宋体"/>
                <w:szCs w:val="30"/>
              </w:rPr>
              <w:t>③</w:t>
            </w:r>
            <w:r>
              <w:rPr>
                <w:rFonts w:ascii="Times New Roman" w:hAnsi="Times New Roman" w:eastAsia="宋体" w:cs="Times New Roman"/>
                <w:szCs w:val="30"/>
              </w:rPr>
              <w:t>严格落实废气处理设施的维修计划，保障除臭设施的正常运行。</w:t>
            </w:r>
          </w:p>
          <w:p>
            <w:pPr>
              <w:keepNext/>
              <w:keepLines/>
              <w:widowControl w:val="0"/>
              <w:adjustRightInd w:val="0"/>
              <w:ind w:firstLine="482" w:firstLineChars="200"/>
              <w:jc w:val="both"/>
              <w:outlineLvl w:val="4"/>
              <w:rPr>
                <w:rFonts w:ascii="Times New Roman" w:hAnsi="Times New Roman" w:eastAsia="宋体" w:cs="Times New Roman"/>
                <w:b/>
                <w:bCs/>
                <w:szCs w:val="28"/>
              </w:rPr>
            </w:pPr>
            <w:r>
              <w:rPr>
                <w:rFonts w:ascii="Times New Roman" w:hAnsi="Times New Roman" w:eastAsia="宋体" w:cs="Times New Roman"/>
                <w:b/>
                <w:bCs/>
                <w:szCs w:val="28"/>
              </w:rPr>
              <w:t>4</w:t>
            </w:r>
            <w:r>
              <w:rPr>
                <w:rFonts w:hint="eastAsia" w:ascii="Times New Roman" w:hAnsi="Times New Roman" w:eastAsia="宋体" w:cs="Times New Roman"/>
                <w:b/>
                <w:bCs/>
                <w:szCs w:val="28"/>
              </w:rPr>
              <w:t>）</w:t>
            </w:r>
            <w:r>
              <w:rPr>
                <w:rFonts w:ascii="Times New Roman" w:hAnsi="Times New Roman" w:eastAsia="宋体" w:cs="Times New Roman"/>
                <w:b/>
                <w:bCs/>
                <w:szCs w:val="28"/>
              </w:rPr>
              <w:t>药品、液体危废等泄露事故风险防范措施</w:t>
            </w:r>
          </w:p>
          <w:p>
            <w:pPr>
              <w:widowControl w:val="0"/>
              <w:adjustRightInd w:val="0"/>
              <w:ind w:firstLine="480" w:firstLineChars="200"/>
              <w:contextualSpacing/>
              <w:jc w:val="both"/>
              <w:rPr>
                <w:rFonts w:ascii="Times New Roman" w:hAnsi="Times New Roman" w:eastAsia="宋体" w:cs="Times New Roman"/>
                <w:szCs w:val="30"/>
              </w:rPr>
            </w:pPr>
            <w:r>
              <w:rPr>
                <w:rFonts w:ascii="Times New Roman" w:hAnsi="Times New Roman" w:eastAsia="宋体" w:cs="Times New Roman"/>
                <w:szCs w:val="30"/>
              </w:rPr>
              <w:t>项目建设单位加强对次氯酸钠的日常管理，监控次氯酸钠流量计，避免因破裂而造成化学品泄漏，增加监控设备、实时监控。液体试剂瓶装保存在专用试剂柜中，实验操作人员经过专业培训，若单个试剂瓶破裂，可用抹布清理，清理后的沾染物作为危废暂存交由有资质的单位处置；危废暂存间在做好地面防渗的基础上，在液体危废容器下设置不锈钢托盘，同时，单独设置空桶，以备泄漏发生时作应急收容。</w:t>
            </w:r>
          </w:p>
          <w:p>
            <w:pPr>
              <w:pStyle w:val="187"/>
              <w:widowControl w:val="0"/>
              <w:ind w:firstLine="482"/>
              <w:jc w:val="both"/>
              <w:rPr>
                <w:b/>
              </w:rPr>
            </w:pPr>
            <w:r>
              <w:rPr>
                <w:b/>
              </w:rPr>
              <w:t>5）风险应急措施</w:t>
            </w:r>
          </w:p>
          <w:p>
            <w:pPr>
              <w:pStyle w:val="187"/>
              <w:widowControl w:val="0"/>
              <w:ind w:firstLine="480"/>
              <w:jc w:val="both"/>
            </w:pPr>
            <w:r>
              <w:rPr>
                <w:rFonts w:hint="eastAsia" w:ascii="宋体" w:hAnsi="宋体" w:eastAsia="宋体"/>
              </w:rPr>
              <w:t>①</w:t>
            </w:r>
            <w:r>
              <w:t>当曝气池发生故障不能正常运行时必须关闭故障曝气池进水阀，以避免污水进入停止运行的曝气池，致使池内微生物死亡。待设备故障消除时，必须首先启动曝气池，运行1～2小时，使池内微生物复活后，再打开进池阀门，处理系统恢复运行。</w:t>
            </w:r>
          </w:p>
          <w:p>
            <w:pPr>
              <w:pStyle w:val="187"/>
              <w:widowControl w:val="0"/>
              <w:ind w:firstLine="480"/>
              <w:jc w:val="both"/>
            </w:pPr>
            <w:r>
              <w:rPr>
                <w:rFonts w:hint="eastAsia" w:ascii="宋体" w:hAnsi="宋体" w:eastAsia="宋体"/>
              </w:rPr>
              <w:t>②</w:t>
            </w:r>
            <w:r>
              <w:t>若出现出水水质异常，及时进行各处理单元的处理效率检测，并酌情启用备用设备、更换受损设备或不合格的污泥。</w:t>
            </w:r>
          </w:p>
          <w:p>
            <w:pPr>
              <w:pStyle w:val="187"/>
              <w:widowControl w:val="0"/>
              <w:ind w:firstLine="480"/>
              <w:jc w:val="both"/>
            </w:pPr>
            <w:r>
              <w:rPr>
                <w:rFonts w:hint="eastAsia" w:ascii="宋体" w:hAnsi="宋体" w:eastAsia="宋体"/>
              </w:rPr>
              <w:t>③</w:t>
            </w:r>
            <w:r>
              <w:t>事故应急监测</w:t>
            </w:r>
          </w:p>
          <w:p>
            <w:pPr>
              <w:pStyle w:val="187"/>
              <w:widowControl w:val="0"/>
              <w:ind w:firstLine="480"/>
              <w:jc w:val="both"/>
            </w:pPr>
            <w:r>
              <w:t>事故发生后应立即通知当地环保部门，并通知当地所在地的上一级环保部门，立即启动环境应急监测预案，及时掌握发生事故的危害程度、影响范围及影响程度。监测因子确定为：COD、BOD</w:t>
            </w:r>
            <w:r>
              <w:rPr>
                <w:vertAlign w:val="subscript"/>
              </w:rPr>
              <w:t>5</w:t>
            </w:r>
            <w:r>
              <w:t>、氨氮、总氮、总磷、石油类、SS、粪大肠菌群数等。</w:t>
            </w:r>
          </w:p>
          <w:p>
            <w:pPr>
              <w:pStyle w:val="187"/>
              <w:widowControl w:val="0"/>
              <w:ind w:firstLine="480"/>
              <w:jc w:val="both"/>
            </w:pPr>
            <w:r>
              <w:rPr>
                <w:rFonts w:hint="eastAsia" w:ascii="宋体" w:hAnsi="宋体" w:eastAsia="宋体"/>
              </w:rPr>
              <w:t>④</w:t>
            </w:r>
            <w:r>
              <w:t>突发事件造成污水处理厂全部或部分停运的，必须立即启动安全运行应急预案，在2小时内报告污水处理主管部门和环保主管部门。恢复正常运行后，应及时向污水处理主管部门和环保主管部门报告。制定区域防灾救援方案，与当地政府、消防、环保和医疗救助等部门加强联系。以便风险事故发生时得到及时救援。</w:t>
            </w:r>
          </w:p>
          <w:p>
            <w:pPr>
              <w:pStyle w:val="187"/>
              <w:widowControl w:val="0"/>
              <w:ind w:firstLine="480"/>
              <w:jc w:val="both"/>
            </w:pPr>
            <w:r>
              <w:rPr>
                <w:rFonts w:hint="eastAsia" w:ascii="宋体" w:hAnsi="宋体" w:eastAsia="宋体"/>
              </w:rPr>
              <w:t>⑤</w:t>
            </w:r>
            <w:r>
              <w:t>设立专职安全员岗位，负责生产一线安全工作的日常监督巡查；专职安全人员必须经过安全生产管理部门组织的职业培训，并取得注册安员资格。</w:t>
            </w:r>
          </w:p>
          <w:p>
            <w:pPr>
              <w:pStyle w:val="187"/>
              <w:widowControl w:val="0"/>
              <w:ind w:firstLine="480"/>
              <w:jc w:val="both"/>
            </w:pPr>
            <w:r>
              <w:rPr>
                <w:rFonts w:hint="eastAsia" w:ascii="宋体" w:hAnsi="宋体" w:eastAsia="宋体"/>
              </w:rPr>
              <w:t>⑥</w:t>
            </w:r>
            <w:r>
              <w:t>用于原辅材料贮存工具的容器必须依照《危险化学品管理条例》要求由专业生产企业定点生产，并经检测、检验合格，方可使用。容器必须定期送相应的质检部门检查，运输过程中封口严密，确保贮运原辅材料的容器在贮运过程中不因温度、湿度、压力的变化发生任何渗漏。</w:t>
            </w:r>
          </w:p>
          <w:p>
            <w:pPr>
              <w:pStyle w:val="187"/>
              <w:widowControl w:val="0"/>
              <w:ind w:firstLine="480"/>
              <w:jc w:val="both"/>
            </w:pPr>
            <w:r>
              <w:rPr>
                <w:rFonts w:hint="eastAsia" w:ascii="宋体" w:hAnsi="宋体" w:eastAsia="宋体"/>
              </w:rPr>
              <w:t>⑦</w:t>
            </w:r>
            <w:r>
              <w:t>发生爆管事故，应立即采取下列措施：</w:t>
            </w:r>
          </w:p>
          <w:p>
            <w:pPr>
              <w:pStyle w:val="187"/>
              <w:widowControl w:val="0"/>
              <w:ind w:firstLine="480"/>
              <w:jc w:val="both"/>
            </w:pPr>
            <w:r>
              <w:t>A</w:t>
            </w:r>
            <w:r>
              <w:rPr>
                <w:rFonts w:hint="eastAsia"/>
              </w:rPr>
              <w:t>、</w:t>
            </w:r>
            <w:r>
              <w:t>采用水下快速止水、基础化学加固技术和深层裂缝灌浆技术，在污水管不能停止运行的前提下，对管道接头渗水部位进行止水、密封和加固处理；</w:t>
            </w:r>
          </w:p>
          <w:p>
            <w:pPr>
              <w:pStyle w:val="187"/>
              <w:widowControl w:val="0"/>
              <w:ind w:firstLine="480"/>
              <w:jc w:val="both"/>
            </w:pPr>
            <w:r>
              <w:rPr>
                <w:rFonts w:ascii="宋体" w:hAnsi="宋体" w:cs="宋体"/>
              </w:rPr>
              <w:t>B</w:t>
            </w:r>
            <w:r>
              <w:rPr>
                <w:rFonts w:hint="eastAsia" w:ascii="宋体" w:hAnsi="宋体" w:cs="宋体"/>
              </w:rPr>
              <w:t>、</w:t>
            </w:r>
            <w:r>
              <w:t>采用管道无损修复技术，在管道内接头部位安装柔性盖板系统，以适应结构的再变形，保证结构在再次变形时不再发生渗漏。同时，该柔性盖板系统有很好的耐腐蚀性和抗冲蚀性，完全满足在污水环境中的使用耐久性，且保证不因为流沙移动而造成磨损、破坏。</w:t>
            </w:r>
          </w:p>
          <w:p>
            <w:pPr>
              <w:pStyle w:val="187"/>
              <w:widowControl w:val="0"/>
              <w:ind w:firstLine="480"/>
              <w:jc w:val="both"/>
            </w:pPr>
            <w:r>
              <w:rPr>
                <w:rFonts w:ascii="宋体" w:hAnsi="宋体" w:cs="宋体"/>
              </w:rPr>
              <w:t>C</w:t>
            </w:r>
            <w:r>
              <w:rPr>
                <w:rFonts w:hint="eastAsia" w:ascii="宋体" w:hAnsi="宋体" w:cs="宋体"/>
              </w:rPr>
              <w:t>、</w:t>
            </w:r>
            <w:r>
              <w:t>立即停止排水，启动应急措施，污水处理厂立即停止运行，待处理污水存放在沉砂池内及各处理设施内。同时，立即关停各用水单位用水，避免污水产生造成污水处理厂溢水。</w:t>
            </w:r>
          </w:p>
          <w:p>
            <w:pPr>
              <w:pStyle w:val="187"/>
              <w:widowControl w:val="0"/>
              <w:ind w:firstLine="482"/>
              <w:jc w:val="both"/>
              <w:rPr>
                <w:b/>
                <w:bCs/>
              </w:rPr>
            </w:pPr>
            <w:r>
              <w:rPr>
                <w:b/>
                <w:bCs/>
              </w:rPr>
              <w:t>6）污水溢流等非正常工况排放对受纳水体环境的影响</w:t>
            </w:r>
            <w:r>
              <w:rPr>
                <w:b/>
                <w:bCs/>
              </w:rPr>
              <w:tab/>
            </w:r>
          </w:p>
          <w:p>
            <w:pPr>
              <w:pStyle w:val="187"/>
              <w:widowControl w:val="0"/>
              <w:ind w:firstLine="480"/>
              <w:jc w:val="both"/>
            </w:pPr>
            <w:r>
              <w:t>本工程污水溢流等非正常排放下将会造成污水的未经处理直接排放，对受纳水体环境的影响分析见地表水专项评价部分，在此不再重述。</w:t>
            </w:r>
          </w:p>
          <w:p>
            <w:pPr>
              <w:widowControl w:val="0"/>
              <w:ind w:firstLine="482" w:firstLineChars="200"/>
              <w:jc w:val="both"/>
              <w:rPr>
                <w:b/>
              </w:rPr>
            </w:pPr>
            <w:r>
              <w:rPr>
                <w:rFonts w:hint="eastAsia"/>
                <w:b/>
              </w:rPr>
              <w:t>（6）</w:t>
            </w:r>
            <w:r>
              <w:rPr>
                <w:b/>
              </w:rPr>
              <w:t>应急预案</w:t>
            </w:r>
          </w:p>
          <w:p>
            <w:pPr>
              <w:pStyle w:val="187"/>
              <w:widowControl w:val="0"/>
              <w:ind w:firstLine="480"/>
              <w:jc w:val="both"/>
            </w:pPr>
            <w:r>
              <w:t>为保证企业及人民生命财产安全，防止突发性重大环境事故发生，或在发生事故时能迅速有序地开展救援工作，尽最大努力减少事故的危害和损失。根据《工作场所安全使用化学品规定》和《化学事故应急救援管理办法》的规定，企业必须制定化学事故应急救援预案和实施细则，并组织专业队伍学习和演练，防患于未然，以便应急救援工作的顺利开展。制订应急预案的原则如下：</w:t>
            </w:r>
          </w:p>
          <w:p>
            <w:pPr>
              <w:pStyle w:val="187"/>
              <w:widowControl w:val="0"/>
              <w:ind w:firstLine="480"/>
              <w:jc w:val="both"/>
            </w:pPr>
            <w:r>
              <w:rPr>
                <w:rFonts w:hint="eastAsia" w:ascii="宋体" w:hAnsi="宋体" w:cs="宋体"/>
              </w:rPr>
              <w:t>①</w:t>
            </w:r>
            <w:r>
              <w:t>确定救援组织、队伍和联络方式；</w:t>
            </w:r>
          </w:p>
          <w:p>
            <w:pPr>
              <w:pStyle w:val="187"/>
              <w:widowControl w:val="0"/>
              <w:ind w:firstLine="480"/>
              <w:jc w:val="both"/>
            </w:pPr>
            <w:r>
              <w:rPr>
                <w:rFonts w:hint="eastAsia" w:ascii="宋体" w:hAnsi="宋体" w:cs="宋体"/>
              </w:rPr>
              <w:t>②</w:t>
            </w:r>
            <w:r>
              <w:t>制定事故类型、等级和相应的应急响应程序；</w:t>
            </w:r>
          </w:p>
          <w:p>
            <w:pPr>
              <w:pStyle w:val="187"/>
              <w:widowControl w:val="0"/>
              <w:ind w:firstLine="480"/>
              <w:jc w:val="both"/>
            </w:pPr>
            <w:r>
              <w:rPr>
                <w:rFonts w:hint="eastAsia" w:ascii="宋体" w:hAnsi="宋体" w:cs="宋体"/>
              </w:rPr>
              <w:t>③</w:t>
            </w:r>
            <w:r>
              <w:t>配备必要的救灾防毒器具及防护用品；</w:t>
            </w:r>
          </w:p>
          <w:p>
            <w:pPr>
              <w:pStyle w:val="187"/>
              <w:widowControl w:val="0"/>
              <w:ind w:firstLine="480"/>
              <w:jc w:val="both"/>
            </w:pPr>
            <w:r>
              <w:rPr>
                <w:rFonts w:hint="eastAsia" w:ascii="宋体" w:hAnsi="宋体" w:cs="宋体"/>
              </w:rPr>
              <w:t>④</w:t>
            </w:r>
            <w:r>
              <w:t>对生产系统制定应急状态切断终止或自动报警连锁保护程序；</w:t>
            </w:r>
          </w:p>
          <w:p>
            <w:pPr>
              <w:pStyle w:val="187"/>
              <w:widowControl w:val="0"/>
              <w:ind w:firstLine="480"/>
              <w:jc w:val="both"/>
            </w:pPr>
            <w:r>
              <w:rPr>
                <w:rFonts w:hint="eastAsia" w:ascii="宋体" w:hAnsi="宋体" w:cs="宋体"/>
              </w:rPr>
              <w:t>⑤</w:t>
            </w:r>
            <w:r>
              <w:t>岗位培训和演习，设置事故应急学习手册及报告、记录和评估；</w:t>
            </w:r>
          </w:p>
          <w:p>
            <w:pPr>
              <w:pStyle w:val="187"/>
              <w:widowControl w:val="0"/>
              <w:ind w:firstLine="480"/>
              <w:jc w:val="both"/>
            </w:pPr>
            <w:r>
              <w:rPr>
                <w:rFonts w:hint="eastAsia" w:ascii="宋体" w:hAnsi="宋体" w:cs="宋体"/>
              </w:rPr>
              <w:t>⑥</w:t>
            </w:r>
            <w:r>
              <w:t>制定区域防灾救援方案，厂外受影响人群的疏散、撤离方案，与当地政府、消防、环保和医疗救助等部门加强联系，以便风险事故发生时得到及时救援。</w:t>
            </w:r>
          </w:p>
          <w:p>
            <w:pPr>
              <w:pStyle w:val="187"/>
              <w:widowControl w:val="0"/>
              <w:ind w:firstLine="480"/>
              <w:jc w:val="both"/>
            </w:pPr>
            <w:r>
              <w:t>企业在制定环境风险应急预案时，还应包括下表所示内容。</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ascii="Times New Roman" w:hAnsi="Times New Roman" w:eastAsia="黑体"/>
                <w:kern w:val="2"/>
                <w:szCs w:val="24"/>
              </w:rPr>
              <w:t>环境风险应急预案内容</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2856"/>
              <w:gridCol w:w="5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bCs/>
                    </w:rPr>
                  </w:pPr>
                  <w:r>
                    <w:rPr>
                      <w:rFonts w:ascii="Times New Roman" w:hAnsi="Times New Roman"/>
                      <w:b/>
                      <w:bCs/>
                    </w:rPr>
                    <w:t>序号</w:t>
                  </w:r>
                </w:p>
              </w:tc>
              <w:tc>
                <w:tcPr>
                  <w:tcW w:w="1559"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bCs/>
                    </w:rPr>
                  </w:pPr>
                  <w:r>
                    <w:rPr>
                      <w:rFonts w:ascii="Times New Roman" w:hAnsi="Times New Roman"/>
                      <w:b/>
                      <w:bCs/>
                    </w:rPr>
                    <w:t>项目</w:t>
                  </w:r>
                </w:p>
              </w:tc>
              <w:tc>
                <w:tcPr>
                  <w:tcW w:w="2853"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bCs/>
                    </w:rPr>
                  </w:pPr>
                  <w:r>
                    <w:rPr>
                      <w:rFonts w:ascii="Times New Roman" w:hAnsi="Times New Roman"/>
                      <w:b/>
                      <w:bCs/>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1</w:t>
                  </w:r>
                </w:p>
              </w:tc>
              <w:tc>
                <w:tcPr>
                  <w:tcW w:w="1559"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应急组织机构、人员</w:t>
                  </w:r>
                </w:p>
              </w:tc>
              <w:tc>
                <w:tcPr>
                  <w:tcW w:w="2853"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公司应急机构人员，地方政府应急组织人员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2</w:t>
                  </w:r>
                </w:p>
              </w:tc>
              <w:tc>
                <w:tcPr>
                  <w:tcW w:w="1559"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预案分级响应条件</w:t>
                  </w:r>
                </w:p>
              </w:tc>
              <w:tc>
                <w:tcPr>
                  <w:tcW w:w="2853"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规定预案的级别及分级响应程序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3</w:t>
                  </w:r>
                </w:p>
              </w:tc>
              <w:tc>
                <w:tcPr>
                  <w:tcW w:w="1559"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应急救缓保障</w:t>
                  </w:r>
                </w:p>
              </w:tc>
              <w:tc>
                <w:tcPr>
                  <w:tcW w:w="2853"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应急设施、设备与器材等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4</w:t>
                  </w:r>
                </w:p>
              </w:tc>
              <w:tc>
                <w:tcPr>
                  <w:tcW w:w="1559"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报警、通讯联络方式</w:t>
                  </w:r>
                </w:p>
              </w:tc>
              <w:tc>
                <w:tcPr>
                  <w:tcW w:w="2853"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规定应急状态下的报警通讯方式；交通保障、管制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5</w:t>
                  </w:r>
                </w:p>
              </w:tc>
              <w:tc>
                <w:tcPr>
                  <w:tcW w:w="1559"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应急环境监测、抢险、救缓及控制措施</w:t>
                  </w:r>
                </w:p>
              </w:tc>
              <w:tc>
                <w:tcPr>
                  <w:tcW w:w="2853"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由环境监测站负责对事故现场进行监测，对事故性质、参数与后果进行评估，为指挥部门提供决策根据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6</w:t>
                  </w:r>
                </w:p>
              </w:tc>
              <w:tc>
                <w:tcPr>
                  <w:tcW w:w="1559"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应急检测、防护措施、清除泄漏措施器材</w:t>
                  </w:r>
                </w:p>
              </w:tc>
              <w:tc>
                <w:tcPr>
                  <w:tcW w:w="2853"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事故现场、邻近区域、控制防火区域，控制和清除污染措施及相应设备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7</w:t>
                  </w:r>
                </w:p>
              </w:tc>
              <w:tc>
                <w:tcPr>
                  <w:tcW w:w="1559"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人员紧急撤离、疏散</w:t>
                  </w:r>
                </w:p>
              </w:tc>
              <w:tc>
                <w:tcPr>
                  <w:tcW w:w="2853"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撤离组织计划及救护，医疗救护与公众健康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8</w:t>
                  </w:r>
                </w:p>
              </w:tc>
              <w:tc>
                <w:tcPr>
                  <w:tcW w:w="1559"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事故应急救缓关闭程序与恢复措施</w:t>
                  </w:r>
                </w:p>
              </w:tc>
              <w:tc>
                <w:tcPr>
                  <w:tcW w:w="2853"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专业队伍抢救结束后，做好事故现场善后处理，邻近区域解除事故警戒及善后恢复措施，现场调查、清理、清洗工作恢复生产状态，组织生产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9</w:t>
                  </w:r>
                </w:p>
              </w:tc>
              <w:tc>
                <w:tcPr>
                  <w:tcW w:w="1559"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应急培训计划</w:t>
                  </w:r>
                </w:p>
              </w:tc>
              <w:tc>
                <w:tcPr>
                  <w:tcW w:w="2853" w:type="pct"/>
                  <w:tcBorders>
                    <w:top w:val="single" w:color="auto" w:sz="4" w:space="0"/>
                    <w:left w:val="single" w:color="auto" w:sz="4" w:space="0"/>
                    <w:bottom w:val="single" w:color="auto" w:sz="4" w:space="0"/>
                    <w:right w:val="single" w:color="auto" w:sz="4" w:space="0"/>
                  </w:tcBorders>
                  <w:vAlign w:val="center"/>
                </w:tcPr>
                <w:p>
                  <w:pPr>
                    <w:pStyle w:val="108"/>
                    <w:adjustRightInd w:val="0"/>
                    <w:snapToGrid w:val="0"/>
                    <w:spacing w:line="360" w:lineRule="exact"/>
                    <w:rPr>
                      <w:rFonts w:ascii="Times New Roman" w:hAnsi="Times New Roman"/>
                      <w:b w:val="0"/>
                      <w:bCs w:val="0"/>
                    </w:rPr>
                  </w:pPr>
                  <w:r>
                    <w:rPr>
                      <w:rFonts w:ascii="Times New Roman" w:hAnsi="Times New Roman"/>
                      <w:b w:val="0"/>
                      <w:bCs w:val="0"/>
                    </w:rPr>
                    <w:t>制定计划，安排人员培训与演练</w:t>
                  </w:r>
                </w:p>
              </w:tc>
            </w:tr>
          </w:tbl>
          <w:p>
            <w:pPr>
              <w:widowControl w:val="0"/>
              <w:ind w:firstLine="361" w:firstLineChars="150"/>
              <w:jc w:val="both"/>
              <w:rPr>
                <w:b/>
              </w:rPr>
            </w:pPr>
            <w:r>
              <w:rPr>
                <w:b/>
              </w:rPr>
              <w:t>（7）环境风险分析结论</w:t>
            </w:r>
          </w:p>
          <w:p>
            <w:pPr>
              <w:widowControl w:val="0"/>
              <w:ind w:firstLine="480" w:firstLineChars="200"/>
              <w:jc w:val="both"/>
            </w:pPr>
            <w:r>
              <w:t>本项目环境风险简单分析内容见</w:t>
            </w:r>
            <w:r>
              <w:rPr>
                <w:rFonts w:hint="eastAsia"/>
              </w:rPr>
              <w:t>下</w:t>
            </w:r>
            <w:r>
              <w:t>表。</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ascii="Times New Roman" w:hAnsi="Times New Roman" w:eastAsia="黑体"/>
                <w:kern w:val="2"/>
                <w:szCs w:val="24"/>
              </w:rPr>
              <w:t>建设项目环境风险简单分析内容表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2"/>
              <w:gridCol w:w="1955"/>
              <w:gridCol w:w="2103"/>
              <w:gridCol w:w="1150"/>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b/>
                      <w:bCs/>
                      <w:sz w:val="21"/>
                      <w:szCs w:val="21"/>
                    </w:rPr>
                  </w:pPr>
                  <w:r>
                    <w:rPr>
                      <w:rFonts w:ascii="Times New Roman" w:hAnsi="Times New Roman" w:cs="Times New Roman"/>
                      <w:b/>
                      <w:bCs/>
                      <w:sz w:val="21"/>
                      <w:szCs w:val="21"/>
                    </w:rPr>
                    <w:t>建设项目名称</w:t>
                  </w:r>
                </w:p>
              </w:tc>
              <w:tc>
                <w:tcPr>
                  <w:tcW w:w="3962" w:type="pct"/>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b/>
                      <w:bCs/>
                      <w:sz w:val="21"/>
                      <w:szCs w:val="21"/>
                    </w:rPr>
                  </w:pPr>
                  <w:r>
                    <w:rPr>
                      <w:rFonts w:ascii="Times New Roman" w:hAnsi="Times New Roman" w:cs="Times New Roman"/>
                      <w:b/>
                      <w:bCs/>
                      <w:sz w:val="21"/>
                      <w:szCs w:val="21"/>
                    </w:rPr>
                    <w:t>宣汉县城（明月坝）污水处理厂建设项目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3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sz w:val="21"/>
                      <w:szCs w:val="21"/>
                    </w:rPr>
                    <w:t>建设地点</w:t>
                  </w:r>
                </w:p>
              </w:tc>
              <w:tc>
                <w:tcPr>
                  <w:tcW w:w="10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sz w:val="21"/>
                      <w:szCs w:val="21"/>
                    </w:rPr>
                    <w:t>四川省</w:t>
                  </w:r>
                </w:p>
              </w:tc>
              <w:tc>
                <w:tcPr>
                  <w:tcW w:w="11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sz w:val="21"/>
                      <w:szCs w:val="21"/>
                    </w:rPr>
                    <w:t>达州市</w:t>
                  </w:r>
                </w:p>
              </w:tc>
              <w:tc>
                <w:tcPr>
                  <w:tcW w:w="62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sz w:val="21"/>
                      <w:szCs w:val="21"/>
                    </w:rPr>
                    <w:t>宣汉县</w:t>
                  </w:r>
                </w:p>
              </w:tc>
              <w:tc>
                <w:tcPr>
                  <w:tcW w:w="111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明月新城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sz w:val="21"/>
                      <w:szCs w:val="21"/>
                    </w:rPr>
                  </w:pPr>
                  <w:bookmarkStart w:id="27" w:name="_Hlk127793399"/>
                  <w:r>
                    <w:rPr>
                      <w:rFonts w:ascii="Times New Roman" w:hAnsi="Times New Roman" w:cs="Times New Roman"/>
                      <w:sz w:val="21"/>
                      <w:szCs w:val="21"/>
                    </w:rPr>
                    <w:t>地理坐标</w:t>
                  </w:r>
                </w:p>
              </w:tc>
              <w:tc>
                <w:tcPr>
                  <w:tcW w:w="106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sz w:val="21"/>
                      <w:szCs w:val="21"/>
                    </w:rPr>
                    <w:t>经度</w:t>
                  </w:r>
                </w:p>
              </w:tc>
              <w:tc>
                <w:tcPr>
                  <w:tcW w:w="114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sz w:val="21"/>
                      <w:szCs w:val="21"/>
                    </w:rPr>
                    <w:t>E107°44′36.657″</w:t>
                  </w:r>
                </w:p>
              </w:tc>
              <w:tc>
                <w:tcPr>
                  <w:tcW w:w="62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sz w:val="21"/>
                      <w:szCs w:val="21"/>
                    </w:rPr>
                    <w:t>纬度</w:t>
                  </w:r>
                </w:p>
              </w:tc>
              <w:tc>
                <w:tcPr>
                  <w:tcW w:w="111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sz w:val="21"/>
                      <w:szCs w:val="21"/>
                    </w:rPr>
                    <w:t>N31°21′59.101″</w:t>
                  </w:r>
                </w:p>
              </w:tc>
            </w:tr>
            <w:bookmarkEnd w:id="2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03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sz w:val="21"/>
                      <w:szCs w:val="21"/>
                    </w:rPr>
                    <w:t>主要危险物质及分布</w:t>
                  </w:r>
                </w:p>
              </w:tc>
              <w:tc>
                <w:tcPr>
                  <w:tcW w:w="3962" w:type="pct"/>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加氯加药间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03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sz w:val="21"/>
                      <w:szCs w:val="21"/>
                    </w:rPr>
                    <w:t>环境影响途径及危害后果</w:t>
                  </w:r>
                </w:p>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sz w:val="21"/>
                      <w:szCs w:val="21"/>
                    </w:rPr>
                    <w:t>（大气、地表水、地下水等）</w:t>
                  </w:r>
                </w:p>
              </w:tc>
              <w:tc>
                <w:tcPr>
                  <w:tcW w:w="3962" w:type="pct"/>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大气环境：危险物质泄漏有害物质挥发进入大气环境；危险物质燃烧产生的伴生/次生污染物（CO、SO</w:t>
                  </w:r>
                  <w:r>
                    <w:rPr>
                      <w:rFonts w:ascii="Times New Roman" w:hAnsi="Times New Roman" w:cs="Times New Roman"/>
                      <w:sz w:val="21"/>
                      <w:szCs w:val="21"/>
                      <w:vertAlign w:val="subscript"/>
                    </w:rPr>
                    <w:t>2</w:t>
                  </w:r>
                  <w:r>
                    <w:rPr>
                      <w:rFonts w:ascii="Times New Roman" w:hAnsi="Times New Roman" w:cs="Times New Roman"/>
                      <w:sz w:val="21"/>
                      <w:szCs w:val="21"/>
                    </w:rPr>
                    <w:t>、NO</w:t>
                  </w:r>
                  <w:r>
                    <w:rPr>
                      <w:rFonts w:ascii="Times New Roman" w:hAnsi="Times New Roman" w:cs="Times New Roman"/>
                      <w:sz w:val="21"/>
                      <w:szCs w:val="21"/>
                      <w:vertAlign w:val="subscript"/>
                    </w:rPr>
                    <w:t>x</w:t>
                  </w:r>
                  <w:r>
                    <w:rPr>
                      <w:rFonts w:ascii="Times New Roman" w:hAnsi="Times New Roman" w:cs="Times New Roman"/>
                      <w:sz w:val="21"/>
                      <w:szCs w:val="21"/>
                    </w:rPr>
                    <w:t>、颗粒物）排入大气环境；</w:t>
                  </w:r>
                </w:p>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地表水环境：危险物质泄漏通过地表径流或雨水沟进入地表水环境，火灾消防过程废水通过地表径流或雨水沟排入地表水环境；</w:t>
                  </w:r>
                </w:p>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地下水环境或土壤环境：危险物质泄漏通过垂直渗透进入地下水环境或土壤环境。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103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ascii="Times New Roman" w:hAnsi="Times New Roman" w:cs="Times New Roman"/>
                      <w:sz w:val="21"/>
                      <w:szCs w:val="21"/>
                    </w:rPr>
                  </w:pPr>
                  <w:r>
                    <w:rPr>
                      <w:rFonts w:ascii="Times New Roman" w:hAnsi="Times New Roman" w:cs="Times New Roman"/>
                      <w:sz w:val="21"/>
                      <w:szCs w:val="21"/>
                    </w:rPr>
                    <w:t>风险防范措施要求</w:t>
                  </w:r>
                </w:p>
              </w:tc>
              <w:tc>
                <w:tcPr>
                  <w:tcW w:w="3962" w:type="pct"/>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严格规范化操作、建立必要的预备系统或设备、制定事故及时处理计划、编制应急预案，制定高效的应急措施、地下水和土壤环境防渗。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5000" w:type="pct"/>
                  <w:gridSpan w:val="5"/>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填表说明（列出项目相关信息及评价说明）：</w:t>
                  </w:r>
                </w:p>
                <w:p>
                  <w:pPr>
                    <w:adjustRightInd w:val="0"/>
                    <w:snapToGrid w:val="0"/>
                    <w:spacing w:line="360" w:lineRule="exact"/>
                    <w:rPr>
                      <w:rFonts w:ascii="Times New Roman" w:hAnsi="Times New Roman" w:cs="Times New Roman"/>
                      <w:sz w:val="21"/>
                      <w:szCs w:val="21"/>
                    </w:rPr>
                  </w:pPr>
                  <w:r>
                    <w:rPr>
                      <w:rFonts w:ascii="Times New Roman" w:hAnsi="Times New Roman" w:cs="Times New Roman"/>
                      <w:sz w:val="21"/>
                      <w:szCs w:val="21"/>
                    </w:rPr>
                    <w:t>本项目主要危险物质为</w:t>
                  </w:r>
                  <w:r>
                    <w:rPr>
                      <w:rFonts w:hint="eastAsia" w:ascii="Times New Roman" w:hAnsi="Times New Roman" w:cs="Times New Roman"/>
                      <w:sz w:val="21"/>
                      <w:szCs w:val="21"/>
                    </w:rPr>
                    <w:t>次氯酸钠</w:t>
                  </w:r>
                  <w:r>
                    <w:rPr>
                      <w:rFonts w:ascii="Times New Roman" w:hAnsi="Times New Roman" w:cs="Times New Roman"/>
                      <w:sz w:val="21"/>
                      <w:szCs w:val="21"/>
                    </w:rPr>
                    <w:t>，主要</w:t>
                  </w:r>
                  <w:r>
                    <w:rPr>
                      <w:rFonts w:hint="eastAsia" w:ascii="Times New Roman" w:hAnsi="Times New Roman" w:cs="Times New Roman"/>
                      <w:sz w:val="21"/>
                      <w:szCs w:val="21"/>
                    </w:rPr>
                    <w:t>放置在加氯加药间</w:t>
                  </w:r>
                  <w:r>
                    <w:rPr>
                      <w:rFonts w:ascii="Times New Roman" w:hAnsi="Times New Roman" w:cs="Times New Roman"/>
                      <w:sz w:val="21"/>
                      <w:szCs w:val="21"/>
                    </w:rPr>
                    <w:t>，项目环境风险潜势为I，评价等级为简单分析，在落实环评提出的风险防范措施后，环境风险可控。</w:t>
                  </w:r>
                </w:p>
              </w:tc>
            </w:tr>
          </w:tbl>
          <w:p>
            <w:pPr>
              <w:widowControl w:val="0"/>
              <w:ind w:firstLine="480" w:firstLineChars="200"/>
              <w:jc w:val="both"/>
            </w:pPr>
            <w:r>
              <w:t>综上所述，本项目环境风险潜势为I，营运期落实本报告提出的各项措施、建立和落实各项风险预警防范措施和事故应急计划，杜绝重大安全事故和重大环境污染事故的发生，可使项目建成后风险水平处于可接受程度。</w:t>
            </w:r>
          </w:p>
          <w:p>
            <w:pPr>
              <w:widowControl w:val="0"/>
              <w:ind w:firstLine="482" w:firstLineChars="200"/>
              <w:jc w:val="both"/>
              <w:rPr>
                <w:rFonts w:cs="宋体" w:asciiTheme="majorHAnsi" w:hAnsiTheme="majorHAnsi"/>
                <w:b/>
                <w:bCs/>
                <w:kern w:val="0"/>
                <w:szCs w:val="20"/>
              </w:rPr>
            </w:pPr>
            <w:r>
              <w:rPr>
                <w:rFonts w:hint="eastAsia"/>
                <w:b/>
                <w:bCs/>
              </w:rPr>
              <w:t>4.2.</w:t>
            </w:r>
            <w:r>
              <w:rPr>
                <w:b/>
                <w:bCs/>
              </w:rPr>
              <w:t>7</w:t>
            </w:r>
            <w:r>
              <w:rPr>
                <w:rFonts w:hint="eastAsia" w:cs="宋体" w:asciiTheme="majorHAnsi" w:hAnsiTheme="majorHAnsi"/>
                <w:b/>
                <w:bCs/>
                <w:kern w:val="0"/>
                <w:szCs w:val="20"/>
              </w:rPr>
              <w:t>环境管理和监测计划</w:t>
            </w:r>
          </w:p>
          <w:p>
            <w:pPr>
              <w:widowControl w:val="0"/>
              <w:adjustRightInd w:val="0"/>
              <w:snapToGrid w:val="0"/>
              <w:ind w:firstLine="482" w:firstLineChars="200"/>
              <w:jc w:val="both"/>
              <w:rPr>
                <w:rFonts w:cs="宋体" w:asciiTheme="majorHAnsi" w:hAnsiTheme="majorHAnsi"/>
                <w:b/>
                <w:bCs/>
                <w:kern w:val="0"/>
                <w:szCs w:val="20"/>
              </w:rPr>
            </w:pPr>
            <w:r>
              <w:rPr>
                <w:rFonts w:hint="eastAsia"/>
                <w:b/>
                <w:bCs/>
              </w:rPr>
              <w:t>（</w:t>
            </w:r>
            <w:r>
              <w:rPr>
                <w:b/>
                <w:bCs/>
              </w:rPr>
              <w:t>1</w:t>
            </w:r>
            <w:r>
              <w:rPr>
                <w:rFonts w:hint="eastAsia"/>
                <w:b/>
                <w:bCs/>
              </w:rPr>
              <w:t>）环境管理</w:t>
            </w:r>
          </w:p>
          <w:p>
            <w:pPr>
              <w:widowControl w:val="0"/>
              <w:adjustRightInd w:val="0"/>
              <w:snapToGrid w:val="0"/>
              <w:ind w:left="480" w:leftChars="200"/>
              <w:jc w:val="both"/>
            </w:pPr>
            <w:r>
              <w:t>1</w:t>
            </w:r>
            <w:r>
              <w:rPr>
                <w:rFonts w:hint="eastAsia"/>
              </w:rPr>
              <w:t>）环境管理的目的</w:t>
            </w:r>
          </w:p>
          <w:p>
            <w:pPr>
              <w:widowControl w:val="0"/>
              <w:adjustRightInd w:val="0"/>
              <w:snapToGrid w:val="0"/>
              <w:ind w:firstLine="480" w:firstLineChars="200"/>
              <w:jc w:val="both"/>
            </w:pPr>
            <w:r>
              <w:rPr>
                <w:rFonts w:hint="eastAsia"/>
              </w:rPr>
              <w:t>通过项目的环境管理工作实施，达到预防、消减、缓解项目建设带来的不利影响的最终目标。即在项目生产过程中，通过先进的环境管理方式，指导并监督项目的环境保护工作，预防并减缓项目生产过程中对周围环境的不利影响，保障各污染治理设施的正常运转，通过环境管理的实施，明确各管理部门的职责，更好落实项目的环境管理工作。</w:t>
            </w:r>
            <w:r>
              <w:t xml:space="preserve">   </w:t>
            </w:r>
          </w:p>
          <w:p>
            <w:pPr>
              <w:widowControl w:val="0"/>
              <w:numPr>
                <w:ilvl w:val="0"/>
                <w:numId w:val="2"/>
              </w:numPr>
              <w:adjustRightInd w:val="0"/>
              <w:snapToGrid w:val="0"/>
              <w:ind w:firstLine="480" w:firstLineChars="200"/>
              <w:jc w:val="both"/>
              <w:rPr>
                <w:kern w:val="0"/>
              </w:rPr>
            </w:pPr>
            <w:r>
              <w:rPr>
                <w:rFonts w:hint="eastAsia"/>
              </w:rPr>
              <w:t>环境管理职责</w:t>
            </w:r>
            <w:r>
              <w:br w:type="textWrapping"/>
            </w:r>
            <w:r>
              <w:rPr>
                <w:rFonts w:hint="eastAsia"/>
              </w:rPr>
              <w:t>为加强企业的环境保护管理工作，发挥环保人员的作用，明确其环境管理的主要职责</w:t>
            </w:r>
            <w:r>
              <w:rPr>
                <w:rFonts w:hint="eastAsia"/>
                <w:kern w:val="0"/>
              </w:rPr>
              <w:t>为：</w:t>
            </w:r>
            <w:r>
              <w:rPr>
                <w:rFonts w:hint="eastAsia" w:ascii="宋体" w:hAnsi="宋体" w:eastAsia="宋体" w:cs="宋体"/>
                <w:kern w:val="0"/>
              </w:rPr>
              <w:t>①</w:t>
            </w:r>
            <w:r>
              <w:rPr>
                <w:rFonts w:hint="eastAsia"/>
                <w:kern w:val="0"/>
              </w:rPr>
              <w:t>贯彻执行国家、地方环境保护法规和标准。</w:t>
            </w:r>
            <w:r>
              <w:rPr>
                <w:rFonts w:hint="eastAsia" w:ascii="宋体" w:hAnsi="宋体" w:eastAsia="宋体" w:cs="宋体"/>
                <w:kern w:val="0"/>
              </w:rPr>
              <w:t>②</w:t>
            </w:r>
            <w:r>
              <w:rPr>
                <w:rFonts w:hint="eastAsia"/>
                <w:kern w:val="0"/>
              </w:rPr>
              <w:t>制定明确的环境方针，包括对污染预防的承诺、对有关环境法律、法规及其应遵守的规定和承诺。</w:t>
            </w:r>
          </w:p>
          <w:p>
            <w:pPr>
              <w:widowControl w:val="0"/>
              <w:adjustRightInd w:val="0"/>
              <w:snapToGrid w:val="0"/>
              <w:ind w:firstLine="480" w:firstLineChars="200"/>
              <w:jc w:val="both"/>
              <w:rPr>
                <w:kern w:val="0"/>
              </w:rPr>
            </w:pPr>
            <w:r>
              <w:rPr>
                <w:rFonts w:hint="eastAsia" w:ascii="宋体" w:hAnsi="宋体" w:eastAsia="宋体" w:cs="宋体"/>
                <w:kern w:val="0"/>
              </w:rPr>
              <w:t>③</w:t>
            </w:r>
            <w:r>
              <w:rPr>
                <w:rFonts w:hint="eastAsia"/>
                <w:kern w:val="0"/>
              </w:rPr>
              <w:t>项目建设期间，认真贯彻落实环保</w:t>
            </w:r>
            <w:r>
              <w:rPr>
                <w:kern w:val="0"/>
              </w:rPr>
              <w:t>“</w:t>
            </w:r>
            <w:r>
              <w:rPr>
                <w:rFonts w:hint="eastAsia"/>
                <w:kern w:val="0"/>
              </w:rPr>
              <w:t>三同时</w:t>
            </w:r>
            <w:r>
              <w:rPr>
                <w:kern w:val="0"/>
              </w:rPr>
              <w:t>”</w:t>
            </w:r>
            <w:r>
              <w:rPr>
                <w:rFonts w:hint="eastAsia"/>
                <w:kern w:val="0"/>
              </w:rPr>
              <w:t>管理规定，切实按照设计要求予以实施，以确保环保设施的建设，使环保工程达到预期效果。</w:t>
            </w:r>
          </w:p>
          <w:p>
            <w:pPr>
              <w:widowControl w:val="0"/>
              <w:adjustRightInd w:val="0"/>
              <w:snapToGrid w:val="0"/>
              <w:ind w:firstLine="480" w:firstLineChars="200"/>
              <w:jc w:val="both"/>
              <w:rPr>
                <w:kern w:val="0"/>
              </w:rPr>
            </w:pPr>
            <w:r>
              <w:rPr>
                <w:rFonts w:hint="eastAsia" w:ascii="宋体" w:hAnsi="宋体" w:eastAsia="宋体" w:cs="宋体"/>
                <w:kern w:val="0"/>
              </w:rPr>
              <w:t>④</w:t>
            </w:r>
            <w:r>
              <w:rPr>
                <w:rFonts w:hint="eastAsia"/>
                <w:kern w:val="0"/>
              </w:rPr>
              <w:t>加强废气、废水等治理设施监督管理，确保处理设施正常运行。</w:t>
            </w:r>
          </w:p>
          <w:p>
            <w:pPr>
              <w:widowControl w:val="0"/>
              <w:adjustRightInd w:val="0"/>
              <w:snapToGrid w:val="0"/>
              <w:ind w:firstLine="480" w:firstLineChars="200"/>
              <w:jc w:val="both"/>
              <w:rPr>
                <w:kern w:val="0"/>
              </w:rPr>
            </w:pPr>
            <w:r>
              <w:rPr>
                <w:rFonts w:hint="eastAsia" w:ascii="宋体" w:hAnsi="宋体" w:eastAsia="宋体" w:cs="宋体"/>
                <w:kern w:val="0"/>
              </w:rPr>
              <w:t>⑤</w:t>
            </w:r>
            <w:r>
              <w:rPr>
                <w:rFonts w:hint="eastAsia"/>
                <w:kern w:val="0"/>
              </w:rPr>
              <w:t>加强环</w:t>
            </w:r>
            <w:r>
              <w:rPr>
                <w:rFonts w:hint="eastAsia"/>
              </w:rPr>
              <w:t>境保护宣传和职工环境意识教育及技术培训等工作。</w:t>
            </w:r>
          </w:p>
          <w:p>
            <w:pPr>
              <w:widowControl w:val="0"/>
              <w:adjustRightInd w:val="0"/>
              <w:snapToGrid w:val="0"/>
              <w:ind w:firstLine="480" w:firstLineChars="200"/>
              <w:jc w:val="both"/>
              <w:rPr>
                <w:kern w:val="0"/>
              </w:rPr>
            </w:pPr>
            <w:r>
              <w:rPr>
                <w:rFonts w:hint="eastAsia" w:ascii="宋体" w:hAnsi="宋体" w:eastAsia="宋体" w:cs="宋体"/>
                <w:kern w:val="0"/>
              </w:rPr>
              <w:t>⑥</w:t>
            </w:r>
            <w:r>
              <w:rPr>
                <w:rFonts w:hint="eastAsia"/>
              </w:rPr>
              <w:t>检查环境管理工作中的问题和不足，以便及时发现、及时改善。</w:t>
            </w:r>
          </w:p>
          <w:p>
            <w:pPr>
              <w:widowControl w:val="0"/>
              <w:adjustRightInd w:val="0"/>
              <w:snapToGrid w:val="0"/>
              <w:ind w:firstLine="480" w:firstLineChars="200"/>
              <w:jc w:val="both"/>
              <w:rPr>
                <w:kern w:val="0"/>
              </w:rPr>
            </w:pPr>
            <w:r>
              <w:t>3</w:t>
            </w:r>
            <w:r>
              <w:rPr>
                <w:rFonts w:hint="eastAsia"/>
              </w:rPr>
              <w:t>）环境管理监督机构</w:t>
            </w:r>
          </w:p>
          <w:p>
            <w:pPr>
              <w:widowControl w:val="0"/>
              <w:adjustRightInd w:val="0"/>
              <w:snapToGrid w:val="0"/>
              <w:ind w:firstLine="480" w:firstLineChars="200"/>
              <w:jc w:val="both"/>
            </w:pPr>
            <w:r>
              <w:rPr>
                <w:rFonts w:hint="eastAsia"/>
              </w:rPr>
              <w:t>为加强该项目环境保护管理工作，根据本项目特点拟设置专门的环保机构，建设单位法人是环境管理的第一责任人，同时配备</w:t>
            </w:r>
            <w:r>
              <w:t>1</w:t>
            </w:r>
            <w:r>
              <w:rPr>
                <w:rFonts w:hint="eastAsia"/>
              </w:rPr>
              <w:t>名专职的环保管理人员，负责日常环境管理工作，协调解决生产过程中的环境问题。</w:t>
            </w:r>
          </w:p>
          <w:p>
            <w:pPr>
              <w:widowControl w:val="0"/>
              <w:adjustRightInd w:val="0"/>
              <w:snapToGrid w:val="0"/>
              <w:ind w:firstLine="480" w:firstLineChars="200"/>
              <w:jc w:val="both"/>
            </w:pPr>
            <w:r>
              <w:rPr>
                <w:rFonts w:hint="eastAsia"/>
              </w:rPr>
              <w:t>建设单位与当地生态环境部门共同承担本项目的环境监督工作，以使本报告提出的环保措施得到落实，并保证营运期环保设施正常运行。</w:t>
            </w:r>
          </w:p>
          <w:p>
            <w:pPr>
              <w:widowControl w:val="0"/>
              <w:ind w:firstLine="482" w:firstLineChars="200"/>
              <w:jc w:val="both"/>
              <w:rPr>
                <w:b/>
                <w:bCs/>
              </w:rPr>
            </w:pPr>
            <w:r>
              <w:rPr>
                <w:rFonts w:hint="eastAsia"/>
                <w:b/>
                <w:bCs/>
              </w:rPr>
              <w:t>（</w:t>
            </w:r>
            <w:r>
              <w:rPr>
                <w:b/>
                <w:bCs/>
              </w:rPr>
              <w:t>2</w:t>
            </w:r>
            <w:r>
              <w:rPr>
                <w:rFonts w:hint="eastAsia"/>
                <w:b/>
                <w:bCs/>
              </w:rPr>
              <w:t>）环境管理计划</w:t>
            </w:r>
          </w:p>
          <w:p>
            <w:pPr>
              <w:widowControl w:val="0"/>
              <w:ind w:firstLine="480" w:firstLineChars="200"/>
              <w:jc w:val="both"/>
            </w:pPr>
            <w:r>
              <w:t>1</w:t>
            </w:r>
            <w:r>
              <w:rPr>
                <w:rFonts w:hint="eastAsia"/>
              </w:rPr>
              <w:t>）定期对污染源进行监测工作，即使发现问题并采取相应对策；</w:t>
            </w:r>
          </w:p>
          <w:p>
            <w:pPr>
              <w:widowControl w:val="0"/>
              <w:ind w:firstLine="480" w:firstLineChars="200"/>
              <w:jc w:val="both"/>
            </w:pPr>
            <w:r>
              <w:t>2</w:t>
            </w:r>
            <w:r>
              <w:rPr>
                <w:rFonts w:hint="eastAsia"/>
              </w:rPr>
              <w:t>）强化环保设施的管理，按污染物排放清单定期检查环保设施的运转情况，排除故障，保证环保设施的正常运转，保证污染物的达标排放。</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hint="eastAsia" w:ascii="Times New Roman" w:hAnsi="Times New Roman" w:eastAsia="黑体"/>
                <w:kern w:val="2"/>
                <w:szCs w:val="24"/>
              </w:rPr>
              <w:t>运营期环境管理实施计划表</w:t>
            </w:r>
          </w:p>
          <w:tbl>
            <w:tblPr>
              <w:tblStyle w:val="45"/>
              <w:tblW w:w="49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6468"/>
              <w:gridCol w:w="771"/>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rFonts w:ascii="Times New Roman" w:cs="Times New Roman"/>
                      <w:b/>
                      <w:bCs/>
                      <w:sz w:val="21"/>
                      <w:szCs w:val="21"/>
                    </w:rPr>
                  </w:pPr>
                  <w:r>
                    <w:rPr>
                      <w:rFonts w:hint="eastAsia"/>
                      <w:b/>
                      <w:bCs/>
                      <w:sz w:val="21"/>
                      <w:szCs w:val="21"/>
                    </w:rPr>
                    <w:t>环境</w:t>
                  </w:r>
                </w:p>
                <w:p>
                  <w:pPr>
                    <w:widowControl w:val="0"/>
                    <w:spacing w:line="240" w:lineRule="auto"/>
                    <w:jc w:val="center"/>
                    <w:rPr>
                      <w:b/>
                      <w:bCs/>
                      <w:sz w:val="21"/>
                      <w:szCs w:val="21"/>
                    </w:rPr>
                  </w:pPr>
                  <w:r>
                    <w:rPr>
                      <w:rFonts w:hint="eastAsia"/>
                      <w:b/>
                      <w:bCs/>
                      <w:sz w:val="21"/>
                      <w:szCs w:val="21"/>
                    </w:rPr>
                    <w:t>问题</w:t>
                  </w:r>
                </w:p>
              </w:tc>
              <w:tc>
                <w:tcPr>
                  <w:tcW w:w="3565"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b/>
                      <w:bCs/>
                      <w:sz w:val="21"/>
                      <w:szCs w:val="21"/>
                    </w:rPr>
                  </w:pPr>
                  <w:r>
                    <w:rPr>
                      <w:rFonts w:hint="eastAsia"/>
                      <w:b/>
                      <w:bCs/>
                      <w:sz w:val="21"/>
                      <w:szCs w:val="21"/>
                    </w:rPr>
                    <w:t>主要内容</w:t>
                  </w:r>
                </w:p>
              </w:tc>
              <w:tc>
                <w:tcPr>
                  <w:tcW w:w="425"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b/>
                      <w:bCs/>
                      <w:sz w:val="21"/>
                      <w:szCs w:val="21"/>
                    </w:rPr>
                  </w:pPr>
                  <w:r>
                    <w:rPr>
                      <w:rFonts w:hint="eastAsia"/>
                      <w:b/>
                      <w:bCs/>
                      <w:sz w:val="21"/>
                      <w:szCs w:val="21"/>
                    </w:rPr>
                    <w:t>执行单位</w:t>
                  </w:r>
                </w:p>
              </w:tc>
              <w:tc>
                <w:tcPr>
                  <w:tcW w:w="571"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b/>
                      <w:bCs/>
                      <w:sz w:val="21"/>
                      <w:szCs w:val="21"/>
                    </w:rPr>
                  </w:pPr>
                  <w:r>
                    <w:rPr>
                      <w:rFonts w:hint="eastAsia"/>
                      <w:b/>
                      <w:bCs/>
                      <w:sz w:val="21"/>
                      <w:szCs w:val="21"/>
                    </w:rPr>
                    <w:t>监督管理部门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sz w:val="21"/>
                      <w:szCs w:val="21"/>
                    </w:rPr>
                  </w:pPr>
                  <w:r>
                    <w:rPr>
                      <w:rFonts w:hint="eastAsia"/>
                      <w:sz w:val="21"/>
                      <w:szCs w:val="21"/>
                    </w:rPr>
                    <w:t>环境</w:t>
                  </w:r>
                </w:p>
                <w:p>
                  <w:pPr>
                    <w:widowControl w:val="0"/>
                    <w:spacing w:line="240" w:lineRule="auto"/>
                    <w:jc w:val="center"/>
                    <w:rPr>
                      <w:sz w:val="21"/>
                      <w:szCs w:val="21"/>
                    </w:rPr>
                  </w:pPr>
                  <w:r>
                    <w:rPr>
                      <w:rFonts w:hint="eastAsia"/>
                      <w:sz w:val="21"/>
                      <w:szCs w:val="21"/>
                    </w:rPr>
                    <w:t>管理</w:t>
                  </w:r>
                </w:p>
              </w:tc>
              <w:tc>
                <w:tcPr>
                  <w:tcW w:w="3565"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left"/>
                    <w:rPr>
                      <w:sz w:val="21"/>
                      <w:szCs w:val="21"/>
                    </w:rPr>
                  </w:pPr>
                  <w:r>
                    <w:rPr>
                      <w:rFonts w:hint="eastAsia"/>
                      <w:sz w:val="21"/>
                      <w:szCs w:val="21"/>
                    </w:rPr>
                    <w:t>（</w:t>
                  </w:r>
                  <w:r>
                    <w:rPr>
                      <w:sz w:val="21"/>
                      <w:szCs w:val="21"/>
                    </w:rPr>
                    <w:t>1</w:t>
                  </w:r>
                  <w:r>
                    <w:rPr>
                      <w:rFonts w:hint="eastAsia"/>
                      <w:sz w:val="21"/>
                      <w:szCs w:val="21"/>
                    </w:rPr>
                    <w:t>）制定环境管理规划与规章制度；</w:t>
                  </w:r>
                </w:p>
                <w:p>
                  <w:pPr>
                    <w:widowControl w:val="0"/>
                    <w:spacing w:line="240" w:lineRule="auto"/>
                    <w:jc w:val="left"/>
                    <w:rPr>
                      <w:sz w:val="21"/>
                      <w:szCs w:val="21"/>
                    </w:rPr>
                  </w:pPr>
                  <w:r>
                    <w:rPr>
                      <w:rFonts w:hint="eastAsia"/>
                      <w:sz w:val="21"/>
                      <w:szCs w:val="21"/>
                    </w:rPr>
                    <w:t>（</w:t>
                  </w:r>
                  <w:r>
                    <w:rPr>
                      <w:sz w:val="21"/>
                      <w:szCs w:val="21"/>
                    </w:rPr>
                    <w:t>2</w:t>
                  </w:r>
                  <w:r>
                    <w:rPr>
                      <w:rFonts w:hint="eastAsia"/>
                      <w:sz w:val="21"/>
                      <w:szCs w:val="21"/>
                    </w:rPr>
                    <w:t>）建立定期环境监测制度，加强环境监督、检查；</w:t>
                  </w:r>
                </w:p>
                <w:p>
                  <w:pPr>
                    <w:widowControl w:val="0"/>
                    <w:spacing w:line="240" w:lineRule="auto"/>
                    <w:jc w:val="left"/>
                    <w:rPr>
                      <w:sz w:val="21"/>
                      <w:szCs w:val="21"/>
                    </w:rPr>
                  </w:pPr>
                  <w:r>
                    <w:rPr>
                      <w:rFonts w:hint="eastAsia"/>
                      <w:sz w:val="21"/>
                      <w:szCs w:val="21"/>
                    </w:rPr>
                    <w:t>（</w:t>
                  </w:r>
                  <w:r>
                    <w:rPr>
                      <w:sz w:val="21"/>
                      <w:szCs w:val="21"/>
                    </w:rPr>
                    <w:t>3</w:t>
                  </w:r>
                  <w:r>
                    <w:rPr>
                      <w:rFonts w:hint="eastAsia"/>
                      <w:sz w:val="21"/>
                      <w:szCs w:val="21"/>
                    </w:rPr>
                    <w:t>）组织编制项目竣工环境保护验收监测报告；</w:t>
                  </w:r>
                </w:p>
                <w:p>
                  <w:pPr>
                    <w:widowControl w:val="0"/>
                    <w:spacing w:line="240" w:lineRule="auto"/>
                    <w:jc w:val="left"/>
                    <w:rPr>
                      <w:sz w:val="21"/>
                      <w:szCs w:val="21"/>
                    </w:rPr>
                  </w:pPr>
                  <w:r>
                    <w:rPr>
                      <w:rFonts w:hint="eastAsia"/>
                      <w:sz w:val="21"/>
                      <w:szCs w:val="21"/>
                    </w:rPr>
                    <w:t>（</w:t>
                  </w:r>
                  <w:r>
                    <w:rPr>
                      <w:sz w:val="21"/>
                      <w:szCs w:val="21"/>
                    </w:rPr>
                    <w:t>4</w:t>
                  </w:r>
                  <w:r>
                    <w:rPr>
                      <w:rFonts w:hint="eastAsia"/>
                      <w:sz w:val="21"/>
                      <w:szCs w:val="21"/>
                    </w:rPr>
                    <w:t>）认真落实各项环保手续，完成各级环保主管部门对本项目提出的环境管理要求。</w:t>
                  </w:r>
                </w:p>
              </w:tc>
              <w:tc>
                <w:tcPr>
                  <w:tcW w:w="425" w:type="pct"/>
                  <w:vMerge w:val="restar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sz w:val="21"/>
                      <w:szCs w:val="21"/>
                    </w:rPr>
                  </w:pPr>
                  <w:r>
                    <w:rPr>
                      <w:rFonts w:hint="eastAsia"/>
                      <w:sz w:val="21"/>
                      <w:szCs w:val="21"/>
                    </w:rPr>
                    <w:t>建设单位</w:t>
                  </w:r>
                </w:p>
              </w:tc>
              <w:tc>
                <w:tcPr>
                  <w:tcW w:w="571" w:type="pct"/>
                  <w:vMerge w:val="restar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sz w:val="21"/>
                      <w:szCs w:val="21"/>
                    </w:rPr>
                  </w:pPr>
                  <w:r>
                    <w:rPr>
                      <w:rFonts w:hint="eastAsia"/>
                      <w:sz w:val="21"/>
                      <w:szCs w:val="21"/>
                    </w:rPr>
                    <w:t>当地生态环境主管部门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center"/>
                    <w:rPr>
                      <w:sz w:val="21"/>
                      <w:szCs w:val="21"/>
                    </w:rPr>
                  </w:pPr>
                  <w:r>
                    <w:rPr>
                      <w:rFonts w:hint="eastAsia"/>
                      <w:sz w:val="21"/>
                      <w:szCs w:val="21"/>
                    </w:rPr>
                    <w:t>污染物治理</w:t>
                  </w:r>
                </w:p>
              </w:tc>
              <w:tc>
                <w:tcPr>
                  <w:tcW w:w="3565" w:type="pct"/>
                  <w:tcBorders>
                    <w:top w:val="single" w:color="auto" w:sz="4" w:space="0"/>
                    <w:left w:val="single" w:color="auto" w:sz="4" w:space="0"/>
                    <w:bottom w:val="single" w:color="auto" w:sz="4" w:space="0"/>
                    <w:right w:val="single" w:color="auto" w:sz="4" w:space="0"/>
                  </w:tcBorders>
                  <w:vAlign w:val="center"/>
                </w:tcPr>
                <w:p>
                  <w:pPr>
                    <w:widowControl w:val="0"/>
                    <w:spacing w:line="240" w:lineRule="auto"/>
                    <w:jc w:val="left"/>
                    <w:rPr>
                      <w:sz w:val="21"/>
                      <w:szCs w:val="21"/>
                    </w:rPr>
                  </w:pPr>
                  <w:r>
                    <w:rPr>
                      <w:rFonts w:hint="eastAsia"/>
                      <w:sz w:val="21"/>
                      <w:szCs w:val="21"/>
                    </w:rPr>
                    <w:t>（</w:t>
                  </w:r>
                  <w:r>
                    <w:rPr>
                      <w:sz w:val="21"/>
                      <w:szCs w:val="21"/>
                    </w:rPr>
                    <w:t>1</w:t>
                  </w:r>
                  <w:r>
                    <w:rPr>
                      <w:rFonts w:hint="eastAsia"/>
                      <w:sz w:val="21"/>
                      <w:szCs w:val="21"/>
                    </w:rPr>
                    <w:t>）落实三废治理设施的要求，严格执行</w:t>
                  </w:r>
                  <w:r>
                    <w:rPr>
                      <w:sz w:val="21"/>
                      <w:szCs w:val="21"/>
                    </w:rPr>
                    <w:t>“</w:t>
                  </w:r>
                  <w:r>
                    <w:rPr>
                      <w:rFonts w:hint="eastAsia"/>
                      <w:sz w:val="21"/>
                      <w:szCs w:val="21"/>
                    </w:rPr>
                    <w:t>三同时</w:t>
                  </w:r>
                  <w:r>
                    <w:rPr>
                      <w:sz w:val="21"/>
                      <w:szCs w:val="21"/>
                    </w:rPr>
                    <w:t>”</w:t>
                  </w:r>
                  <w:r>
                    <w:rPr>
                      <w:rFonts w:hint="eastAsia"/>
                      <w:sz w:val="21"/>
                      <w:szCs w:val="21"/>
                    </w:rPr>
                    <w:t>制度；</w:t>
                  </w:r>
                </w:p>
                <w:p>
                  <w:pPr>
                    <w:widowControl w:val="0"/>
                    <w:spacing w:line="240" w:lineRule="auto"/>
                    <w:jc w:val="left"/>
                    <w:rPr>
                      <w:sz w:val="21"/>
                      <w:szCs w:val="21"/>
                    </w:rPr>
                  </w:pPr>
                  <w:r>
                    <w:rPr>
                      <w:rFonts w:hint="eastAsia"/>
                      <w:sz w:val="21"/>
                      <w:szCs w:val="21"/>
                    </w:rPr>
                    <w:t>（</w:t>
                  </w:r>
                  <w:r>
                    <w:rPr>
                      <w:sz w:val="21"/>
                      <w:szCs w:val="21"/>
                    </w:rPr>
                    <w:t>2</w:t>
                  </w:r>
                  <w:r>
                    <w:rPr>
                      <w:rFonts w:hint="eastAsia"/>
                      <w:sz w:val="21"/>
                      <w:szCs w:val="21"/>
                    </w:rPr>
                    <w:t>）对各项污染治理设施，建立操作、维护和检修规程，落实岗位责任制；</w:t>
                  </w:r>
                </w:p>
                <w:p>
                  <w:pPr>
                    <w:widowControl w:val="0"/>
                    <w:spacing w:line="240" w:lineRule="auto"/>
                    <w:jc w:val="left"/>
                    <w:rPr>
                      <w:sz w:val="21"/>
                      <w:szCs w:val="21"/>
                    </w:rPr>
                  </w:pPr>
                  <w:r>
                    <w:rPr>
                      <w:rFonts w:hint="eastAsia"/>
                      <w:sz w:val="21"/>
                      <w:szCs w:val="21"/>
                    </w:rPr>
                    <w:t>（</w:t>
                  </w:r>
                  <w:r>
                    <w:rPr>
                      <w:sz w:val="21"/>
                      <w:szCs w:val="21"/>
                    </w:rPr>
                    <w:t>3</w:t>
                  </w:r>
                  <w:r>
                    <w:rPr>
                      <w:rFonts w:hint="eastAsia"/>
                      <w:sz w:val="21"/>
                      <w:szCs w:val="21"/>
                    </w:rPr>
                    <w:t>）建立设备运行台账记录。</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sz w:val="21"/>
                      <w:szCs w:val="21"/>
                    </w:rPr>
                  </w:pPr>
                </w:p>
              </w:tc>
            </w:tr>
          </w:tbl>
          <w:p>
            <w:pPr>
              <w:widowControl w:val="0"/>
              <w:ind w:firstLine="480" w:firstLineChars="200"/>
              <w:jc w:val="both"/>
              <w:rPr>
                <w:rFonts w:ascii="Times New Roman" w:hAnsi="Times New Roman" w:cs="Times New Roman"/>
                <w:b/>
                <w:bCs/>
              </w:rPr>
            </w:pPr>
            <w:r>
              <w:rPr>
                <w:rFonts w:hint="eastAsia"/>
              </w:rPr>
              <w:t>（</w:t>
            </w:r>
            <w:r>
              <w:t>3</w:t>
            </w:r>
            <w:r>
              <w:rPr>
                <w:rFonts w:hint="eastAsia"/>
              </w:rPr>
              <w:t>）环境监测计划</w:t>
            </w:r>
          </w:p>
          <w:p>
            <w:pPr>
              <w:widowControl w:val="0"/>
              <w:ind w:firstLine="480" w:firstLineChars="200"/>
              <w:jc w:val="both"/>
            </w:pPr>
            <w:r>
              <w:rPr>
                <w:rFonts w:hint="eastAsia"/>
              </w:rPr>
              <w:t>为了检验环保设施的治理效果、考察污染物的排放情况，需要定期对环保设施的运行情况和污染物排放情况进行监测。通过监测发现环保设施运行过程中存在的问题，一边采取改进措施。监测要求按照排污许可技术规范中《排污许可证申请与核发技术规范水处理（试行）》（HJ978-2018）的要求进行。</w:t>
            </w:r>
          </w:p>
          <w:p>
            <w:pPr>
              <w:widowControl w:val="0"/>
              <w:ind w:firstLine="480" w:firstLineChars="200"/>
              <w:jc w:val="both"/>
            </w:pPr>
            <w:r>
              <w:rPr>
                <w:rFonts w:hint="eastAsia"/>
              </w:rPr>
              <w:t>项目环境监测计划见下表。</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ascii="Times New Roman" w:hAnsi="Times New Roman" w:eastAsia="黑体"/>
                <w:kern w:val="2"/>
                <w:szCs w:val="24"/>
              </w:rPr>
              <w:t>营运期污染源监测计划一览表</w:t>
            </w:r>
          </w:p>
          <w:tbl>
            <w:tblPr>
              <w:tblStyle w:val="4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700"/>
              <w:gridCol w:w="2064"/>
              <w:gridCol w:w="1062"/>
              <w:gridCol w:w="3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78" w:type="pct"/>
                  <w:vAlign w:val="center"/>
                </w:tcPr>
                <w:p>
                  <w:pPr>
                    <w:pStyle w:val="18"/>
                    <w:spacing w:before="0" w:after="0" w:line="360" w:lineRule="exact"/>
                    <w:ind w:right="0"/>
                    <w:jc w:val="center"/>
                    <w:rPr>
                      <w:rFonts w:eastAsia="黑体"/>
                      <w:bCs/>
                      <w:sz w:val="21"/>
                      <w:szCs w:val="21"/>
                    </w:rPr>
                  </w:pPr>
                  <w:r>
                    <w:rPr>
                      <w:sz w:val="21"/>
                      <w:szCs w:val="21"/>
                    </w:rPr>
                    <w:t>监测要素</w:t>
                  </w:r>
                </w:p>
              </w:tc>
              <w:tc>
                <w:tcPr>
                  <w:tcW w:w="928" w:type="pct"/>
                  <w:vAlign w:val="center"/>
                </w:tcPr>
                <w:p>
                  <w:pPr>
                    <w:pStyle w:val="18"/>
                    <w:spacing w:before="0" w:after="0" w:line="360" w:lineRule="exact"/>
                    <w:ind w:right="0"/>
                    <w:jc w:val="center"/>
                    <w:rPr>
                      <w:rFonts w:eastAsia="黑体"/>
                      <w:bCs/>
                      <w:sz w:val="21"/>
                      <w:szCs w:val="21"/>
                    </w:rPr>
                  </w:pPr>
                  <w:r>
                    <w:rPr>
                      <w:sz w:val="21"/>
                      <w:szCs w:val="21"/>
                    </w:rPr>
                    <w:t>监测点位</w:t>
                  </w:r>
                </w:p>
              </w:tc>
              <w:tc>
                <w:tcPr>
                  <w:tcW w:w="1127" w:type="pct"/>
                  <w:vAlign w:val="center"/>
                </w:tcPr>
                <w:p>
                  <w:pPr>
                    <w:pStyle w:val="18"/>
                    <w:spacing w:before="0" w:after="0" w:line="360" w:lineRule="exact"/>
                    <w:ind w:right="0"/>
                    <w:jc w:val="center"/>
                    <w:rPr>
                      <w:rFonts w:eastAsia="黑体"/>
                      <w:bCs/>
                      <w:sz w:val="21"/>
                      <w:szCs w:val="21"/>
                    </w:rPr>
                  </w:pPr>
                  <w:r>
                    <w:rPr>
                      <w:sz w:val="21"/>
                      <w:szCs w:val="21"/>
                    </w:rPr>
                    <w:t>监测指标</w:t>
                  </w:r>
                </w:p>
              </w:tc>
              <w:tc>
                <w:tcPr>
                  <w:tcW w:w="580" w:type="pct"/>
                  <w:vAlign w:val="center"/>
                </w:tcPr>
                <w:p>
                  <w:pPr>
                    <w:pStyle w:val="18"/>
                    <w:spacing w:before="0" w:after="0" w:line="360" w:lineRule="exact"/>
                    <w:ind w:right="0"/>
                    <w:jc w:val="center"/>
                    <w:rPr>
                      <w:rFonts w:eastAsia="黑体"/>
                      <w:bCs/>
                      <w:sz w:val="21"/>
                      <w:szCs w:val="21"/>
                    </w:rPr>
                  </w:pPr>
                  <w:r>
                    <w:rPr>
                      <w:sz w:val="21"/>
                      <w:szCs w:val="21"/>
                    </w:rPr>
                    <w:t>监测频次</w:t>
                  </w:r>
                </w:p>
              </w:tc>
              <w:tc>
                <w:tcPr>
                  <w:tcW w:w="1884" w:type="pct"/>
                  <w:vAlign w:val="center"/>
                </w:tcPr>
                <w:p>
                  <w:pPr>
                    <w:pStyle w:val="18"/>
                    <w:spacing w:before="0" w:after="0" w:line="360" w:lineRule="exact"/>
                    <w:ind w:right="0"/>
                    <w:jc w:val="center"/>
                    <w:rPr>
                      <w:rFonts w:ascii="宋体" w:hAnsi="宋体"/>
                      <w:bCs/>
                      <w:sz w:val="21"/>
                      <w:szCs w:val="21"/>
                    </w:rPr>
                  </w:pPr>
                  <w:r>
                    <w:rPr>
                      <w:rFonts w:hint="eastAsia" w:ascii="宋体" w:hAnsi="宋体"/>
                      <w:bCs/>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478" w:type="pct"/>
                  <w:vMerge w:val="restart"/>
                  <w:vAlign w:val="center"/>
                </w:tcPr>
                <w:p>
                  <w:pPr>
                    <w:adjustRightInd w:val="0"/>
                    <w:snapToGrid w:val="0"/>
                    <w:spacing w:line="360" w:lineRule="exact"/>
                    <w:jc w:val="center"/>
                    <w:rPr>
                      <w:sz w:val="21"/>
                      <w:szCs w:val="21"/>
                    </w:rPr>
                  </w:pPr>
                  <w:r>
                    <w:rPr>
                      <w:sz w:val="21"/>
                      <w:szCs w:val="21"/>
                    </w:rPr>
                    <w:t>废水</w:t>
                  </w:r>
                </w:p>
              </w:tc>
              <w:tc>
                <w:tcPr>
                  <w:tcW w:w="928" w:type="pct"/>
                  <w:vMerge w:val="restart"/>
                  <w:vAlign w:val="center"/>
                </w:tcPr>
                <w:p>
                  <w:pPr>
                    <w:adjustRightInd w:val="0"/>
                    <w:snapToGrid w:val="0"/>
                    <w:spacing w:line="360" w:lineRule="exact"/>
                    <w:jc w:val="center"/>
                    <w:rPr>
                      <w:sz w:val="21"/>
                      <w:szCs w:val="21"/>
                    </w:rPr>
                  </w:pPr>
                  <w:r>
                    <w:rPr>
                      <w:rFonts w:hint="eastAsia"/>
                      <w:sz w:val="21"/>
                      <w:szCs w:val="21"/>
                    </w:rPr>
                    <w:t>进水总管</w:t>
                  </w:r>
                </w:p>
              </w:tc>
              <w:tc>
                <w:tcPr>
                  <w:tcW w:w="1127" w:type="pct"/>
                  <w:vAlign w:val="center"/>
                </w:tcPr>
                <w:p>
                  <w:pPr>
                    <w:adjustRightInd w:val="0"/>
                    <w:snapToGrid w:val="0"/>
                    <w:spacing w:line="360" w:lineRule="exact"/>
                    <w:jc w:val="center"/>
                    <w:rPr>
                      <w:sz w:val="21"/>
                      <w:szCs w:val="21"/>
                    </w:rPr>
                  </w:pPr>
                  <w:r>
                    <w:rPr>
                      <w:rFonts w:hint="eastAsia"/>
                      <w:sz w:val="21"/>
                      <w:szCs w:val="21"/>
                    </w:rPr>
                    <w:t>流量、化学需氧量、氨氮</w:t>
                  </w:r>
                </w:p>
              </w:tc>
              <w:tc>
                <w:tcPr>
                  <w:tcW w:w="580" w:type="pct"/>
                  <w:vAlign w:val="center"/>
                </w:tcPr>
                <w:p>
                  <w:pPr>
                    <w:pStyle w:val="18"/>
                    <w:adjustRightInd w:val="0"/>
                    <w:spacing w:before="0" w:after="0" w:line="360" w:lineRule="exact"/>
                    <w:ind w:right="0"/>
                    <w:jc w:val="center"/>
                    <w:rPr>
                      <w:sz w:val="21"/>
                      <w:szCs w:val="21"/>
                    </w:rPr>
                  </w:pPr>
                  <w:r>
                    <w:rPr>
                      <w:rFonts w:hint="eastAsia"/>
                      <w:sz w:val="21"/>
                      <w:szCs w:val="21"/>
                    </w:rPr>
                    <w:t>自动监测</w:t>
                  </w:r>
                </w:p>
              </w:tc>
              <w:tc>
                <w:tcPr>
                  <w:tcW w:w="1884" w:type="pct"/>
                  <w:vMerge w:val="restart"/>
                  <w:vAlign w:val="center"/>
                </w:tcPr>
                <w:p>
                  <w:pPr>
                    <w:pStyle w:val="18"/>
                    <w:adjustRightInd w:val="0"/>
                    <w:spacing w:line="360" w:lineRule="exact"/>
                    <w:jc w:val="center"/>
                    <w:rPr>
                      <w:sz w:val="21"/>
                      <w:szCs w:val="21"/>
                    </w:rPr>
                  </w:pPr>
                  <w:r>
                    <w:rPr>
                      <w:rFonts w:hint="eastAsia"/>
                      <w:sz w:val="21"/>
                      <w:szCs w:val="21"/>
                    </w:rPr>
                    <w:t>按照设计进水要求执行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478" w:type="pct"/>
                  <w:vMerge w:val="continue"/>
                  <w:vAlign w:val="center"/>
                </w:tcPr>
                <w:p>
                  <w:pPr>
                    <w:pStyle w:val="18"/>
                    <w:spacing w:line="360" w:lineRule="exact"/>
                    <w:rPr>
                      <w:sz w:val="21"/>
                      <w:szCs w:val="21"/>
                    </w:rPr>
                  </w:pPr>
                </w:p>
              </w:tc>
              <w:tc>
                <w:tcPr>
                  <w:tcW w:w="928" w:type="pct"/>
                  <w:vMerge w:val="continue"/>
                  <w:vAlign w:val="center"/>
                </w:tcPr>
                <w:p>
                  <w:pPr>
                    <w:adjustRightInd w:val="0"/>
                    <w:snapToGrid w:val="0"/>
                    <w:spacing w:line="360" w:lineRule="exact"/>
                    <w:jc w:val="center"/>
                    <w:rPr>
                      <w:sz w:val="21"/>
                      <w:szCs w:val="21"/>
                    </w:rPr>
                  </w:pPr>
                </w:p>
              </w:tc>
              <w:tc>
                <w:tcPr>
                  <w:tcW w:w="1127" w:type="pct"/>
                  <w:vAlign w:val="center"/>
                </w:tcPr>
                <w:p>
                  <w:pPr>
                    <w:adjustRightInd w:val="0"/>
                    <w:snapToGrid w:val="0"/>
                    <w:spacing w:line="360" w:lineRule="exact"/>
                    <w:jc w:val="center"/>
                    <w:rPr>
                      <w:sz w:val="21"/>
                      <w:szCs w:val="21"/>
                    </w:rPr>
                  </w:pPr>
                  <w:r>
                    <w:rPr>
                      <w:rFonts w:hint="eastAsia"/>
                      <w:sz w:val="21"/>
                      <w:szCs w:val="21"/>
                    </w:rPr>
                    <w:t>总磷、总氮</w:t>
                  </w:r>
                </w:p>
              </w:tc>
              <w:tc>
                <w:tcPr>
                  <w:tcW w:w="580" w:type="pct"/>
                  <w:vAlign w:val="center"/>
                </w:tcPr>
                <w:p>
                  <w:pPr>
                    <w:pStyle w:val="18"/>
                    <w:adjustRightInd w:val="0"/>
                    <w:spacing w:before="0" w:after="0" w:line="360" w:lineRule="exact"/>
                    <w:ind w:right="0"/>
                    <w:jc w:val="center"/>
                    <w:rPr>
                      <w:sz w:val="21"/>
                      <w:szCs w:val="21"/>
                    </w:rPr>
                  </w:pPr>
                  <w:r>
                    <w:rPr>
                      <w:rFonts w:hint="eastAsia"/>
                      <w:sz w:val="21"/>
                      <w:szCs w:val="21"/>
                    </w:rPr>
                    <w:t>日</w:t>
                  </w:r>
                </w:p>
              </w:tc>
              <w:tc>
                <w:tcPr>
                  <w:tcW w:w="1884" w:type="pct"/>
                  <w:vMerge w:val="continue"/>
                  <w:vAlign w:val="center"/>
                </w:tcPr>
                <w:p>
                  <w:pPr>
                    <w:pStyle w:val="18"/>
                    <w:adjustRightInd w:val="0"/>
                    <w:spacing w:line="3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478" w:type="pct"/>
                  <w:vMerge w:val="continue"/>
                  <w:vAlign w:val="center"/>
                </w:tcPr>
                <w:p>
                  <w:pPr>
                    <w:pStyle w:val="18"/>
                    <w:spacing w:line="360" w:lineRule="exact"/>
                    <w:rPr>
                      <w:sz w:val="21"/>
                      <w:szCs w:val="21"/>
                    </w:rPr>
                  </w:pPr>
                </w:p>
              </w:tc>
              <w:tc>
                <w:tcPr>
                  <w:tcW w:w="928" w:type="pct"/>
                  <w:vMerge w:val="restart"/>
                  <w:vAlign w:val="center"/>
                </w:tcPr>
                <w:p>
                  <w:pPr>
                    <w:adjustRightInd w:val="0"/>
                    <w:snapToGrid w:val="0"/>
                    <w:spacing w:line="360" w:lineRule="exact"/>
                    <w:jc w:val="center"/>
                    <w:rPr>
                      <w:sz w:val="21"/>
                      <w:szCs w:val="21"/>
                    </w:rPr>
                  </w:pPr>
                  <w:r>
                    <w:rPr>
                      <w:rFonts w:hint="eastAsia"/>
                      <w:sz w:val="21"/>
                      <w:szCs w:val="21"/>
                    </w:rPr>
                    <w:t>废水总排放口</w:t>
                  </w:r>
                </w:p>
              </w:tc>
              <w:tc>
                <w:tcPr>
                  <w:tcW w:w="1127" w:type="pct"/>
                  <w:vAlign w:val="center"/>
                </w:tcPr>
                <w:p>
                  <w:pPr>
                    <w:adjustRightInd w:val="0"/>
                    <w:snapToGrid w:val="0"/>
                    <w:spacing w:line="360" w:lineRule="exact"/>
                    <w:jc w:val="center"/>
                    <w:rPr>
                      <w:sz w:val="21"/>
                      <w:szCs w:val="21"/>
                    </w:rPr>
                  </w:pPr>
                  <w:r>
                    <w:rPr>
                      <w:rFonts w:hint="eastAsia"/>
                      <w:sz w:val="21"/>
                      <w:szCs w:val="21"/>
                    </w:rPr>
                    <w:t>流量、pH、水温、化学需氧量、氨氮、</w:t>
                  </w:r>
                </w:p>
                <w:p>
                  <w:pPr>
                    <w:adjustRightInd w:val="0"/>
                    <w:snapToGrid w:val="0"/>
                    <w:spacing w:line="360" w:lineRule="exact"/>
                    <w:jc w:val="center"/>
                    <w:rPr>
                      <w:sz w:val="21"/>
                      <w:szCs w:val="21"/>
                    </w:rPr>
                  </w:pPr>
                  <w:r>
                    <w:rPr>
                      <w:rFonts w:hint="eastAsia"/>
                      <w:sz w:val="21"/>
                      <w:szCs w:val="21"/>
                    </w:rPr>
                    <w:t>总磷、总氮</w:t>
                  </w:r>
                </w:p>
              </w:tc>
              <w:tc>
                <w:tcPr>
                  <w:tcW w:w="580" w:type="pct"/>
                  <w:vAlign w:val="center"/>
                </w:tcPr>
                <w:p>
                  <w:pPr>
                    <w:pStyle w:val="18"/>
                    <w:adjustRightInd w:val="0"/>
                    <w:spacing w:before="0" w:after="0" w:line="360" w:lineRule="exact"/>
                    <w:ind w:right="0"/>
                    <w:jc w:val="center"/>
                    <w:rPr>
                      <w:sz w:val="21"/>
                      <w:szCs w:val="21"/>
                    </w:rPr>
                  </w:pPr>
                  <w:r>
                    <w:rPr>
                      <w:rFonts w:hint="eastAsia"/>
                      <w:sz w:val="21"/>
                      <w:szCs w:val="21"/>
                    </w:rPr>
                    <w:t>自动监测</w:t>
                  </w:r>
                </w:p>
              </w:tc>
              <w:tc>
                <w:tcPr>
                  <w:tcW w:w="1884" w:type="pct"/>
                  <w:vMerge w:val="restart"/>
                  <w:vAlign w:val="center"/>
                </w:tcPr>
                <w:p>
                  <w:pPr>
                    <w:pStyle w:val="18"/>
                    <w:adjustRightInd w:val="0"/>
                    <w:spacing w:line="360" w:lineRule="exact"/>
                    <w:jc w:val="center"/>
                    <w:rPr>
                      <w:sz w:val="21"/>
                      <w:szCs w:val="21"/>
                    </w:rPr>
                  </w:pPr>
                  <w:r>
                    <w:rPr>
                      <w:rFonts w:hint="eastAsia"/>
                      <w:sz w:val="21"/>
                      <w:szCs w:val="21"/>
                    </w:rPr>
                    <w:t>《城镇污水处理厂污染物排放标准》（GB18918-2002）中一级 A 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478" w:type="pct"/>
                  <w:vMerge w:val="continue"/>
                  <w:vAlign w:val="center"/>
                </w:tcPr>
                <w:p>
                  <w:pPr>
                    <w:pStyle w:val="18"/>
                    <w:spacing w:line="360" w:lineRule="exact"/>
                    <w:rPr>
                      <w:sz w:val="21"/>
                      <w:szCs w:val="21"/>
                    </w:rPr>
                  </w:pPr>
                </w:p>
              </w:tc>
              <w:tc>
                <w:tcPr>
                  <w:tcW w:w="928" w:type="pct"/>
                  <w:vMerge w:val="continue"/>
                  <w:vAlign w:val="center"/>
                </w:tcPr>
                <w:p>
                  <w:pPr>
                    <w:adjustRightInd w:val="0"/>
                    <w:snapToGrid w:val="0"/>
                    <w:spacing w:line="360" w:lineRule="exact"/>
                    <w:jc w:val="center"/>
                    <w:rPr>
                      <w:sz w:val="21"/>
                      <w:szCs w:val="21"/>
                    </w:rPr>
                  </w:pPr>
                </w:p>
              </w:tc>
              <w:tc>
                <w:tcPr>
                  <w:tcW w:w="1127" w:type="pct"/>
                  <w:vAlign w:val="center"/>
                </w:tcPr>
                <w:p>
                  <w:pPr>
                    <w:adjustRightInd w:val="0"/>
                    <w:snapToGrid w:val="0"/>
                    <w:spacing w:line="360" w:lineRule="exact"/>
                    <w:jc w:val="center"/>
                    <w:rPr>
                      <w:sz w:val="21"/>
                      <w:szCs w:val="21"/>
                    </w:rPr>
                  </w:pPr>
                  <w:r>
                    <w:rPr>
                      <w:rFonts w:hint="eastAsia"/>
                      <w:sz w:val="21"/>
                      <w:szCs w:val="21"/>
                    </w:rPr>
                    <w:t>悬浮物、色度、五日生化需氧量、动植物油、石油类、阴离子表面活性剂、粪大肠菌群</w:t>
                  </w:r>
                </w:p>
              </w:tc>
              <w:tc>
                <w:tcPr>
                  <w:tcW w:w="580" w:type="pct"/>
                  <w:vAlign w:val="center"/>
                </w:tcPr>
                <w:p>
                  <w:pPr>
                    <w:pStyle w:val="18"/>
                    <w:adjustRightInd w:val="0"/>
                    <w:spacing w:before="0" w:after="0" w:line="360" w:lineRule="exact"/>
                    <w:ind w:right="0"/>
                    <w:jc w:val="center"/>
                    <w:rPr>
                      <w:sz w:val="21"/>
                      <w:szCs w:val="21"/>
                    </w:rPr>
                  </w:pPr>
                  <w:r>
                    <w:rPr>
                      <w:rFonts w:hint="eastAsia"/>
                      <w:sz w:val="21"/>
                      <w:szCs w:val="21"/>
                    </w:rPr>
                    <w:t>季度</w:t>
                  </w:r>
                </w:p>
              </w:tc>
              <w:tc>
                <w:tcPr>
                  <w:tcW w:w="1884" w:type="pct"/>
                  <w:vMerge w:val="continue"/>
                  <w:vAlign w:val="center"/>
                </w:tcPr>
                <w:p>
                  <w:pPr>
                    <w:pStyle w:val="18"/>
                    <w:adjustRightInd w:val="0"/>
                    <w:spacing w:line="3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478" w:type="pct"/>
                  <w:vMerge w:val="continue"/>
                  <w:vAlign w:val="center"/>
                </w:tcPr>
                <w:p>
                  <w:pPr>
                    <w:pStyle w:val="18"/>
                    <w:spacing w:line="360" w:lineRule="exact"/>
                    <w:rPr>
                      <w:sz w:val="21"/>
                      <w:szCs w:val="21"/>
                    </w:rPr>
                  </w:pPr>
                </w:p>
              </w:tc>
              <w:tc>
                <w:tcPr>
                  <w:tcW w:w="928" w:type="pct"/>
                  <w:vMerge w:val="continue"/>
                  <w:vAlign w:val="center"/>
                </w:tcPr>
                <w:p>
                  <w:pPr>
                    <w:adjustRightInd w:val="0"/>
                    <w:snapToGrid w:val="0"/>
                    <w:spacing w:line="360" w:lineRule="exact"/>
                    <w:jc w:val="center"/>
                    <w:rPr>
                      <w:sz w:val="21"/>
                      <w:szCs w:val="21"/>
                    </w:rPr>
                  </w:pPr>
                </w:p>
              </w:tc>
              <w:tc>
                <w:tcPr>
                  <w:tcW w:w="1127" w:type="pct"/>
                  <w:vAlign w:val="center"/>
                </w:tcPr>
                <w:p>
                  <w:pPr>
                    <w:adjustRightInd w:val="0"/>
                    <w:snapToGrid w:val="0"/>
                    <w:spacing w:line="360" w:lineRule="exact"/>
                    <w:jc w:val="center"/>
                    <w:rPr>
                      <w:sz w:val="21"/>
                      <w:szCs w:val="21"/>
                    </w:rPr>
                  </w:pPr>
                  <w:r>
                    <w:rPr>
                      <w:rFonts w:hint="eastAsia"/>
                      <w:sz w:val="21"/>
                      <w:szCs w:val="21"/>
                    </w:rPr>
                    <w:t>总镉、总铬、总汞、总铅、总砷、六价铬</w:t>
                  </w:r>
                </w:p>
              </w:tc>
              <w:tc>
                <w:tcPr>
                  <w:tcW w:w="580" w:type="pct"/>
                  <w:vAlign w:val="center"/>
                </w:tcPr>
                <w:p>
                  <w:pPr>
                    <w:pStyle w:val="18"/>
                    <w:adjustRightInd w:val="0"/>
                    <w:spacing w:before="0" w:after="0" w:line="360" w:lineRule="exact"/>
                    <w:ind w:right="0"/>
                    <w:jc w:val="center"/>
                    <w:rPr>
                      <w:sz w:val="21"/>
                      <w:szCs w:val="21"/>
                    </w:rPr>
                  </w:pPr>
                  <w:r>
                    <w:rPr>
                      <w:rFonts w:hint="eastAsia"/>
                      <w:sz w:val="21"/>
                      <w:szCs w:val="21"/>
                    </w:rPr>
                    <w:t>半年</w:t>
                  </w:r>
                </w:p>
              </w:tc>
              <w:tc>
                <w:tcPr>
                  <w:tcW w:w="1884" w:type="pct"/>
                  <w:vMerge w:val="continue"/>
                  <w:vAlign w:val="center"/>
                </w:tcPr>
                <w:p>
                  <w:pPr>
                    <w:pStyle w:val="18"/>
                    <w:adjustRightInd w:val="0"/>
                    <w:spacing w:line="3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9" w:hRule="atLeast"/>
                <w:jc w:val="center"/>
              </w:trPr>
              <w:tc>
                <w:tcPr>
                  <w:tcW w:w="478" w:type="pct"/>
                  <w:vMerge w:val="continue"/>
                  <w:vAlign w:val="center"/>
                </w:tcPr>
                <w:p>
                  <w:pPr>
                    <w:pStyle w:val="18"/>
                    <w:spacing w:line="360" w:lineRule="exact"/>
                    <w:rPr>
                      <w:sz w:val="21"/>
                      <w:szCs w:val="21"/>
                    </w:rPr>
                  </w:pPr>
                </w:p>
              </w:tc>
              <w:tc>
                <w:tcPr>
                  <w:tcW w:w="928" w:type="pct"/>
                  <w:vMerge w:val="continue"/>
                  <w:vAlign w:val="center"/>
                </w:tcPr>
                <w:p>
                  <w:pPr>
                    <w:adjustRightInd w:val="0"/>
                    <w:snapToGrid w:val="0"/>
                    <w:spacing w:line="360" w:lineRule="exact"/>
                    <w:jc w:val="center"/>
                    <w:rPr>
                      <w:sz w:val="21"/>
                      <w:szCs w:val="21"/>
                    </w:rPr>
                  </w:pPr>
                </w:p>
              </w:tc>
              <w:tc>
                <w:tcPr>
                  <w:tcW w:w="1127" w:type="pct"/>
                  <w:vAlign w:val="center"/>
                </w:tcPr>
                <w:p>
                  <w:pPr>
                    <w:adjustRightInd w:val="0"/>
                    <w:snapToGrid w:val="0"/>
                    <w:spacing w:line="360" w:lineRule="exact"/>
                    <w:jc w:val="center"/>
                    <w:rPr>
                      <w:sz w:val="21"/>
                      <w:szCs w:val="21"/>
                    </w:rPr>
                  </w:pPr>
                  <w:r>
                    <w:rPr>
                      <w:rFonts w:hint="eastAsia"/>
                      <w:sz w:val="21"/>
                      <w:szCs w:val="21"/>
                    </w:rPr>
                    <w:t>烷基汞</w:t>
                  </w:r>
                </w:p>
              </w:tc>
              <w:tc>
                <w:tcPr>
                  <w:tcW w:w="580" w:type="pct"/>
                  <w:vAlign w:val="center"/>
                </w:tcPr>
                <w:p>
                  <w:pPr>
                    <w:pStyle w:val="18"/>
                    <w:adjustRightInd w:val="0"/>
                    <w:spacing w:before="0" w:after="0" w:line="360" w:lineRule="exact"/>
                    <w:ind w:right="0"/>
                    <w:jc w:val="center"/>
                    <w:rPr>
                      <w:sz w:val="21"/>
                      <w:szCs w:val="21"/>
                    </w:rPr>
                  </w:pPr>
                  <w:r>
                    <w:rPr>
                      <w:rFonts w:hint="eastAsia"/>
                      <w:sz w:val="21"/>
                      <w:szCs w:val="21"/>
                    </w:rPr>
                    <w:t>半年</w:t>
                  </w:r>
                </w:p>
              </w:tc>
              <w:tc>
                <w:tcPr>
                  <w:tcW w:w="1884" w:type="pct"/>
                  <w:vMerge w:val="continue"/>
                  <w:vAlign w:val="center"/>
                </w:tcPr>
                <w:p>
                  <w:pPr>
                    <w:pStyle w:val="18"/>
                    <w:adjustRightInd w:val="0"/>
                    <w:spacing w:line="3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478" w:type="pct"/>
                  <w:vMerge w:val="continue"/>
                  <w:vAlign w:val="center"/>
                </w:tcPr>
                <w:p>
                  <w:pPr>
                    <w:adjustRightInd w:val="0"/>
                    <w:snapToGrid w:val="0"/>
                    <w:spacing w:line="360" w:lineRule="exact"/>
                    <w:jc w:val="center"/>
                    <w:rPr>
                      <w:sz w:val="21"/>
                      <w:szCs w:val="21"/>
                    </w:rPr>
                  </w:pPr>
                </w:p>
              </w:tc>
              <w:tc>
                <w:tcPr>
                  <w:tcW w:w="928" w:type="pct"/>
                  <w:vAlign w:val="center"/>
                </w:tcPr>
                <w:p>
                  <w:pPr>
                    <w:adjustRightInd w:val="0"/>
                    <w:snapToGrid w:val="0"/>
                    <w:spacing w:line="360" w:lineRule="exact"/>
                    <w:jc w:val="center"/>
                    <w:rPr>
                      <w:sz w:val="21"/>
                      <w:szCs w:val="21"/>
                    </w:rPr>
                  </w:pPr>
                  <w:r>
                    <w:rPr>
                      <w:rFonts w:hint="eastAsia"/>
                      <w:sz w:val="21"/>
                      <w:szCs w:val="21"/>
                    </w:rPr>
                    <w:t>雨水排放口</w:t>
                  </w:r>
                </w:p>
              </w:tc>
              <w:tc>
                <w:tcPr>
                  <w:tcW w:w="1127" w:type="pct"/>
                  <w:vAlign w:val="center"/>
                </w:tcPr>
                <w:p>
                  <w:pPr>
                    <w:adjustRightInd w:val="0"/>
                    <w:snapToGrid w:val="0"/>
                    <w:spacing w:line="360" w:lineRule="exact"/>
                    <w:jc w:val="center"/>
                    <w:rPr>
                      <w:sz w:val="21"/>
                      <w:szCs w:val="21"/>
                    </w:rPr>
                  </w:pPr>
                  <w:r>
                    <w:rPr>
                      <w:rFonts w:hint="eastAsia"/>
                      <w:sz w:val="21"/>
                      <w:szCs w:val="21"/>
                    </w:rPr>
                    <w:t>PH 值、化学需氧量、氨氮、悬浮物</w:t>
                  </w:r>
                </w:p>
              </w:tc>
              <w:tc>
                <w:tcPr>
                  <w:tcW w:w="580" w:type="pct"/>
                  <w:vAlign w:val="center"/>
                </w:tcPr>
                <w:p>
                  <w:pPr>
                    <w:pStyle w:val="18"/>
                    <w:adjustRightInd w:val="0"/>
                    <w:spacing w:before="0" w:after="0" w:line="360" w:lineRule="exact"/>
                    <w:ind w:right="0"/>
                    <w:jc w:val="center"/>
                    <w:rPr>
                      <w:sz w:val="21"/>
                      <w:szCs w:val="21"/>
                    </w:rPr>
                  </w:pPr>
                  <w:r>
                    <w:rPr>
                      <w:rFonts w:hint="eastAsia"/>
                      <w:sz w:val="21"/>
                      <w:szCs w:val="21"/>
                    </w:rPr>
                    <w:t>日*</w:t>
                  </w:r>
                </w:p>
              </w:tc>
              <w:tc>
                <w:tcPr>
                  <w:tcW w:w="1884" w:type="pct"/>
                  <w:vAlign w:val="center"/>
                </w:tcPr>
                <w:p>
                  <w:pPr>
                    <w:pStyle w:val="18"/>
                    <w:adjustRightInd w:val="0"/>
                    <w:spacing w:line="360" w:lineRule="exact"/>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478" w:type="pct"/>
                  <w:vMerge w:val="continue"/>
                  <w:vAlign w:val="center"/>
                </w:tcPr>
                <w:p>
                  <w:pPr>
                    <w:adjustRightInd w:val="0"/>
                    <w:snapToGrid w:val="0"/>
                    <w:spacing w:line="360" w:lineRule="exact"/>
                    <w:jc w:val="center"/>
                    <w:rPr>
                      <w:sz w:val="21"/>
                      <w:szCs w:val="21"/>
                    </w:rPr>
                  </w:pPr>
                </w:p>
              </w:tc>
              <w:tc>
                <w:tcPr>
                  <w:tcW w:w="4521" w:type="pct"/>
                  <w:gridSpan w:val="4"/>
                  <w:vAlign w:val="center"/>
                </w:tcPr>
                <w:p>
                  <w:pPr>
                    <w:pStyle w:val="18"/>
                    <w:adjustRightInd w:val="0"/>
                    <w:spacing w:line="360" w:lineRule="exact"/>
                    <w:jc w:val="center"/>
                    <w:rPr>
                      <w:sz w:val="21"/>
                      <w:szCs w:val="21"/>
                    </w:rPr>
                  </w:pPr>
                  <w:r>
                    <w:rPr>
                      <w:rFonts w:hint="eastAsia"/>
                      <w:sz w:val="21"/>
                      <w:szCs w:val="21"/>
                    </w:rPr>
                    <w:t>雨水排放口有流动水排放时按日监测。若监测一年无异常情况，可放宽至每季度开展一次监测。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78" w:type="pct"/>
                  <w:vMerge w:val="restart"/>
                  <w:vAlign w:val="center"/>
                </w:tcPr>
                <w:p>
                  <w:pPr>
                    <w:adjustRightInd w:val="0"/>
                    <w:snapToGrid w:val="0"/>
                    <w:spacing w:line="360" w:lineRule="exact"/>
                    <w:jc w:val="center"/>
                    <w:rPr>
                      <w:sz w:val="21"/>
                      <w:szCs w:val="21"/>
                    </w:rPr>
                  </w:pPr>
                  <w:r>
                    <w:rPr>
                      <w:rFonts w:hint="eastAsia"/>
                      <w:sz w:val="21"/>
                      <w:szCs w:val="21"/>
                    </w:rPr>
                    <w:t>废气</w:t>
                  </w:r>
                </w:p>
              </w:tc>
              <w:tc>
                <w:tcPr>
                  <w:tcW w:w="928" w:type="pct"/>
                  <w:vAlign w:val="center"/>
                </w:tcPr>
                <w:p>
                  <w:pPr>
                    <w:adjustRightInd w:val="0"/>
                    <w:snapToGrid w:val="0"/>
                    <w:spacing w:line="360" w:lineRule="exact"/>
                    <w:jc w:val="center"/>
                    <w:rPr>
                      <w:sz w:val="21"/>
                      <w:szCs w:val="21"/>
                    </w:rPr>
                  </w:pPr>
                  <w:r>
                    <w:rPr>
                      <w:rFonts w:hint="eastAsia"/>
                      <w:sz w:val="21"/>
                      <w:szCs w:val="21"/>
                    </w:rPr>
                    <w:t>一期除臭装置排气筒D</w:t>
                  </w:r>
                  <w:r>
                    <w:rPr>
                      <w:sz w:val="21"/>
                      <w:szCs w:val="21"/>
                    </w:rPr>
                    <w:t>A001</w:t>
                  </w:r>
                </w:p>
              </w:tc>
              <w:tc>
                <w:tcPr>
                  <w:tcW w:w="1127" w:type="pct"/>
                  <w:vAlign w:val="center"/>
                </w:tcPr>
                <w:p>
                  <w:pPr>
                    <w:adjustRightInd w:val="0"/>
                    <w:snapToGrid w:val="0"/>
                    <w:spacing w:line="360" w:lineRule="exact"/>
                    <w:jc w:val="center"/>
                    <w:rPr>
                      <w:sz w:val="21"/>
                      <w:szCs w:val="21"/>
                    </w:rPr>
                  </w:pPr>
                  <w:r>
                    <w:rPr>
                      <w:rFonts w:hint="eastAsia"/>
                      <w:sz w:val="21"/>
                      <w:szCs w:val="21"/>
                    </w:rPr>
                    <w:t>臭气浓度、硫化氢、氨</w:t>
                  </w:r>
                </w:p>
              </w:tc>
              <w:tc>
                <w:tcPr>
                  <w:tcW w:w="580" w:type="pct"/>
                  <w:vAlign w:val="center"/>
                </w:tcPr>
                <w:p>
                  <w:pPr>
                    <w:pStyle w:val="18"/>
                    <w:adjustRightInd w:val="0"/>
                    <w:spacing w:before="0" w:after="0" w:line="360" w:lineRule="exact"/>
                    <w:ind w:right="0"/>
                    <w:jc w:val="center"/>
                    <w:rPr>
                      <w:sz w:val="21"/>
                      <w:szCs w:val="21"/>
                    </w:rPr>
                  </w:pPr>
                  <w:r>
                    <w:rPr>
                      <w:rFonts w:hint="eastAsia"/>
                      <w:sz w:val="21"/>
                      <w:szCs w:val="21"/>
                    </w:rPr>
                    <w:t>半年</w:t>
                  </w:r>
                </w:p>
              </w:tc>
              <w:tc>
                <w:tcPr>
                  <w:tcW w:w="1884" w:type="pct"/>
                  <w:vMerge w:val="restart"/>
                  <w:vAlign w:val="center"/>
                </w:tcPr>
                <w:p>
                  <w:pPr>
                    <w:pStyle w:val="18"/>
                    <w:adjustRightInd w:val="0"/>
                    <w:spacing w:before="0" w:after="0" w:line="360" w:lineRule="exact"/>
                    <w:ind w:right="0"/>
                    <w:jc w:val="center"/>
                    <w:rPr>
                      <w:sz w:val="21"/>
                      <w:szCs w:val="21"/>
                    </w:rPr>
                  </w:pPr>
                  <w:r>
                    <w:rPr>
                      <w:rFonts w:hint="eastAsia"/>
                      <w:sz w:val="21"/>
                      <w:szCs w:val="21"/>
                    </w:rPr>
                    <w:t>《恶臭污染物排放标准》 （GB14554-93）表 2 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78" w:type="pct"/>
                  <w:vMerge w:val="continue"/>
                  <w:vAlign w:val="center"/>
                </w:tcPr>
                <w:p>
                  <w:pPr>
                    <w:adjustRightInd w:val="0"/>
                    <w:snapToGrid w:val="0"/>
                    <w:spacing w:line="360" w:lineRule="exact"/>
                    <w:jc w:val="center"/>
                    <w:rPr>
                      <w:sz w:val="21"/>
                      <w:szCs w:val="21"/>
                    </w:rPr>
                  </w:pPr>
                </w:p>
              </w:tc>
              <w:tc>
                <w:tcPr>
                  <w:tcW w:w="928" w:type="pct"/>
                  <w:vAlign w:val="center"/>
                </w:tcPr>
                <w:p>
                  <w:pPr>
                    <w:adjustRightInd w:val="0"/>
                    <w:snapToGrid w:val="0"/>
                    <w:spacing w:line="360" w:lineRule="exact"/>
                    <w:jc w:val="center"/>
                    <w:rPr>
                      <w:sz w:val="21"/>
                      <w:szCs w:val="21"/>
                    </w:rPr>
                  </w:pPr>
                  <w:r>
                    <w:rPr>
                      <w:rFonts w:hint="eastAsia"/>
                      <w:sz w:val="21"/>
                      <w:szCs w:val="21"/>
                    </w:rPr>
                    <w:t>二期除臭装置排气筒D</w:t>
                  </w:r>
                  <w:r>
                    <w:rPr>
                      <w:sz w:val="21"/>
                      <w:szCs w:val="21"/>
                    </w:rPr>
                    <w:t>A001</w:t>
                  </w:r>
                </w:p>
              </w:tc>
              <w:tc>
                <w:tcPr>
                  <w:tcW w:w="1127" w:type="pct"/>
                  <w:vAlign w:val="center"/>
                </w:tcPr>
                <w:p>
                  <w:pPr>
                    <w:adjustRightInd w:val="0"/>
                    <w:snapToGrid w:val="0"/>
                    <w:spacing w:line="360" w:lineRule="exact"/>
                    <w:jc w:val="center"/>
                    <w:rPr>
                      <w:sz w:val="21"/>
                      <w:szCs w:val="21"/>
                    </w:rPr>
                  </w:pPr>
                  <w:r>
                    <w:rPr>
                      <w:rFonts w:hint="eastAsia"/>
                      <w:sz w:val="21"/>
                      <w:szCs w:val="21"/>
                    </w:rPr>
                    <w:t>臭气浓度、硫化氢、氨</w:t>
                  </w:r>
                </w:p>
              </w:tc>
              <w:tc>
                <w:tcPr>
                  <w:tcW w:w="580" w:type="pct"/>
                  <w:vAlign w:val="center"/>
                </w:tcPr>
                <w:p>
                  <w:pPr>
                    <w:pStyle w:val="18"/>
                    <w:adjustRightInd w:val="0"/>
                    <w:spacing w:before="0" w:after="0" w:line="360" w:lineRule="exact"/>
                    <w:ind w:right="0"/>
                    <w:jc w:val="center"/>
                    <w:rPr>
                      <w:sz w:val="21"/>
                      <w:szCs w:val="21"/>
                    </w:rPr>
                  </w:pPr>
                  <w:r>
                    <w:rPr>
                      <w:rFonts w:hint="eastAsia"/>
                      <w:sz w:val="21"/>
                      <w:szCs w:val="21"/>
                    </w:rPr>
                    <w:t>半年</w:t>
                  </w:r>
                </w:p>
              </w:tc>
              <w:tc>
                <w:tcPr>
                  <w:tcW w:w="1884" w:type="pct"/>
                  <w:vMerge w:val="continue"/>
                  <w:vAlign w:val="center"/>
                </w:tcPr>
                <w:p>
                  <w:pPr>
                    <w:pStyle w:val="18"/>
                    <w:adjustRightInd w:val="0"/>
                    <w:spacing w:before="0" w:after="0" w:line="360" w:lineRule="exact"/>
                    <w:ind w:right="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78" w:type="pct"/>
                  <w:vMerge w:val="continue"/>
                  <w:vAlign w:val="center"/>
                </w:tcPr>
                <w:p>
                  <w:pPr>
                    <w:adjustRightInd w:val="0"/>
                    <w:snapToGrid w:val="0"/>
                    <w:spacing w:line="360" w:lineRule="exact"/>
                    <w:jc w:val="center"/>
                    <w:rPr>
                      <w:sz w:val="21"/>
                      <w:szCs w:val="21"/>
                    </w:rPr>
                  </w:pPr>
                </w:p>
              </w:tc>
              <w:tc>
                <w:tcPr>
                  <w:tcW w:w="928" w:type="pct"/>
                  <w:vAlign w:val="center"/>
                </w:tcPr>
                <w:p>
                  <w:pPr>
                    <w:adjustRightInd w:val="0"/>
                    <w:snapToGrid w:val="0"/>
                    <w:spacing w:line="360" w:lineRule="exact"/>
                    <w:jc w:val="center"/>
                    <w:rPr>
                      <w:sz w:val="21"/>
                      <w:szCs w:val="21"/>
                    </w:rPr>
                  </w:pPr>
                  <w:r>
                    <w:rPr>
                      <w:rFonts w:hint="eastAsia"/>
                      <w:sz w:val="21"/>
                      <w:szCs w:val="21"/>
                    </w:rPr>
                    <w:t>厂界无组织</w:t>
                  </w:r>
                </w:p>
                <w:p>
                  <w:pPr>
                    <w:adjustRightInd w:val="0"/>
                    <w:snapToGrid w:val="0"/>
                    <w:spacing w:line="360" w:lineRule="exact"/>
                    <w:jc w:val="center"/>
                    <w:rPr>
                      <w:sz w:val="21"/>
                      <w:szCs w:val="21"/>
                    </w:rPr>
                  </w:pPr>
                  <w:r>
                    <w:rPr>
                      <w:rFonts w:hint="eastAsia"/>
                      <w:sz w:val="21"/>
                      <w:szCs w:val="21"/>
                    </w:rPr>
                    <w:t>（厂界）上风向</w:t>
                  </w:r>
                </w:p>
                <w:p>
                  <w:pPr>
                    <w:adjustRightInd w:val="0"/>
                    <w:snapToGrid w:val="0"/>
                    <w:spacing w:line="360" w:lineRule="exact"/>
                    <w:jc w:val="center"/>
                    <w:rPr>
                      <w:sz w:val="21"/>
                      <w:szCs w:val="21"/>
                    </w:rPr>
                  </w:pPr>
                  <w:r>
                    <w:rPr>
                      <w:rFonts w:hint="eastAsia"/>
                      <w:sz w:val="21"/>
                      <w:szCs w:val="21"/>
                    </w:rPr>
                    <w:t>设置一个监测点</w:t>
                  </w:r>
                </w:p>
                <w:p>
                  <w:pPr>
                    <w:adjustRightInd w:val="0"/>
                    <w:snapToGrid w:val="0"/>
                    <w:spacing w:line="360" w:lineRule="exact"/>
                    <w:jc w:val="center"/>
                    <w:rPr>
                      <w:sz w:val="21"/>
                      <w:szCs w:val="21"/>
                    </w:rPr>
                  </w:pPr>
                  <w:r>
                    <w:rPr>
                      <w:rFonts w:hint="eastAsia"/>
                      <w:sz w:val="21"/>
                      <w:szCs w:val="21"/>
                    </w:rPr>
                    <w:t>位、下风向设置</w:t>
                  </w:r>
                </w:p>
                <w:p>
                  <w:pPr>
                    <w:adjustRightInd w:val="0"/>
                    <w:snapToGrid w:val="0"/>
                    <w:spacing w:line="360" w:lineRule="exact"/>
                    <w:jc w:val="center"/>
                    <w:rPr>
                      <w:sz w:val="21"/>
                      <w:szCs w:val="21"/>
                    </w:rPr>
                  </w:pPr>
                  <w:r>
                    <w:rPr>
                      <w:rFonts w:hint="eastAsia"/>
                      <w:sz w:val="21"/>
                      <w:szCs w:val="21"/>
                    </w:rPr>
                    <w:t>三个监测点位，</w:t>
                  </w:r>
                </w:p>
                <w:p>
                  <w:pPr>
                    <w:adjustRightInd w:val="0"/>
                    <w:snapToGrid w:val="0"/>
                    <w:spacing w:line="360" w:lineRule="exact"/>
                    <w:jc w:val="center"/>
                    <w:rPr>
                      <w:sz w:val="21"/>
                      <w:szCs w:val="21"/>
                    </w:rPr>
                  </w:pPr>
                  <w:r>
                    <w:rPr>
                      <w:rFonts w:hint="eastAsia"/>
                      <w:sz w:val="21"/>
                      <w:szCs w:val="21"/>
                    </w:rPr>
                    <w:t>非正常工况下，</w:t>
                  </w:r>
                </w:p>
                <w:p>
                  <w:pPr>
                    <w:adjustRightInd w:val="0"/>
                    <w:snapToGrid w:val="0"/>
                    <w:spacing w:line="360" w:lineRule="exact"/>
                    <w:jc w:val="center"/>
                    <w:rPr>
                      <w:sz w:val="21"/>
                      <w:szCs w:val="21"/>
                    </w:rPr>
                  </w:pPr>
                  <w:r>
                    <w:rPr>
                      <w:rFonts w:hint="eastAsia"/>
                      <w:sz w:val="21"/>
                      <w:szCs w:val="21"/>
                    </w:rPr>
                    <w:t>随时监测</w:t>
                  </w:r>
                </w:p>
              </w:tc>
              <w:tc>
                <w:tcPr>
                  <w:tcW w:w="1127" w:type="pct"/>
                  <w:vAlign w:val="center"/>
                </w:tcPr>
                <w:p>
                  <w:pPr>
                    <w:adjustRightInd w:val="0"/>
                    <w:snapToGrid w:val="0"/>
                    <w:spacing w:line="360" w:lineRule="exact"/>
                    <w:jc w:val="center"/>
                    <w:rPr>
                      <w:sz w:val="21"/>
                      <w:szCs w:val="21"/>
                    </w:rPr>
                  </w:pPr>
                  <w:r>
                    <w:rPr>
                      <w:rFonts w:hint="eastAsia"/>
                      <w:sz w:val="21"/>
                      <w:szCs w:val="21"/>
                    </w:rPr>
                    <w:t>臭气浓度、硫化氢、氨</w:t>
                  </w:r>
                </w:p>
              </w:tc>
              <w:tc>
                <w:tcPr>
                  <w:tcW w:w="580" w:type="pct"/>
                  <w:vAlign w:val="center"/>
                </w:tcPr>
                <w:p>
                  <w:pPr>
                    <w:pStyle w:val="18"/>
                    <w:adjustRightInd w:val="0"/>
                    <w:spacing w:before="0" w:after="0" w:line="360" w:lineRule="exact"/>
                    <w:ind w:right="0"/>
                    <w:jc w:val="center"/>
                    <w:rPr>
                      <w:sz w:val="21"/>
                      <w:szCs w:val="21"/>
                    </w:rPr>
                  </w:pPr>
                  <w:r>
                    <w:rPr>
                      <w:rFonts w:hint="eastAsia"/>
                      <w:sz w:val="21"/>
                      <w:szCs w:val="21"/>
                    </w:rPr>
                    <w:t>半年</w:t>
                  </w:r>
                </w:p>
              </w:tc>
              <w:tc>
                <w:tcPr>
                  <w:tcW w:w="1884" w:type="pct"/>
                  <w:vMerge w:val="restart"/>
                  <w:vAlign w:val="center"/>
                </w:tcPr>
                <w:p>
                  <w:pPr>
                    <w:pStyle w:val="18"/>
                    <w:adjustRightInd w:val="0"/>
                    <w:spacing w:line="360" w:lineRule="exact"/>
                    <w:jc w:val="center"/>
                    <w:rPr>
                      <w:sz w:val="21"/>
                      <w:szCs w:val="21"/>
                    </w:rPr>
                  </w:pPr>
                  <w:r>
                    <w:rPr>
                      <w:rFonts w:hint="eastAsia"/>
                      <w:sz w:val="21"/>
                      <w:szCs w:val="21"/>
                    </w:rPr>
                    <w:t>《城镇污水处理厂污染物排放标准》（GB18918-2002）中表 4 厂界（防护带边缘）废气排放最高允许浓度二级标准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478" w:type="pct"/>
                  <w:vMerge w:val="continue"/>
                  <w:vAlign w:val="center"/>
                </w:tcPr>
                <w:p>
                  <w:pPr>
                    <w:adjustRightInd w:val="0"/>
                    <w:snapToGrid w:val="0"/>
                    <w:spacing w:line="360" w:lineRule="exact"/>
                    <w:jc w:val="center"/>
                    <w:rPr>
                      <w:sz w:val="21"/>
                      <w:szCs w:val="21"/>
                    </w:rPr>
                  </w:pPr>
                </w:p>
              </w:tc>
              <w:tc>
                <w:tcPr>
                  <w:tcW w:w="928" w:type="pct"/>
                  <w:vAlign w:val="center"/>
                </w:tcPr>
                <w:p>
                  <w:pPr>
                    <w:jc w:val="center"/>
                    <w:rPr>
                      <w:sz w:val="21"/>
                      <w:szCs w:val="21"/>
                    </w:rPr>
                  </w:pPr>
                  <w:r>
                    <w:rPr>
                      <w:rFonts w:hint="eastAsia"/>
                      <w:sz w:val="21"/>
                      <w:szCs w:val="21"/>
                    </w:rPr>
                    <w:t>污泥脱水机房</w:t>
                  </w:r>
                </w:p>
              </w:tc>
              <w:tc>
                <w:tcPr>
                  <w:tcW w:w="1127" w:type="pct"/>
                  <w:vAlign w:val="center"/>
                </w:tcPr>
                <w:p>
                  <w:pPr>
                    <w:jc w:val="center"/>
                    <w:rPr>
                      <w:sz w:val="21"/>
                      <w:szCs w:val="21"/>
                    </w:rPr>
                  </w:pPr>
                  <w:r>
                    <w:rPr>
                      <w:rFonts w:hint="eastAsia"/>
                      <w:sz w:val="21"/>
                      <w:szCs w:val="21"/>
                    </w:rPr>
                    <w:t>甲烷</w:t>
                  </w:r>
                </w:p>
              </w:tc>
              <w:tc>
                <w:tcPr>
                  <w:tcW w:w="580" w:type="pct"/>
                  <w:vAlign w:val="center"/>
                </w:tcPr>
                <w:p>
                  <w:pPr>
                    <w:jc w:val="center"/>
                    <w:rPr>
                      <w:sz w:val="21"/>
                      <w:szCs w:val="21"/>
                    </w:rPr>
                  </w:pPr>
                  <w:r>
                    <w:rPr>
                      <w:sz w:val="21"/>
                      <w:szCs w:val="21"/>
                    </w:rPr>
                    <w:t>年</w:t>
                  </w:r>
                </w:p>
              </w:tc>
              <w:tc>
                <w:tcPr>
                  <w:tcW w:w="1884" w:type="pct"/>
                  <w:vMerge w:val="continue"/>
                  <w:vAlign w:val="center"/>
                </w:tcPr>
                <w:p>
                  <w:pPr>
                    <w:pStyle w:val="18"/>
                    <w:adjustRightInd w:val="0"/>
                    <w:spacing w:line="3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478" w:type="pct"/>
                  <w:vAlign w:val="center"/>
                </w:tcPr>
                <w:p>
                  <w:pPr>
                    <w:pStyle w:val="18"/>
                    <w:adjustRightInd w:val="0"/>
                    <w:spacing w:before="0" w:after="0" w:line="360" w:lineRule="exact"/>
                    <w:ind w:right="0"/>
                    <w:jc w:val="center"/>
                    <w:rPr>
                      <w:bCs/>
                      <w:sz w:val="21"/>
                      <w:szCs w:val="21"/>
                    </w:rPr>
                  </w:pPr>
                  <w:r>
                    <w:rPr>
                      <w:rFonts w:hAnsi="宋体"/>
                      <w:sz w:val="21"/>
                      <w:szCs w:val="21"/>
                    </w:rPr>
                    <w:t>噪声</w:t>
                  </w:r>
                </w:p>
              </w:tc>
              <w:tc>
                <w:tcPr>
                  <w:tcW w:w="928" w:type="pct"/>
                  <w:vAlign w:val="center"/>
                </w:tcPr>
                <w:p>
                  <w:pPr>
                    <w:pStyle w:val="18"/>
                    <w:adjustRightInd w:val="0"/>
                    <w:spacing w:before="0" w:after="0" w:line="360" w:lineRule="exact"/>
                    <w:ind w:right="0"/>
                    <w:jc w:val="center"/>
                    <w:rPr>
                      <w:bCs/>
                      <w:sz w:val="21"/>
                      <w:szCs w:val="21"/>
                    </w:rPr>
                  </w:pPr>
                  <w:r>
                    <w:rPr>
                      <w:rFonts w:hint="eastAsia" w:hAnsi="宋体"/>
                      <w:sz w:val="21"/>
                      <w:szCs w:val="21"/>
                    </w:rPr>
                    <w:t>厂界</w:t>
                  </w:r>
                  <w:r>
                    <w:rPr>
                      <w:rFonts w:hAnsi="宋体"/>
                      <w:sz w:val="21"/>
                      <w:szCs w:val="21"/>
                    </w:rPr>
                    <w:t>四周外</w:t>
                  </w:r>
                  <w:r>
                    <w:rPr>
                      <w:sz w:val="21"/>
                      <w:szCs w:val="21"/>
                    </w:rPr>
                    <w:t>1m</w:t>
                  </w:r>
                </w:p>
              </w:tc>
              <w:tc>
                <w:tcPr>
                  <w:tcW w:w="1127" w:type="pct"/>
                  <w:vAlign w:val="center"/>
                </w:tcPr>
                <w:p>
                  <w:pPr>
                    <w:pStyle w:val="18"/>
                    <w:adjustRightInd w:val="0"/>
                    <w:spacing w:before="0" w:after="0" w:line="360" w:lineRule="exact"/>
                    <w:ind w:right="0"/>
                    <w:jc w:val="center"/>
                    <w:rPr>
                      <w:bCs/>
                      <w:sz w:val="21"/>
                      <w:szCs w:val="21"/>
                    </w:rPr>
                  </w:pPr>
                  <w:r>
                    <w:rPr>
                      <w:rFonts w:hAnsi="宋体"/>
                      <w:sz w:val="21"/>
                      <w:szCs w:val="21"/>
                    </w:rPr>
                    <w:t>连续等效</w:t>
                  </w:r>
                  <w:r>
                    <w:rPr>
                      <w:sz w:val="21"/>
                      <w:szCs w:val="21"/>
                    </w:rPr>
                    <w:t>A</w:t>
                  </w:r>
                  <w:r>
                    <w:rPr>
                      <w:rFonts w:hAnsi="宋体"/>
                      <w:sz w:val="21"/>
                      <w:szCs w:val="21"/>
                    </w:rPr>
                    <w:t>声级</w:t>
                  </w:r>
                </w:p>
              </w:tc>
              <w:tc>
                <w:tcPr>
                  <w:tcW w:w="580" w:type="pct"/>
                  <w:vAlign w:val="center"/>
                </w:tcPr>
                <w:p>
                  <w:pPr>
                    <w:pStyle w:val="18"/>
                    <w:adjustRightInd w:val="0"/>
                    <w:spacing w:before="0" w:after="0" w:line="360" w:lineRule="exact"/>
                    <w:ind w:right="0"/>
                    <w:jc w:val="center"/>
                    <w:rPr>
                      <w:bCs/>
                      <w:sz w:val="21"/>
                      <w:szCs w:val="21"/>
                    </w:rPr>
                  </w:pPr>
                  <w:r>
                    <w:rPr>
                      <w:rFonts w:hint="eastAsia"/>
                      <w:sz w:val="21"/>
                      <w:szCs w:val="21"/>
                    </w:rPr>
                    <w:t>一季度一次，昼夜各1次</w:t>
                  </w:r>
                </w:p>
              </w:tc>
              <w:tc>
                <w:tcPr>
                  <w:tcW w:w="1884" w:type="pct"/>
                  <w:vAlign w:val="center"/>
                </w:tcPr>
                <w:p>
                  <w:pPr>
                    <w:pStyle w:val="18"/>
                    <w:adjustRightInd w:val="0"/>
                    <w:spacing w:before="0" w:after="0" w:line="360" w:lineRule="exact"/>
                    <w:ind w:right="0"/>
                    <w:jc w:val="center"/>
                    <w:rPr>
                      <w:sz w:val="21"/>
                      <w:szCs w:val="21"/>
                    </w:rPr>
                  </w:pPr>
                  <w:r>
                    <w:rPr>
                      <w:rFonts w:hint="eastAsia"/>
                      <w:sz w:val="21"/>
                      <w:szCs w:val="21"/>
                    </w:rPr>
                    <w:t>《工业企业厂界环境</w:t>
                  </w:r>
                </w:p>
                <w:p>
                  <w:pPr>
                    <w:pStyle w:val="18"/>
                    <w:adjustRightInd w:val="0"/>
                    <w:spacing w:before="0" w:after="0" w:line="360" w:lineRule="exact"/>
                    <w:ind w:right="0"/>
                    <w:jc w:val="center"/>
                    <w:rPr>
                      <w:bCs/>
                      <w:sz w:val="21"/>
                      <w:szCs w:val="21"/>
                    </w:rPr>
                  </w:pPr>
                  <w:r>
                    <w:rPr>
                      <w:rFonts w:hint="eastAsia"/>
                      <w:sz w:val="21"/>
                      <w:szCs w:val="21"/>
                    </w:rPr>
                    <w:t>噪声排放标准》（GB12348-2008）中 2 类</w:t>
                  </w:r>
                </w:p>
              </w:tc>
            </w:tr>
          </w:tbl>
          <w:p>
            <w:pPr>
              <w:widowControl w:val="0"/>
              <w:ind w:firstLine="482" w:firstLineChars="200"/>
              <w:jc w:val="both"/>
              <w:rPr>
                <w:rFonts w:cs="宋体" w:asciiTheme="majorHAnsi" w:hAnsiTheme="majorHAnsi"/>
                <w:b/>
                <w:bCs/>
                <w:kern w:val="0"/>
                <w:szCs w:val="20"/>
              </w:rPr>
            </w:pPr>
            <w:r>
              <w:rPr>
                <w:rFonts w:hint="eastAsia"/>
                <w:b/>
                <w:bCs/>
              </w:rPr>
              <w:t>4.2.</w:t>
            </w:r>
            <w:r>
              <w:rPr>
                <w:b/>
                <w:bCs/>
              </w:rPr>
              <w:t>8</w:t>
            </w:r>
            <w:r>
              <w:rPr>
                <w:rFonts w:hint="eastAsia" w:cs="宋体" w:asciiTheme="majorHAnsi" w:hAnsiTheme="majorHAnsi"/>
                <w:b/>
                <w:bCs/>
                <w:kern w:val="0"/>
                <w:szCs w:val="20"/>
              </w:rPr>
              <w:t>项目环保设施及投资估算</w:t>
            </w:r>
          </w:p>
          <w:p>
            <w:pPr>
              <w:widowControl/>
              <w:ind w:firstLine="480" w:firstLineChars="200"/>
              <w:jc w:val="left"/>
              <w:rPr>
                <w:rFonts w:cs="Times New Roman" w:asciiTheme="majorHAnsi" w:hAnsiTheme="majorHAnsi"/>
                <w:kern w:val="0"/>
                <w:szCs w:val="20"/>
              </w:rPr>
            </w:pPr>
            <w:bookmarkStart w:id="28" w:name="_Hlk492979952"/>
            <w:r>
              <w:rPr>
                <w:rFonts w:ascii="Times New Roman" w:hAnsi="Times New Roman" w:eastAsia="宋体" w:cs="Times New Roman"/>
                <w:kern w:val="0"/>
                <w:szCs w:val="20"/>
              </w:rPr>
              <w:t>本项目总投资</w:t>
            </w:r>
            <w:r>
              <w:rPr>
                <w:rFonts w:hint="eastAsia"/>
              </w:rPr>
              <w:t>8205.3</w:t>
            </w:r>
            <w:r>
              <w:rPr>
                <w:rFonts w:ascii="Times New Roman" w:hAnsi="Times New Roman" w:eastAsia="宋体" w:cs="Times New Roman"/>
                <w:kern w:val="0"/>
                <w:szCs w:val="20"/>
              </w:rPr>
              <w:t>万元，其中环保投资</w:t>
            </w:r>
            <w:r>
              <w:rPr>
                <w:rFonts w:hint="eastAsia" w:ascii="Times New Roman" w:hAnsi="Times New Roman" w:eastAsia="宋体" w:cs="Times New Roman"/>
                <w:kern w:val="0"/>
                <w:szCs w:val="20"/>
              </w:rPr>
              <w:t>123</w:t>
            </w:r>
            <w:r>
              <w:rPr>
                <w:rFonts w:ascii="Times New Roman" w:hAnsi="Times New Roman" w:eastAsia="宋体" w:cs="Times New Roman"/>
                <w:kern w:val="0"/>
                <w:szCs w:val="20"/>
              </w:rPr>
              <w:t>万元，占总投资的</w:t>
            </w:r>
            <w:r>
              <w:rPr>
                <w:rFonts w:hint="eastAsia" w:ascii="Times New Roman" w:hAnsi="Times New Roman" w:eastAsia="宋体" w:cs="Times New Roman"/>
                <w:kern w:val="0"/>
                <w:szCs w:val="20"/>
              </w:rPr>
              <w:t>1.5</w:t>
            </w:r>
            <w:r>
              <w:rPr>
                <w:rFonts w:ascii="Times New Roman" w:hAnsi="Times New Roman" w:eastAsia="宋体" w:cs="Times New Roman"/>
                <w:kern w:val="0"/>
                <w:szCs w:val="20"/>
              </w:rPr>
              <w:t>%。</w:t>
            </w:r>
            <w:bookmarkEnd w:id="28"/>
            <w:r>
              <w:rPr>
                <w:rFonts w:ascii="Times New Roman" w:hAnsi="Times New Roman" w:eastAsia="宋体" w:cs="Times New Roman"/>
                <w:kern w:val="0"/>
                <w:szCs w:val="20"/>
              </w:rPr>
              <w:t>各项措施及其相应投资详见</w:t>
            </w:r>
            <w:r>
              <w:rPr>
                <w:rFonts w:hint="eastAsia" w:ascii="Times New Roman" w:hAnsi="Times New Roman" w:eastAsia="宋体" w:cs="Times New Roman"/>
                <w:kern w:val="0"/>
                <w:szCs w:val="20"/>
              </w:rPr>
              <w:t>下</w:t>
            </w:r>
            <w:r>
              <w:rPr>
                <w:rFonts w:ascii="Times New Roman" w:hAnsi="Times New Roman" w:eastAsia="宋体" w:cs="Times New Roman"/>
                <w:kern w:val="0"/>
                <w:szCs w:val="20"/>
              </w:rPr>
              <w:t>表</w:t>
            </w:r>
            <w:r>
              <w:rPr>
                <w:rFonts w:hint="eastAsia" w:ascii="Times New Roman" w:hAnsi="Times New Roman" w:eastAsia="宋体" w:cs="Times New Roman"/>
                <w:kern w:val="0"/>
                <w:szCs w:val="20"/>
              </w:rPr>
              <w:t>。</w:t>
            </w:r>
          </w:p>
          <w:p>
            <w:pPr>
              <w:pStyle w:val="40"/>
              <w:widowControl w:val="0"/>
              <w:numPr>
                <w:ilvl w:val="0"/>
                <w:numId w:val="7"/>
              </w:numPr>
              <w:autoSpaceDE w:val="0"/>
              <w:autoSpaceDN w:val="0"/>
              <w:spacing w:before="0" w:beforeAutospacing="0" w:after="0" w:afterAutospacing="0" w:line="360" w:lineRule="auto"/>
              <w:jc w:val="center"/>
              <w:rPr>
                <w:rFonts w:ascii="Times New Roman" w:hAnsi="Times New Roman" w:eastAsia="黑体"/>
                <w:kern w:val="2"/>
                <w:szCs w:val="24"/>
              </w:rPr>
            </w:pPr>
            <w:r>
              <w:rPr>
                <w:rFonts w:hint="eastAsia" w:ascii="Times New Roman" w:hAnsi="Times New Roman" w:eastAsia="黑体"/>
                <w:kern w:val="2"/>
                <w:szCs w:val="24"/>
              </w:rPr>
              <w:t>环保设施（措施）及投资估算一览表</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6"/>
              <w:gridCol w:w="1125"/>
              <w:gridCol w:w="5229"/>
              <w:gridCol w:w="967"/>
              <w:gridCol w:w="1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Align w:val="center"/>
                </w:tcPr>
                <w:p>
                  <w:pPr>
                    <w:spacing w:line="360" w:lineRule="exact"/>
                    <w:jc w:val="center"/>
                    <w:rPr>
                      <w:b/>
                      <w:bCs/>
                      <w:sz w:val="21"/>
                      <w:szCs w:val="21"/>
                    </w:rPr>
                  </w:pPr>
                  <w:r>
                    <w:rPr>
                      <w:b/>
                      <w:bCs/>
                      <w:sz w:val="21"/>
                      <w:szCs w:val="21"/>
                    </w:rPr>
                    <w:t>序号</w:t>
                  </w:r>
                </w:p>
              </w:tc>
              <w:tc>
                <w:tcPr>
                  <w:tcW w:w="614" w:type="pct"/>
                  <w:vAlign w:val="center"/>
                </w:tcPr>
                <w:p>
                  <w:pPr>
                    <w:spacing w:line="360" w:lineRule="exact"/>
                    <w:jc w:val="center"/>
                    <w:rPr>
                      <w:b/>
                      <w:bCs/>
                      <w:sz w:val="21"/>
                      <w:szCs w:val="21"/>
                    </w:rPr>
                  </w:pPr>
                  <w:r>
                    <w:rPr>
                      <w:b/>
                      <w:bCs/>
                      <w:sz w:val="21"/>
                      <w:szCs w:val="21"/>
                    </w:rPr>
                    <w:t>项目</w:t>
                  </w:r>
                </w:p>
              </w:tc>
              <w:tc>
                <w:tcPr>
                  <w:tcW w:w="2854" w:type="pct"/>
                  <w:vAlign w:val="center"/>
                </w:tcPr>
                <w:p>
                  <w:pPr>
                    <w:spacing w:line="360" w:lineRule="exact"/>
                    <w:jc w:val="center"/>
                    <w:rPr>
                      <w:b/>
                      <w:bCs/>
                      <w:sz w:val="21"/>
                      <w:szCs w:val="21"/>
                    </w:rPr>
                  </w:pPr>
                  <w:r>
                    <w:rPr>
                      <w:b/>
                      <w:bCs/>
                      <w:sz w:val="21"/>
                      <w:szCs w:val="21"/>
                    </w:rPr>
                    <w:t>内容</w:t>
                  </w:r>
                </w:p>
              </w:tc>
              <w:tc>
                <w:tcPr>
                  <w:tcW w:w="528" w:type="pct"/>
                  <w:vAlign w:val="center"/>
                </w:tcPr>
                <w:p>
                  <w:pPr>
                    <w:spacing w:line="360" w:lineRule="exact"/>
                    <w:jc w:val="center"/>
                    <w:rPr>
                      <w:b/>
                      <w:bCs/>
                      <w:sz w:val="21"/>
                      <w:szCs w:val="21"/>
                    </w:rPr>
                  </w:pPr>
                  <w:r>
                    <w:rPr>
                      <w:b/>
                      <w:bCs/>
                      <w:sz w:val="21"/>
                      <w:szCs w:val="21"/>
                    </w:rPr>
                    <w:t>投资</w:t>
                  </w:r>
                </w:p>
              </w:tc>
              <w:tc>
                <w:tcPr>
                  <w:tcW w:w="591" w:type="pct"/>
                  <w:vAlign w:val="center"/>
                </w:tcPr>
                <w:p>
                  <w:pPr>
                    <w:spacing w:line="360" w:lineRule="exact"/>
                    <w:jc w:val="center"/>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restart"/>
                  <w:vAlign w:val="center"/>
                </w:tcPr>
                <w:p>
                  <w:pPr>
                    <w:spacing w:line="360" w:lineRule="exact"/>
                    <w:jc w:val="center"/>
                    <w:rPr>
                      <w:sz w:val="21"/>
                      <w:szCs w:val="21"/>
                    </w:rPr>
                  </w:pPr>
                  <w:r>
                    <w:rPr>
                      <w:sz w:val="21"/>
                      <w:szCs w:val="21"/>
                    </w:rPr>
                    <w:t>施工期</w:t>
                  </w:r>
                </w:p>
              </w:tc>
              <w:tc>
                <w:tcPr>
                  <w:tcW w:w="614" w:type="pct"/>
                  <w:vAlign w:val="center"/>
                </w:tcPr>
                <w:p>
                  <w:pPr>
                    <w:spacing w:line="360" w:lineRule="exact"/>
                    <w:jc w:val="center"/>
                    <w:rPr>
                      <w:sz w:val="21"/>
                      <w:szCs w:val="21"/>
                    </w:rPr>
                  </w:pPr>
                  <w:r>
                    <w:rPr>
                      <w:rFonts w:hint="eastAsia"/>
                      <w:sz w:val="21"/>
                      <w:szCs w:val="21"/>
                    </w:rPr>
                    <w:t>废气</w:t>
                  </w:r>
                </w:p>
                <w:p>
                  <w:pPr>
                    <w:spacing w:line="360" w:lineRule="exact"/>
                    <w:jc w:val="center"/>
                    <w:rPr>
                      <w:sz w:val="21"/>
                      <w:szCs w:val="21"/>
                    </w:rPr>
                  </w:pPr>
                  <w:r>
                    <w:rPr>
                      <w:rFonts w:hint="eastAsia"/>
                      <w:sz w:val="21"/>
                      <w:szCs w:val="21"/>
                    </w:rPr>
                    <w:t>防治措施</w:t>
                  </w:r>
                </w:p>
              </w:tc>
              <w:tc>
                <w:tcPr>
                  <w:tcW w:w="2854" w:type="pct"/>
                  <w:vAlign w:val="center"/>
                </w:tcPr>
                <w:p>
                  <w:pPr>
                    <w:spacing w:line="360" w:lineRule="exact"/>
                    <w:rPr>
                      <w:sz w:val="21"/>
                      <w:szCs w:val="21"/>
                    </w:rPr>
                  </w:pPr>
                  <w:r>
                    <w:rPr>
                      <w:rFonts w:hint="eastAsia"/>
                      <w:sz w:val="21"/>
                      <w:szCs w:val="21"/>
                    </w:rPr>
                    <w:t>设置2.5～3 m高墙/围挡，围挡顶部安装喷淋降尘系统，封闭施工现场，采用密目安全网；设置洗车槽，放置防尘垫；运输线路定期洒水降尘，及时清除尘土弃渣运输禁止冒顶装载和洒漏；加强施工机械的保养维护，提高机械的正常使用率，减少机械尾气产生；禁止使用废气排放超标的车辆；采取覆盖措施，车辆密闭运输等。</w:t>
                  </w:r>
                </w:p>
              </w:tc>
              <w:tc>
                <w:tcPr>
                  <w:tcW w:w="528" w:type="pct"/>
                  <w:vAlign w:val="center"/>
                </w:tcPr>
                <w:p>
                  <w:pPr>
                    <w:spacing w:line="360" w:lineRule="exact"/>
                    <w:jc w:val="center"/>
                    <w:rPr>
                      <w:sz w:val="21"/>
                      <w:szCs w:val="21"/>
                    </w:rPr>
                  </w:pPr>
                  <w:r>
                    <w:rPr>
                      <w:rFonts w:hint="eastAsia"/>
                      <w:sz w:val="21"/>
                      <w:szCs w:val="21"/>
                    </w:rPr>
                    <w:t>10</w:t>
                  </w:r>
                </w:p>
              </w:tc>
              <w:tc>
                <w:tcPr>
                  <w:tcW w:w="591" w:type="pct"/>
                  <w:vAlign w:val="center"/>
                </w:tcPr>
                <w:p>
                  <w:pPr>
                    <w:spacing w:line="36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Align w:val="center"/>
                </w:tcPr>
                <w:p>
                  <w:pPr>
                    <w:spacing w:line="360" w:lineRule="exact"/>
                    <w:jc w:val="center"/>
                    <w:rPr>
                      <w:sz w:val="21"/>
                      <w:szCs w:val="21"/>
                    </w:rPr>
                  </w:pPr>
                  <w:r>
                    <w:rPr>
                      <w:rFonts w:hint="eastAsia"/>
                      <w:sz w:val="21"/>
                      <w:szCs w:val="21"/>
                    </w:rPr>
                    <w:t>废水</w:t>
                  </w:r>
                </w:p>
                <w:p>
                  <w:pPr>
                    <w:spacing w:line="360" w:lineRule="exact"/>
                    <w:jc w:val="center"/>
                    <w:rPr>
                      <w:sz w:val="21"/>
                      <w:szCs w:val="21"/>
                    </w:rPr>
                  </w:pPr>
                  <w:r>
                    <w:rPr>
                      <w:rFonts w:hint="eastAsia"/>
                      <w:sz w:val="21"/>
                      <w:szCs w:val="21"/>
                    </w:rPr>
                    <w:t>治理措施</w:t>
                  </w:r>
                </w:p>
              </w:tc>
              <w:tc>
                <w:tcPr>
                  <w:tcW w:w="2854" w:type="pct"/>
                  <w:vAlign w:val="center"/>
                </w:tcPr>
                <w:p>
                  <w:pPr>
                    <w:spacing w:line="360" w:lineRule="exact"/>
                    <w:rPr>
                      <w:sz w:val="21"/>
                      <w:szCs w:val="21"/>
                    </w:rPr>
                  </w:pPr>
                  <w:r>
                    <w:rPr>
                      <w:bCs/>
                      <w:sz w:val="21"/>
                      <w:szCs w:val="21"/>
                    </w:rPr>
                    <w:t>修建</w:t>
                  </w:r>
                  <w:r>
                    <w:rPr>
                      <w:rFonts w:hint="eastAsia"/>
                      <w:bCs/>
                      <w:sz w:val="21"/>
                      <w:szCs w:val="21"/>
                    </w:rPr>
                    <w:t>排水沟、临时旱厕</w:t>
                  </w:r>
                  <w:r>
                    <w:rPr>
                      <w:bCs/>
                      <w:sz w:val="21"/>
                      <w:szCs w:val="21"/>
                    </w:rPr>
                    <w:t>、隔油</w:t>
                  </w:r>
                  <w:r>
                    <w:rPr>
                      <w:rFonts w:hint="eastAsia"/>
                      <w:bCs/>
                      <w:sz w:val="21"/>
                      <w:szCs w:val="21"/>
                    </w:rPr>
                    <w:t>池、</w:t>
                  </w:r>
                  <w:r>
                    <w:rPr>
                      <w:bCs/>
                      <w:sz w:val="21"/>
                      <w:szCs w:val="21"/>
                    </w:rPr>
                    <w:t>沉淀池</w:t>
                  </w:r>
                  <w:r>
                    <w:rPr>
                      <w:rFonts w:hint="eastAsia"/>
                      <w:bCs/>
                      <w:sz w:val="21"/>
                      <w:szCs w:val="21"/>
                    </w:rPr>
                    <w:t>，其中，临时旱厕容积约为20</w:t>
                  </w:r>
                  <w:r>
                    <w:rPr>
                      <w:rFonts w:hint="eastAsia"/>
                      <w:sz w:val="21"/>
                      <w:szCs w:val="21"/>
                    </w:rPr>
                    <w:t xml:space="preserve"> m</w:t>
                  </w:r>
                  <w:r>
                    <w:rPr>
                      <w:sz w:val="21"/>
                      <w:szCs w:val="21"/>
                      <w:vertAlign w:val="superscript"/>
                    </w:rPr>
                    <w:t>3</w:t>
                  </w:r>
                  <w:r>
                    <w:rPr>
                      <w:rFonts w:hint="eastAsia"/>
                      <w:bCs/>
                      <w:sz w:val="21"/>
                      <w:szCs w:val="21"/>
                    </w:rPr>
                    <w:t>，</w:t>
                  </w:r>
                  <w:r>
                    <w:rPr>
                      <w:rFonts w:hint="eastAsia"/>
                      <w:sz w:val="21"/>
                      <w:szCs w:val="21"/>
                    </w:rPr>
                    <w:t>隔油池容积为10m</w:t>
                  </w:r>
                  <w:r>
                    <w:rPr>
                      <w:sz w:val="21"/>
                      <w:szCs w:val="21"/>
                      <w:vertAlign w:val="superscript"/>
                    </w:rPr>
                    <w:t>3</w:t>
                  </w:r>
                  <w:r>
                    <w:rPr>
                      <w:rFonts w:hint="eastAsia"/>
                      <w:sz w:val="21"/>
                      <w:szCs w:val="21"/>
                    </w:rPr>
                    <w:t xml:space="preserve">，沉淀池容积为 </w:t>
                  </w:r>
                  <w:r>
                    <w:rPr>
                      <w:sz w:val="21"/>
                      <w:szCs w:val="21"/>
                    </w:rPr>
                    <w:t>1</w:t>
                  </w:r>
                  <w:r>
                    <w:rPr>
                      <w:rFonts w:hint="eastAsia"/>
                      <w:sz w:val="21"/>
                      <w:szCs w:val="21"/>
                    </w:rPr>
                    <w:t>00m</w:t>
                  </w:r>
                  <w:r>
                    <w:rPr>
                      <w:sz w:val="21"/>
                      <w:szCs w:val="21"/>
                      <w:vertAlign w:val="superscript"/>
                    </w:rPr>
                    <w:t>3</w:t>
                  </w:r>
                  <w:r>
                    <w:rPr>
                      <w:bCs/>
                      <w:sz w:val="21"/>
                      <w:szCs w:val="21"/>
                    </w:rPr>
                    <w:t>；施工</w:t>
                  </w:r>
                  <w:r>
                    <w:rPr>
                      <w:rFonts w:hint="eastAsia"/>
                      <w:bCs/>
                      <w:sz w:val="21"/>
                      <w:szCs w:val="21"/>
                    </w:rPr>
                    <w:t>场</w:t>
                  </w:r>
                  <w:r>
                    <w:rPr>
                      <w:bCs/>
                      <w:sz w:val="21"/>
                      <w:szCs w:val="21"/>
                    </w:rPr>
                    <w:t>地内定期洒水、对进出场地运输车辆进行冲洗</w:t>
                  </w:r>
                  <w:r>
                    <w:rPr>
                      <w:rFonts w:hint="eastAsia"/>
                      <w:bCs/>
                      <w:sz w:val="21"/>
                      <w:szCs w:val="21"/>
                    </w:rPr>
                    <w:t>，施工废水全部回用，不外排；施工生活污水经旱厕处理后，用于农灌，不得私设排污口</w:t>
                  </w:r>
                  <w:r>
                    <w:rPr>
                      <w:bCs/>
                      <w:sz w:val="21"/>
                      <w:szCs w:val="21"/>
                    </w:rPr>
                    <w:t>。</w:t>
                  </w:r>
                </w:p>
              </w:tc>
              <w:tc>
                <w:tcPr>
                  <w:tcW w:w="528" w:type="pct"/>
                  <w:vAlign w:val="center"/>
                </w:tcPr>
                <w:p>
                  <w:pPr>
                    <w:spacing w:line="360" w:lineRule="exact"/>
                    <w:jc w:val="center"/>
                    <w:rPr>
                      <w:sz w:val="21"/>
                      <w:szCs w:val="21"/>
                    </w:rPr>
                  </w:pPr>
                  <w:r>
                    <w:rPr>
                      <w:rFonts w:hint="eastAsia"/>
                      <w:sz w:val="21"/>
                      <w:szCs w:val="21"/>
                    </w:rPr>
                    <w:t>10</w:t>
                  </w:r>
                </w:p>
              </w:tc>
              <w:tc>
                <w:tcPr>
                  <w:tcW w:w="591" w:type="pct"/>
                  <w:vAlign w:val="center"/>
                </w:tcPr>
                <w:p>
                  <w:pPr>
                    <w:spacing w:line="36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Align w:val="center"/>
                </w:tcPr>
                <w:p>
                  <w:pPr>
                    <w:spacing w:line="360" w:lineRule="exact"/>
                    <w:jc w:val="center"/>
                    <w:rPr>
                      <w:sz w:val="21"/>
                      <w:szCs w:val="21"/>
                    </w:rPr>
                  </w:pPr>
                  <w:r>
                    <w:rPr>
                      <w:sz w:val="21"/>
                      <w:szCs w:val="21"/>
                    </w:rPr>
                    <w:t>噪声</w:t>
                  </w:r>
                </w:p>
                <w:p>
                  <w:pPr>
                    <w:spacing w:line="360" w:lineRule="exact"/>
                    <w:jc w:val="center"/>
                    <w:rPr>
                      <w:sz w:val="21"/>
                      <w:szCs w:val="21"/>
                    </w:rPr>
                  </w:pPr>
                  <w:r>
                    <w:rPr>
                      <w:sz w:val="21"/>
                      <w:szCs w:val="21"/>
                    </w:rPr>
                    <w:t>防治</w:t>
                  </w:r>
                  <w:r>
                    <w:rPr>
                      <w:rFonts w:hint="eastAsia"/>
                      <w:sz w:val="21"/>
                      <w:szCs w:val="21"/>
                    </w:rPr>
                    <w:t>措施</w:t>
                  </w:r>
                </w:p>
              </w:tc>
              <w:tc>
                <w:tcPr>
                  <w:tcW w:w="2854" w:type="pct"/>
                  <w:vAlign w:val="center"/>
                </w:tcPr>
                <w:p>
                  <w:pPr>
                    <w:spacing w:line="360" w:lineRule="exact"/>
                    <w:rPr>
                      <w:sz w:val="21"/>
                      <w:szCs w:val="21"/>
                    </w:rPr>
                  </w:pPr>
                  <w:r>
                    <w:rPr>
                      <w:sz w:val="21"/>
                      <w:szCs w:val="21"/>
                    </w:rPr>
                    <w:t>选取低噪声设备施工，设置</w:t>
                  </w:r>
                  <w:r>
                    <w:rPr>
                      <w:rFonts w:hint="eastAsia"/>
                      <w:sz w:val="21"/>
                      <w:szCs w:val="21"/>
                    </w:rPr>
                    <w:t>2.5～3 m高墙/围挡</w:t>
                  </w:r>
                  <w:r>
                    <w:rPr>
                      <w:sz w:val="21"/>
                      <w:szCs w:val="21"/>
                    </w:rPr>
                    <w:t>等</w:t>
                  </w:r>
                </w:p>
              </w:tc>
              <w:tc>
                <w:tcPr>
                  <w:tcW w:w="528" w:type="pct"/>
                  <w:vAlign w:val="center"/>
                </w:tcPr>
                <w:p>
                  <w:pPr>
                    <w:spacing w:line="360" w:lineRule="exact"/>
                    <w:jc w:val="center"/>
                    <w:rPr>
                      <w:sz w:val="21"/>
                      <w:szCs w:val="21"/>
                    </w:rPr>
                  </w:pPr>
                  <w:r>
                    <w:rPr>
                      <w:rFonts w:hint="eastAsia"/>
                      <w:sz w:val="21"/>
                      <w:szCs w:val="21"/>
                    </w:rPr>
                    <w:t>5</w:t>
                  </w:r>
                </w:p>
              </w:tc>
              <w:tc>
                <w:tcPr>
                  <w:tcW w:w="591" w:type="pct"/>
                  <w:vAlign w:val="center"/>
                </w:tcPr>
                <w:p>
                  <w:pPr>
                    <w:spacing w:line="36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Align w:val="center"/>
                </w:tcPr>
                <w:p>
                  <w:pPr>
                    <w:spacing w:line="360" w:lineRule="exact"/>
                    <w:jc w:val="center"/>
                    <w:rPr>
                      <w:sz w:val="21"/>
                      <w:szCs w:val="21"/>
                    </w:rPr>
                  </w:pPr>
                  <w:r>
                    <w:rPr>
                      <w:sz w:val="21"/>
                      <w:szCs w:val="21"/>
                    </w:rPr>
                    <w:t>固废</w:t>
                  </w:r>
                </w:p>
                <w:p>
                  <w:pPr>
                    <w:spacing w:line="360" w:lineRule="exact"/>
                    <w:jc w:val="center"/>
                    <w:rPr>
                      <w:sz w:val="21"/>
                      <w:szCs w:val="21"/>
                    </w:rPr>
                  </w:pPr>
                  <w:r>
                    <w:rPr>
                      <w:sz w:val="21"/>
                      <w:szCs w:val="21"/>
                    </w:rPr>
                    <w:t>处置</w:t>
                  </w:r>
                  <w:r>
                    <w:rPr>
                      <w:rFonts w:hint="eastAsia"/>
                      <w:sz w:val="21"/>
                      <w:szCs w:val="21"/>
                    </w:rPr>
                    <w:t>措施</w:t>
                  </w:r>
                </w:p>
              </w:tc>
              <w:tc>
                <w:tcPr>
                  <w:tcW w:w="2854" w:type="pct"/>
                  <w:vAlign w:val="center"/>
                </w:tcPr>
                <w:p>
                  <w:pPr>
                    <w:spacing w:line="360" w:lineRule="exact"/>
                    <w:rPr>
                      <w:sz w:val="21"/>
                      <w:szCs w:val="21"/>
                    </w:rPr>
                  </w:pPr>
                  <w:r>
                    <w:rPr>
                      <w:rFonts w:hint="eastAsia"/>
                      <w:sz w:val="21"/>
                      <w:szCs w:val="21"/>
                    </w:rPr>
                    <w:t>开挖土石方全部回填；建筑垃圾进行分类处理，可回用部分回收利用，不可回用部分运至相关部门指定地点处；施工生活垃圾交市政环卫部门处置。</w:t>
                  </w:r>
                </w:p>
              </w:tc>
              <w:tc>
                <w:tcPr>
                  <w:tcW w:w="528" w:type="pct"/>
                  <w:vAlign w:val="center"/>
                </w:tcPr>
                <w:p>
                  <w:pPr>
                    <w:spacing w:line="360" w:lineRule="exact"/>
                    <w:jc w:val="center"/>
                    <w:rPr>
                      <w:sz w:val="21"/>
                      <w:szCs w:val="21"/>
                    </w:rPr>
                  </w:pPr>
                  <w:r>
                    <w:rPr>
                      <w:rFonts w:hint="eastAsia"/>
                      <w:sz w:val="21"/>
                      <w:szCs w:val="21"/>
                    </w:rPr>
                    <w:t>10</w:t>
                  </w:r>
                </w:p>
              </w:tc>
              <w:tc>
                <w:tcPr>
                  <w:tcW w:w="591" w:type="pct"/>
                  <w:vAlign w:val="center"/>
                </w:tcPr>
                <w:p>
                  <w:pPr>
                    <w:spacing w:line="36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Align w:val="center"/>
                </w:tcPr>
                <w:p>
                  <w:pPr>
                    <w:spacing w:line="360" w:lineRule="exact"/>
                    <w:jc w:val="center"/>
                    <w:rPr>
                      <w:sz w:val="21"/>
                      <w:szCs w:val="21"/>
                    </w:rPr>
                  </w:pPr>
                  <w:r>
                    <w:rPr>
                      <w:sz w:val="21"/>
                      <w:szCs w:val="21"/>
                    </w:rPr>
                    <w:t>水土</w:t>
                  </w:r>
                </w:p>
                <w:p>
                  <w:pPr>
                    <w:spacing w:line="360" w:lineRule="exact"/>
                    <w:jc w:val="center"/>
                    <w:rPr>
                      <w:sz w:val="21"/>
                      <w:szCs w:val="21"/>
                    </w:rPr>
                  </w:pPr>
                  <w:r>
                    <w:rPr>
                      <w:sz w:val="21"/>
                      <w:szCs w:val="21"/>
                    </w:rPr>
                    <w:t>流失防治</w:t>
                  </w:r>
                </w:p>
              </w:tc>
              <w:tc>
                <w:tcPr>
                  <w:tcW w:w="2854" w:type="pct"/>
                  <w:vAlign w:val="center"/>
                </w:tcPr>
                <w:p>
                  <w:pPr>
                    <w:spacing w:line="360" w:lineRule="exact"/>
                    <w:rPr>
                      <w:sz w:val="21"/>
                      <w:szCs w:val="21"/>
                    </w:rPr>
                  </w:pPr>
                  <w:r>
                    <w:rPr>
                      <w:sz w:val="21"/>
                      <w:szCs w:val="21"/>
                    </w:rPr>
                    <w:t>工程措施、临时排水沟</w:t>
                  </w:r>
                  <w:r>
                    <w:rPr>
                      <w:rFonts w:hint="eastAsia"/>
                      <w:sz w:val="21"/>
                      <w:szCs w:val="21"/>
                    </w:rPr>
                    <w:t>，项目建成后栽种绿植</w:t>
                  </w:r>
                </w:p>
              </w:tc>
              <w:tc>
                <w:tcPr>
                  <w:tcW w:w="528" w:type="pct"/>
                  <w:vAlign w:val="center"/>
                </w:tcPr>
                <w:p>
                  <w:pPr>
                    <w:spacing w:line="360" w:lineRule="exact"/>
                    <w:jc w:val="center"/>
                    <w:rPr>
                      <w:sz w:val="21"/>
                      <w:szCs w:val="21"/>
                    </w:rPr>
                  </w:pPr>
                  <w:r>
                    <w:rPr>
                      <w:rFonts w:hint="eastAsia"/>
                      <w:sz w:val="21"/>
                      <w:szCs w:val="21"/>
                    </w:rPr>
                    <w:t>5</w:t>
                  </w:r>
                </w:p>
              </w:tc>
              <w:tc>
                <w:tcPr>
                  <w:tcW w:w="591" w:type="pct"/>
                  <w:vAlign w:val="center"/>
                </w:tcPr>
                <w:p>
                  <w:pPr>
                    <w:spacing w:line="36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restart"/>
                  <w:vAlign w:val="center"/>
                </w:tcPr>
                <w:p>
                  <w:pPr>
                    <w:spacing w:line="360" w:lineRule="exact"/>
                    <w:jc w:val="center"/>
                    <w:rPr>
                      <w:sz w:val="21"/>
                      <w:szCs w:val="21"/>
                    </w:rPr>
                  </w:pPr>
                  <w:r>
                    <w:rPr>
                      <w:sz w:val="21"/>
                      <w:szCs w:val="21"/>
                    </w:rPr>
                    <w:t>营运期</w:t>
                  </w:r>
                </w:p>
              </w:tc>
              <w:tc>
                <w:tcPr>
                  <w:tcW w:w="614" w:type="pct"/>
                  <w:vMerge w:val="restart"/>
                  <w:vAlign w:val="center"/>
                </w:tcPr>
                <w:p>
                  <w:pPr>
                    <w:spacing w:line="360" w:lineRule="exact"/>
                    <w:jc w:val="center"/>
                    <w:rPr>
                      <w:sz w:val="21"/>
                      <w:szCs w:val="21"/>
                    </w:rPr>
                  </w:pPr>
                  <w:r>
                    <w:rPr>
                      <w:sz w:val="21"/>
                      <w:szCs w:val="21"/>
                    </w:rPr>
                    <w:t>废水</w:t>
                  </w:r>
                </w:p>
                <w:p>
                  <w:pPr>
                    <w:spacing w:line="360" w:lineRule="exact"/>
                    <w:jc w:val="center"/>
                    <w:rPr>
                      <w:sz w:val="21"/>
                      <w:szCs w:val="21"/>
                    </w:rPr>
                  </w:pPr>
                  <w:r>
                    <w:rPr>
                      <w:sz w:val="21"/>
                      <w:szCs w:val="21"/>
                    </w:rPr>
                    <w:t>治理措施</w:t>
                  </w:r>
                </w:p>
              </w:tc>
              <w:tc>
                <w:tcPr>
                  <w:tcW w:w="2854" w:type="pct"/>
                  <w:vAlign w:val="center"/>
                </w:tcPr>
                <w:p>
                  <w:pPr>
                    <w:spacing w:line="360" w:lineRule="exact"/>
                    <w:rPr>
                      <w:sz w:val="21"/>
                      <w:szCs w:val="21"/>
                    </w:rPr>
                  </w:pPr>
                  <w:r>
                    <w:rPr>
                      <w:sz w:val="21"/>
                      <w:szCs w:val="21"/>
                    </w:rPr>
                    <w:t>生活</w:t>
                  </w:r>
                  <w:r>
                    <w:rPr>
                      <w:rFonts w:hint="eastAsia"/>
                      <w:sz w:val="21"/>
                      <w:szCs w:val="21"/>
                    </w:rPr>
                    <w:t>污水：管道收集后导入格栅池，进入污水处理系</w:t>
                  </w:r>
                </w:p>
                <w:p>
                  <w:pPr>
                    <w:spacing w:line="360" w:lineRule="exact"/>
                    <w:rPr>
                      <w:sz w:val="21"/>
                      <w:szCs w:val="21"/>
                    </w:rPr>
                  </w:pPr>
                  <w:r>
                    <w:rPr>
                      <w:rFonts w:hint="eastAsia"/>
                      <w:sz w:val="21"/>
                      <w:szCs w:val="21"/>
                    </w:rPr>
                    <w:t>统进行达标处理后排放；</w:t>
                  </w:r>
                </w:p>
                <w:p>
                  <w:pPr>
                    <w:spacing w:line="360" w:lineRule="exact"/>
                    <w:rPr>
                      <w:sz w:val="21"/>
                      <w:szCs w:val="21"/>
                    </w:rPr>
                  </w:pPr>
                  <w:r>
                    <w:rPr>
                      <w:rFonts w:hint="eastAsia"/>
                      <w:sz w:val="21"/>
                      <w:szCs w:val="21"/>
                    </w:rPr>
                    <w:t>生产废水：站区内修建污水收集管网，使其产生污水</w:t>
                  </w:r>
                </w:p>
                <w:p>
                  <w:pPr>
                    <w:spacing w:line="360" w:lineRule="exact"/>
                    <w:rPr>
                      <w:sz w:val="21"/>
                      <w:szCs w:val="21"/>
                    </w:rPr>
                  </w:pPr>
                  <w:r>
                    <w:rPr>
                      <w:rFonts w:hint="eastAsia"/>
                      <w:sz w:val="21"/>
                      <w:szCs w:val="21"/>
                    </w:rPr>
                    <w:t>进入污水处理系统处理；</w:t>
                  </w:r>
                </w:p>
                <w:p>
                  <w:pPr>
                    <w:spacing w:line="360" w:lineRule="exact"/>
                    <w:rPr>
                      <w:sz w:val="21"/>
                      <w:szCs w:val="21"/>
                    </w:rPr>
                  </w:pPr>
                  <w:r>
                    <w:rPr>
                      <w:rFonts w:hint="eastAsia"/>
                      <w:sz w:val="21"/>
                      <w:szCs w:val="21"/>
                    </w:rPr>
                    <w:t>在出水口安装在线监测系统（主要监测COD、氨氮、总氮、总磷）。</w:t>
                  </w:r>
                </w:p>
              </w:tc>
              <w:tc>
                <w:tcPr>
                  <w:tcW w:w="528" w:type="pct"/>
                  <w:vAlign w:val="center"/>
                </w:tcPr>
                <w:p>
                  <w:pPr>
                    <w:spacing w:line="360" w:lineRule="exact"/>
                    <w:jc w:val="center"/>
                    <w:rPr>
                      <w:sz w:val="21"/>
                      <w:szCs w:val="21"/>
                    </w:rPr>
                  </w:pPr>
                  <w:r>
                    <w:rPr>
                      <w:rFonts w:hint="eastAsia"/>
                      <w:sz w:val="21"/>
                      <w:szCs w:val="21"/>
                    </w:rPr>
                    <w:t>/</w:t>
                  </w:r>
                </w:p>
              </w:tc>
              <w:tc>
                <w:tcPr>
                  <w:tcW w:w="591" w:type="pct"/>
                  <w:vAlign w:val="center"/>
                </w:tcPr>
                <w:p>
                  <w:pPr>
                    <w:spacing w:line="360" w:lineRule="exact"/>
                    <w:jc w:val="center"/>
                    <w:rPr>
                      <w:sz w:val="21"/>
                      <w:szCs w:val="21"/>
                    </w:rPr>
                  </w:pPr>
                  <w:r>
                    <w:rPr>
                      <w:sz w:val="21"/>
                      <w:szCs w:val="21"/>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Merge w:val="continue"/>
                  <w:vAlign w:val="center"/>
                </w:tcPr>
                <w:p>
                  <w:pPr>
                    <w:spacing w:line="360" w:lineRule="exact"/>
                    <w:jc w:val="center"/>
                    <w:rPr>
                      <w:sz w:val="21"/>
                      <w:szCs w:val="21"/>
                    </w:rPr>
                  </w:pPr>
                </w:p>
              </w:tc>
              <w:tc>
                <w:tcPr>
                  <w:tcW w:w="2854" w:type="pct"/>
                  <w:vAlign w:val="center"/>
                </w:tcPr>
                <w:p>
                  <w:pPr>
                    <w:spacing w:line="360" w:lineRule="exact"/>
                    <w:rPr>
                      <w:sz w:val="21"/>
                      <w:szCs w:val="21"/>
                    </w:rPr>
                  </w:pPr>
                  <w:r>
                    <w:rPr>
                      <w:sz w:val="21"/>
                      <w:szCs w:val="21"/>
                    </w:rPr>
                    <w:t>规范废水排口建设，包括排污井、标志牌等</w:t>
                  </w:r>
                </w:p>
              </w:tc>
              <w:tc>
                <w:tcPr>
                  <w:tcW w:w="528" w:type="pct"/>
                  <w:vAlign w:val="center"/>
                </w:tcPr>
                <w:p>
                  <w:pPr>
                    <w:spacing w:line="360" w:lineRule="exact"/>
                    <w:jc w:val="center"/>
                    <w:rPr>
                      <w:sz w:val="21"/>
                      <w:szCs w:val="21"/>
                    </w:rPr>
                  </w:pPr>
                  <w:r>
                    <w:rPr>
                      <w:rFonts w:hint="eastAsia"/>
                      <w:sz w:val="21"/>
                      <w:szCs w:val="21"/>
                    </w:rPr>
                    <w:t>2</w:t>
                  </w:r>
                </w:p>
              </w:tc>
              <w:tc>
                <w:tcPr>
                  <w:tcW w:w="591" w:type="pct"/>
                  <w:vAlign w:val="center"/>
                </w:tcPr>
                <w:p>
                  <w:pPr>
                    <w:spacing w:line="36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Align w:val="center"/>
                </w:tcPr>
                <w:p>
                  <w:pPr>
                    <w:spacing w:line="360" w:lineRule="exact"/>
                    <w:jc w:val="center"/>
                    <w:rPr>
                      <w:sz w:val="21"/>
                      <w:szCs w:val="21"/>
                    </w:rPr>
                  </w:pPr>
                  <w:r>
                    <w:rPr>
                      <w:sz w:val="21"/>
                      <w:szCs w:val="21"/>
                    </w:rPr>
                    <w:t>除臭措施</w:t>
                  </w:r>
                </w:p>
              </w:tc>
              <w:tc>
                <w:tcPr>
                  <w:tcW w:w="2854" w:type="pct"/>
                  <w:vAlign w:val="center"/>
                </w:tcPr>
                <w:p>
                  <w:pPr>
                    <w:spacing w:line="360" w:lineRule="exact"/>
                    <w:rPr>
                      <w:sz w:val="21"/>
                      <w:szCs w:val="21"/>
                    </w:rPr>
                  </w:pPr>
                  <w:r>
                    <w:rPr>
                      <w:rFonts w:hint="eastAsia"/>
                      <w:sz w:val="21"/>
                      <w:szCs w:val="21"/>
                    </w:rPr>
                    <w:t>产臭单元顶部加盖或密闭，</w:t>
                  </w:r>
                  <w:r>
                    <w:rPr>
                      <w:sz w:val="21"/>
                      <w:szCs w:val="21"/>
                    </w:rPr>
                    <w:t>废气经</w:t>
                  </w:r>
                  <w:r>
                    <w:rPr>
                      <w:rFonts w:hint="eastAsia"/>
                      <w:sz w:val="21"/>
                      <w:szCs w:val="21"/>
                    </w:rPr>
                    <w:t>密闭加罩+</w:t>
                  </w:r>
                  <w:r>
                    <w:rPr>
                      <w:sz w:val="21"/>
                      <w:szCs w:val="21"/>
                    </w:rPr>
                    <w:t>集气管道+负压收集+</w:t>
                  </w:r>
                  <w:r>
                    <w:rPr>
                      <w:rFonts w:hint="eastAsia"/>
                      <w:sz w:val="21"/>
                      <w:szCs w:val="21"/>
                    </w:rPr>
                    <w:t>2</w:t>
                  </w:r>
                  <w:r>
                    <w:rPr>
                      <w:sz w:val="21"/>
                      <w:szCs w:val="21"/>
                    </w:rPr>
                    <w:t>套生物除臭装置（TA001</w:t>
                  </w:r>
                  <w:r>
                    <w:rPr>
                      <w:rFonts w:hint="eastAsia"/>
                      <w:sz w:val="21"/>
                      <w:szCs w:val="21"/>
                    </w:rPr>
                    <w:t>、TA002</w:t>
                  </w:r>
                  <w:r>
                    <w:rPr>
                      <w:sz w:val="21"/>
                      <w:szCs w:val="21"/>
                    </w:rPr>
                    <w:t>）+</w:t>
                  </w:r>
                  <w:r>
                    <w:rPr>
                      <w:rFonts w:hint="eastAsia"/>
                      <w:sz w:val="21"/>
                      <w:szCs w:val="21"/>
                    </w:rPr>
                    <w:t>2</w:t>
                  </w:r>
                  <w:r>
                    <w:rPr>
                      <w:sz w:val="21"/>
                      <w:szCs w:val="21"/>
                    </w:rPr>
                    <w:t>根15m高排气筒（DA001</w:t>
                  </w:r>
                  <w:r>
                    <w:rPr>
                      <w:rFonts w:hint="eastAsia"/>
                      <w:sz w:val="21"/>
                      <w:szCs w:val="21"/>
                    </w:rPr>
                    <w:t>、DA002</w:t>
                  </w:r>
                  <w:r>
                    <w:rPr>
                      <w:sz w:val="21"/>
                      <w:szCs w:val="21"/>
                    </w:rPr>
                    <w:t>）</w:t>
                  </w:r>
                </w:p>
              </w:tc>
              <w:tc>
                <w:tcPr>
                  <w:tcW w:w="528" w:type="pct"/>
                  <w:vAlign w:val="center"/>
                </w:tcPr>
                <w:p>
                  <w:pPr>
                    <w:spacing w:line="360" w:lineRule="exact"/>
                    <w:jc w:val="center"/>
                    <w:rPr>
                      <w:sz w:val="21"/>
                      <w:szCs w:val="21"/>
                    </w:rPr>
                  </w:pPr>
                  <w:r>
                    <w:rPr>
                      <w:rFonts w:hint="eastAsia"/>
                      <w:sz w:val="21"/>
                      <w:szCs w:val="21"/>
                    </w:rPr>
                    <w:t>20</w:t>
                  </w:r>
                </w:p>
              </w:tc>
              <w:tc>
                <w:tcPr>
                  <w:tcW w:w="591" w:type="pct"/>
                  <w:vAlign w:val="center"/>
                </w:tcPr>
                <w:p>
                  <w:pPr>
                    <w:spacing w:line="36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Align w:val="center"/>
                </w:tcPr>
                <w:p>
                  <w:pPr>
                    <w:spacing w:line="360" w:lineRule="exact"/>
                    <w:jc w:val="center"/>
                    <w:rPr>
                      <w:sz w:val="21"/>
                      <w:szCs w:val="21"/>
                    </w:rPr>
                  </w:pPr>
                  <w:r>
                    <w:rPr>
                      <w:sz w:val="21"/>
                      <w:szCs w:val="21"/>
                    </w:rPr>
                    <w:t>噪声治理</w:t>
                  </w:r>
                </w:p>
              </w:tc>
              <w:tc>
                <w:tcPr>
                  <w:tcW w:w="2854" w:type="pct"/>
                  <w:vAlign w:val="center"/>
                </w:tcPr>
                <w:p>
                  <w:pPr>
                    <w:spacing w:line="360" w:lineRule="exact"/>
                    <w:rPr>
                      <w:sz w:val="21"/>
                      <w:szCs w:val="21"/>
                    </w:rPr>
                  </w:pPr>
                  <w:r>
                    <w:rPr>
                      <w:sz w:val="21"/>
                      <w:szCs w:val="21"/>
                    </w:rPr>
                    <w:t>选用低噪声设备，高噪声设备采取隔声、消声、吸声、基础减震处理等措施</w:t>
                  </w:r>
                </w:p>
              </w:tc>
              <w:tc>
                <w:tcPr>
                  <w:tcW w:w="528" w:type="pct"/>
                  <w:vAlign w:val="center"/>
                </w:tcPr>
                <w:p>
                  <w:pPr>
                    <w:spacing w:line="360" w:lineRule="exact"/>
                    <w:jc w:val="center"/>
                    <w:rPr>
                      <w:sz w:val="21"/>
                      <w:szCs w:val="21"/>
                    </w:rPr>
                  </w:pPr>
                  <w:r>
                    <w:rPr>
                      <w:sz w:val="21"/>
                      <w:szCs w:val="21"/>
                    </w:rPr>
                    <w:t>5</w:t>
                  </w:r>
                </w:p>
              </w:tc>
              <w:tc>
                <w:tcPr>
                  <w:tcW w:w="591" w:type="pct"/>
                  <w:vAlign w:val="center"/>
                </w:tcPr>
                <w:p>
                  <w:pPr>
                    <w:spacing w:line="36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Merge w:val="restart"/>
                  <w:vAlign w:val="center"/>
                </w:tcPr>
                <w:p>
                  <w:pPr>
                    <w:spacing w:line="360" w:lineRule="exact"/>
                    <w:jc w:val="center"/>
                    <w:rPr>
                      <w:sz w:val="21"/>
                      <w:szCs w:val="21"/>
                    </w:rPr>
                  </w:pPr>
                  <w:r>
                    <w:rPr>
                      <w:sz w:val="21"/>
                      <w:szCs w:val="21"/>
                    </w:rPr>
                    <w:t>固体</w:t>
                  </w:r>
                </w:p>
                <w:p>
                  <w:pPr>
                    <w:spacing w:line="360" w:lineRule="exact"/>
                    <w:jc w:val="center"/>
                    <w:rPr>
                      <w:sz w:val="21"/>
                      <w:szCs w:val="21"/>
                    </w:rPr>
                  </w:pPr>
                  <w:r>
                    <w:rPr>
                      <w:sz w:val="21"/>
                      <w:szCs w:val="21"/>
                    </w:rPr>
                    <w:t>废弃物处理</w:t>
                  </w:r>
                </w:p>
              </w:tc>
              <w:tc>
                <w:tcPr>
                  <w:tcW w:w="2854" w:type="pct"/>
                  <w:vAlign w:val="center"/>
                </w:tcPr>
                <w:p>
                  <w:pPr>
                    <w:spacing w:line="360" w:lineRule="exact"/>
                    <w:rPr>
                      <w:sz w:val="21"/>
                      <w:szCs w:val="21"/>
                    </w:rPr>
                  </w:pPr>
                  <w:r>
                    <w:rPr>
                      <w:sz w:val="21"/>
                      <w:szCs w:val="21"/>
                    </w:rPr>
                    <w:t>生活垃圾采用垃圾桶收集，由环卫部门清运处理</w:t>
                  </w:r>
                </w:p>
              </w:tc>
              <w:tc>
                <w:tcPr>
                  <w:tcW w:w="528" w:type="pct"/>
                  <w:vAlign w:val="center"/>
                </w:tcPr>
                <w:p>
                  <w:pPr>
                    <w:spacing w:line="360" w:lineRule="exact"/>
                    <w:jc w:val="center"/>
                    <w:rPr>
                      <w:sz w:val="21"/>
                      <w:szCs w:val="21"/>
                    </w:rPr>
                  </w:pPr>
                  <w:r>
                    <w:rPr>
                      <w:sz w:val="21"/>
                      <w:szCs w:val="21"/>
                    </w:rPr>
                    <w:t>1</w:t>
                  </w:r>
                </w:p>
              </w:tc>
              <w:tc>
                <w:tcPr>
                  <w:tcW w:w="591" w:type="pct"/>
                  <w:vAlign w:val="center"/>
                </w:tcPr>
                <w:p>
                  <w:pPr>
                    <w:spacing w:line="36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Merge w:val="continue"/>
                  <w:vAlign w:val="center"/>
                </w:tcPr>
                <w:p>
                  <w:pPr>
                    <w:spacing w:line="360" w:lineRule="exact"/>
                    <w:jc w:val="center"/>
                    <w:rPr>
                      <w:sz w:val="21"/>
                      <w:szCs w:val="21"/>
                    </w:rPr>
                  </w:pPr>
                </w:p>
              </w:tc>
              <w:tc>
                <w:tcPr>
                  <w:tcW w:w="2854" w:type="pct"/>
                  <w:vAlign w:val="center"/>
                </w:tcPr>
                <w:p>
                  <w:pPr>
                    <w:spacing w:line="360" w:lineRule="exact"/>
                    <w:rPr>
                      <w:sz w:val="21"/>
                      <w:szCs w:val="21"/>
                    </w:rPr>
                  </w:pPr>
                  <w:r>
                    <w:rPr>
                      <w:sz w:val="21"/>
                      <w:szCs w:val="21"/>
                    </w:rPr>
                    <w:t>栅渣</w:t>
                  </w:r>
                  <w:r>
                    <w:rPr>
                      <w:rFonts w:hint="eastAsia"/>
                      <w:sz w:val="21"/>
                      <w:szCs w:val="21"/>
                    </w:rPr>
                    <w:t>、沉砂和</w:t>
                  </w:r>
                  <w:r>
                    <w:rPr>
                      <w:sz w:val="21"/>
                      <w:szCs w:val="21"/>
                    </w:rPr>
                    <w:t>污泥经项目内脱水后</w:t>
                  </w:r>
                  <w:r>
                    <w:rPr>
                      <w:rFonts w:hint="eastAsia"/>
                      <w:sz w:val="21"/>
                      <w:szCs w:val="21"/>
                    </w:rPr>
                    <w:t>宣汉县环卫部门统一清运处置</w:t>
                  </w:r>
                </w:p>
              </w:tc>
              <w:tc>
                <w:tcPr>
                  <w:tcW w:w="528" w:type="pct"/>
                  <w:vAlign w:val="center"/>
                </w:tcPr>
                <w:p>
                  <w:pPr>
                    <w:spacing w:line="360" w:lineRule="exact"/>
                    <w:jc w:val="center"/>
                    <w:rPr>
                      <w:sz w:val="21"/>
                      <w:szCs w:val="21"/>
                    </w:rPr>
                  </w:pPr>
                  <w:r>
                    <w:rPr>
                      <w:rFonts w:hint="eastAsia"/>
                      <w:sz w:val="21"/>
                      <w:szCs w:val="21"/>
                    </w:rPr>
                    <w:t>20</w:t>
                  </w:r>
                </w:p>
              </w:tc>
              <w:tc>
                <w:tcPr>
                  <w:tcW w:w="591" w:type="pct"/>
                  <w:vAlign w:val="center"/>
                </w:tcPr>
                <w:p>
                  <w:pPr>
                    <w:spacing w:line="36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Merge w:val="continue"/>
                  <w:vAlign w:val="center"/>
                </w:tcPr>
                <w:p>
                  <w:pPr>
                    <w:spacing w:line="360" w:lineRule="exact"/>
                    <w:jc w:val="center"/>
                    <w:rPr>
                      <w:sz w:val="21"/>
                      <w:szCs w:val="21"/>
                    </w:rPr>
                  </w:pPr>
                </w:p>
              </w:tc>
              <w:tc>
                <w:tcPr>
                  <w:tcW w:w="2854" w:type="pct"/>
                  <w:vAlign w:val="center"/>
                </w:tcPr>
                <w:p>
                  <w:pPr>
                    <w:spacing w:line="360" w:lineRule="exact"/>
                    <w:rPr>
                      <w:sz w:val="21"/>
                      <w:szCs w:val="21"/>
                    </w:rPr>
                  </w:pPr>
                  <w:r>
                    <w:rPr>
                      <w:sz w:val="21"/>
                      <w:szCs w:val="21"/>
                    </w:rPr>
                    <w:t>生物滤池更换填料由原厂家回收</w:t>
                  </w:r>
                </w:p>
              </w:tc>
              <w:tc>
                <w:tcPr>
                  <w:tcW w:w="528" w:type="pct"/>
                  <w:vAlign w:val="center"/>
                </w:tcPr>
                <w:p>
                  <w:pPr>
                    <w:spacing w:line="360" w:lineRule="exact"/>
                    <w:jc w:val="center"/>
                    <w:rPr>
                      <w:sz w:val="21"/>
                      <w:szCs w:val="21"/>
                    </w:rPr>
                  </w:pPr>
                  <w:r>
                    <w:rPr>
                      <w:rFonts w:hint="eastAsia"/>
                      <w:sz w:val="21"/>
                      <w:szCs w:val="21"/>
                    </w:rPr>
                    <w:t>1</w:t>
                  </w:r>
                </w:p>
              </w:tc>
              <w:tc>
                <w:tcPr>
                  <w:tcW w:w="591" w:type="pct"/>
                  <w:vAlign w:val="center"/>
                </w:tcPr>
                <w:p>
                  <w:pPr>
                    <w:spacing w:line="36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Merge w:val="continue"/>
                  <w:vAlign w:val="center"/>
                </w:tcPr>
                <w:p>
                  <w:pPr>
                    <w:spacing w:line="360" w:lineRule="exact"/>
                    <w:jc w:val="center"/>
                    <w:rPr>
                      <w:sz w:val="21"/>
                      <w:szCs w:val="21"/>
                    </w:rPr>
                  </w:pPr>
                </w:p>
              </w:tc>
              <w:tc>
                <w:tcPr>
                  <w:tcW w:w="2854" w:type="pct"/>
                  <w:vAlign w:val="center"/>
                </w:tcPr>
                <w:p>
                  <w:pPr>
                    <w:spacing w:line="360" w:lineRule="exact"/>
                    <w:rPr>
                      <w:sz w:val="21"/>
                      <w:szCs w:val="21"/>
                    </w:rPr>
                  </w:pPr>
                  <w:r>
                    <w:rPr>
                      <w:rFonts w:hint="eastAsia"/>
                      <w:sz w:val="21"/>
                      <w:szCs w:val="21"/>
                    </w:rPr>
                    <w:t>加药间废包装物经收集后交由废品回收站处理</w:t>
                  </w:r>
                </w:p>
              </w:tc>
              <w:tc>
                <w:tcPr>
                  <w:tcW w:w="528" w:type="pct"/>
                  <w:vAlign w:val="center"/>
                </w:tcPr>
                <w:p>
                  <w:pPr>
                    <w:spacing w:line="360" w:lineRule="exact"/>
                    <w:jc w:val="center"/>
                    <w:rPr>
                      <w:sz w:val="21"/>
                      <w:szCs w:val="21"/>
                    </w:rPr>
                  </w:pPr>
                  <w:r>
                    <w:rPr>
                      <w:rFonts w:hint="eastAsia"/>
                      <w:sz w:val="21"/>
                      <w:szCs w:val="21"/>
                    </w:rPr>
                    <w:t>/</w:t>
                  </w:r>
                </w:p>
              </w:tc>
              <w:tc>
                <w:tcPr>
                  <w:tcW w:w="591" w:type="pct"/>
                  <w:vAlign w:val="center"/>
                </w:tcPr>
                <w:p>
                  <w:pPr>
                    <w:spacing w:line="360" w:lineRule="exact"/>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Merge w:val="continue"/>
                  <w:vAlign w:val="center"/>
                </w:tcPr>
                <w:p>
                  <w:pPr>
                    <w:spacing w:line="360" w:lineRule="exact"/>
                    <w:jc w:val="center"/>
                    <w:rPr>
                      <w:sz w:val="21"/>
                      <w:szCs w:val="21"/>
                    </w:rPr>
                  </w:pPr>
                </w:p>
              </w:tc>
              <w:tc>
                <w:tcPr>
                  <w:tcW w:w="2854" w:type="pct"/>
                  <w:vAlign w:val="center"/>
                </w:tcPr>
                <w:p>
                  <w:pPr>
                    <w:spacing w:line="360" w:lineRule="exact"/>
                    <w:rPr>
                      <w:sz w:val="21"/>
                      <w:szCs w:val="21"/>
                    </w:rPr>
                  </w:pPr>
                  <w:r>
                    <w:rPr>
                      <w:rFonts w:hint="eastAsia"/>
                      <w:sz w:val="21"/>
                      <w:szCs w:val="21"/>
                    </w:rPr>
                    <w:t>废弃化学试剂药品、废试剂瓶、</w:t>
                  </w:r>
                  <w:r>
                    <w:rPr>
                      <w:sz w:val="21"/>
                      <w:szCs w:val="21"/>
                    </w:rPr>
                    <w:t>在线监测设备废液</w:t>
                  </w:r>
                  <w:r>
                    <w:rPr>
                      <w:rFonts w:hint="eastAsia"/>
                      <w:sz w:val="21"/>
                      <w:szCs w:val="21"/>
                    </w:rPr>
                    <w:t>收集暂存于危废暂存间内，并定期交</w:t>
                  </w:r>
                  <w:r>
                    <w:rPr>
                      <w:sz w:val="21"/>
                      <w:szCs w:val="21"/>
                    </w:rPr>
                    <w:t>由</w:t>
                  </w:r>
                  <w:r>
                    <w:rPr>
                      <w:rFonts w:hint="eastAsia"/>
                      <w:sz w:val="21"/>
                      <w:szCs w:val="21"/>
                    </w:rPr>
                    <w:t>有危废资质的单位进行处理。</w:t>
                  </w:r>
                </w:p>
              </w:tc>
              <w:tc>
                <w:tcPr>
                  <w:tcW w:w="528" w:type="pct"/>
                  <w:vAlign w:val="center"/>
                </w:tcPr>
                <w:p>
                  <w:pPr>
                    <w:spacing w:line="360" w:lineRule="exact"/>
                    <w:jc w:val="center"/>
                    <w:rPr>
                      <w:sz w:val="21"/>
                      <w:szCs w:val="21"/>
                    </w:rPr>
                  </w:pPr>
                  <w:r>
                    <w:rPr>
                      <w:rFonts w:hint="eastAsia"/>
                      <w:sz w:val="21"/>
                      <w:szCs w:val="21"/>
                    </w:rPr>
                    <w:t>2</w:t>
                  </w:r>
                </w:p>
              </w:tc>
              <w:tc>
                <w:tcPr>
                  <w:tcW w:w="591" w:type="pct"/>
                  <w:vAlign w:val="center"/>
                </w:tcPr>
                <w:p>
                  <w:pPr>
                    <w:spacing w:line="360" w:lineRule="exact"/>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 w:hRule="atLeast"/>
                <w:jc w:val="center"/>
              </w:trPr>
              <w:tc>
                <w:tcPr>
                  <w:tcW w:w="413" w:type="pct"/>
                  <w:vMerge w:val="continue"/>
                  <w:vAlign w:val="center"/>
                </w:tcPr>
                <w:p>
                  <w:pPr>
                    <w:spacing w:line="360" w:lineRule="exact"/>
                    <w:jc w:val="center"/>
                    <w:rPr>
                      <w:sz w:val="21"/>
                      <w:szCs w:val="21"/>
                    </w:rPr>
                  </w:pPr>
                </w:p>
              </w:tc>
              <w:tc>
                <w:tcPr>
                  <w:tcW w:w="614" w:type="pct"/>
                  <w:vAlign w:val="center"/>
                </w:tcPr>
                <w:p>
                  <w:pPr>
                    <w:spacing w:line="360" w:lineRule="exact"/>
                    <w:jc w:val="center"/>
                    <w:rPr>
                      <w:sz w:val="21"/>
                      <w:szCs w:val="21"/>
                    </w:rPr>
                  </w:pPr>
                  <w:r>
                    <w:rPr>
                      <w:sz w:val="21"/>
                      <w:szCs w:val="21"/>
                    </w:rPr>
                    <w:t>地下水防治</w:t>
                  </w:r>
                </w:p>
              </w:tc>
              <w:tc>
                <w:tcPr>
                  <w:tcW w:w="2854" w:type="pct"/>
                  <w:vAlign w:val="center"/>
                </w:tcPr>
                <w:p>
                  <w:pPr>
                    <w:spacing w:line="360" w:lineRule="exact"/>
                    <w:rPr>
                      <w:sz w:val="21"/>
                      <w:szCs w:val="21"/>
                    </w:rPr>
                  </w:pPr>
                  <w:r>
                    <w:rPr>
                      <w:sz w:val="21"/>
                      <w:szCs w:val="21"/>
                    </w:rPr>
                    <w:t>重点防渗区：</w:t>
                  </w:r>
                  <w:r>
                    <w:rPr>
                      <w:rFonts w:hint="eastAsia"/>
                      <w:sz w:val="21"/>
                      <w:szCs w:val="21"/>
                    </w:rPr>
                    <w:t>危废暂存间、</w:t>
                  </w:r>
                  <w:r>
                    <w:rPr>
                      <w:sz w:val="21"/>
                      <w:szCs w:val="21"/>
                    </w:rPr>
                    <w:t>污水处理设施（包括格栅池、调节池、</w:t>
                  </w:r>
                  <w:r>
                    <w:rPr>
                      <w:rFonts w:hint="eastAsia"/>
                      <w:sz w:val="21"/>
                      <w:szCs w:val="21"/>
                    </w:rPr>
                    <w:t>沉砂池、</w:t>
                  </w:r>
                  <w:r>
                    <w:rPr>
                      <w:sz w:val="21"/>
                      <w:szCs w:val="21"/>
                    </w:rPr>
                    <w:t>生化处理设施</w:t>
                  </w:r>
                  <w:r>
                    <w:rPr>
                      <w:rFonts w:hint="eastAsia"/>
                      <w:sz w:val="21"/>
                      <w:szCs w:val="21"/>
                    </w:rPr>
                    <w:t>、二沉池、高效沉淀池及消毒池等</w:t>
                  </w:r>
                  <w:r>
                    <w:rPr>
                      <w:sz w:val="21"/>
                      <w:szCs w:val="21"/>
                    </w:rPr>
                    <w:t>）、污泥</w:t>
                  </w:r>
                  <w:r>
                    <w:rPr>
                      <w:rFonts w:hint="eastAsia"/>
                      <w:sz w:val="21"/>
                      <w:szCs w:val="21"/>
                    </w:rPr>
                    <w:t>储</w:t>
                  </w:r>
                  <w:r>
                    <w:rPr>
                      <w:sz w:val="21"/>
                      <w:szCs w:val="21"/>
                    </w:rPr>
                    <w:t>池、</w:t>
                  </w:r>
                  <w:r>
                    <w:rPr>
                      <w:rFonts w:hint="eastAsia"/>
                      <w:sz w:val="21"/>
                      <w:szCs w:val="21"/>
                    </w:rPr>
                    <w:t>污水</w:t>
                  </w:r>
                  <w:r>
                    <w:rPr>
                      <w:sz w:val="21"/>
                      <w:szCs w:val="21"/>
                    </w:rPr>
                    <w:t>脱水</w:t>
                  </w:r>
                  <w:r>
                    <w:rPr>
                      <w:rFonts w:hint="eastAsia"/>
                      <w:sz w:val="21"/>
                      <w:szCs w:val="21"/>
                    </w:rPr>
                    <w:t>车间、加氯加药间等</w:t>
                  </w:r>
                  <w:r>
                    <w:rPr>
                      <w:sz w:val="21"/>
                      <w:szCs w:val="21"/>
                    </w:rPr>
                    <w:t>区域</w:t>
                  </w:r>
                  <w:r>
                    <w:rPr>
                      <w:rFonts w:hint="eastAsia"/>
                      <w:sz w:val="21"/>
                      <w:szCs w:val="21"/>
                    </w:rPr>
                    <w:t>。</w:t>
                  </w:r>
                  <w:r>
                    <w:rPr>
                      <w:sz w:val="21"/>
                      <w:szCs w:val="21"/>
                    </w:rPr>
                    <w:t>防渗技术要求为等效粘土防渗层Mb≥6.0m，K≤10</w:t>
                  </w:r>
                  <w:r>
                    <w:rPr>
                      <w:sz w:val="21"/>
                      <w:szCs w:val="21"/>
                      <w:vertAlign w:val="superscript"/>
                    </w:rPr>
                    <w:t>-7</w:t>
                  </w:r>
                  <w:r>
                    <w:rPr>
                      <w:sz w:val="21"/>
                      <w:szCs w:val="21"/>
                    </w:rPr>
                    <w:t>cm/s。</w:t>
                  </w:r>
                </w:p>
                <w:p>
                  <w:pPr>
                    <w:spacing w:line="360" w:lineRule="exact"/>
                    <w:rPr>
                      <w:sz w:val="21"/>
                      <w:szCs w:val="21"/>
                    </w:rPr>
                  </w:pPr>
                  <w:r>
                    <w:rPr>
                      <w:sz w:val="21"/>
                      <w:szCs w:val="21"/>
                    </w:rPr>
                    <w:t>一般防渗区：</w:t>
                  </w:r>
                  <w:r>
                    <w:rPr>
                      <w:rFonts w:hint="eastAsia"/>
                      <w:sz w:val="21"/>
                      <w:szCs w:val="21"/>
                    </w:rPr>
                    <w:t>隔油池、在线监测室、鼓风机房、综合用房（除重点防渗区外的区域）</w:t>
                  </w:r>
                  <w:r>
                    <w:rPr>
                      <w:sz w:val="21"/>
                      <w:szCs w:val="21"/>
                    </w:rPr>
                    <w:t>。防渗技术要求为等效粘土防渗层Mb≥1.5m，K≤10</w:t>
                  </w:r>
                  <w:r>
                    <w:rPr>
                      <w:sz w:val="21"/>
                      <w:szCs w:val="21"/>
                      <w:vertAlign w:val="superscript"/>
                    </w:rPr>
                    <w:t>-7</w:t>
                  </w:r>
                  <w:r>
                    <w:rPr>
                      <w:sz w:val="21"/>
                      <w:szCs w:val="21"/>
                    </w:rPr>
                    <w:t>cm/s。</w:t>
                  </w:r>
                </w:p>
                <w:p>
                  <w:pPr>
                    <w:spacing w:line="360" w:lineRule="exact"/>
                    <w:rPr>
                      <w:sz w:val="21"/>
                      <w:szCs w:val="21"/>
                    </w:rPr>
                  </w:pPr>
                  <w:r>
                    <w:rPr>
                      <w:sz w:val="21"/>
                      <w:szCs w:val="21"/>
                    </w:rPr>
                    <w:t>简单防渗区：</w:t>
                  </w:r>
                  <w:r>
                    <w:rPr>
                      <w:rFonts w:hint="eastAsia"/>
                      <w:sz w:val="21"/>
                      <w:szCs w:val="21"/>
                    </w:rPr>
                    <w:t>道路、门卫等。</w:t>
                  </w:r>
                  <w:r>
                    <w:rPr>
                      <w:sz w:val="21"/>
                      <w:szCs w:val="21"/>
                    </w:rPr>
                    <w:t>防渗技术要求为一般地面硬化。</w:t>
                  </w:r>
                </w:p>
              </w:tc>
              <w:tc>
                <w:tcPr>
                  <w:tcW w:w="528" w:type="pct"/>
                  <w:vAlign w:val="center"/>
                </w:tcPr>
                <w:p>
                  <w:pPr>
                    <w:spacing w:line="360" w:lineRule="exact"/>
                    <w:jc w:val="center"/>
                    <w:rPr>
                      <w:sz w:val="21"/>
                      <w:szCs w:val="21"/>
                    </w:rPr>
                  </w:pPr>
                  <w:r>
                    <w:rPr>
                      <w:rFonts w:hint="eastAsia"/>
                      <w:sz w:val="21"/>
                      <w:szCs w:val="21"/>
                    </w:rPr>
                    <w:t>20</w:t>
                  </w:r>
                </w:p>
              </w:tc>
              <w:tc>
                <w:tcPr>
                  <w:tcW w:w="591" w:type="pct"/>
                  <w:vAlign w:val="center"/>
                </w:tcPr>
                <w:p>
                  <w:pPr>
                    <w:spacing w:line="36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Align w:val="center"/>
                </w:tcPr>
                <w:p>
                  <w:pPr>
                    <w:spacing w:line="360" w:lineRule="exact"/>
                    <w:jc w:val="center"/>
                    <w:rPr>
                      <w:sz w:val="21"/>
                      <w:szCs w:val="21"/>
                    </w:rPr>
                  </w:pPr>
                  <w:r>
                    <w:rPr>
                      <w:sz w:val="21"/>
                      <w:szCs w:val="21"/>
                    </w:rPr>
                    <w:t>环境跟踪监测计划</w:t>
                  </w:r>
                </w:p>
              </w:tc>
              <w:tc>
                <w:tcPr>
                  <w:tcW w:w="2854" w:type="pct"/>
                  <w:vAlign w:val="center"/>
                </w:tcPr>
                <w:p>
                  <w:pPr>
                    <w:spacing w:line="360" w:lineRule="exact"/>
                    <w:jc w:val="center"/>
                    <w:rPr>
                      <w:sz w:val="21"/>
                      <w:szCs w:val="21"/>
                    </w:rPr>
                  </w:pPr>
                  <w:r>
                    <w:rPr>
                      <w:sz w:val="21"/>
                      <w:szCs w:val="21"/>
                    </w:rPr>
                    <w:t>对污染源及环境质量按照监测计划进行定期监测</w:t>
                  </w:r>
                </w:p>
              </w:tc>
              <w:tc>
                <w:tcPr>
                  <w:tcW w:w="528" w:type="pct"/>
                  <w:vAlign w:val="center"/>
                </w:tcPr>
                <w:p>
                  <w:pPr>
                    <w:spacing w:line="360" w:lineRule="exact"/>
                    <w:jc w:val="center"/>
                    <w:rPr>
                      <w:sz w:val="21"/>
                      <w:szCs w:val="21"/>
                    </w:rPr>
                  </w:pPr>
                  <w:r>
                    <w:rPr>
                      <w:rFonts w:hint="eastAsia"/>
                      <w:sz w:val="21"/>
                      <w:szCs w:val="21"/>
                    </w:rPr>
                    <w:t>10</w:t>
                  </w:r>
                </w:p>
              </w:tc>
              <w:tc>
                <w:tcPr>
                  <w:tcW w:w="591" w:type="pct"/>
                  <w:vAlign w:val="center"/>
                </w:tcPr>
                <w:p>
                  <w:pPr>
                    <w:spacing w:line="360" w:lineRule="exact"/>
                    <w:jc w:val="center"/>
                    <w:rPr>
                      <w:sz w:val="21"/>
                      <w:szCs w:val="21"/>
                    </w:rPr>
                  </w:pPr>
                  <w:r>
                    <w:rPr>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Merge w:val="restart"/>
                  <w:vAlign w:val="center"/>
                </w:tcPr>
                <w:p>
                  <w:pPr>
                    <w:spacing w:line="360" w:lineRule="exact"/>
                    <w:jc w:val="center"/>
                    <w:rPr>
                      <w:sz w:val="21"/>
                      <w:szCs w:val="21"/>
                    </w:rPr>
                  </w:pPr>
                  <w:r>
                    <w:rPr>
                      <w:rFonts w:hint="eastAsia"/>
                      <w:sz w:val="21"/>
                      <w:szCs w:val="21"/>
                    </w:rPr>
                    <w:t>风险防范</w:t>
                  </w:r>
                </w:p>
              </w:tc>
              <w:tc>
                <w:tcPr>
                  <w:tcW w:w="2854" w:type="pct"/>
                  <w:vAlign w:val="center"/>
                </w:tcPr>
                <w:p>
                  <w:pPr>
                    <w:spacing w:line="360" w:lineRule="exact"/>
                    <w:jc w:val="center"/>
                    <w:rPr>
                      <w:sz w:val="21"/>
                      <w:szCs w:val="21"/>
                    </w:rPr>
                  </w:pPr>
                  <w:r>
                    <w:rPr>
                      <w:rFonts w:hint="eastAsia"/>
                      <w:sz w:val="21"/>
                      <w:szCs w:val="21"/>
                    </w:rPr>
                    <w:t>建立环境风险预案小组、编制突发环境事件应急预案</w:t>
                  </w:r>
                </w:p>
              </w:tc>
              <w:tc>
                <w:tcPr>
                  <w:tcW w:w="528" w:type="pct"/>
                  <w:vAlign w:val="center"/>
                </w:tcPr>
                <w:p>
                  <w:pPr>
                    <w:spacing w:line="360" w:lineRule="exact"/>
                    <w:jc w:val="center"/>
                    <w:rPr>
                      <w:sz w:val="21"/>
                      <w:szCs w:val="21"/>
                    </w:rPr>
                  </w:pPr>
                  <w:r>
                    <w:rPr>
                      <w:rFonts w:hint="eastAsia"/>
                      <w:sz w:val="21"/>
                      <w:szCs w:val="21"/>
                    </w:rPr>
                    <w:t>2</w:t>
                  </w:r>
                </w:p>
              </w:tc>
              <w:tc>
                <w:tcPr>
                  <w:tcW w:w="591" w:type="pct"/>
                  <w:vAlign w:val="center"/>
                </w:tcPr>
                <w:p>
                  <w:pPr>
                    <w:spacing w:line="360" w:lineRule="exact"/>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Merge w:val="continue"/>
                  <w:vAlign w:val="center"/>
                </w:tcPr>
                <w:p>
                  <w:pPr>
                    <w:spacing w:line="360" w:lineRule="exact"/>
                    <w:jc w:val="center"/>
                    <w:rPr>
                      <w:sz w:val="21"/>
                      <w:szCs w:val="21"/>
                    </w:rPr>
                  </w:pPr>
                </w:p>
              </w:tc>
              <w:tc>
                <w:tcPr>
                  <w:tcW w:w="2854" w:type="pct"/>
                  <w:vAlign w:val="center"/>
                </w:tcPr>
                <w:p>
                  <w:pPr>
                    <w:spacing w:line="360" w:lineRule="exact"/>
                    <w:jc w:val="center"/>
                    <w:rPr>
                      <w:sz w:val="21"/>
                      <w:szCs w:val="21"/>
                    </w:rPr>
                  </w:pPr>
                  <w:r>
                    <w:rPr>
                      <w:rFonts w:hint="eastAsia"/>
                      <w:sz w:val="21"/>
                      <w:szCs w:val="21"/>
                    </w:rPr>
                    <w:t>污水厂中控系统</w:t>
                  </w:r>
                </w:p>
              </w:tc>
              <w:tc>
                <w:tcPr>
                  <w:tcW w:w="528" w:type="pct"/>
                  <w:vAlign w:val="center"/>
                </w:tcPr>
                <w:p>
                  <w:pPr>
                    <w:spacing w:line="360" w:lineRule="exact"/>
                    <w:jc w:val="center"/>
                    <w:rPr>
                      <w:sz w:val="21"/>
                      <w:szCs w:val="21"/>
                    </w:rPr>
                  </w:pPr>
                  <w:r>
                    <w:rPr>
                      <w:rFonts w:hint="eastAsia"/>
                      <w:sz w:val="21"/>
                      <w:szCs w:val="21"/>
                    </w:rPr>
                    <w:t>/</w:t>
                  </w:r>
                </w:p>
              </w:tc>
              <w:tc>
                <w:tcPr>
                  <w:tcW w:w="591" w:type="pct"/>
                  <w:vMerge w:val="restart"/>
                  <w:vAlign w:val="center"/>
                </w:tcPr>
                <w:p>
                  <w:pPr>
                    <w:spacing w:line="360" w:lineRule="exact"/>
                    <w:jc w:val="center"/>
                    <w:rPr>
                      <w:sz w:val="21"/>
                      <w:szCs w:val="21"/>
                    </w:rPr>
                  </w:pPr>
                  <w:r>
                    <w:rPr>
                      <w:sz w:val="21"/>
                      <w:szCs w:val="21"/>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13" w:type="pct"/>
                  <w:vMerge w:val="continue"/>
                  <w:vAlign w:val="center"/>
                </w:tcPr>
                <w:p>
                  <w:pPr>
                    <w:spacing w:line="360" w:lineRule="exact"/>
                    <w:jc w:val="center"/>
                    <w:rPr>
                      <w:sz w:val="21"/>
                      <w:szCs w:val="21"/>
                    </w:rPr>
                  </w:pPr>
                </w:p>
              </w:tc>
              <w:tc>
                <w:tcPr>
                  <w:tcW w:w="614" w:type="pct"/>
                  <w:vMerge w:val="continue"/>
                  <w:vAlign w:val="center"/>
                </w:tcPr>
                <w:p>
                  <w:pPr>
                    <w:spacing w:line="360" w:lineRule="exact"/>
                    <w:jc w:val="center"/>
                    <w:rPr>
                      <w:sz w:val="21"/>
                      <w:szCs w:val="21"/>
                    </w:rPr>
                  </w:pPr>
                </w:p>
              </w:tc>
              <w:tc>
                <w:tcPr>
                  <w:tcW w:w="2854" w:type="pct"/>
                  <w:vAlign w:val="center"/>
                </w:tcPr>
                <w:p>
                  <w:pPr>
                    <w:spacing w:line="360" w:lineRule="exact"/>
                    <w:jc w:val="center"/>
                    <w:rPr>
                      <w:sz w:val="21"/>
                      <w:szCs w:val="21"/>
                    </w:rPr>
                  </w:pPr>
                  <w:r>
                    <w:rPr>
                      <w:rFonts w:hint="eastAsia"/>
                      <w:sz w:val="21"/>
                      <w:szCs w:val="21"/>
                    </w:rPr>
                    <w:t>进厂、出厂污水截断装置</w:t>
                  </w:r>
                </w:p>
              </w:tc>
              <w:tc>
                <w:tcPr>
                  <w:tcW w:w="528" w:type="pct"/>
                  <w:vAlign w:val="center"/>
                </w:tcPr>
                <w:p>
                  <w:pPr>
                    <w:spacing w:line="360" w:lineRule="exact"/>
                    <w:jc w:val="center"/>
                    <w:rPr>
                      <w:sz w:val="21"/>
                      <w:szCs w:val="21"/>
                    </w:rPr>
                  </w:pPr>
                  <w:r>
                    <w:rPr>
                      <w:rFonts w:hint="eastAsia"/>
                      <w:sz w:val="21"/>
                      <w:szCs w:val="21"/>
                    </w:rPr>
                    <w:t>/</w:t>
                  </w:r>
                </w:p>
              </w:tc>
              <w:tc>
                <w:tcPr>
                  <w:tcW w:w="591" w:type="pct"/>
                  <w:vMerge w:val="continue"/>
                  <w:vAlign w:val="center"/>
                </w:tcPr>
                <w:p>
                  <w:pPr>
                    <w:spacing w:line="3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3881" w:type="pct"/>
                  <w:gridSpan w:val="3"/>
                  <w:vAlign w:val="center"/>
                </w:tcPr>
                <w:p>
                  <w:pPr>
                    <w:spacing w:line="360" w:lineRule="exact"/>
                    <w:jc w:val="center"/>
                    <w:rPr>
                      <w:sz w:val="21"/>
                      <w:szCs w:val="21"/>
                    </w:rPr>
                  </w:pPr>
                  <w:r>
                    <w:rPr>
                      <w:sz w:val="21"/>
                      <w:szCs w:val="21"/>
                    </w:rPr>
                    <w:t>合计</w:t>
                  </w:r>
                </w:p>
              </w:tc>
              <w:tc>
                <w:tcPr>
                  <w:tcW w:w="528" w:type="pct"/>
                  <w:vAlign w:val="center"/>
                </w:tcPr>
                <w:p>
                  <w:pPr>
                    <w:spacing w:line="360" w:lineRule="exact"/>
                    <w:jc w:val="center"/>
                    <w:rPr>
                      <w:sz w:val="21"/>
                      <w:szCs w:val="21"/>
                    </w:rPr>
                  </w:pPr>
                  <w:r>
                    <w:rPr>
                      <w:rFonts w:hint="eastAsia"/>
                      <w:sz w:val="21"/>
                      <w:szCs w:val="21"/>
                    </w:rPr>
                    <w:t>123</w:t>
                  </w:r>
                </w:p>
              </w:tc>
              <w:tc>
                <w:tcPr>
                  <w:tcW w:w="591" w:type="pct"/>
                  <w:vAlign w:val="center"/>
                </w:tcPr>
                <w:p>
                  <w:pPr>
                    <w:spacing w:line="360" w:lineRule="exact"/>
                    <w:jc w:val="center"/>
                    <w:rPr>
                      <w:sz w:val="21"/>
                      <w:szCs w:val="21"/>
                    </w:rPr>
                  </w:pPr>
                </w:p>
              </w:tc>
            </w:tr>
          </w:tbl>
          <w:p>
            <w:pPr>
              <w:widowControl w:val="0"/>
              <w:jc w:val="both"/>
            </w:pPr>
          </w:p>
        </w:tc>
      </w:tr>
    </w:tbl>
    <w:p/>
    <w:p>
      <w:pPr>
        <w:rPr>
          <w:rFonts w:asciiTheme="majorHAnsi" w:hAnsiTheme="majorHAnsi"/>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type="lines" w:linePitch="326" w:charSpace="0"/>
        </w:sectPr>
      </w:pPr>
    </w:p>
    <w:p>
      <w:pPr>
        <w:pStyle w:val="40"/>
        <w:jc w:val="center"/>
        <w:outlineLvl w:val="0"/>
        <w:rPr>
          <w:rFonts w:ascii="黑体" w:hAnsi="黑体" w:eastAsia="黑体"/>
          <w:snapToGrid w:val="0"/>
          <w:sz w:val="30"/>
          <w:szCs w:val="30"/>
          <w:lang w:val="zh-CN"/>
        </w:rPr>
      </w:pPr>
      <w:bookmarkStart w:id="29" w:name="_Toc118974743"/>
      <w:bookmarkStart w:id="30" w:name="_Toc26446"/>
      <w:r>
        <w:rPr>
          <w:rFonts w:hint="eastAsia" w:ascii="黑体" w:hAnsi="黑体" w:eastAsia="黑体"/>
          <w:snapToGrid w:val="0"/>
          <w:sz w:val="30"/>
          <w:szCs w:val="30"/>
          <w:lang w:val="zh-CN"/>
        </w:rPr>
        <w:t>五、环境保护措施监督检查清单</w:t>
      </w:r>
      <w:bookmarkEnd w:id="29"/>
      <w:bookmarkEnd w:id="30"/>
    </w:p>
    <w:tbl>
      <w:tblPr>
        <w:tblStyle w:val="4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335"/>
        <w:gridCol w:w="1153"/>
        <w:gridCol w:w="2940"/>
        <w:gridCol w:w="22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64" w:type="dxa"/>
            <w:tcBorders>
              <w:tl2br w:val="single" w:color="auto" w:sz="4" w:space="0"/>
            </w:tcBorders>
          </w:tcPr>
          <w:p>
            <w:pPr>
              <w:pStyle w:val="56"/>
              <w:spacing w:line="360" w:lineRule="atLeast"/>
              <w:jc w:val="right"/>
              <w:rPr>
                <w:szCs w:val="21"/>
              </w:rPr>
            </w:pPr>
            <w:r>
              <w:rPr>
                <w:rFonts w:hint="eastAsia"/>
                <w:szCs w:val="21"/>
              </w:rPr>
              <w:t>内容</w:t>
            </w:r>
          </w:p>
          <w:p>
            <w:pPr>
              <w:pStyle w:val="56"/>
              <w:spacing w:line="360" w:lineRule="atLeast"/>
              <w:rPr>
                <w:szCs w:val="21"/>
              </w:rPr>
            </w:pPr>
          </w:p>
          <w:p>
            <w:pPr>
              <w:pStyle w:val="56"/>
              <w:spacing w:line="360" w:lineRule="atLeast"/>
              <w:jc w:val="left"/>
              <w:rPr>
                <w:szCs w:val="21"/>
              </w:rPr>
            </w:pPr>
            <w:r>
              <w:rPr>
                <w:rFonts w:hint="eastAsia"/>
                <w:szCs w:val="21"/>
              </w:rPr>
              <w:t>要素</w:t>
            </w:r>
          </w:p>
        </w:tc>
        <w:tc>
          <w:tcPr>
            <w:tcW w:w="1335" w:type="dxa"/>
            <w:vAlign w:val="center"/>
          </w:tcPr>
          <w:p>
            <w:pPr>
              <w:pStyle w:val="56"/>
              <w:spacing w:line="360" w:lineRule="atLeast"/>
              <w:rPr>
                <w:szCs w:val="21"/>
              </w:rPr>
            </w:pPr>
            <w:r>
              <w:rPr>
                <w:rFonts w:hint="eastAsia"/>
                <w:szCs w:val="21"/>
              </w:rPr>
              <w:t>排放口(编号、名称)/污染源</w:t>
            </w:r>
          </w:p>
        </w:tc>
        <w:tc>
          <w:tcPr>
            <w:tcW w:w="1153" w:type="dxa"/>
            <w:vAlign w:val="center"/>
          </w:tcPr>
          <w:p>
            <w:pPr>
              <w:pStyle w:val="56"/>
              <w:spacing w:line="360" w:lineRule="atLeast"/>
              <w:rPr>
                <w:szCs w:val="21"/>
              </w:rPr>
            </w:pPr>
            <w:r>
              <w:rPr>
                <w:rFonts w:hint="eastAsia"/>
                <w:szCs w:val="21"/>
              </w:rPr>
              <w:t>污染物项目</w:t>
            </w:r>
          </w:p>
        </w:tc>
        <w:tc>
          <w:tcPr>
            <w:tcW w:w="2940" w:type="dxa"/>
            <w:vAlign w:val="center"/>
          </w:tcPr>
          <w:p>
            <w:pPr>
              <w:pStyle w:val="56"/>
              <w:spacing w:line="360" w:lineRule="atLeast"/>
              <w:rPr>
                <w:szCs w:val="21"/>
              </w:rPr>
            </w:pPr>
            <w:r>
              <w:rPr>
                <w:rFonts w:hint="eastAsia"/>
                <w:szCs w:val="21"/>
              </w:rPr>
              <w:t>环境保护措施</w:t>
            </w:r>
          </w:p>
        </w:tc>
        <w:tc>
          <w:tcPr>
            <w:tcW w:w="2208" w:type="dxa"/>
            <w:vAlign w:val="center"/>
          </w:tcPr>
          <w:p>
            <w:pPr>
              <w:pStyle w:val="56"/>
              <w:spacing w:line="360" w:lineRule="atLeast"/>
              <w:rPr>
                <w:szCs w:val="21"/>
              </w:rPr>
            </w:pPr>
            <w:r>
              <w:rPr>
                <w:rFonts w:hint="eastAsia"/>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64" w:type="dxa"/>
            <w:vMerge w:val="restart"/>
            <w:vAlign w:val="center"/>
          </w:tcPr>
          <w:p>
            <w:pPr>
              <w:pStyle w:val="56"/>
              <w:spacing w:line="360" w:lineRule="atLeast"/>
              <w:rPr>
                <w:szCs w:val="21"/>
              </w:rPr>
            </w:pPr>
            <w:r>
              <w:rPr>
                <w:szCs w:val="21"/>
              </w:rPr>
              <w:t>大气环境</w:t>
            </w:r>
          </w:p>
        </w:tc>
        <w:tc>
          <w:tcPr>
            <w:tcW w:w="1335" w:type="dxa"/>
            <w:vAlign w:val="center"/>
          </w:tcPr>
          <w:p>
            <w:pPr>
              <w:spacing w:line="360" w:lineRule="atLeast"/>
              <w:jc w:val="center"/>
              <w:textAlignment w:val="center"/>
              <w:rPr>
                <w:sz w:val="21"/>
                <w:szCs w:val="21"/>
              </w:rPr>
            </w:pPr>
            <w:r>
              <w:rPr>
                <w:rFonts w:hint="eastAsia"/>
                <w:sz w:val="21"/>
                <w:szCs w:val="21"/>
              </w:rPr>
              <w:t>污水处理厂一期废气排口</w:t>
            </w:r>
          </w:p>
        </w:tc>
        <w:tc>
          <w:tcPr>
            <w:tcW w:w="1153" w:type="dxa"/>
            <w:vMerge w:val="restart"/>
            <w:vAlign w:val="center"/>
          </w:tcPr>
          <w:p>
            <w:pPr>
              <w:pStyle w:val="56"/>
              <w:spacing w:line="360" w:lineRule="atLeast"/>
              <w:rPr>
                <w:szCs w:val="21"/>
              </w:rPr>
            </w:pPr>
            <w:r>
              <w:rPr>
                <w:rFonts w:hint="eastAsia"/>
                <w:szCs w:val="21"/>
              </w:rPr>
              <w:t>氨</w:t>
            </w:r>
          </w:p>
          <w:p>
            <w:pPr>
              <w:pStyle w:val="56"/>
              <w:spacing w:line="360" w:lineRule="atLeast"/>
              <w:rPr>
                <w:szCs w:val="21"/>
              </w:rPr>
            </w:pPr>
            <w:r>
              <w:rPr>
                <w:rFonts w:hint="eastAsia"/>
                <w:szCs w:val="21"/>
              </w:rPr>
              <w:t>硫化氢</w:t>
            </w:r>
          </w:p>
          <w:p>
            <w:pPr>
              <w:pStyle w:val="56"/>
              <w:spacing w:line="360" w:lineRule="atLeast"/>
              <w:rPr>
                <w:szCs w:val="21"/>
              </w:rPr>
            </w:pPr>
            <w:r>
              <w:rPr>
                <w:rFonts w:hint="eastAsia"/>
                <w:szCs w:val="21"/>
              </w:rPr>
              <w:t>臭气浓度</w:t>
            </w:r>
          </w:p>
        </w:tc>
        <w:tc>
          <w:tcPr>
            <w:tcW w:w="2940" w:type="dxa"/>
            <w:vAlign w:val="center"/>
          </w:tcPr>
          <w:p>
            <w:pPr>
              <w:pStyle w:val="56"/>
              <w:spacing w:line="360" w:lineRule="atLeast"/>
              <w:rPr>
                <w:spacing w:val="-10"/>
                <w:kern w:val="0"/>
                <w:szCs w:val="21"/>
              </w:rPr>
            </w:pPr>
            <w:r>
              <w:rPr>
                <w:rFonts w:hint="eastAsia"/>
                <w:szCs w:val="21"/>
              </w:rPr>
              <w:t>产臭单元顶部加盖或密闭，1期恶臭</w:t>
            </w:r>
            <w:r>
              <w:rPr>
                <w:szCs w:val="21"/>
              </w:rPr>
              <w:t>废气经</w:t>
            </w:r>
            <w:r>
              <w:rPr>
                <w:rFonts w:hint="eastAsia"/>
                <w:szCs w:val="21"/>
              </w:rPr>
              <w:t>密闭加罩+</w:t>
            </w:r>
            <w:r>
              <w:rPr>
                <w:szCs w:val="21"/>
              </w:rPr>
              <w:t>集气管道+负压收集+</w:t>
            </w:r>
            <w:r>
              <w:rPr>
                <w:rFonts w:hint="eastAsia"/>
                <w:szCs w:val="21"/>
              </w:rPr>
              <w:t>1</w:t>
            </w:r>
            <w:r>
              <w:rPr>
                <w:szCs w:val="21"/>
              </w:rPr>
              <w:t>套生物除臭装置（TA001）+</w:t>
            </w:r>
            <w:r>
              <w:rPr>
                <w:rFonts w:hint="eastAsia"/>
                <w:szCs w:val="21"/>
              </w:rPr>
              <w:t>1</w:t>
            </w:r>
            <w:r>
              <w:rPr>
                <w:szCs w:val="21"/>
              </w:rPr>
              <w:t>根15m高排气筒（DA001）</w:t>
            </w:r>
            <w:r>
              <w:rPr>
                <w:rFonts w:hint="eastAsia"/>
                <w:szCs w:val="21"/>
              </w:rPr>
              <w:t>；</w:t>
            </w:r>
          </w:p>
        </w:tc>
        <w:tc>
          <w:tcPr>
            <w:tcW w:w="2208" w:type="dxa"/>
            <w:vMerge w:val="restart"/>
            <w:vAlign w:val="center"/>
          </w:tcPr>
          <w:p>
            <w:pPr>
              <w:pStyle w:val="56"/>
              <w:spacing w:line="360" w:lineRule="atLeast"/>
              <w:rPr>
                <w:szCs w:val="21"/>
              </w:rPr>
            </w:pPr>
            <w:r>
              <w:rPr>
                <w:rFonts w:hint="eastAsia"/>
                <w:szCs w:val="21"/>
              </w:rPr>
              <w:t>《恶臭污染物排放标准》（</w:t>
            </w:r>
            <w:r>
              <w:rPr>
                <w:szCs w:val="21"/>
              </w:rPr>
              <w:t>GB14554-93</w:t>
            </w:r>
            <w:r>
              <w:rPr>
                <w:rFonts w:hint="eastAsia"/>
                <w:szCs w:val="21"/>
              </w:rPr>
              <w:t>）表</w:t>
            </w:r>
            <w:r>
              <w:rPr>
                <w:szCs w:val="21"/>
              </w:rPr>
              <w:t>1</w:t>
            </w:r>
            <w:r>
              <w:rPr>
                <w:rFonts w:hint="eastAsia"/>
                <w:szCs w:val="21"/>
              </w:rPr>
              <w:t>中二级标准</w:t>
            </w:r>
          </w:p>
          <w:p>
            <w:pPr>
              <w:spacing w:line="360" w:lineRule="atLeast"/>
              <w:jc w:val="center"/>
              <w:rPr>
                <w:sz w:val="21"/>
                <w:szCs w:val="21"/>
              </w:rPr>
            </w:pPr>
            <w:r>
              <w:rPr>
                <w:rFonts w:hint="eastAsia"/>
                <w:sz w:val="21"/>
                <w:szCs w:val="21"/>
              </w:rPr>
              <w:t>《城镇污水处理厂污染物排放标准》</w:t>
            </w:r>
          </w:p>
          <w:p>
            <w:pPr>
              <w:spacing w:line="360" w:lineRule="atLeast"/>
              <w:jc w:val="center"/>
              <w:rPr>
                <w:sz w:val="21"/>
                <w:szCs w:val="21"/>
                <w:lang w:val="zh-CN"/>
              </w:rPr>
            </w:pPr>
            <w:r>
              <w:rPr>
                <w:rFonts w:hint="eastAsia"/>
                <w:sz w:val="21"/>
                <w:szCs w:val="21"/>
              </w:rPr>
              <w:t>（GB18918-2002）中表 4 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64" w:type="dxa"/>
            <w:vMerge w:val="continue"/>
            <w:vAlign w:val="center"/>
          </w:tcPr>
          <w:p>
            <w:pPr>
              <w:pStyle w:val="56"/>
              <w:spacing w:line="360" w:lineRule="atLeast"/>
              <w:rPr>
                <w:szCs w:val="21"/>
              </w:rPr>
            </w:pPr>
          </w:p>
        </w:tc>
        <w:tc>
          <w:tcPr>
            <w:tcW w:w="1335" w:type="dxa"/>
            <w:vAlign w:val="center"/>
          </w:tcPr>
          <w:p>
            <w:pPr>
              <w:spacing w:line="360" w:lineRule="atLeast"/>
              <w:jc w:val="center"/>
              <w:textAlignment w:val="center"/>
              <w:rPr>
                <w:sz w:val="21"/>
                <w:szCs w:val="21"/>
              </w:rPr>
            </w:pPr>
            <w:r>
              <w:rPr>
                <w:rFonts w:hint="eastAsia"/>
                <w:sz w:val="21"/>
                <w:szCs w:val="21"/>
              </w:rPr>
              <w:t>污水处理厂二期废气排口</w:t>
            </w:r>
          </w:p>
        </w:tc>
        <w:tc>
          <w:tcPr>
            <w:tcW w:w="1153" w:type="dxa"/>
            <w:vMerge w:val="continue"/>
            <w:vAlign w:val="center"/>
          </w:tcPr>
          <w:p>
            <w:pPr>
              <w:pStyle w:val="56"/>
              <w:spacing w:line="360" w:lineRule="atLeast"/>
              <w:rPr>
                <w:szCs w:val="21"/>
              </w:rPr>
            </w:pPr>
          </w:p>
        </w:tc>
        <w:tc>
          <w:tcPr>
            <w:tcW w:w="2940" w:type="dxa"/>
            <w:vAlign w:val="center"/>
          </w:tcPr>
          <w:p>
            <w:pPr>
              <w:pStyle w:val="56"/>
              <w:spacing w:line="360" w:lineRule="atLeast"/>
              <w:rPr>
                <w:szCs w:val="21"/>
              </w:rPr>
            </w:pPr>
            <w:r>
              <w:rPr>
                <w:rFonts w:hint="eastAsia"/>
                <w:szCs w:val="21"/>
              </w:rPr>
              <w:t>产臭单元顶部加盖或密闭，2期恶臭</w:t>
            </w:r>
            <w:r>
              <w:rPr>
                <w:szCs w:val="21"/>
              </w:rPr>
              <w:t>废气经</w:t>
            </w:r>
            <w:r>
              <w:rPr>
                <w:rFonts w:hint="eastAsia"/>
                <w:szCs w:val="21"/>
              </w:rPr>
              <w:t>密闭加罩+</w:t>
            </w:r>
            <w:r>
              <w:rPr>
                <w:szCs w:val="21"/>
              </w:rPr>
              <w:t>集气管道+负压收集+</w:t>
            </w:r>
            <w:r>
              <w:rPr>
                <w:rFonts w:hint="eastAsia"/>
                <w:szCs w:val="21"/>
              </w:rPr>
              <w:t>1</w:t>
            </w:r>
            <w:r>
              <w:rPr>
                <w:szCs w:val="21"/>
              </w:rPr>
              <w:t>套生物除臭装置（TA00</w:t>
            </w:r>
            <w:r>
              <w:rPr>
                <w:rFonts w:hint="eastAsia"/>
                <w:szCs w:val="21"/>
              </w:rPr>
              <w:t>2</w:t>
            </w:r>
            <w:r>
              <w:rPr>
                <w:szCs w:val="21"/>
              </w:rPr>
              <w:t>）+</w:t>
            </w:r>
            <w:r>
              <w:rPr>
                <w:rFonts w:hint="eastAsia"/>
                <w:szCs w:val="21"/>
              </w:rPr>
              <w:t>1</w:t>
            </w:r>
            <w:r>
              <w:rPr>
                <w:szCs w:val="21"/>
              </w:rPr>
              <w:t>根15m高排气筒（DA00</w:t>
            </w:r>
            <w:r>
              <w:rPr>
                <w:rFonts w:hint="eastAsia"/>
                <w:szCs w:val="21"/>
              </w:rPr>
              <w:t>2</w:t>
            </w:r>
            <w:r>
              <w:rPr>
                <w:szCs w:val="21"/>
              </w:rPr>
              <w:t>）</w:t>
            </w:r>
          </w:p>
        </w:tc>
        <w:tc>
          <w:tcPr>
            <w:tcW w:w="2208" w:type="dxa"/>
            <w:vMerge w:val="continue"/>
            <w:vAlign w:val="center"/>
          </w:tcPr>
          <w:p>
            <w:pPr>
              <w:pStyle w:val="56"/>
              <w:spacing w:line="360" w:lineRule="atLeast"/>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1164" w:type="dxa"/>
            <w:vAlign w:val="center"/>
          </w:tcPr>
          <w:p>
            <w:pPr>
              <w:pStyle w:val="56"/>
              <w:spacing w:line="360" w:lineRule="atLeast"/>
              <w:rPr>
                <w:szCs w:val="21"/>
              </w:rPr>
            </w:pPr>
            <w:r>
              <w:rPr>
                <w:rFonts w:hint="eastAsia"/>
                <w:szCs w:val="21"/>
              </w:rPr>
              <w:t>地表水环境</w:t>
            </w:r>
          </w:p>
        </w:tc>
        <w:tc>
          <w:tcPr>
            <w:tcW w:w="1335" w:type="dxa"/>
            <w:vAlign w:val="center"/>
          </w:tcPr>
          <w:p>
            <w:pPr>
              <w:pStyle w:val="56"/>
              <w:spacing w:line="360" w:lineRule="atLeast"/>
              <w:rPr>
                <w:szCs w:val="21"/>
              </w:rPr>
            </w:pPr>
            <w:r>
              <w:rPr>
                <w:rFonts w:hint="eastAsia"/>
                <w:szCs w:val="21"/>
              </w:rPr>
              <w:t>DW001</w:t>
            </w:r>
          </w:p>
        </w:tc>
        <w:tc>
          <w:tcPr>
            <w:tcW w:w="1153" w:type="dxa"/>
            <w:vAlign w:val="center"/>
          </w:tcPr>
          <w:p>
            <w:pPr>
              <w:pStyle w:val="56"/>
              <w:spacing w:line="360" w:lineRule="atLeast"/>
              <w:rPr>
                <w:szCs w:val="21"/>
                <w:vertAlign w:val="subscript"/>
                <w:lang w:val="en-US"/>
              </w:rPr>
            </w:pPr>
            <w:r>
              <w:rPr>
                <w:szCs w:val="21"/>
                <w:lang w:val="en-US"/>
              </w:rPr>
              <w:t>COD</w:t>
            </w:r>
            <w:r>
              <w:rPr>
                <w:szCs w:val="21"/>
                <w:vertAlign w:val="subscript"/>
                <w:lang w:val="en-US"/>
              </w:rPr>
              <w:t>cr</w:t>
            </w:r>
          </w:p>
          <w:p>
            <w:pPr>
              <w:spacing w:line="360" w:lineRule="atLeast"/>
              <w:jc w:val="center"/>
              <w:rPr>
                <w:sz w:val="21"/>
                <w:szCs w:val="21"/>
              </w:rPr>
            </w:pPr>
            <w:r>
              <w:rPr>
                <w:sz w:val="21"/>
                <w:szCs w:val="21"/>
              </w:rPr>
              <w:t>BOD</w:t>
            </w:r>
            <w:r>
              <w:rPr>
                <w:sz w:val="21"/>
                <w:szCs w:val="21"/>
                <w:vertAlign w:val="subscript"/>
              </w:rPr>
              <w:t>5</w:t>
            </w:r>
          </w:p>
          <w:p>
            <w:pPr>
              <w:pStyle w:val="56"/>
              <w:spacing w:line="360" w:lineRule="atLeast"/>
              <w:rPr>
                <w:szCs w:val="21"/>
                <w:lang w:val="en-US"/>
              </w:rPr>
            </w:pPr>
            <w:r>
              <w:rPr>
                <w:szCs w:val="21"/>
                <w:lang w:val="en-US"/>
              </w:rPr>
              <w:t>NH</w:t>
            </w:r>
            <w:r>
              <w:rPr>
                <w:szCs w:val="21"/>
                <w:vertAlign w:val="subscript"/>
                <w:lang w:val="en-US"/>
              </w:rPr>
              <w:t>3</w:t>
            </w:r>
            <w:r>
              <w:rPr>
                <w:szCs w:val="21"/>
                <w:lang w:val="en-US"/>
              </w:rPr>
              <w:t>-N</w:t>
            </w:r>
          </w:p>
          <w:p>
            <w:pPr>
              <w:pStyle w:val="56"/>
              <w:spacing w:line="360" w:lineRule="atLeast"/>
              <w:rPr>
                <w:szCs w:val="21"/>
                <w:lang w:val="en-US"/>
              </w:rPr>
            </w:pPr>
            <w:r>
              <w:rPr>
                <w:szCs w:val="21"/>
                <w:lang w:val="en-US"/>
              </w:rPr>
              <w:t>SS</w:t>
            </w:r>
          </w:p>
          <w:p>
            <w:pPr>
              <w:pStyle w:val="56"/>
              <w:spacing w:line="360" w:lineRule="atLeast"/>
              <w:rPr>
                <w:szCs w:val="21"/>
                <w:lang w:val="en-US"/>
              </w:rPr>
            </w:pPr>
            <w:r>
              <w:rPr>
                <w:szCs w:val="21"/>
                <w:lang w:val="en-US"/>
              </w:rPr>
              <w:t>TP</w:t>
            </w:r>
            <w:r>
              <w:rPr>
                <w:rFonts w:hint="eastAsia"/>
                <w:szCs w:val="21"/>
              </w:rPr>
              <w:t>等</w:t>
            </w:r>
          </w:p>
        </w:tc>
        <w:tc>
          <w:tcPr>
            <w:tcW w:w="2940" w:type="dxa"/>
            <w:vAlign w:val="center"/>
          </w:tcPr>
          <w:p>
            <w:pPr>
              <w:pStyle w:val="56"/>
              <w:spacing w:line="360" w:lineRule="atLeast"/>
              <w:rPr>
                <w:szCs w:val="21"/>
              </w:rPr>
            </w:pPr>
            <w:r>
              <w:rPr>
                <w:rFonts w:hint="eastAsia" w:hAnsiTheme="minorEastAsia" w:eastAsiaTheme="minorEastAsia"/>
                <w:snapToGrid w:val="0"/>
                <w:szCs w:val="21"/>
              </w:rPr>
              <w:t>生活污水与生产废水均经污水处理厂处理（采用</w:t>
            </w:r>
            <w:r>
              <w:rPr>
                <w:rFonts w:hint="eastAsia"/>
                <w:szCs w:val="21"/>
              </w:rPr>
              <w:t>粗格栅及调节池+细格栅旋流沉砂池+A</w:t>
            </w:r>
            <w:r>
              <w:rPr>
                <w:rFonts w:hint="eastAsia"/>
                <w:szCs w:val="21"/>
                <w:vertAlign w:val="superscript"/>
              </w:rPr>
              <w:t>2</w:t>
            </w:r>
            <w:r>
              <w:rPr>
                <w:rFonts w:hint="eastAsia"/>
                <w:szCs w:val="21"/>
              </w:rPr>
              <w:t>O</w:t>
            </w:r>
            <w:r>
              <w:rPr>
                <w:szCs w:val="21"/>
              </w:rPr>
              <w:t>-MBBR</w:t>
            </w:r>
            <w:r>
              <w:rPr>
                <w:rFonts w:hint="eastAsia"/>
                <w:szCs w:val="21"/>
              </w:rPr>
              <w:t>生化池+二沉池+高效沉淀池+消毒池（次氯酸钠）</w:t>
            </w:r>
            <w:r>
              <w:rPr>
                <w:rFonts w:hint="eastAsia" w:hAnsiTheme="minorEastAsia" w:eastAsiaTheme="minorEastAsia"/>
                <w:snapToGrid w:val="0"/>
                <w:szCs w:val="21"/>
              </w:rPr>
              <w:t>）后达标排放</w:t>
            </w:r>
          </w:p>
        </w:tc>
        <w:tc>
          <w:tcPr>
            <w:tcW w:w="2208" w:type="dxa"/>
            <w:vAlign w:val="center"/>
          </w:tcPr>
          <w:p>
            <w:pPr>
              <w:pStyle w:val="56"/>
              <w:spacing w:line="360" w:lineRule="atLeast"/>
              <w:rPr>
                <w:szCs w:val="21"/>
              </w:rPr>
            </w:pPr>
            <w:r>
              <w:rPr>
                <w:rFonts w:hint="eastAsia"/>
                <w:bCs/>
                <w:spacing w:val="-10"/>
                <w:szCs w:val="21"/>
              </w:rPr>
              <w:t>《城镇污水处理厂污染物综合排放标准》（GB18918-2002）表1一级标准的A标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64" w:type="dxa"/>
            <w:vAlign w:val="center"/>
          </w:tcPr>
          <w:p>
            <w:pPr>
              <w:pStyle w:val="56"/>
              <w:spacing w:line="360" w:lineRule="atLeast"/>
              <w:rPr>
                <w:szCs w:val="21"/>
              </w:rPr>
            </w:pPr>
            <w:r>
              <w:rPr>
                <w:rFonts w:hint="eastAsia"/>
                <w:szCs w:val="21"/>
              </w:rPr>
              <w:t>声环境</w:t>
            </w:r>
          </w:p>
        </w:tc>
        <w:tc>
          <w:tcPr>
            <w:tcW w:w="1335" w:type="dxa"/>
            <w:vAlign w:val="center"/>
          </w:tcPr>
          <w:p>
            <w:pPr>
              <w:pStyle w:val="56"/>
              <w:spacing w:line="360" w:lineRule="atLeast"/>
              <w:rPr>
                <w:szCs w:val="21"/>
              </w:rPr>
            </w:pPr>
            <w:r>
              <w:rPr>
                <w:rFonts w:hint="eastAsia"/>
                <w:szCs w:val="21"/>
              </w:rPr>
              <w:t>生产单元及废水处理设备</w:t>
            </w:r>
          </w:p>
        </w:tc>
        <w:tc>
          <w:tcPr>
            <w:tcW w:w="1153" w:type="dxa"/>
            <w:vAlign w:val="center"/>
          </w:tcPr>
          <w:p>
            <w:pPr>
              <w:pStyle w:val="56"/>
              <w:spacing w:line="360" w:lineRule="atLeast"/>
              <w:rPr>
                <w:szCs w:val="21"/>
              </w:rPr>
            </w:pPr>
            <w:r>
              <w:rPr>
                <w:rFonts w:hint="eastAsia"/>
                <w:szCs w:val="21"/>
              </w:rPr>
              <w:t>机械噪声</w:t>
            </w:r>
          </w:p>
        </w:tc>
        <w:tc>
          <w:tcPr>
            <w:tcW w:w="2940" w:type="dxa"/>
            <w:vAlign w:val="center"/>
          </w:tcPr>
          <w:p>
            <w:pPr>
              <w:pStyle w:val="56"/>
              <w:spacing w:line="360" w:lineRule="atLeast"/>
              <w:rPr>
                <w:szCs w:val="21"/>
              </w:rPr>
            </w:pPr>
            <w:r>
              <w:rPr>
                <w:rFonts w:hint="eastAsia"/>
                <w:szCs w:val="21"/>
              </w:rPr>
              <w:t>风机房密闭、低噪声设备、基座减震、建筑隔声</w:t>
            </w:r>
          </w:p>
        </w:tc>
        <w:tc>
          <w:tcPr>
            <w:tcW w:w="2208" w:type="dxa"/>
            <w:vAlign w:val="center"/>
          </w:tcPr>
          <w:p>
            <w:pPr>
              <w:pStyle w:val="56"/>
              <w:spacing w:line="360" w:lineRule="atLeast"/>
              <w:rPr>
                <w:szCs w:val="21"/>
              </w:rPr>
            </w:pPr>
            <w:r>
              <w:rPr>
                <w:rFonts w:hint="eastAsia"/>
                <w:szCs w:val="21"/>
              </w:rPr>
              <w:t>《工业企业厂界环境噪声排放标准》（GB12348-2008）中2类标准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164" w:type="dxa"/>
            <w:vAlign w:val="center"/>
          </w:tcPr>
          <w:p>
            <w:pPr>
              <w:pStyle w:val="56"/>
              <w:spacing w:line="360" w:lineRule="atLeast"/>
              <w:rPr>
                <w:szCs w:val="21"/>
              </w:rPr>
            </w:pPr>
            <w:r>
              <w:rPr>
                <w:rFonts w:hint="eastAsia"/>
                <w:szCs w:val="21"/>
              </w:rPr>
              <w:t>电磁辐射</w:t>
            </w:r>
          </w:p>
        </w:tc>
        <w:tc>
          <w:tcPr>
            <w:tcW w:w="1335" w:type="dxa"/>
            <w:vAlign w:val="center"/>
          </w:tcPr>
          <w:p>
            <w:pPr>
              <w:pStyle w:val="56"/>
              <w:spacing w:line="360" w:lineRule="atLeast"/>
              <w:rPr>
                <w:szCs w:val="21"/>
              </w:rPr>
            </w:pPr>
            <w:r>
              <w:rPr>
                <w:rFonts w:hint="eastAsia"/>
                <w:szCs w:val="21"/>
              </w:rPr>
              <w:t>/</w:t>
            </w:r>
          </w:p>
        </w:tc>
        <w:tc>
          <w:tcPr>
            <w:tcW w:w="1153" w:type="dxa"/>
            <w:vAlign w:val="center"/>
          </w:tcPr>
          <w:p>
            <w:pPr>
              <w:pStyle w:val="56"/>
              <w:spacing w:line="360" w:lineRule="atLeast"/>
              <w:rPr>
                <w:szCs w:val="21"/>
              </w:rPr>
            </w:pPr>
            <w:r>
              <w:rPr>
                <w:rFonts w:hint="eastAsia"/>
                <w:szCs w:val="21"/>
              </w:rPr>
              <w:t>/</w:t>
            </w:r>
          </w:p>
        </w:tc>
        <w:tc>
          <w:tcPr>
            <w:tcW w:w="2940" w:type="dxa"/>
            <w:vAlign w:val="center"/>
          </w:tcPr>
          <w:p>
            <w:pPr>
              <w:pStyle w:val="56"/>
              <w:spacing w:line="360" w:lineRule="atLeast"/>
              <w:rPr>
                <w:szCs w:val="21"/>
              </w:rPr>
            </w:pPr>
            <w:r>
              <w:rPr>
                <w:rFonts w:hint="eastAsia"/>
                <w:szCs w:val="21"/>
              </w:rPr>
              <w:t>/</w:t>
            </w:r>
          </w:p>
        </w:tc>
        <w:tc>
          <w:tcPr>
            <w:tcW w:w="2208" w:type="dxa"/>
            <w:vAlign w:val="center"/>
          </w:tcPr>
          <w:p>
            <w:pPr>
              <w:pStyle w:val="56"/>
              <w:spacing w:line="360" w:lineRule="atLeast"/>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164" w:type="dxa"/>
            <w:vAlign w:val="center"/>
          </w:tcPr>
          <w:p>
            <w:pPr>
              <w:pStyle w:val="56"/>
              <w:spacing w:line="360" w:lineRule="atLeast"/>
              <w:rPr>
                <w:szCs w:val="21"/>
              </w:rPr>
            </w:pPr>
            <w:r>
              <w:rPr>
                <w:rFonts w:hint="eastAsia"/>
                <w:szCs w:val="21"/>
              </w:rPr>
              <w:t>固体废物</w:t>
            </w:r>
          </w:p>
        </w:tc>
        <w:tc>
          <w:tcPr>
            <w:tcW w:w="7636" w:type="dxa"/>
            <w:gridSpan w:val="4"/>
            <w:vAlign w:val="center"/>
          </w:tcPr>
          <w:p>
            <w:pPr>
              <w:spacing w:line="360" w:lineRule="atLeast"/>
              <w:rPr>
                <w:bCs/>
                <w:sz w:val="21"/>
                <w:szCs w:val="21"/>
              </w:rPr>
            </w:pPr>
            <w:r>
              <w:rPr>
                <w:sz w:val="21"/>
                <w:szCs w:val="21"/>
              </w:rPr>
              <w:t>生活垃圾采用垃圾桶收集，由环卫部门清运处理</w:t>
            </w:r>
            <w:r>
              <w:rPr>
                <w:rFonts w:hint="eastAsia"/>
                <w:sz w:val="21"/>
                <w:szCs w:val="21"/>
              </w:rPr>
              <w:t>；</w:t>
            </w:r>
            <w:r>
              <w:rPr>
                <w:sz w:val="21"/>
                <w:szCs w:val="21"/>
              </w:rPr>
              <w:t>栅渣</w:t>
            </w:r>
            <w:r>
              <w:rPr>
                <w:rFonts w:hint="eastAsia"/>
                <w:sz w:val="21"/>
                <w:szCs w:val="21"/>
              </w:rPr>
              <w:t>、沉砂和</w:t>
            </w:r>
            <w:r>
              <w:rPr>
                <w:sz w:val="21"/>
                <w:szCs w:val="21"/>
              </w:rPr>
              <w:t>污泥经项目内脱水后</w:t>
            </w:r>
            <w:r>
              <w:rPr>
                <w:rFonts w:hint="eastAsia"/>
                <w:sz w:val="21"/>
                <w:szCs w:val="21"/>
              </w:rPr>
              <w:t>宣汉县环卫部门统一清运处置；</w:t>
            </w:r>
            <w:r>
              <w:rPr>
                <w:sz w:val="21"/>
                <w:szCs w:val="21"/>
              </w:rPr>
              <w:t>生物滤池更换填料由原厂家回收</w:t>
            </w:r>
            <w:r>
              <w:rPr>
                <w:rFonts w:hint="eastAsia"/>
                <w:sz w:val="21"/>
                <w:szCs w:val="21"/>
              </w:rPr>
              <w:t>；加药间废包装物经收集后交由废品回收站处理；废弃化学试剂药品、废试剂瓶、</w:t>
            </w:r>
            <w:r>
              <w:rPr>
                <w:sz w:val="21"/>
                <w:szCs w:val="21"/>
              </w:rPr>
              <w:t>在线监测设备废液</w:t>
            </w:r>
            <w:r>
              <w:rPr>
                <w:rFonts w:hint="eastAsia"/>
                <w:sz w:val="21"/>
                <w:szCs w:val="21"/>
              </w:rPr>
              <w:t>收集暂存于危废暂存间内，并定期交</w:t>
            </w:r>
            <w:r>
              <w:rPr>
                <w:sz w:val="21"/>
                <w:szCs w:val="21"/>
              </w:rPr>
              <w:t>由</w:t>
            </w:r>
            <w:r>
              <w:rPr>
                <w:rFonts w:hint="eastAsia"/>
                <w:sz w:val="21"/>
                <w:szCs w:val="21"/>
              </w:rPr>
              <w:t>有危废资质的单位进行处理。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4" w:type="dxa"/>
            <w:vAlign w:val="center"/>
          </w:tcPr>
          <w:p>
            <w:pPr>
              <w:pStyle w:val="56"/>
              <w:spacing w:line="360" w:lineRule="atLeast"/>
              <w:rPr>
                <w:szCs w:val="21"/>
                <w:lang w:val="en-US"/>
              </w:rPr>
            </w:pPr>
            <w:r>
              <w:rPr>
                <w:rFonts w:hint="eastAsia"/>
                <w:szCs w:val="21"/>
              </w:rPr>
              <w:t>土壤及地下水污染防治措施</w:t>
            </w:r>
          </w:p>
        </w:tc>
        <w:tc>
          <w:tcPr>
            <w:tcW w:w="7636" w:type="dxa"/>
            <w:gridSpan w:val="4"/>
            <w:vAlign w:val="center"/>
          </w:tcPr>
          <w:p>
            <w:pPr>
              <w:pStyle w:val="56"/>
              <w:spacing w:line="360" w:lineRule="atLeast"/>
              <w:rPr>
                <w:szCs w:val="21"/>
              </w:rPr>
            </w:pPr>
            <w:r>
              <w:rPr>
                <w:szCs w:val="21"/>
              </w:rPr>
              <w:t>本项目地下水与土壤污染防治措施和对策，应坚持“源头控制、分区防治、污染监控、应急响应”的原则。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1164" w:type="dxa"/>
            <w:vAlign w:val="center"/>
          </w:tcPr>
          <w:p>
            <w:pPr>
              <w:pStyle w:val="56"/>
              <w:spacing w:line="360" w:lineRule="atLeast"/>
              <w:rPr>
                <w:szCs w:val="21"/>
              </w:rPr>
            </w:pPr>
            <w:r>
              <w:rPr>
                <w:rFonts w:hint="eastAsia"/>
                <w:szCs w:val="21"/>
              </w:rPr>
              <w:t>生态保护措施</w:t>
            </w:r>
          </w:p>
        </w:tc>
        <w:tc>
          <w:tcPr>
            <w:tcW w:w="7636" w:type="dxa"/>
            <w:gridSpan w:val="4"/>
            <w:vAlign w:val="center"/>
          </w:tcPr>
          <w:p>
            <w:pPr>
              <w:pStyle w:val="56"/>
              <w:spacing w:line="360" w:lineRule="atLeast"/>
              <w:rPr>
                <w:szCs w:val="21"/>
              </w:rPr>
            </w:pPr>
            <w:r>
              <w:rPr>
                <w:rFonts w:hint="eastAsia"/>
                <w:szCs w:val="21"/>
                <w:lang w:val="en-US"/>
              </w:rPr>
              <w:t>项目位于主要采取开挖的施工方式，开挖量少，挖方及时进行回填，通过合理组织施工顺序，尽量缩短施工期，使暴露时间缩短，加强施工管理，加强工人关于水土保持的教育，对破坏的绿化带和道路全部进行地迹恢复，所以项目建设前后，区域生态变化不大，本项目的建设对生态环境影响不明显，不会给当地生态环境带来明显的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64" w:type="dxa"/>
            <w:vAlign w:val="center"/>
          </w:tcPr>
          <w:p>
            <w:pPr>
              <w:pStyle w:val="56"/>
              <w:spacing w:line="360" w:lineRule="atLeast"/>
              <w:rPr>
                <w:spacing w:val="-8"/>
                <w:szCs w:val="21"/>
              </w:rPr>
            </w:pPr>
            <w:r>
              <w:rPr>
                <w:rFonts w:hint="eastAsia"/>
                <w:spacing w:val="-8"/>
                <w:szCs w:val="21"/>
              </w:rPr>
              <w:t>环境风险防范措施</w:t>
            </w:r>
          </w:p>
        </w:tc>
        <w:tc>
          <w:tcPr>
            <w:tcW w:w="7636" w:type="dxa"/>
            <w:gridSpan w:val="4"/>
            <w:vAlign w:val="center"/>
          </w:tcPr>
          <w:p>
            <w:pPr>
              <w:spacing w:line="360" w:lineRule="atLeast"/>
              <w:rPr>
                <w:rFonts w:ascii="宋体" w:hAnsi="宋体" w:cs="宋体"/>
                <w:sz w:val="21"/>
                <w:szCs w:val="21"/>
              </w:rPr>
            </w:pPr>
            <w:r>
              <w:rPr>
                <w:rFonts w:hint="eastAsia" w:ascii="宋体" w:hAnsi="宋体" w:cs="宋体"/>
                <w:sz w:val="21"/>
                <w:szCs w:val="21"/>
              </w:rPr>
              <w:t>制定危险废物储存管理措施及废气处理设施管理措施，严格执行劳动</w:t>
            </w:r>
          </w:p>
          <w:p>
            <w:pPr>
              <w:spacing w:line="360" w:lineRule="atLeast"/>
              <w:rPr>
                <w:rFonts w:ascii="宋体" w:hAnsi="宋体" w:cs="宋体"/>
                <w:sz w:val="21"/>
                <w:szCs w:val="21"/>
              </w:rPr>
            </w:pPr>
            <w:r>
              <w:rPr>
                <w:rFonts w:hint="eastAsia" w:ascii="宋体" w:hAnsi="宋体" w:cs="宋体"/>
                <w:sz w:val="21"/>
                <w:szCs w:val="21"/>
              </w:rPr>
              <w:t>部门有关安全生产条例，加强生产管理及操作人员的安全教育；制定事故</w:t>
            </w:r>
          </w:p>
          <w:p>
            <w:pPr>
              <w:spacing w:line="360" w:lineRule="atLeast"/>
              <w:rPr>
                <w:rFonts w:ascii="宋体" w:hAnsi="宋体" w:cs="宋体"/>
                <w:sz w:val="21"/>
                <w:szCs w:val="21"/>
              </w:rPr>
            </w:pPr>
            <w:r>
              <w:rPr>
                <w:rFonts w:hint="eastAsia" w:ascii="宋体" w:hAnsi="宋体" w:cs="宋体"/>
                <w:sz w:val="21"/>
                <w:szCs w:val="21"/>
              </w:rPr>
              <w:t>应急救援预案，从组织机构、救援保障、报警通讯、应急监测及救护保障、</w:t>
            </w:r>
          </w:p>
          <w:p>
            <w:pPr>
              <w:spacing w:line="360" w:lineRule="atLeast"/>
              <w:rPr>
                <w:rFonts w:ascii="宋体" w:hAnsi="宋体" w:cs="宋体"/>
                <w:sz w:val="21"/>
                <w:szCs w:val="21"/>
              </w:rPr>
            </w:pPr>
            <w:r>
              <w:rPr>
                <w:rFonts w:hint="eastAsia" w:ascii="宋体" w:hAnsi="宋体" w:cs="宋体"/>
                <w:sz w:val="21"/>
                <w:szCs w:val="21"/>
              </w:rPr>
              <w:t>应急处理措施、事故原因调查分析等方面制定严格的制度，并定期组织培</w:t>
            </w:r>
          </w:p>
          <w:p>
            <w:pPr>
              <w:pStyle w:val="56"/>
              <w:spacing w:line="360" w:lineRule="atLeast"/>
              <w:jc w:val="left"/>
              <w:rPr>
                <w:szCs w:val="21"/>
              </w:rPr>
            </w:pPr>
            <w:r>
              <w:rPr>
                <w:rFonts w:hint="eastAsia" w:ascii="宋体" w:hAnsi="宋体" w:cs="宋体"/>
                <w:szCs w:val="21"/>
              </w:rPr>
              <w:t>训、演练；配置灭火器等消防器材及报警系统。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64" w:type="dxa"/>
            <w:vAlign w:val="center"/>
          </w:tcPr>
          <w:p>
            <w:pPr>
              <w:pStyle w:val="56"/>
              <w:spacing w:line="360" w:lineRule="atLeast"/>
              <w:rPr>
                <w:spacing w:val="-8"/>
                <w:szCs w:val="21"/>
              </w:rPr>
            </w:pPr>
            <w:r>
              <w:rPr>
                <w:rFonts w:hint="eastAsia"/>
                <w:spacing w:val="-8"/>
                <w:szCs w:val="21"/>
              </w:rPr>
              <w:t>其他环境管理要求</w:t>
            </w:r>
          </w:p>
        </w:tc>
        <w:tc>
          <w:tcPr>
            <w:tcW w:w="7636" w:type="dxa"/>
            <w:gridSpan w:val="4"/>
            <w:vAlign w:val="center"/>
          </w:tcPr>
          <w:p>
            <w:pPr>
              <w:pStyle w:val="56"/>
              <w:spacing w:line="360" w:lineRule="atLeast"/>
              <w:jc w:val="left"/>
              <w:rPr>
                <w:szCs w:val="21"/>
              </w:rPr>
            </w:pPr>
            <w:r>
              <w:rPr>
                <w:rFonts w:hint="eastAsia"/>
                <w:szCs w:val="21"/>
              </w:rPr>
              <w:t xml:space="preserve">（1）认真落实报告表中提出的各项环保措施。 </w:t>
            </w:r>
          </w:p>
          <w:p>
            <w:pPr>
              <w:pStyle w:val="56"/>
              <w:spacing w:line="360" w:lineRule="atLeast"/>
              <w:jc w:val="left"/>
              <w:rPr>
                <w:szCs w:val="21"/>
              </w:rPr>
            </w:pPr>
            <w:r>
              <w:rPr>
                <w:rFonts w:hint="eastAsia"/>
                <w:szCs w:val="21"/>
              </w:rPr>
              <w:t>（2）建设单位应认真执行国家和地方各项环保法规和要求，明确厂内环保机构的主要职责，建立健全各项规章制度。</w:t>
            </w:r>
          </w:p>
          <w:p>
            <w:pPr>
              <w:pStyle w:val="56"/>
              <w:spacing w:line="360" w:lineRule="atLeast"/>
              <w:jc w:val="left"/>
              <w:rPr>
                <w:szCs w:val="21"/>
              </w:rPr>
            </w:pPr>
            <w:r>
              <w:rPr>
                <w:rFonts w:hint="eastAsia"/>
                <w:szCs w:val="21"/>
              </w:rPr>
              <w:t>（3）加强环境管理和宣传教育，提高工作人员环保意识；设专人负责设施的维护管理，确保污染治理设施的正常运转。</w:t>
            </w:r>
          </w:p>
          <w:p>
            <w:pPr>
              <w:pStyle w:val="56"/>
              <w:spacing w:line="360" w:lineRule="atLeast"/>
              <w:jc w:val="left"/>
              <w:rPr>
                <w:szCs w:val="21"/>
              </w:rPr>
            </w:pPr>
            <w:r>
              <w:rPr>
                <w:rFonts w:hint="eastAsia"/>
                <w:szCs w:val="21"/>
              </w:rPr>
              <w:t>（4）加强环境风险管控，杜绝环境事故发生。</w:t>
            </w:r>
          </w:p>
          <w:p>
            <w:pPr>
              <w:pStyle w:val="56"/>
              <w:spacing w:line="360" w:lineRule="atLeast"/>
              <w:jc w:val="left"/>
              <w:rPr>
                <w:szCs w:val="21"/>
              </w:rPr>
            </w:pPr>
            <w:r>
              <w:rPr>
                <w:rFonts w:hint="eastAsia"/>
                <w:szCs w:val="21"/>
              </w:rPr>
              <w:t>（5）应当在启动生产设施或者发生实际排污之前申请取得排污许可证。</w:t>
            </w:r>
          </w:p>
          <w:p>
            <w:pPr>
              <w:pStyle w:val="56"/>
              <w:spacing w:line="360" w:lineRule="atLeast"/>
              <w:jc w:val="left"/>
              <w:rPr>
                <w:szCs w:val="21"/>
              </w:rPr>
            </w:pPr>
            <w:r>
              <w:rPr>
                <w:rFonts w:hint="eastAsia"/>
                <w:szCs w:val="21"/>
              </w:rPr>
              <w:t>（6）项目竣工后应及时自主进行竣工环保验收。</w:t>
            </w:r>
          </w:p>
          <w:p>
            <w:pPr>
              <w:pStyle w:val="56"/>
              <w:spacing w:line="360" w:lineRule="atLeast"/>
              <w:jc w:val="left"/>
              <w:rPr>
                <w:szCs w:val="21"/>
              </w:rPr>
            </w:pPr>
            <w:r>
              <w:rPr>
                <w:rFonts w:hint="eastAsia"/>
                <w:szCs w:val="21"/>
              </w:rPr>
              <w:t>（7）落实排污单位自行监测计划，建议委托具有监测资质的环境监测机构进行定期环境监测。</w:t>
            </w:r>
          </w:p>
        </w:tc>
      </w:tr>
    </w:tbl>
    <w:p>
      <w:pPr>
        <w:rPr>
          <w:rFonts w:asciiTheme="majorHAnsi" w:hAnsiTheme="majorHAnsi"/>
        </w:rPr>
      </w:pPr>
    </w:p>
    <w:p>
      <w:pPr>
        <w:rPr>
          <w:rFonts w:asciiTheme="majorHAnsi" w:hAnsiTheme="majorHAnsi"/>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type="lines" w:linePitch="326" w:charSpace="0"/>
        </w:sectPr>
      </w:pPr>
    </w:p>
    <w:p>
      <w:pPr>
        <w:pStyle w:val="40"/>
        <w:jc w:val="center"/>
        <w:outlineLvl w:val="0"/>
        <w:rPr>
          <w:rFonts w:ascii="黑体" w:hAnsi="黑体" w:eastAsia="黑体"/>
          <w:snapToGrid w:val="0"/>
          <w:sz w:val="30"/>
          <w:szCs w:val="30"/>
          <w:lang w:val="zh-CN"/>
        </w:rPr>
      </w:pPr>
      <w:bookmarkStart w:id="31" w:name="_Toc17895"/>
      <w:bookmarkStart w:id="32" w:name="_Toc118974744"/>
      <w:bookmarkStart w:id="33" w:name="_Toc14420"/>
      <w:r>
        <w:rPr>
          <w:rFonts w:ascii="黑体" w:hAnsi="黑体" w:eastAsia="黑体"/>
          <w:snapToGrid w:val="0"/>
          <w:sz w:val="30"/>
          <w:szCs w:val="30"/>
          <w:lang w:val="zh-CN"/>
        </w:rPr>
        <w:t>六、结论</w:t>
      </w:r>
      <w:bookmarkEnd w:id="31"/>
      <w:bookmarkEnd w:id="32"/>
      <w:bookmarkEnd w:id="33"/>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9" w:hRule="atLeast"/>
        </w:trPr>
        <w:tc>
          <w:tcPr>
            <w:tcW w:w="8834" w:type="dxa"/>
          </w:tcPr>
          <w:p>
            <w:pPr>
              <w:widowControl w:val="0"/>
              <w:ind w:firstLine="480" w:firstLineChars="200"/>
              <w:jc w:val="both"/>
              <w:rPr>
                <w:rFonts w:eastAsia="宋体" w:cs="Times New Roman" w:asciiTheme="majorHAnsi" w:hAnsiTheme="majorHAnsi"/>
                <w:kern w:val="0"/>
                <w:szCs w:val="20"/>
              </w:rPr>
            </w:pPr>
            <w:r>
              <w:rPr>
                <w:rFonts w:hint="eastAsia" w:eastAsia="宋体" w:cs="Times New Roman" w:asciiTheme="majorHAnsi" w:hAnsiTheme="majorHAnsi"/>
                <w:kern w:val="0"/>
                <w:szCs w:val="20"/>
              </w:rPr>
              <w:t>本项目符合国家产业政策，选址符合宣汉县明月新城土地利用总体规划，总图布置基本合理，所在区域环境质量满足国家以及地方环境质量标准，项目拟采取的措施满足区域环境质量改善目标管理要求，项目采取的污染防治措施能够满足国家和地方污染物排放标准。项目实施后，在切实落实本评价所提出的各项污染防治措施和确保“三废”污染物达标排放的前提下，各种污染物能够稳定达标排放，不会对地表水、环境空气、声学环境质量产生明显影响；项目采取的风险防范措施可行，环境风险可控。本项目建设，从环境保护的角度而言是可行的。</w:t>
            </w:r>
          </w:p>
        </w:tc>
      </w:tr>
    </w:tbl>
    <w:p>
      <w:pPr>
        <w:rPr>
          <w:rFonts w:asciiTheme="majorHAnsi" w:hAnsiTheme="majorHAnsi"/>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type="lines" w:linePitch="326" w:charSpace="0"/>
        </w:sectPr>
      </w:pPr>
    </w:p>
    <w:p>
      <w:pPr>
        <w:pStyle w:val="40"/>
        <w:outlineLvl w:val="0"/>
        <w:rPr>
          <w:rFonts w:ascii="黑体" w:hAnsi="黑体" w:eastAsia="黑体"/>
          <w:snapToGrid w:val="0"/>
          <w:sz w:val="30"/>
          <w:szCs w:val="30"/>
          <w:lang w:val="zh-CN"/>
        </w:rPr>
      </w:pPr>
      <w:bookmarkStart w:id="34" w:name="_Toc25794"/>
      <w:bookmarkStart w:id="35" w:name="_Toc17920"/>
      <w:bookmarkStart w:id="36" w:name="_Toc118974745"/>
      <w:r>
        <w:rPr>
          <w:rFonts w:ascii="黑体" w:hAnsi="黑体" w:eastAsia="黑体"/>
          <w:snapToGrid w:val="0"/>
          <w:sz w:val="30"/>
          <w:szCs w:val="30"/>
          <w:lang w:val="zh-CN"/>
        </w:rPr>
        <w:t>附表</w:t>
      </w:r>
      <w:bookmarkEnd w:id="34"/>
      <w:bookmarkEnd w:id="35"/>
      <w:bookmarkEnd w:id="36"/>
    </w:p>
    <w:p>
      <w:pPr>
        <w:pStyle w:val="40"/>
        <w:jc w:val="center"/>
        <w:outlineLvl w:val="0"/>
        <w:rPr>
          <w:rFonts w:ascii="黑体" w:hAnsi="黑体" w:eastAsia="黑体"/>
          <w:snapToGrid w:val="0"/>
          <w:sz w:val="30"/>
          <w:szCs w:val="30"/>
          <w:lang w:val="zh-CN"/>
        </w:rPr>
      </w:pPr>
      <w:bookmarkStart w:id="37" w:name="_Toc32229"/>
      <w:bookmarkStart w:id="38" w:name="_Toc118974746"/>
      <w:r>
        <w:rPr>
          <w:rFonts w:ascii="黑体" w:hAnsi="黑体" w:eastAsia="黑体"/>
          <w:snapToGrid w:val="0"/>
          <w:sz w:val="30"/>
          <w:szCs w:val="30"/>
          <w:lang w:val="zh-CN"/>
        </w:rPr>
        <w:t>建设项目污染物排放量汇总表</w:t>
      </w:r>
      <w:bookmarkEnd w:id="37"/>
      <w:bookmarkEnd w:id="38"/>
    </w:p>
    <w:tbl>
      <w:tblPr>
        <w:tblStyle w:val="44"/>
        <w:tblW w:w="139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984"/>
        <w:gridCol w:w="1317"/>
        <w:gridCol w:w="1320"/>
        <w:gridCol w:w="1665"/>
        <w:gridCol w:w="1785"/>
        <w:gridCol w:w="1710"/>
        <w:gridCol w:w="1785"/>
        <w:gridCol w:w="13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tcBorders>
              <w:tl2br w:val="single" w:color="auto" w:sz="4" w:space="0"/>
            </w:tcBorders>
            <w:tcMar>
              <w:left w:w="28" w:type="dxa"/>
              <w:right w:w="28" w:type="dxa"/>
            </w:tcMar>
            <w:vAlign w:val="center"/>
          </w:tcPr>
          <w:p>
            <w:pPr>
              <w:adjustRightInd w:val="0"/>
              <w:snapToGrid w:val="0"/>
              <w:spacing w:line="240" w:lineRule="auto"/>
              <w:jc w:val="center"/>
              <w:rPr>
                <w:rFonts w:cs="宋体"/>
                <w:b/>
                <w:sz w:val="21"/>
                <w:szCs w:val="21"/>
              </w:rPr>
            </w:pPr>
            <w:r>
              <w:rPr>
                <w:rFonts w:hint="eastAsia" w:cs="宋体"/>
                <w:b/>
                <w:sz w:val="21"/>
                <w:szCs w:val="21"/>
              </w:rPr>
              <w:t>项目</w:t>
            </w:r>
          </w:p>
          <w:p>
            <w:pPr>
              <w:adjustRightInd w:val="0"/>
              <w:snapToGrid w:val="0"/>
              <w:spacing w:line="240" w:lineRule="auto"/>
              <w:jc w:val="center"/>
              <w:rPr>
                <w:rFonts w:cs="宋体"/>
                <w:b/>
                <w:sz w:val="21"/>
                <w:szCs w:val="21"/>
              </w:rPr>
            </w:pPr>
            <w:r>
              <w:rPr>
                <w:rFonts w:hint="eastAsia" w:cs="宋体"/>
                <w:b/>
                <w:sz w:val="21"/>
                <w:szCs w:val="21"/>
              </w:rPr>
              <w:t>分类</w:t>
            </w:r>
          </w:p>
        </w:tc>
        <w:tc>
          <w:tcPr>
            <w:tcW w:w="1984" w:type="dxa"/>
            <w:tcMar>
              <w:left w:w="28" w:type="dxa"/>
              <w:right w:w="28" w:type="dxa"/>
            </w:tcMar>
            <w:vAlign w:val="center"/>
          </w:tcPr>
          <w:p>
            <w:pPr>
              <w:adjustRightInd w:val="0"/>
              <w:snapToGrid w:val="0"/>
              <w:spacing w:line="240" w:lineRule="auto"/>
              <w:jc w:val="center"/>
              <w:rPr>
                <w:rFonts w:cs="宋体"/>
                <w:b/>
                <w:sz w:val="21"/>
                <w:szCs w:val="21"/>
              </w:rPr>
            </w:pPr>
            <w:r>
              <w:rPr>
                <w:rFonts w:hint="eastAsia" w:cs="宋体"/>
                <w:b/>
                <w:sz w:val="21"/>
                <w:szCs w:val="21"/>
              </w:rPr>
              <w:t>污染物名称</w:t>
            </w:r>
          </w:p>
        </w:tc>
        <w:tc>
          <w:tcPr>
            <w:tcW w:w="1317" w:type="dxa"/>
            <w:tcMar>
              <w:left w:w="28" w:type="dxa"/>
              <w:right w:w="28" w:type="dxa"/>
            </w:tcMar>
            <w:vAlign w:val="center"/>
          </w:tcPr>
          <w:p>
            <w:pPr>
              <w:adjustRightInd w:val="0"/>
              <w:snapToGrid w:val="0"/>
              <w:spacing w:line="240" w:lineRule="auto"/>
              <w:jc w:val="center"/>
              <w:rPr>
                <w:rFonts w:cs="宋体"/>
                <w:b/>
                <w:sz w:val="21"/>
                <w:szCs w:val="21"/>
              </w:rPr>
            </w:pPr>
            <w:r>
              <w:rPr>
                <w:rFonts w:cs="宋体"/>
                <w:b/>
                <w:sz w:val="21"/>
                <w:szCs w:val="21"/>
              </w:rPr>
              <w:t>现有工程排放量（固</w:t>
            </w:r>
            <w:r>
              <w:rPr>
                <w:rFonts w:hint="eastAsia" w:cs="宋体"/>
                <w:b/>
                <w:sz w:val="21"/>
                <w:szCs w:val="21"/>
              </w:rPr>
              <w:t>体</w:t>
            </w:r>
            <w:r>
              <w:rPr>
                <w:rFonts w:cs="宋体"/>
                <w:b/>
                <w:sz w:val="21"/>
                <w:szCs w:val="21"/>
              </w:rPr>
              <w:t>废</w:t>
            </w:r>
            <w:r>
              <w:rPr>
                <w:rFonts w:hint="eastAsia" w:cs="宋体"/>
                <w:b/>
                <w:sz w:val="21"/>
                <w:szCs w:val="21"/>
              </w:rPr>
              <w:t>物</w:t>
            </w:r>
            <w:r>
              <w:rPr>
                <w:rFonts w:cs="宋体"/>
                <w:b/>
                <w:sz w:val="21"/>
                <w:szCs w:val="21"/>
              </w:rPr>
              <w:t>产生量）</w:t>
            </w:r>
            <w:r>
              <w:rPr>
                <w:rFonts w:cs="宋体"/>
                <w:b/>
                <w:sz w:val="21"/>
                <w:szCs w:val="21"/>
              </w:rPr>
              <w:fldChar w:fldCharType="begin"/>
            </w:r>
            <w:r>
              <w:rPr>
                <w:rFonts w:cs="宋体"/>
                <w:b/>
                <w:sz w:val="21"/>
                <w:szCs w:val="21"/>
              </w:rPr>
              <w:instrText xml:space="preserve"> = 1 \* GB3 \* MERGEFORMAT </w:instrText>
            </w:r>
            <w:r>
              <w:rPr>
                <w:rFonts w:cs="宋体"/>
                <w:b/>
                <w:sz w:val="21"/>
                <w:szCs w:val="21"/>
              </w:rPr>
              <w:fldChar w:fldCharType="separate"/>
            </w:r>
            <w:r>
              <w:rPr>
                <w:rFonts w:hint="eastAsia" w:cs="宋体"/>
                <w:b/>
                <w:sz w:val="21"/>
                <w:szCs w:val="21"/>
              </w:rPr>
              <w:t>①</w:t>
            </w:r>
            <w:r>
              <w:rPr>
                <w:rFonts w:cs="宋体"/>
                <w:b/>
                <w:sz w:val="21"/>
                <w:szCs w:val="21"/>
              </w:rPr>
              <w:fldChar w:fldCharType="end"/>
            </w:r>
          </w:p>
        </w:tc>
        <w:tc>
          <w:tcPr>
            <w:tcW w:w="1320" w:type="dxa"/>
            <w:tcMar>
              <w:left w:w="28" w:type="dxa"/>
              <w:right w:w="28" w:type="dxa"/>
            </w:tcMar>
            <w:vAlign w:val="center"/>
          </w:tcPr>
          <w:p>
            <w:pPr>
              <w:adjustRightInd w:val="0"/>
              <w:snapToGrid w:val="0"/>
              <w:spacing w:line="240" w:lineRule="auto"/>
              <w:jc w:val="center"/>
              <w:rPr>
                <w:rFonts w:cs="宋体"/>
                <w:b/>
                <w:sz w:val="21"/>
                <w:szCs w:val="21"/>
              </w:rPr>
            </w:pPr>
            <w:r>
              <w:rPr>
                <w:rFonts w:cs="宋体"/>
                <w:b/>
                <w:sz w:val="21"/>
                <w:szCs w:val="21"/>
              </w:rPr>
              <w:t>现有工程许可排放量</w:t>
            </w:r>
          </w:p>
          <w:p>
            <w:pPr>
              <w:adjustRightInd w:val="0"/>
              <w:snapToGrid w:val="0"/>
              <w:spacing w:line="240" w:lineRule="auto"/>
              <w:jc w:val="center"/>
              <w:rPr>
                <w:rFonts w:cs="宋体"/>
                <w:b/>
                <w:sz w:val="21"/>
                <w:szCs w:val="21"/>
              </w:rPr>
            </w:pPr>
            <w:r>
              <w:rPr>
                <w:rFonts w:cs="宋体"/>
                <w:b/>
                <w:sz w:val="21"/>
                <w:szCs w:val="21"/>
              </w:rPr>
              <w:fldChar w:fldCharType="begin"/>
            </w:r>
            <w:r>
              <w:rPr>
                <w:rFonts w:cs="宋体"/>
                <w:b/>
                <w:sz w:val="21"/>
                <w:szCs w:val="21"/>
              </w:rPr>
              <w:instrText xml:space="preserve"> = 2 \* GB3 \* MERGEFORMAT </w:instrText>
            </w:r>
            <w:r>
              <w:rPr>
                <w:rFonts w:cs="宋体"/>
                <w:b/>
                <w:sz w:val="21"/>
                <w:szCs w:val="21"/>
              </w:rPr>
              <w:fldChar w:fldCharType="separate"/>
            </w:r>
            <w:r>
              <w:rPr>
                <w:rFonts w:hint="eastAsia" w:cs="宋体"/>
                <w:b/>
                <w:sz w:val="21"/>
                <w:szCs w:val="21"/>
              </w:rPr>
              <w:t>②</w:t>
            </w:r>
            <w:r>
              <w:rPr>
                <w:rFonts w:cs="宋体"/>
                <w:b/>
                <w:sz w:val="21"/>
                <w:szCs w:val="21"/>
              </w:rPr>
              <w:fldChar w:fldCharType="end"/>
            </w:r>
          </w:p>
        </w:tc>
        <w:tc>
          <w:tcPr>
            <w:tcW w:w="1665" w:type="dxa"/>
            <w:tcMar>
              <w:left w:w="28" w:type="dxa"/>
              <w:right w:w="28" w:type="dxa"/>
            </w:tcMar>
            <w:vAlign w:val="center"/>
          </w:tcPr>
          <w:p>
            <w:pPr>
              <w:adjustRightInd w:val="0"/>
              <w:snapToGrid w:val="0"/>
              <w:spacing w:line="240" w:lineRule="auto"/>
              <w:jc w:val="center"/>
              <w:rPr>
                <w:rFonts w:cs="宋体"/>
                <w:b/>
                <w:sz w:val="21"/>
                <w:szCs w:val="21"/>
              </w:rPr>
            </w:pPr>
            <w:r>
              <w:rPr>
                <w:rFonts w:cs="宋体"/>
                <w:b/>
                <w:sz w:val="21"/>
                <w:szCs w:val="21"/>
              </w:rPr>
              <w:t>在建工程</w:t>
            </w:r>
          </w:p>
          <w:p>
            <w:pPr>
              <w:adjustRightInd w:val="0"/>
              <w:snapToGrid w:val="0"/>
              <w:spacing w:line="240" w:lineRule="auto"/>
              <w:jc w:val="center"/>
              <w:rPr>
                <w:rFonts w:cs="宋体"/>
                <w:b/>
                <w:sz w:val="21"/>
                <w:szCs w:val="21"/>
              </w:rPr>
            </w:pPr>
            <w:r>
              <w:rPr>
                <w:rFonts w:cs="宋体"/>
                <w:b/>
                <w:sz w:val="21"/>
                <w:szCs w:val="21"/>
              </w:rPr>
              <w:t>排放量（固</w:t>
            </w:r>
            <w:r>
              <w:rPr>
                <w:rFonts w:hint="eastAsia" w:cs="宋体"/>
                <w:b/>
                <w:sz w:val="21"/>
                <w:szCs w:val="21"/>
              </w:rPr>
              <w:t>体</w:t>
            </w:r>
            <w:r>
              <w:rPr>
                <w:rFonts w:cs="宋体"/>
                <w:b/>
                <w:sz w:val="21"/>
                <w:szCs w:val="21"/>
              </w:rPr>
              <w:t>废</w:t>
            </w:r>
            <w:r>
              <w:rPr>
                <w:rFonts w:hint="eastAsia" w:cs="宋体"/>
                <w:b/>
                <w:sz w:val="21"/>
                <w:szCs w:val="21"/>
              </w:rPr>
              <w:t>物</w:t>
            </w:r>
            <w:r>
              <w:rPr>
                <w:rFonts w:cs="宋体"/>
                <w:b/>
                <w:sz w:val="21"/>
                <w:szCs w:val="21"/>
              </w:rPr>
              <w:t>产生量）</w:t>
            </w:r>
            <w:r>
              <w:rPr>
                <w:rFonts w:cs="宋体"/>
                <w:b/>
                <w:sz w:val="21"/>
                <w:szCs w:val="21"/>
              </w:rPr>
              <w:fldChar w:fldCharType="begin"/>
            </w:r>
            <w:r>
              <w:rPr>
                <w:rFonts w:cs="宋体"/>
                <w:b/>
                <w:sz w:val="21"/>
                <w:szCs w:val="21"/>
              </w:rPr>
              <w:instrText xml:space="preserve"> = 3 \* GB3 \* MERGEFORMAT </w:instrText>
            </w:r>
            <w:r>
              <w:rPr>
                <w:rFonts w:cs="宋体"/>
                <w:b/>
                <w:sz w:val="21"/>
                <w:szCs w:val="21"/>
              </w:rPr>
              <w:fldChar w:fldCharType="separate"/>
            </w:r>
            <w:r>
              <w:rPr>
                <w:rFonts w:hint="eastAsia" w:cs="宋体"/>
                <w:b/>
                <w:sz w:val="21"/>
                <w:szCs w:val="21"/>
              </w:rPr>
              <w:t>③</w:t>
            </w:r>
            <w:r>
              <w:rPr>
                <w:rFonts w:cs="宋体"/>
                <w:b/>
                <w:sz w:val="21"/>
                <w:szCs w:val="21"/>
              </w:rPr>
              <w:fldChar w:fldCharType="end"/>
            </w:r>
          </w:p>
        </w:tc>
        <w:tc>
          <w:tcPr>
            <w:tcW w:w="1785" w:type="dxa"/>
            <w:tcMar>
              <w:left w:w="28" w:type="dxa"/>
              <w:right w:w="28" w:type="dxa"/>
            </w:tcMar>
            <w:vAlign w:val="center"/>
          </w:tcPr>
          <w:p>
            <w:pPr>
              <w:adjustRightInd w:val="0"/>
              <w:snapToGrid w:val="0"/>
              <w:spacing w:line="240" w:lineRule="auto"/>
              <w:jc w:val="center"/>
              <w:rPr>
                <w:rFonts w:cs="宋体"/>
                <w:b/>
                <w:sz w:val="21"/>
                <w:szCs w:val="21"/>
              </w:rPr>
            </w:pPr>
            <w:r>
              <w:rPr>
                <w:rFonts w:cs="宋体"/>
                <w:b/>
                <w:sz w:val="21"/>
                <w:szCs w:val="21"/>
              </w:rPr>
              <w:t>本项目</w:t>
            </w:r>
          </w:p>
          <w:p>
            <w:pPr>
              <w:adjustRightInd w:val="0"/>
              <w:snapToGrid w:val="0"/>
              <w:spacing w:line="240" w:lineRule="auto"/>
              <w:jc w:val="center"/>
              <w:rPr>
                <w:rFonts w:cs="宋体"/>
                <w:b/>
                <w:sz w:val="21"/>
                <w:szCs w:val="21"/>
              </w:rPr>
            </w:pPr>
            <w:r>
              <w:rPr>
                <w:rFonts w:cs="宋体"/>
                <w:b/>
                <w:sz w:val="21"/>
                <w:szCs w:val="21"/>
              </w:rPr>
              <w:t>排放量（固</w:t>
            </w:r>
            <w:r>
              <w:rPr>
                <w:rFonts w:hint="eastAsia" w:cs="宋体"/>
                <w:b/>
                <w:sz w:val="21"/>
                <w:szCs w:val="21"/>
              </w:rPr>
              <w:t>体</w:t>
            </w:r>
            <w:r>
              <w:rPr>
                <w:rFonts w:cs="宋体"/>
                <w:b/>
                <w:sz w:val="21"/>
                <w:szCs w:val="21"/>
              </w:rPr>
              <w:t>废</w:t>
            </w:r>
            <w:r>
              <w:rPr>
                <w:rFonts w:hint="eastAsia" w:cs="宋体"/>
                <w:b/>
                <w:sz w:val="21"/>
                <w:szCs w:val="21"/>
              </w:rPr>
              <w:t>物</w:t>
            </w:r>
            <w:r>
              <w:rPr>
                <w:rFonts w:cs="宋体"/>
                <w:b/>
                <w:sz w:val="21"/>
                <w:szCs w:val="21"/>
              </w:rPr>
              <w:t>产生量）</w:t>
            </w:r>
            <w:r>
              <w:rPr>
                <w:rFonts w:cs="宋体"/>
                <w:b/>
                <w:sz w:val="21"/>
                <w:szCs w:val="21"/>
              </w:rPr>
              <w:fldChar w:fldCharType="begin"/>
            </w:r>
            <w:r>
              <w:rPr>
                <w:rFonts w:cs="宋体"/>
                <w:b/>
                <w:sz w:val="21"/>
                <w:szCs w:val="21"/>
              </w:rPr>
              <w:instrText xml:space="preserve"> = 4 \* GB3 \* MERGEFORMAT </w:instrText>
            </w:r>
            <w:r>
              <w:rPr>
                <w:rFonts w:cs="宋体"/>
                <w:b/>
                <w:sz w:val="21"/>
                <w:szCs w:val="21"/>
              </w:rPr>
              <w:fldChar w:fldCharType="separate"/>
            </w:r>
            <w:r>
              <w:rPr>
                <w:rFonts w:hint="eastAsia" w:cs="宋体"/>
                <w:b/>
                <w:sz w:val="21"/>
                <w:szCs w:val="21"/>
              </w:rPr>
              <w:t>④</w:t>
            </w:r>
            <w:r>
              <w:rPr>
                <w:rFonts w:cs="宋体"/>
                <w:b/>
                <w:sz w:val="21"/>
                <w:szCs w:val="21"/>
              </w:rPr>
              <w:fldChar w:fldCharType="end"/>
            </w:r>
          </w:p>
        </w:tc>
        <w:tc>
          <w:tcPr>
            <w:tcW w:w="1710" w:type="dxa"/>
            <w:tcMar>
              <w:left w:w="28" w:type="dxa"/>
              <w:right w:w="28" w:type="dxa"/>
            </w:tcMar>
            <w:vAlign w:val="center"/>
          </w:tcPr>
          <w:p>
            <w:pPr>
              <w:adjustRightInd w:val="0"/>
              <w:snapToGrid w:val="0"/>
              <w:spacing w:line="240" w:lineRule="auto"/>
              <w:jc w:val="center"/>
              <w:rPr>
                <w:rFonts w:cs="宋体"/>
                <w:b/>
                <w:sz w:val="21"/>
                <w:szCs w:val="21"/>
              </w:rPr>
            </w:pPr>
            <w:r>
              <w:rPr>
                <w:rFonts w:cs="宋体"/>
                <w:b/>
                <w:sz w:val="21"/>
                <w:szCs w:val="21"/>
              </w:rPr>
              <w:t>以新带老削减量</w:t>
            </w:r>
          </w:p>
          <w:p>
            <w:pPr>
              <w:adjustRightInd w:val="0"/>
              <w:snapToGrid w:val="0"/>
              <w:spacing w:line="240" w:lineRule="auto"/>
              <w:jc w:val="center"/>
              <w:rPr>
                <w:rFonts w:cs="宋体"/>
                <w:b/>
                <w:sz w:val="21"/>
                <w:szCs w:val="21"/>
              </w:rPr>
            </w:pPr>
            <w:r>
              <w:rPr>
                <w:rFonts w:cs="宋体"/>
                <w:b/>
                <w:sz w:val="21"/>
                <w:szCs w:val="21"/>
              </w:rPr>
              <w:t>（新建项目不填）</w:t>
            </w:r>
            <w:r>
              <w:rPr>
                <w:rFonts w:cs="宋体"/>
                <w:b/>
                <w:sz w:val="21"/>
                <w:szCs w:val="21"/>
              </w:rPr>
              <w:fldChar w:fldCharType="begin"/>
            </w:r>
            <w:r>
              <w:rPr>
                <w:rFonts w:cs="宋体"/>
                <w:b/>
                <w:sz w:val="21"/>
                <w:szCs w:val="21"/>
              </w:rPr>
              <w:instrText xml:space="preserve"> = 5 \* GB3 \* MERGEFORMAT </w:instrText>
            </w:r>
            <w:r>
              <w:rPr>
                <w:rFonts w:cs="宋体"/>
                <w:b/>
                <w:sz w:val="21"/>
                <w:szCs w:val="21"/>
              </w:rPr>
              <w:fldChar w:fldCharType="separate"/>
            </w:r>
            <w:r>
              <w:rPr>
                <w:rFonts w:hint="eastAsia" w:cs="宋体"/>
                <w:b/>
                <w:sz w:val="21"/>
                <w:szCs w:val="21"/>
              </w:rPr>
              <w:t>⑤</w:t>
            </w:r>
            <w:r>
              <w:rPr>
                <w:rFonts w:cs="宋体"/>
                <w:b/>
                <w:sz w:val="21"/>
                <w:szCs w:val="21"/>
              </w:rPr>
              <w:fldChar w:fldCharType="end"/>
            </w:r>
          </w:p>
        </w:tc>
        <w:tc>
          <w:tcPr>
            <w:tcW w:w="1785" w:type="dxa"/>
            <w:tcMar>
              <w:left w:w="28" w:type="dxa"/>
              <w:right w:w="28" w:type="dxa"/>
            </w:tcMar>
            <w:vAlign w:val="center"/>
          </w:tcPr>
          <w:p>
            <w:pPr>
              <w:adjustRightInd w:val="0"/>
              <w:snapToGrid w:val="0"/>
              <w:spacing w:line="240" w:lineRule="auto"/>
              <w:jc w:val="center"/>
              <w:rPr>
                <w:rFonts w:cs="宋体"/>
                <w:b/>
                <w:sz w:val="21"/>
                <w:szCs w:val="21"/>
              </w:rPr>
            </w:pPr>
            <w:r>
              <w:rPr>
                <w:rFonts w:cs="宋体"/>
                <w:b/>
                <w:sz w:val="21"/>
                <w:szCs w:val="21"/>
              </w:rPr>
              <w:t>本项目建成后</w:t>
            </w:r>
          </w:p>
          <w:p>
            <w:pPr>
              <w:adjustRightInd w:val="0"/>
              <w:snapToGrid w:val="0"/>
              <w:spacing w:line="240" w:lineRule="auto"/>
              <w:jc w:val="center"/>
              <w:rPr>
                <w:rFonts w:cs="宋体"/>
                <w:b/>
                <w:sz w:val="21"/>
                <w:szCs w:val="21"/>
              </w:rPr>
            </w:pPr>
            <w:r>
              <w:rPr>
                <w:rFonts w:hint="eastAsia" w:cs="宋体"/>
                <w:b/>
                <w:sz w:val="21"/>
                <w:szCs w:val="21"/>
              </w:rPr>
              <w:t>全厂</w:t>
            </w:r>
            <w:r>
              <w:rPr>
                <w:rFonts w:cs="宋体"/>
                <w:b/>
                <w:sz w:val="21"/>
                <w:szCs w:val="21"/>
              </w:rPr>
              <w:t>排放量（固</w:t>
            </w:r>
            <w:r>
              <w:rPr>
                <w:rFonts w:hint="eastAsia" w:cs="宋体"/>
                <w:b/>
                <w:sz w:val="21"/>
                <w:szCs w:val="21"/>
              </w:rPr>
              <w:t>体</w:t>
            </w:r>
            <w:r>
              <w:rPr>
                <w:rFonts w:cs="宋体"/>
                <w:b/>
                <w:sz w:val="21"/>
                <w:szCs w:val="21"/>
              </w:rPr>
              <w:t>废</w:t>
            </w:r>
            <w:r>
              <w:rPr>
                <w:rFonts w:hint="eastAsia" w:cs="宋体"/>
                <w:b/>
                <w:sz w:val="21"/>
                <w:szCs w:val="21"/>
              </w:rPr>
              <w:t>物</w:t>
            </w:r>
            <w:r>
              <w:rPr>
                <w:rFonts w:cs="宋体"/>
                <w:b/>
                <w:sz w:val="21"/>
                <w:szCs w:val="21"/>
              </w:rPr>
              <w:t>产生量）</w:t>
            </w:r>
            <w:r>
              <w:rPr>
                <w:rFonts w:cs="宋体"/>
                <w:b/>
                <w:sz w:val="21"/>
                <w:szCs w:val="21"/>
              </w:rPr>
              <w:fldChar w:fldCharType="begin"/>
            </w:r>
            <w:r>
              <w:rPr>
                <w:rFonts w:cs="宋体"/>
                <w:b/>
                <w:sz w:val="21"/>
                <w:szCs w:val="21"/>
              </w:rPr>
              <w:instrText xml:space="preserve"> = 6 \* GB3 \* MERGEFORMAT </w:instrText>
            </w:r>
            <w:r>
              <w:rPr>
                <w:rFonts w:cs="宋体"/>
                <w:b/>
                <w:sz w:val="21"/>
                <w:szCs w:val="21"/>
              </w:rPr>
              <w:fldChar w:fldCharType="separate"/>
            </w:r>
            <w:r>
              <w:rPr>
                <w:rFonts w:hint="eastAsia" w:cs="宋体"/>
                <w:b/>
                <w:sz w:val="21"/>
                <w:szCs w:val="21"/>
              </w:rPr>
              <w:t>⑥</w:t>
            </w:r>
            <w:r>
              <w:rPr>
                <w:rFonts w:cs="宋体"/>
                <w:b/>
                <w:sz w:val="21"/>
                <w:szCs w:val="21"/>
              </w:rPr>
              <w:fldChar w:fldCharType="end"/>
            </w:r>
          </w:p>
        </w:tc>
        <w:tc>
          <w:tcPr>
            <w:tcW w:w="1371" w:type="dxa"/>
            <w:tcMar>
              <w:left w:w="28" w:type="dxa"/>
              <w:right w:w="28" w:type="dxa"/>
            </w:tcMar>
            <w:vAlign w:val="center"/>
          </w:tcPr>
          <w:p>
            <w:pPr>
              <w:adjustRightInd w:val="0"/>
              <w:snapToGrid w:val="0"/>
              <w:spacing w:line="240" w:lineRule="auto"/>
              <w:jc w:val="center"/>
              <w:rPr>
                <w:rFonts w:cs="宋体"/>
                <w:b/>
                <w:sz w:val="21"/>
                <w:szCs w:val="21"/>
              </w:rPr>
            </w:pPr>
            <w:r>
              <w:rPr>
                <w:rFonts w:cs="宋体"/>
                <w:b/>
                <w:sz w:val="21"/>
                <w:szCs w:val="21"/>
              </w:rPr>
              <w:t>变化量</w:t>
            </w:r>
          </w:p>
          <w:p>
            <w:pPr>
              <w:adjustRightInd w:val="0"/>
              <w:snapToGrid w:val="0"/>
              <w:spacing w:line="240" w:lineRule="auto"/>
              <w:jc w:val="center"/>
              <w:rPr>
                <w:rFonts w:cs="宋体"/>
                <w:b/>
                <w:sz w:val="21"/>
                <w:szCs w:val="21"/>
              </w:rPr>
            </w:pPr>
            <w:r>
              <w:rPr>
                <w:rFonts w:cs="宋体"/>
                <w:b/>
                <w:sz w:val="21"/>
                <w:szCs w:val="21"/>
              </w:rPr>
              <w:fldChar w:fldCharType="begin"/>
            </w:r>
            <w:r>
              <w:rPr>
                <w:rFonts w:cs="宋体"/>
                <w:b/>
                <w:sz w:val="21"/>
                <w:szCs w:val="21"/>
              </w:rPr>
              <w:instrText xml:space="preserve"> = 7 \* GB3 \* MERGEFORMAT </w:instrText>
            </w:r>
            <w:r>
              <w:rPr>
                <w:rFonts w:cs="宋体"/>
                <w:b/>
                <w:sz w:val="21"/>
                <w:szCs w:val="21"/>
              </w:rPr>
              <w:fldChar w:fldCharType="separate"/>
            </w:r>
            <w:r>
              <w:rPr>
                <w:rFonts w:hint="eastAsia" w:cs="宋体"/>
                <w:b/>
                <w:sz w:val="21"/>
                <w:szCs w:val="21"/>
              </w:rPr>
              <w:t>⑦</w:t>
            </w:r>
            <w:r>
              <w:rPr>
                <w:rFonts w:cs="宋体"/>
                <w:b/>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restart"/>
            <w:vAlign w:val="center"/>
          </w:tcPr>
          <w:p>
            <w:pPr>
              <w:pStyle w:val="56"/>
              <w:rPr>
                <w:snapToGrid w:val="0"/>
                <w:kern w:val="21"/>
                <w:szCs w:val="21"/>
              </w:rPr>
            </w:pPr>
            <w:r>
              <w:rPr>
                <w:rFonts w:hint="eastAsia"/>
                <w:snapToGrid w:val="0"/>
                <w:kern w:val="21"/>
                <w:szCs w:val="21"/>
              </w:rPr>
              <w:t>废气</w:t>
            </w:r>
          </w:p>
        </w:tc>
        <w:tc>
          <w:tcPr>
            <w:tcW w:w="1984" w:type="dxa"/>
            <w:vAlign w:val="center"/>
          </w:tcPr>
          <w:p>
            <w:pPr>
              <w:pStyle w:val="56"/>
              <w:rPr>
                <w:snapToGrid w:val="0"/>
                <w:kern w:val="21"/>
                <w:szCs w:val="21"/>
              </w:rPr>
            </w:pPr>
            <w:r>
              <w:rPr>
                <w:rFonts w:hint="eastAsia"/>
                <w:szCs w:val="21"/>
              </w:rPr>
              <w:t>氨</w:t>
            </w:r>
          </w:p>
        </w:tc>
        <w:tc>
          <w:tcPr>
            <w:tcW w:w="1317" w:type="dxa"/>
            <w:vAlign w:val="center"/>
          </w:tcPr>
          <w:p>
            <w:pPr>
              <w:pStyle w:val="56"/>
              <w:rPr>
                <w:snapToGrid w:val="0"/>
                <w:kern w:val="21"/>
                <w:szCs w:val="21"/>
              </w:rPr>
            </w:pPr>
            <w:r>
              <w:rPr>
                <w:rFonts w:hint="eastAsia"/>
                <w:snapToGrid w:val="0"/>
                <w:kern w:val="21"/>
                <w:szCs w:val="21"/>
              </w:rPr>
              <w:t>/</w:t>
            </w:r>
          </w:p>
        </w:tc>
        <w:tc>
          <w:tcPr>
            <w:tcW w:w="1320" w:type="dxa"/>
            <w:vAlign w:val="center"/>
          </w:tcPr>
          <w:p>
            <w:pPr>
              <w:pStyle w:val="56"/>
              <w:rPr>
                <w:snapToGrid w:val="0"/>
                <w:kern w:val="21"/>
                <w:szCs w:val="21"/>
              </w:rPr>
            </w:pPr>
            <w:r>
              <w:rPr>
                <w:rFonts w:hint="eastAsia"/>
                <w:snapToGrid w:val="0"/>
                <w:kern w:val="21"/>
                <w:szCs w:val="21"/>
              </w:rPr>
              <w:t>/</w:t>
            </w:r>
          </w:p>
        </w:tc>
        <w:tc>
          <w:tcPr>
            <w:tcW w:w="1665" w:type="dxa"/>
            <w:vAlign w:val="center"/>
          </w:tcPr>
          <w:p>
            <w:pPr>
              <w:pStyle w:val="56"/>
              <w:rPr>
                <w:snapToGrid w:val="0"/>
                <w:kern w:val="21"/>
                <w:szCs w:val="21"/>
              </w:rPr>
            </w:pPr>
            <w:r>
              <w:rPr>
                <w:rFonts w:hint="eastAsia"/>
                <w:snapToGrid w:val="0"/>
                <w:kern w:val="21"/>
                <w:szCs w:val="21"/>
              </w:rPr>
              <w:t>/</w:t>
            </w:r>
          </w:p>
        </w:tc>
        <w:tc>
          <w:tcPr>
            <w:tcW w:w="1785" w:type="dxa"/>
            <w:vAlign w:val="center"/>
          </w:tcPr>
          <w:p>
            <w:pPr>
              <w:pStyle w:val="56"/>
              <w:rPr>
                <w:snapToGrid w:val="0"/>
                <w:kern w:val="21"/>
                <w:szCs w:val="21"/>
              </w:rPr>
            </w:pPr>
            <w:r>
              <w:rPr>
                <w:snapToGrid w:val="0"/>
                <w:kern w:val="21"/>
                <w:szCs w:val="21"/>
              </w:rPr>
              <w:t>0.2743</w:t>
            </w:r>
            <w:r>
              <w:rPr>
                <w:rFonts w:hint="eastAsia"/>
                <w:snapToGrid w:val="0"/>
                <w:kern w:val="21"/>
                <w:szCs w:val="21"/>
              </w:rPr>
              <w:t xml:space="preserve"> t/a</w:t>
            </w:r>
          </w:p>
        </w:tc>
        <w:tc>
          <w:tcPr>
            <w:tcW w:w="1710"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c>
          <w:tcPr>
            <w:tcW w:w="1785" w:type="dxa"/>
            <w:vAlign w:val="center"/>
          </w:tcPr>
          <w:p>
            <w:pPr>
              <w:pStyle w:val="56"/>
              <w:rPr>
                <w:snapToGrid w:val="0"/>
                <w:kern w:val="21"/>
                <w:szCs w:val="21"/>
              </w:rPr>
            </w:pPr>
            <w:r>
              <w:rPr>
                <w:snapToGrid w:val="0"/>
                <w:kern w:val="21"/>
                <w:szCs w:val="21"/>
              </w:rPr>
              <w:t>0.2743</w:t>
            </w:r>
            <w:r>
              <w:rPr>
                <w:rFonts w:hint="eastAsia"/>
                <w:snapToGrid w:val="0"/>
                <w:kern w:val="21"/>
                <w:szCs w:val="21"/>
              </w:rPr>
              <w:t xml:space="preserve"> t/a</w:t>
            </w:r>
          </w:p>
        </w:tc>
        <w:tc>
          <w:tcPr>
            <w:tcW w:w="1371"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pStyle w:val="56"/>
              <w:rPr>
                <w:snapToGrid w:val="0"/>
                <w:kern w:val="21"/>
                <w:szCs w:val="21"/>
              </w:rPr>
            </w:pPr>
          </w:p>
        </w:tc>
        <w:tc>
          <w:tcPr>
            <w:tcW w:w="1984" w:type="dxa"/>
            <w:vAlign w:val="center"/>
          </w:tcPr>
          <w:p>
            <w:pPr>
              <w:pStyle w:val="56"/>
              <w:rPr>
                <w:snapToGrid w:val="0"/>
                <w:kern w:val="21"/>
                <w:szCs w:val="21"/>
              </w:rPr>
            </w:pPr>
            <w:r>
              <w:rPr>
                <w:rFonts w:hint="eastAsia"/>
                <w:szCs w:val="21"/>
              </w:rPr>
              <w:t>硫化氢</w:t>
            </w:r>
          </w:p>
        </w:tc>
        <w:tc>
          <w:tcPr>
            <w:tcW w:w="1317" w:type="dxa"/>
            <w:vAlign w:val="center"/>
          </w:tcPr>
          <w:p>
            <w:pPr>
              <w:pStyle w:val="56"/>
              <w:rPr>
                <w:snapToGrid w:val="0"/>
                <w:kern w:val="21"/>
                <w:szCs w:val="21"/>
              </w:rPr>
            </w:pPr>
            <w:r>
              <w:rPr>
                <w:rFonts w:hint="eastAsia"/>
                <w:snapToGrid w:val="0"/>
                <w:kern w:val="21"/>
                <w:szCs w:val="21"/>
              </w:rPr>
              <w:t>/</w:t>
            </w:r>
          </w:p>
        </w:tc>
        <w:tc>
          <w:tcPr>
            <w:tcW w:w="1320" w:type="dxa"/>
            <w:vAlign w:val="center"/>
          </w:tcPr>
          <w:p>
            <w:pPr>
              <w:pStyle w:val="56"/>
              <w:rPr>
                <w:snapToGrid w:val="0"/>
                <w:kern w:val="21"/>
                <w:szCs w:val="21"/>
              </w:rPr>
            </w:pPr>
            <w:r>
              <w:rPr>
                <w:rFonts w:hint="eastAsia"/>
                <w:snapToGrid w:val="0"/>
                <w:kern w:val="21"/>
                <w:szCs w:val="21"/>
              </w:rPr>
              <w:t>/</w:t>
            </w:r>
          </w:p>
        </w:tc>
        <w:tc>
          <w:tcPr>
            <w:tcW w:w="1665" w:type="dxa"/>
            <w:vAlign w:val="center"/>
          </w:tcPr>
          <w:p>
            <w:pPr>
              <w:pStyle w:val="56"/>
              <w:rPr>
                <w:snapToGrid w:val="0"/>
                <w:kern w:val="21"/>
                <w:szCs w:val="21"/>
              </w:rPr>
            </w:pPr>
            <w:r>
              <w:rPr>
                <w:rFonts w:hint="eastAsia"/>
                <w:snapToGrid w:val="0"/>
                <w:kern w:val="21"/>
                <w:szCs w:val="21"/>
              </w:rPr>
              <w:t>/</w:t>
            </w:r>
          </w:p>
        </w:tc>
        <w:tc>
          <w:tcPr>
            <w:tcW w:w="1785" w:type="dxa"/>
            <w:vAlign w:val="center"/>
          </w:tcPr>
          <w:p>
            <w:pPr>
              <w:pStyle w:val="56"/>
              <w:rPr>
                <w:snapToGrid w:val="0"/>
                <w:kern w:val="21"/>
                <w:szCs w:val="21"/>
              </w:rPr>
            </w:pPr>
            <w:r>
              <w:rPr>
                <w:snapToGrid w:val="0"/>
                <w:kern w:val="21"/>
                <w:szCs w:val="21"/>
              </w:rPr>
              <w:t>0.0089</w:t>
            </w:r>
            <w:r>
              <w:rPr>
                <w:rFonts w:hint="eastAsia"/>
                <w:snapToGrid w:val="0"/>
                <w:kern w:val="21"/>
                <w:szCs w:val="21"/>
              </w:rPr>
              <w:t xml:space="preserve"> t/a</w:t>
            </w:r>
          </w:p>
        </w:tc>
        <w:tc>
          <w:tcPr>
            <w:tcW w:w="1710"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c>
          <w:tcPr>
            <w:tcW w:w="1785" w:type="dxa"/>
            <w:vAlign w:val="center"/>
          </w:tcPr>
          <w:p>
            <w:pPr>
              <w:pStyle w:val="56"/>
              <w:rPr>
                <w:snapToGrid w:val="0"/>
                <w:kern w:val="21"/>
                <w:szCs w:val="21"/>
              </w:rPr>
            </w:pPr>
            <w:r>
              <w:rPr>
                <w:snapToGrid w:val="0"/>
                <w:kern w:val="21"/>
                <w:szCs w:val="21"/>
              </w:rPr>
              <w:t>0.0089</w:t>
            </w:r>
            <w:r>
              <w:rPr>
                <w:rFonts w:hint="eastAsia"/>
                <w:snapToGrid w:val="0"/>
                <w:kern w:val="21"/>
                <w:szCs w:val="21"/>
              </w:rPr>
              <w:t xml:space="preserve"> t/a</w:t>
            </w:r>
          </w:p>
        </w:tc>
        <w:tc>
          <w:tcPr>
            <w:tcW w:w="1371"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83" w:type="dxa"/>
            <w:vMerge w:val="restart"/>
            <w:vAlign w:val="center"/>
          </w:tcPr>
          <w:p>
            <w:pPr>
              <w:pStyle w:val="56"/>
              <w:rPr>
                <w:snapToGrid w:val="0"/>
                <w:kern w:val="21"/>
                <w:szCs w:val="21"/>
              </w:rPr>
            </w:pPr>
            <w:r>
              <w:rPr>
                <w:rFonts w:hint="eastAsia"/>
                <w:snapToGrid w:val="0"/>
                <w:kern w:val="21"/>
                <w:szCs w:val="21"/>
              </w:rPr>
              <w:t>废水</w:t>
            </w:r>
          </w:p>
        </w:tc>
        <w:tc>
          <w:tcPr>
            <w:tcW w:w="1984" w:type="dxa"/>
            <w:vAlign w:val="center"/>
          </w:tcPr>
          <w:p>
            <w:pPr>
              <w:pStyle w:val="56"/>
              <w:rPr>
                <w:snapToGrid w:val="0"/>
                <w:kern w:val="21"/>
                <w:szCs w:val="21"/>
              </w:rPr>
            </w:pPr>
            <w:r>
              <w:rPr>
                <w:snapToGrid w:val="0"/>
                <w:kern w:val="21"/>
                <w:szCs w:val="21"/>
              </w:rPr>
              <w:t>C</w:t>
            </w:r>
            <w:r>
              <w:rPr>
                <w:rFonts w:hint="eastAsia"/>
                <w:snapToGrid w:val="0"/>
                <w:kern w:val="21"/>
                <w:szCs w:val="21"/>
              </w:rPr>
              <w:t>OD</w:t>
            </w:r>
            <w:r>
              <w:rPr>
                <w:snapToGrid w:val="0"/>
                <w:kern w:val="21"/>
                <w:szCs w:val="21"/>
              </w:rPr>
              <w:t xml:space="preserve"> </w:t>
            </w:r>
          </w:p>
        </w:tc>
        <w:tc>
          <w:tcPr>
            <w:tcW w:w="1317" w:type="dxa"/>
            <w:vAlign w:val="center"/>
          </w:tcPr>
          <w:p>
            <w:pPr>
              <w:pStyle w:val="56"/>
              <w:rPr>
                <w:snapToGrid w:val="0"/>
                <w:kern w:val="21"/>
                <w:szCs w:val="21"/>
              </w:rPr>
            </w:pPr>
            <w:r>
              <w:rPr>
                <w:rFonts w:hint="eastAsia"/>
                <w:snapToGrid w:val="0"/>
                <w:kern w:val="21"/>
                <w:szCs w:val="21"/>
              </w:rPr>
              <w:t>/</w:t>
            </w:r>
          </w:p>
        </w:tc>
        <w:tc>
          <w:tcPr>
            <w:tcW w:w="1320" w:type="dxa"/>
            <w:vAlign w:val="center"/>
          </w:tcPr>
          <w:p>
            <w:pPr>
              <w:pStyle w:val="56"/>
              <w:rPr>
                <w:snapToGrid w:val="0"/>
                <w:kern w:val="21"/>
                <w:szCs w:val="21"/>
              </w:rPr>
            </w:pPr>
            <w:r>
              <w:rPr>
                <w:rFonts w:hint="eastAsia"/>
                <w:snapToGrid w:val="0"/>
                <w:kern w:val="21"/>
                <w:szCs w:val="21"/>
              </w:rPr>
              <w:t>/</w:t>
            </w:r>
          </w:p>
        </w:tc>
        <w:tc>
          <w:tcPr>
            <w:tcW w:w="1665" w:type="dxa"/>
            <w:vAlign w:val="center"/>
          </w:tcPr>
          <w:p>
            <w:pPr>
              <w:pStyle w:val="56"/>
              <w:rPr>
                <w:snapToGrid w:val="0"/>
                <w:kern w:val="21"/>
                <w:szCs w:val="21"/>
              </w:rPr>
            </w:pPr>
            <w:r>
              <w:rPr>
                <w:rFonts w:hint="eastAsia"/>
                <w:snapToGrid w:val="0"/>
                <w:kern w:val="21"/>
                <w:szCs w:val="21"/>
              </w:rPr>
              <w:t>/</w:t>
            </w:r>
          </w:p>
        </w:tc>
        <w:tc>
          <w:tcPr>
            <w:tcW w:w="1785" w:type="dxa"/>
            <w:vAlign w:val="center"/>
          </w:tcPr>
          <w:p>
            <w:pPr>
              <w:spacing w:line="240" w:lineRule="auto"/>
              <w:jc w:val="center"/>
              <w:textAlignment w:val="center"/>
              <w:rPr>
                <w:snapToGrid w:val="0"/>
                <w:kern w:val="21"/>
                <w:sz w:val="21"/>
                <w:szCs w:val="21"/>
              </w:rPr>
            </w:pPr>
            <w:r>
              <w:rPr>
                <w:rFonts w:hint="eastAsia"/>
                <w:snapToGrid w:val="0"/>
                <w:kern w:val="21"/>
                <w:sz w:val="21"/>
                <w:szCs w:val="21"/>
              </w:rPr>
              <w:t>182.5t/a</w:t>
            </w:r>
          </w:p>
        </w:tc>
        <w:tc>
          <w:tcPr>
            <w:tcW w:w="1710"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c>
          <w:tcPr>
            <w:tcW w:w="1785" w:type="dxa"/>
            <w:vAlign w:val="center"/>
          </w:tcPr>
          <w:p>
            <w:pPr>
              <w:spacing w:line="240" w:lineRule="auto"/>
              <w:jc w:val="center"/>
              <w:textAlignment w:val="center"/>
              <w:rPr>
                <w:snapToGrid w:val="0"/>
                <w:kern w:val="21"/>
                <w:sz w:val="21"/>
                <w:szCs w:val="21"/>
              </w:rPr>
            </w:pPr>
            <w:r>
              <w:rPr>
                <w:rFonts w:hint="eastAsia"/>
                <w:snapToGrid w:val="0"/>
                <w:kern w:val="21"/>
                <w:sz w:val="21"/>
                <w:szCs w:val="21"/>
              </w:rPr>
              <w:t>182.5t/a</w:t>
            </w:r>
          </w:p>
        </w:tc>
        <w:tc>
          <w:tcPr>
            <w:tcW w:w="1371"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83" w:type="dxa"/>
            <w:vMerge w:val="continue"/>
            <w:vAlign w:val="center"/>
          </w:tcPr>
          <w:p>
            <w:pPr>
              <w:pStyle w:val="56"/>
              <w:rPr>
                <w:snapToGrid w:val="0"/>
                <w:kern w:val="21"/>
                <w:szCs w:val="21"/>
              </w:rPr>
            </w:pPr>
          </w:p>
        </w:tc>
        <w:tc>
          <w:tcPr>
            <w:tcW w:w="1984" w:type="dxa"/>
            <w:vAlign w:val="center"/>
          </w:tcPr>
          <w:p>
            <w:pPr>
              <w:pStyle w:val="56"/>
              <w:rPr>
                <w:snapToGrid w:val="0"/>
                <w:kern w:val="21"/>
                <w:szCs w:val="21"/>
              </w:rPr>
            </w:pPr>
            <w:r>
              <w:rPr>
                <w:rFonts w:hint="eastAsia"/>
                <w:snapToGrid w:val="0"/>
                <w:kern w:val="21"/>
                <w:szCs w:val="21"/>
              </w:rPr>
              <w:t>氨氮</w:t>
            </w:r>
          </w:p>
        </w:tc>
        <w:tc>
          <w:tcPr>
            <w:tcW w:w="1317" w:type="dxa"/>
            <w:vAlign w:val="center"/>
          </w:tcPr>
          <w:p>
            <w:pPr>
              <w:pStyle w:val="56"/>
              <w:rPr>
                <w:snapToGrid w:val="0"/>
                <w:kern w:val="21"/>
                <w:szCs w:val="21"/>
              </w:rPr>
            </w:pPr>
            <w:r>
              <w:rPr>
                <w:rFonts w:hint="eastAsia"/>
                <w:snapToGrid w:val="0"/>
                <w:kern w:val="21"/>
                <w:szCs w:val="21"/>
              </w:rPr>
              <w:t>/</w:t>
            </w:r>
          </w:p>
        </w:tc>
        <w:tc>
          <w:tcPr>
            <w:tcW w:w="1320" w:type="dxa"/>
            <w:vAlign w:val="center"/>
          </w:tcPr>
          <w:p>
            <w:pPr>
              <w:pStyle w:val="56"/>
              <w:rPr>
                <w:snapToGrid w:val="0"/>
                <w:kern w:val="21"/>
                <w:szCs w:val="21"/>
              </w:rPr>
            </w:pPr>
            <w:r>
              <w:rPr>
                <w:rFonts w:hint="eastAsia"/>
                <w:snapToGrid w:val="0"/>
                <w:kern w:val="21"/>
                <w:szCs w:val="21"/>
              </w:rPr>
              <w:t>/</w:t>
            </w:r>
          </w:p>
        </w:tc>
        <w:tc>
          <w:tcPr>
            <w:tcW w:w="1665" w:type="dxa"/>
            <w:vAlign w:val="center"/>
          </w:tcPr>
          <w:p>
            <w:pPr>
              <w:pStyle w:val="56"/>
              <w:rPr>
                <w:snapToGrid w:val="0"/>
                <w:kern w:val="21"/>
                <w:szCs w:val="21"/>
              </w:rPr>
            </w:pPr>
            <w:r>
              <w:rPr>
                <w:rFonts w:hint="eastAsia"/>
                <w:snapToGrid w:val="0"/>
                <w:kern w:val="21"/>
                <w:szCs w:val="21"/>
              </w:rPr>
              <w:t>/</w:t>
            </w:r>
          </w:p>
        </w:tc>
        <w:tc>
          <w:tcPr>
            <w:tcW w:w="1785" w:type="dxa"/>
            <w:vAlign w:val="center"/>
          </w:tcPr>
          <w:p>
            <w:pPr>
              <w:spacing w:line="240" w:lineRule="auto"/>
              <w:jc w:val="center"/>
              <w:textAlignment w:val="center"/>
              <w:rPr>
                <w:kern w:val="0"/>
                <w:sz w:val="21"/>
                <w:szCs w:val="21"/>
              </w:rPr>
            </w:pPr>
            <w:r>
              <w:rPr>
                <w:rFonts w:hint="eastAsia"/>
                <w:kern w:val="0"/>
                <w:sz w:val="21"/>
                <w:szCs w:val="21"/>
              </w:rPr>
              <w:t>18.25</w:t>
            </w:r>
            <w:r>
              <w:rPr>
                <w:rFonts w:hint="eastAsia"/>
                <w:snapToGrid w:val="0"/>
                <w:kern w:val="21"/>
                <w:sz w:val="21"/>
                <w:szCs w:val="21"/>
              </w:rPr>
              <w:t xml:space="preserve"> t/a</w:t>
            </w:r>
          </w:p>
        </w:tc>
        <w:tc>
          <w:tcPr>
            <w:tcW w:w="1710" w:type="dxa"/>
            <w:vAlign w:val="center"/>
          </w:tcPr>
          <w:p>
            <w:pPr>
              <w:spacing w:line="240" w:lineRule="auto"/>
              <w:jc w:val="center"/>
              <w:rPr>
                <w:sz w:val="21"/>
                <w:szCs w:val="21"/>
              </w:rPr>
            </w:pPr>
            <w:r>
              <w:rPr>
                <w:rFonts w:hint="eastAsia"/>
                <w:snapToGrid w:val="0"/>
                <w:kern w:val="21"/>
                <w:sz w:val="21"/>
                <w:szCs w:val="21"/>
              </w:rPr>
              <w:t>/</w:t>
            </w:r>
          </w:p>
        </w:tc>
        <w:tc>
          <w:tcPr>
            <w:tcW w:w="1785" w:type="dxa"/>
            <w:vAlign w:val="center"/>
          </w:tcPr>
          <w:p>
            <w:pPr>
              <w:spacing w:line="240" w:lineRule="auto"/>
              <w:jc w:val="center"/>
              <w:textAlignment w:val="center"/>
              <w:rPr>
                <w:kern w:val="0"/>
                <w:sz w:val="21"/>
                <w:szCs w:val="21"/>
              </w:rPr>
            </w:pPr>
            <w:r>
              <w:rPr>
                <w:rFonts w:hint="eastAsia"/>
                <w:kern w:val="0"/>
                <w:sz w:val="21"/>
                <w:szCs w:val="21"/>
              </w:rPr>
              <w:t>18.25</w:t>
            </w:r>
            <w:r>
              <w:rPr>
                <w:rFonts w:hint="eastAsia"/>
                <w:snapToGrid w:val="0"/>
                <w:kern w:val="21"/>
                <w:sz w:val="21"/>
                <w:szCs w:val="21"/>
              </w:rPr>
              <w:t xml:space="preserve"> t/a</w:t>
            </w:r>
          </w:p>
        </w:tc>
        <w:tc>
          <w:tcPr>
            <w:tcW w:w="1371" w:type="dxa"/>
            <w:vAlign w:val="center"/>
          </w:tcPr>
          <w:p>
            <w:pPr>
              <w:spacing w:line="240" w:lineRule="auto"/>
              <w:jc w:val="center"/>
              <w:textAlignment w:val="center"/>
              <w:rPr>
                <w:kern w:val="0"/>
                <w:sz w:val="21"/>
                <w:szCs w:val="21"/>
              </w:rPr>
            </w:pPr>
            <w:r>
              <w:rPr>
                <w:rFonts w:hint="eastAsia"/>
                <w:snapToGrid w:val="0"/>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983" w:type="dxa"/>
            <w:vMerge w:val="continue"/>
            <w:vAlign w:val="center"/>
          </w:tcPr>
          <w:p>
            <w:pPr>
              <w:pStyle w:val="56"/>
              <w:rPr>
                <w:snapToGrid w:val="0"/>
                <w:kern w:val="21"/>
                <w:szCs w:val="21"/>
              </w:rPr>
            </w:pPr>
          </w:p>
        </w:tc>
        <w:tc>
          <w:tcPr>
            <w:tcW w:w="1984" w:type="dxa"/>
            <w:vAlign w:val="center"/>
          </w:tcPr>
          <w:p>
            <w:pPr>
              <w:pStyle w:val="56"/>
              <w:rPr>
                <w:snapToGrid w:val="0"/>
                <w:kern w:val="21"/>
                <w:szCs w:val="21"/>
              </w:rPr>
            </w:pPr>
            <w:r>
              <w:rPr>
                <w:rFonts w:hint="eastAsia"/>
                <w:snapToGrid w:val="0"/>
                <w:kern w:val="21"/>
                <w:szCs w:val="21"/>
              </w:rPr>
              <w:t>总磷</w:t>
            </w:r>
          </w:p>
        </w:tc>
        <w:tc>
          <w:tcPr>
            <w:tcW w:w="1317" w:type="dxa"/>
            <w:vAlign w:val="center"/>
          </w:tcPr>
          <w:p>
            <w:pPr>
              <w:pStyle w:val="56"/>
              <w:rPr>
                <w:snapToGrid w:val="0"/>
                <w:kern w:val="21"/>
                <w:szCs w:val="21"/>
              </w:rPr>
            </w:pPr>
            <w:r>
              <w:rPr>
                <w:rFonts w:hint="eastAsia"/>
                <w:snapToGrid w:val="0"/>
                <w:kern w:val="21"/>
                <w:szCs w:val="21"/>
              </w:rPr>
              <w:t>/</w:t>
            </w:r>
          </w:p>
        </w:tc>
        <w:tc>
          <w:tcPr>
            <w:tcW w:w="1320" w:type="dxa"/>
            <w:vAlign w:val="center"/>
          </w:tcPr>
          <w:p>
            <w:pPr>
              <w:pStyle w:val="56"/>
              <w:rPr>
                <w:snapToGrid w:val="0"/>
                <w:kern w:val="21"/>
                <w:szCs w:val="21"/>
              </w:rPr>
            </w:pPr>
            <w:r>
              <w:rPr>
                <w:rFonts w:hint="eastAsia"/>
                <w:snapToGrid w:val="0"/>
                <w:kern w:val="21"/>
                <w:szCs w:val="21"/>
              </w:rPr>
              <w:t>/</w:t>
            </w:r>
          </w:p>
        </w:tc>
        <w:tc>
          <w:tcPr>
            <w:tcW w:w="1665" w:type="dxa"/>
            <w:vAlign w:val="center"/>
          </w:tcPr>
          <w:p>
            <w:pPr>
              <w:pStyle w:val="56"/>
              <w:rPr>
                <w:snapToGrid w:val="0"/>
                <w:kern w:val="21"/>
                <w:szCs w:val="21"/>
              </w:rPr>
            </w:pPr>
            <w:r>
              <w:rPr>
                <w:rFonts w:hint="eastAsia"/>
                <w:snapToGrid w:val="0"/>
                <w:kern w:val="21"/>
                <w:szCs w:val="21"/>
              </w:rPr>
              <w:t>/</w:t>
            </w:r>
          </w:p>
        </w:tc>
        <w:tc>
          <w:tcPr>
            <w:tcW w:w="1785" w:type="dxa"/>
            <w:vAlign w:val="center"/>
          </w:tcPr>
          <w:p>
            <w:pPr>
              <w:spacing w:line="240" w:lineRule="auto"/>
              <w:jc w:val="center"/>
              <w:rPr>
                <w:kern w:val="0"/>
                <w:sz w:val="21"/>
                <w:szCs w:val="21"/>
              </w:rPr>
            </w:pPr>
            <w:r>
              <w:rPr>
                <w:rFonts w:hint="eastAsia"/>
                <w:kern w:val="0"/>
                <w:sz w:val="21"/>
                <w:szCs w:val="21"/>
              </w:rPr>
              <w:t>1.825</w:t>
            </w:r>
            <w:r>
              <w:rPr>
                <w:rFonts w:hint="eastAsia"/>
                <w:snapToGrid w:val="0"/>
                <w:kern w:val="21"/>
                <w:sz w:val="21"/>
                <w:szCs w:val="21"/>
              </w:rPr>
              <w:t xml:space="preserve"> t/a</w:t>
            </w:r>
          </w:p>
        </w:tc>
        <w:tc>
          <w:tcPr>
            <w:tcW w:w="1710" w:type="dxa"/>
            <w:vAlign w:val="center"/>
          </w:tcPr>
          <w:p>
            <w:pPr>
              <w:spacing w:line="240" w:lineRule="auto"/>
              <w:jc w:val="center"/>
              <w:rPr>
                <w:sz w:val="21"/>
                <w:szCs w:val="21"/>
              </w:rPr>
            </w:pPr>
            <w:r>
              <w:rPr>
                <w:rFonts w:hint="eastAsia"/>
                <w:snapToGrid w:val="0"/>
                <w:kern w:val="21"/>
                <w:sz w:val="21"/>
                <w:szCs w:val="21"/>
              </w:rPr>
              <w:t>/</w:t>
            </w:r>
          </w:p>
        </w:tc>
        <w:tc>
          <w:tcPr>
            <w:tcW w:w="1785" w:type="dxa"/>
            <w:vAlign w:val="center"/>
          </w:tcPr>
          <w:p>
            <w:pPr>
              <w:spacing w:line="240" w:lineRule="auto"/>
              <w:jc w:val="center"/>
              <w:rPr>
                <w:kern w:val="0"/>
                <w:sz w:val="21"/>
                <w:szCs w:val="21"/>
              </w:rPr>
            </w:pPr>
            <w:r>
              <w:rPr>
                <w:rFonts w:hint="eastAsia"/>
                <w:kern w:val="0"/>
                <w:sz w:val="21"/>
                <w:szCs w:val="21"/>
              </w:rPr>
              <w:t>1.825</w:t>
            </w:r>
            <w:r>
              <w:rPr>
                <w:rFonts w:hint="eastAsia"/>
                <w:snapToGrid w:val="0"/>
                <w:kern w:val="21"/>
                <w:sz w:val="21"/>
                <w:szCs w:val="21"/>
              </w:rPr>
              <w:t xml:space="preserve"> t/a</w:t>
            </w:r>
          </w:p>
        </w:tc>
        <w:tc>
          <w:tcPr>
            <w:tcW w:w="1371" w:type="dxa"/>
            <w:vAlign w:val="center"/>
          </w:tcPr>
          <w:p>
            <w:pPr>
              <w:spacing w:line="240" w:lineRule="auto"/>
              <w:jc w:val="center"/>
              <w:rPr>
                <w:kern w:val="0"/>
                <w:sz w:val="21"/>
                <w:szCs w:val="21"/>
              </w:rPr>
            </w:pPr>
            <w:r>
              <w:rPr>
                <w:rFonts w:hint="eastAsia"/>
                <w:snapToGrid w:val="0"/>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restart"/>
            <w:vAlign w:val="center"/>
          </w:tcPr>
          <w:p>
            <w:pPr>
              <w:pStyle w:val="56"/>
              <w:rPr>
                <w:snapToGrid w:val="0"/>
                <w:kern w:val="21"/>
                <w:szCs w:val="21"/>
              </w:rPr>
            </w:pPr>
            <w:r>
              <w:rPr>
                <w:rFonts w:hint="eastAsia"/>
                <w:snapToGrid w:val="0"/>
                <w:kern w:val="21"/>
                <w:szCs w:val="21"/>
              </w:rPr>
              <w:t>生活</w:t>
            </w:r>
          </w:p>
          <w:p>
            <w:pPr>
              <w:pStyle w:val="56"/>
              <w:rPr>
                <w:snapToGrid w:val="0"/>
                <w:kern w:val="21"/>
                <w:szCs w:val="21"/>
              </w:rPr>
            </w:pPr>
            <w:r>
              <w:rPr>
                <w:rFonts w:hint="eastAsia"/>
                <w:snapToGrid w:val="0"/>
                <w:kern w:val="21"/>
                <w:szCs w:val="21"/>
              </w:rPr>
              <w:t>垃圾</w:t>
            </w:r>
          </w:p>
        </w:tc>
        <w:tc>
          <w:tcPr>
            <w:tcW w:w="1984" w:type="dxa"/>
            <w:vAlign w:val="center"/>
          </w:tcPr>
          <w:p>
            <w:pPr>
              <w:pStyle w:val="56"/>
              <w:rPr>
                <w:snapToGrid w:val="0"/>
                <w:kern w:val="21"/>
                <w:szCs w:val="21"/>
              </w:rPr>
            </w:pPr>
            <w:r>
              <w:rPr>
                <w:rFonts w:hint="eastAsia"/>
                <w:snapToGrid w:val="0"/>
                <w:kern w:val="21"/>
                <w:szCs w:val="21"/>
              </w:rPr>
              <w:t>生活垃圾</w:t>
            </w:r>
          </w:p>
        </w:tc>
        <w:tc>
          <w:tcPr>
            <w:tcW w:w="1317" w:type="dxa"/>
            <w:vAlign w:val="center"/>
          </w:tcPr>
          <w:p>
            <w:pPr>
              <w:pStyle w:val="56"/>
              <w:rPr>
                <w:snapToGrid w:val="0"/>
                <w:kern w:val="21"/>
                <w:szCs w:val="21"/>
              </w:rPr>
            </w:pPr>
            <w:r>
              <w:rPr>
                <w:rFonts w:hint="eastAsia"/>
                <w:snapToGrid w:val="0"/>
                <w:kern w:val="21"/>
                <w:szCs w:val="21"/>
              </w:rPr>
              <w:t>/</w:t>
            </w:r>
          </w:p>
        </w:tc>
        <w:tc>
          <w:tcPr>
            <w:tcW w:w="1320" w:type="dxa"/>
            <w:vAlign w:val="center"/>
          </w:tcPr>
          <w:p>
            <w:pPr>
              <w:pStyle w:val="56"/>
              <w:rPr>
                <w:snapToGrid w:val="0"/>
                <w:kern w:val="21"/>
                <w:szCs w:val="21"/>
              </w:rPr>
            </w:pPr>
            <w:r>
              <w:rPr>
                <w:rFonts w:hint="eastAsia"/>
                <w:snapToGrid w:val="0"/>
                <w:kern w:val="21"/>
                <w:szCs w:val="21"/>
              </w:rPr>
              <w:t>/</w:t>
            </w:r>
          </w:p>
        </w:tc>
        <w:tc>
          <w:tcPr>
            <w:tcW w:w="1665" w:type="dxa"/>
            <w:vAlign w:val="center"/>
          </w:tcPr>
          <w:p>
            <w:pPr>
              <w:pStyle w:val="56"/>
              <w:rPr>
                <w:snapToGrid w:val="0"/>
                <w:kern w:val="21"/>
                <w:szCs w:val="21"/>
              </w:rPr>
            </w:pPr>
            <w:r>
              <w:rPr>
                <w:rFonts w:hint="eastAsia"/>
                <w:snapToGrid w:val="0"/>
                <w:kern w:val="21"/>
                <w:szCs w:val="21"/>
              </w:rPr>
              <w:t>/</w:t>
            </w:r>
          </w:p>
        </w:tc>
        <w:tc>
          <w:tcPr>
            <w:tcW w:w="1785" w:type="dxa"/>
            <w:vAlign w:val="center"/>
          </w:tcPr>
          <w:p>
            <w:pPr>
              <w:spacing w:line="360" w:lineRule="exact"/>
              <w:jc w:val="center"/>
              <w:rPr>
                <w:sz w:val="21"/>
                <w:szCs w:val="21"/>
              </w:rPr>
            </w:pPr>
            <w:r>
              <w:rPr>
                <w:rFonts w:hint="eastAsia"/>
                <w:sz w:val="21"/>
                <w:szCs w:val="21"/>
              </w:rPr>
              <w:t>3.65</w:t>
            </w:r>
            <w:r>
              <w:rPr>
                <w:rFonts w:hint="eastAsia"/>
                <w:snapToGrid w:val="0"/>
                <w:kern w:val="21"/>
                <w:sz w:val="21"/>
                <w:szCs w:val="21"/>
              </w:rPr>
              <w:t xml:space="preserve"> t/a</w:t>
            </w:r>
          </w:p>
        </w:tc>
        <w:tc>
          <w:tcPr>
            <w:tcW w:w="1710"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c>
          <w:tcPr>
            <w:tcW w:w="1785" w:type="dxa"/>
            <w:vAlign w:val="center"/>
          </w:tcPr>
          <w:p>
            <w:pPr>
              <w:spacing w:line="360" w:lineRule="exact"/>
              <w:jc w:val="center"/>
              <w:rPr>
                <w:sz w:val="21"/>
                <w:szCs w:val="21"/>
              </w:rPr>
            </w:pPr>
            <w:r>
              <w:rPr>
                <w:rFonts w:hint="eastAsia"/>
                <w:sz w:val="21"/>
                <w:szCs w:val="21"/>
              </w:rPr>
              <w:t>3.65</w:t>
            </w:r>
            <w:r>
              <w:rPr>
                <w:rFonts w:hint="eastAsia"/>
                <w:snapToGrid w:val="0"/>
                <w:kern w:val="21"/>
                <w:sz w:val="21"/>
                <w:szCs w:val="21"/>
              </w:rPr>
              <w:t xml:space="preserve"> t/a</w:t>
            </w:r>
          </w:p>
        </w:tc>
        <w:tc>
          <w:tcPr>
            <w:tcW w:w="1371"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pStyle w:val="56"/>
              <w:rPr>
                <w:snapToGrid w:val="0"/>
                <w:kern w:val="21"/>
                <w:szCs w:val="21"/>
              </w:rPr>
            </w:pPr>
          </w:p>
        </w:tc>
        <w:tc>
          <w:tcPr>
            <w:tcW w:w="1984" w:type="dxa"/>
            <w:vAlign w:val="center"/>
          </w:tcPr>
          <w:p>
            <w:pPr>
              <w:pStyle w:val="56"/>
              <w:rPr>
                <w:snapToGrid w:val="0"/>
                <w:kern w:val="21"/>
                <w:szCs w:val="21"/>
              </w:rPr>
            </w:pPr>
            <w:r>
              <w:rPr>
                <w:rFonts w:hint="eastAsia"/>
                <w:snapToGrid w:val="0"/>
                <w:kern w:val="21"/>
                <w:szCs w:val="21"/>
                <w:lang w:val="en-US"/>
              </w:rPr>
              <w:t>餐厨垃圾</w:t>
            </w:r>
          </w:p>
        </w:tc>
        <w:tc>
          <w:tcPr>
            <w:tcW w:w="1317" w:type="dxa"/>
            <w:vAlign w:val="center"/>
          </w:tcPr>
          <w:p>
            <w:pPr>
              <w:pStyle w:val="56"/>
              <w:rPr>
                <w:snapToGrid w:val="0"/>
                <w:kern w:val="21"/>
                <w:szCs w:val="21"/>
              </w:rPr>
            </w:pPr>
          </w:p>
        </w:tc>
        <w:tc>
          <w:tcPr>
            <w:tcW w:w="1320" w:type="dxa"/>
            <w:vAlign w:val="center"/>
          </w:tcPr>
          <w:p>
            <w:pPr>
              <w:pStyle w:val="56"/>
              <w:rPr>
                <w:snapToGrid w:val="0"/>
                <w:kern w:val="21"/>
                <w:szCs w:val="21"/>
              </w:rPr>
            </w:pPr>
          </w:p>
        </w:tc>
        <w:tc>
          <w:tcPr>
            <w:tcW w:w="1665" w:type="dxa"/>
            <w:vAlign w:val="center"/>
          </w:tcPr>
          <w:p>
            <w:pPr>
              <w:pStyle w:val="56"/>
              <w:rPr>
                <w:snapToGrid w:val="0"/>
                <w:kern w:val="21"/>
                <w:szCs w:val="21"/>
              </w:rPr>
            </w:pPr>
          </w:p>
        </w:tc>
        <w:tc>
          <w:tcPr>
            <w:tcW w:w="1785" w:type="dxa"/>
            <w:vAlign w:val="center"/>
          </w:tcPr>
          <w:p>
            <w:pPr>
              <w:spacing w:line="360" w:lineRule="exact"/>
              <w:jc w:val="center"/>
              <w:rPr>
                <w:sz w:val="21"/>
                <w:szCs w:val="21"/>
              </w:rPr>
            </w:pPr>
            <w:r>
              <w:rPr>
                <w:rFonts w:hint="eastAsia"/>
                <w:sz w:val="21"/>
                <w:szCs w:val="21"/>
              </w:rPr>
              <w:t>0.77</w:t>
            </w:r>
            <w:r>
              <w:rPr>
                <w:rFonts w:hint="eastAsia"/>
                <w:snapToGrid w:val="0"/>
                <w:kern w:val="21"/>
                <w:sz w:val="21"/>
                <w:szCs w:val="21"/>
              </w:rPr>
              <w:t xml:space="preserve"> t/a</w:t>
            </w:r>
          </w:p>
        </w:tc>
        <w:tc>
          <w:tcPr>
            <w:tcW w:w="1710" w:type="dxa"/>
            <w:vAlign w:val="center"/>
          </w:tcPr>
          <w:p>
            <w:pPr>
              <w:spacing w:line="240" w:lineRule="auto"/>
              <w:jc w:val="center"/>
              <w:textAlignment w:val="center"/>
              <w:rPr>
                <w:snapToGrid w:val="0"/>
                <w:kern w:val="21"/>
                <w:sz w:val="21"/>
                <w:szCs w:val="21"/>
              </w:rPr>
            </w:pPr>
          </w:p>
        </w:tc>
        <w:tc>
          <w:tcPr>
            <w:tcW w:w="1785" w:type="dxa"/>
            <w:vAlign w:val="center"/>
          </w:tcPr>
          <w:p>
            <w:pPr>
              <w:spacing w:line="360" w:lineRule="exact"/>
              <w:jc w:val="center"/>
              <w:rPr>
                <w:sz w:val="21"/>
                <w:szCs w:val="21"/>
              </w:rPr>
            </w:pPr>
            <w:r>
              <w:rPr>
                <w:rFonts w:hint="eastAsia"/>
                <w:sz w:val="21"/>
                <w:szCs w:val="21"/>
              </w:rPr>
              <w:t>0.77</w:t>
            </w:r>
            <w:r>
              <w:rPr>
                <w:rFonts w:hint="eastAsia"/>
                <w:snapToGrid w:val="0"/>
                <w:kern w:val="21"/>
                <w:sz w:val="21"/>
                <w:szCs w:val="21"/>
              </w:rPr>
              <w:t xml:space="preserve"> t/a</w:t>
            </w:r>
          </w:p>
        </w:tc>
        <w:tc>
          <w:tcPr>
            <w:tcW w:w="1371" w:type="dxa"/>
            <w:vAlign w:val="center"/>
          </w:tcPr>
          <w:p>
            <w:pPr>
              <w:spacing w:line="240" w:lineRule="auto"/>
              <w:jc w:val="center"/>
              <w:textAlignment w:val="center"/>
              <w:rPr>
                <w:snapToGrid w:val="0"/>
                <w:kern w:val="21"/>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restart"/>
            <w:vAlign w:val="center"/>
          </w:tcPr>
          <w:p>
            <w:pPr>
              <w:pStyle w:val="56"/>
              <w:rPr>
                <w:snapToGrid w:val="0"/>
                <w:kern w:val="21"/>
                <w:szCs w:val="21"/>
              </w:rPr>
            </w:pPr>
            <w:r>
              <w:rPr>
                <w:rFonts w:hint="eastAsia"/>
                <w:snapToGrid w:val="0"/>
                <w:kern w:val="21"/>
                <w:szCs w:val="21"/>
              </w:rPr>
              <w:t>一般工业固体废物</w:t>
            </w:r>
          </w:p>
        </w:tc>
        <w:tc>
          <w:tcPr>
            <w:tcW w:w="1984" w:type="dxa"/>
            <w:vAlign w:val="center"/>
          </w:tcPr>
          <w:p>
            <w:pPr>
              <w:pStyle w:val="56"/>
              <w:rPr>
                <w:snapToGrid w:val="0"/>
                <w:kern w:val="21"/>
                <w:szCs w:val="21"/>
              </w:rPr>
            </w:pPr>
            <w:r>
              <w:rPr>
                <w:snapToGrid w:val="0"/>
                <w:kern w:val="21"/>
                <w:szCs w:val="21"/>
              </w:rPr>
              <w:t>栅渣</w:t>
            </w:r>
            <w:r>
              <w:rPr>
                <w:rFonts w:hint="eastAsia"/>
                <w:snapToGrid w:val="0"/>
                <w:kern w:val="21"/>
                <w:szCs w:val="21"/>
              </w:rPr>
              <w:t>、沉砂和</w:t>
            </w:r>
            <w:r>
              <w:rPr>
                <w:snapToGrid w:val="0"/>
                <w:kern w:val="21"/>
                <w:szCs w:val="21"/>
              </w:rPr>
              <w:t>污泥</w:t>
            </w:r>
          </w:p>
        </w:tc>
        <w:tc>
          <w:tcPr>
            <w:tcW w:w="1317" w:type="dxa"/>
            <w:vAlign w:val="center"/>
          </w:tcPr>
          <w:p>
            <w:pPr>
              <w:pStyle w:val="56"/>
              <w:rPr>
                <w:snapToGrid w:val="0"/>
                <w:kern w:val="21"/>
                <w:szCs w:val="21"/>
              </w:rPr>
            </w:pPr>
            <w:r>
              <w:rPr>
                <w:rFonts w:hint="eastAsia"/>
                <w:snapToGrid w:val="0"/>
                <w:kern w:val="21"/>
                <w:szCs w:val="21"/>
              </w:rPr>
              <w:t>/</w:t>
            </w:r>
          </w:p>
        </w:tc>
        <w:tc>
          <w:tcPr>
            <w:tcW w:w="1320" w:type="dxa"/>
            <w:vAlign w:val="center"/>
          </w:tcPr>
          <w:p>
            <w:pPr>
              <w:pStyle w:val="56"/>
              <w:rPr>
                <w:snapToGrid w:val="0"/>
                <w:kern w:val="21"/>
                <w:szCs w:val="21"/>
              </w:rPr>
            </w:pPr>
            <w:r>
              <w:rPr>
                <w:rFonts w:hint="eastAsia"/>
                <w:snapToGrid w:val="0"/>
                <w:kern w:val="21"/>
                <w:szCs w:val="21"/>
              </w:rPr>
              <w:t>/</w:t>
            </w:r>
          </w:p>
        </w:tc>
        <w:tc>
          <w:tcPr>
            <w:tcW w:w="1665" w:type="dxa"/>
            <w:vAlign w:val="center"/>
          </w:tcPr>
          <w:p>
            <w:pPr>
              <w:pStyle w:val="56"/>
              <w:rPr>
                <w:snapToGrid w:val="0"/>
                <w:kern w:val="21"/>
                <w:szCs w:val="21"/>
              </w:rPr>
            </w:pPr>
            <w:r>
              <w:rPr>
                <w:rFonts w:hint="eastAsia"/>
                <w:snapToGrid w:val="0"/>
                <w:kern w:val="21"/>
                <w:szCs w:val="21"/>
              </w:rPr>
              <w:t>/</w:t>
            </w:r>
          </w:p>
        </w:tc>
        <w:tc>
          <w:tcPr>
            <w:tcW w:w="1785" w:type="dxa"/>
            <w:vAlign w:val="center"/>
          </w:tcPr>
          <w:p>
            <w:pPr>
              <w:spacing w:line="360" w:lineRule="exact"/>
              <w:jc w:val="center"/>
              <w:rPr>
                <w:sz w:val="21"/>
                <w:szCs w:val="21"/>
              </w:rPr>
            </w:pPr>
            <w:r>
              <w:rPr>
                <w:rFonts w:hint="eastAsia"/>
                <w:sz w:val="21"/>
                <w:szCs w:val="21"/>
              </w:rPr>
              <w:t>1580.45</w:t>
            </w:r>
            <w:r>
              <w:rPr>
                <w:rFonts w:hint="eastAsia"/>
                <w:snapToGrid w:val="0"/>
                <w:kern w:val="21"/>
                <w:sz w:val="21"/>
                <w:szCs w:val="21"/>
              </w:rPr>
              <w:t xml:space="preserve"> t/a</w:t>
            </w:r>
          </w:p>
        </w:tc>
        <w:tc>
          <w:tcPr>
            <w:tcW w:w="1710"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c>
          <w:tcPr>
            <w:tcW w:w="1785" w:type="dxa"/>
            <w:vAlign w:val="center"/>
          </w:tcPr>
          <w:p>
            <w:pPr>
              <w:spacing w:line="360" w:lineRule="exact"/>
              <w:jc w:val="center"/>
              <w:rPr>
                <w:sz w:val="21"/>
                <w:szCs w:val="21"/>
              </w:rPr>
            </w:pPr>
            <w:r>
              <w:rPr>
                <w:rFonts w:hint="eastAsia"/>
                <w:sz w:val="21"/>
                <w:szCs w:val="21"/>
              </w:rPr>
              <w:t>1580.45</w:t>
            </w:r>
            <w:r>
              <w:rPr>
                <w:rFonts w:hint="eastAsia"/>
                <w:snapToGrid w:val="0"/>
                <w:kern w:val="21"/>
                <w:sz w:val="21"/>
                <w:szCs w:val="21"/>
              </w:rPr>
              <w:t xml:space="preserve"> t/a</w:t>
            </w:r>
          </w:p>
        </w:tc>
        <w:tc>
          <w:tcPr>
            <w:tcW w:w="1371"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pStyle w:val="56"/>
              <w:rPr>
                <w:snapToGrid w:val="0"/>
                <w:kern w:val="21"/>
                <w:szCs w:val="21"/>
              </w:rPr>
            </w:pPr>
          </w:p>
        </w:tc>
        <w:tc>
          <w:tcPr>
            <w:tcW w:w="1984" w:type="dxa"/>
            <w:vAlign w:val="center"/>
          </w:tcPr>
          <w:p>
            <w:pPr>
              <w:pStyle w:val="56"/>
              <w:rPr>
                <w:szCs w:val="21"/>
              </w:rPr>
            </w:pPr>
            <w:r>
              <w:rPr>
                <w:rFonts w:hint="eastAsia"/>
                <w:snapToGrid w:val="0"/>
                <w:kern w:val="21"/>
                <w:szCs w:val="21"/>
              </w:rPr>
              <w:t>废包装物</w:t>
            </w:r>
          </w:p>
        </w:tc>
        <w:tc>
          <w:tcPr>
            <w:tcW w:w="1317" w:type="dxa"/>
            <w:vAlign w:val="center"/>
          </w:tcPr>
          <w:p>
            <w:pPr>
              <w:pStyle w:val="56"/>
              <w:rPr>
                <w:snapToGrid w:val="0"/>
                <w:kern w:val="21"/>
                <w:szCs w:val="21"/>
              </w:rPr>
            </w:pPr>
            <w:r>
              <w:rPr>
                <w:rFonts w:hint="eastAsia"/>
                <w:snapToGrid w:val="0"/>
                <w:kern w:val="21"/>
                <w:szCs w:val="21"/>
              </w:rPr>
              <w:t>/</w:t>
            </w:r>
          </w:p>
        </w:tc>
        <w:tc>
          <w:tcPr>
            <w:tcW w:w="1320" w:type="dxa"/>
            <w:vAlign w:val="center"/>
          </w:tcPr>
          <w:p>
            <w:pPr>
              <w:pStyle w:val="56"/>
              <w:rPr>
                <w:snapToGrid w:val="0"/>
                <w:kern w:val="21"/>
                <w:szCs w:val="21"/>
              </w:rPr>
            </w:pPr>
            <w:r>
              <w:rPr>
                <w:rFonts w:hint="eastAsia"/>
                <w:snapToGrid w:val="0"/>
                <w:kern w:val="21"/>
                <w:szCs w:val="21"/>
              </w:rPr>
              <w:t>/</w:t>
            </w:r>
          </w:p>
        </w:tc>
        <w:tc>
          <w:tcPr>
            <w:tcW w:w="1665" w:type="dxa"/>
            <w:vAlign w:val="center"/>
          </w:tcPr>
          <w:p>
            <w:pPr>
              <w:pStyle w:val="56"/>
              <w:rPr>
                <w:snapToGrid w:val="0"/>
                <w:kern w:val="21"/>
                <w:szCs w:val="21"/>
              </w:rPr>
            </w:pPr>
            <w:r>
              <w:rPr>
                <w:rFonts w:hint="eastAsia"/>
                <w:snapToGrid w:val="0"/>
                <w:kern w:val="21"/>
                <w:szCs w:val="21"/>
              </w:rPr>
              <w:t>/</w:t>
            </w:r>
          </w:p>
        </w:tc>
        <w:tc>
          <w:tcPr>
            <w:tcW w:w="1785" w:type="dxa"/>
            <w:vAlign w:val="center"/>
          </w:tcPr>
          <w:p>
            <w:pPr>
              <w:spacing w:line="360" w:lineRule="exact"/>
              <w:jc w:val="center"/>
              <w:rPr>
                <w:sz w:val="21"/>
                <w:szCs w:val="21"/>
              </w:rPr>
            </w:pPr>
            <w:r>
              <w:rPr>
                <w:rFonts w:hint="eastAsia"/>
                <w:sz w:val="21"/>
                <w:szCs w:val="21"/>
              </w:rPr>
              <w:t>0.5</w:t>
            </w:r>
            <w:r>
              <w:rPr>
                <w:rFonts w:hint="eastAsia"/>
                <w:snapToGrid w:val="0"/>
                <w:kern w:val="21"/>
                <w:sz w:val="21"/>
                <w:szCs w:val="21"/>
              </w:rPr>
              <w:t xml:space="preserve"> t/a</w:t>
            </w:r>
          </w:p>
        </w:tc>
        <w:tc>
          <w:tcPr>
            <w:tcW w:w="1710"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c>
          <w:tcPr>
            <w:tcW w:w="1785" w:type="dxa"/>
            <w:vAlign w:val="center"/>
          </w:tcPr>
          <w:p>
            <w:pPr>
              <w:spacing w:line="360" w:lineRule="exact"/>
              <w:jc w:val="center"/>
              <w:rPr>
                <w:sz w:val="21"/>
                <w:szCs w:val="21"/>
              </w:rPr>
            </w:pPr>
            <w:r>
              <w:rPr>
                <w:rFonts w:hint="eastAsia"/>
                <w:sz w:val="21"/>
                <w:szCs w:val="21"/>
              </w:rPr>
              <w:t>0.5</w:t>
            </w:r>
            <w:r>
              <w:rPr>
                <w:rFonts w:hint="eastAsia"/>
                <w:snapToGrid w:val="0"/>
                <w:kern w:val="21"/>
                <w:sz w:val="21"/>
                <w:szCs w:val="21"/>
              </w:rPr>
              <w:t xml:space="preserve"> t/a</w:t>
            </w:r>
          </w:p>
        </w:tc>
        <w:tc>
          <w:tcPr>
            <w:tcW w:w="1371"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pStyle w:val="56"/>
              <w:rPr>
                <w:snapToGrid w:val="0"/>
                <w:kern w:val="21"/>
                <w:szCs w:val="21"/>
              </w:rPr>
            </w:pPr>
          </w:p>
        </w:tc>
        <w:tc>
          <w:tcPr>
            <w:tcW w:w="1984" w:type="dxa"/>
            <w:vAlign w:val="center"/>
          </w:tcPr>
          <w:p>
            <w:pPr>
              <w:pStyle w:val="56"/>
              <w:rPr>
                <w:szCs w:val="21"/>
              </w:rPr>
            </w:pPr>
            <w:r>
              <w:rPr>
                <w:szCs w:val="21"/>
              </w:rPr>
              <w:t>废生物填料</w:t>
            </w:r>
          </w:p>
        </w:tc>
        <w:tc>
          <w:tcPr>
            <w:tcW w:w="1317" w:type="dxa"/>
            <w:vAlign w:val="center"/>
          </w:tcPr>
          <w:p>
            <w:pPr>
              <w:pStyle w:val="56"/>
              <w:rPr>
                <w:snapToGrid w:val="0"/>
                <w:kern w:val="21"/>
                <w:szCs w:val="21"/>
              </w:rPr>
            </w:pPr>
            <w:r>
              <w:rPr>
                <w:rFonts w:hint="eastAsia"/>
                <w:snapToGrid w:val="0"/>
                <w:kern w:val="21"/>
                <w:szCs w:val="21"/>
              </w:rPr>
              <w:t>/</w:t>
            </w:r>
          </w:p>
        </w:tc>
        <w:tc>
          <w:tcPr>
            <w:tcW w:w="1320" w:type="dxa"/>
            <w:vAlign w:val="center"/>
          </w:tcPr>
          <w:p>
            <w:pPr>
              <w:pStyle w:val="56"/>
              <w:rPr>
                <w:snapToGrid w:val="0"/>
                <w:kern w:val="21"/>
                <w:szCs w:val="21"/>
              </w:rPr>
            </w:pPr>
            <w:r>
              <w:rPr>
                <w:rFonts w:hint="eastAsia"/>
                <w:snapToGrid w:val="0"/>
                <w:kern w:val="21"/>
                <w:szCs w:val="21"/>
              </w:rPr>
              <w:t>/</w:t>
            </w:r>
          </w:p>
        </w:tc>
        <w:tc>
          <w:tcPr>
            <w:tcW w:w="1665" w:type="dxa"/>
            <w:vAlign w:val="center"/>
          </w:tcPr>
          <w:p>
            <w:pPr>
              <w:pStyle w:val="56"/>
              <w:rPr>
                <w:snapToGrid w:val="0"/>
                <w:kern w:val="21"/>
                <w:szCs w:val="21"/>
              </w:rPr>
            </w:pPr>
            <w:r>
              <w:rPr>
                <w:rFonts w:hint="eastAsia"/>
                <w:snapToGrid w:val="0"/>
                <w:kern w:val="21"/>
                <w:szCs w:val="21"/>
              </w:rPr>
              <w:t>/</w:t>
            </w:r>
          </w:p>
        </w:tc>
        <w:tc>
          <w:tcPr>
            <w:tcW w:w="1785" w:type="dxa"/>
            <w:vAlign w:val="center"/>
          </w:tcPr>
          <w:p>
            <w:pPr>
              <w:spacing w:line="360" w:lineRule="exact"/>
              <w:jc w:val="center"/>
              <w:rPr>
                <w:sz w:val="21"/>
                <w:szCs w:val="21"/>
              </w:rPr>
            </w:pPr>
            <w:r>
              <w:rPr>
                <w:rFonts w:hint="eastAsia"/>
                <w:sz w:val="21"/>
                <w:szCs w:val="21"/>
              </w:rPr>
              <w:t>0.1</w:t>
            </w:r>
            <w:r>
              <w:rPr>
                <w:rFonts w:hint="eastAsia"/>
                <w:snapToGrid w:val="0"/>
                <w:kern w:val="21"/>
                <w:sz w:val="21"/>
                <w:szCs w:val="21"/>
              </w:rPr>
              <w:t xml:space="preserve"> t/a</w:t>
            </w:r>
          </w:p>
        </w:tc>
        <w:tc>
          <w:tcPr>
            <w:tcW w:w="1710"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c>
          <w:tcPr>
            <w:tcW w:w="1785" w:type="dxa"/>
            <w:vAlign w:val="center"/>
          </w:tcPr>
          <w:p>
            <w:pPr>
              <w:spacing w:line="360" w:lineRule="exact"/>
              <w:jc w:val="center"/>
              <w:rPr>
                <w:sz w:val="21"/>
                <w:szCs w:val="21"/>
              </w:rPr>
            </w:pPr>
            <w:r>
              <w:rPr>
                <w:rFonts w:hint="eastAsia"/>
                <w:sz w:val="21"/>
                <w:szCs w:val="21"/>
              </w:rPr>
              <w:t>0.1</w:t>
            </w:r>
            <w:r>
              <w:rPr>
                <w:rFonts w:hint="eastAsia"/>
                <w:snapToGrid w:val="0"/>
                <w:kern w:val="21"/>
                <w:sz w:val="21"/>
                <w:szCs w:val="21"/>
              </w:rPr>
              <w:t xml:space="preserve"> t/a</w:t>
            </w:r>
          </w:p>
        </w:tc>
        <w:tc>
          <w:tcPr>
            <w:tcW w:w="1371"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restart"/>
            <w:vAlign w:val="center"/>
          </w:tcPr>
          <w:p>
            <w:pPr>
              <w:pStyle w:val="56"/>
              <w:rPr>
                <w:snapToGrid w:val="0"/>
                <w:kern w:val="21"/>
                <w:szCs w:val="21"/>
              </w:rPr>
            </w:pPr>
            <w:r>
              <w:rPr>
                <w:rFonts w:hint="eastAsia"/>
                <w:snapToGrid w:val="0"/>
                <w:kern w:val="21"/>
                <w:szCs w:val="21"/>
              </w:rPr>
              <w:t>危险</w:t>
            </w:r>
          </w:p>
          <w:p>
            <w:pPr>
              <w:pStyle w:val="56"/>
              <w:rPr>
                <w:snapToGrid w:val="0"/>
                <w:kern w:val="21"/>
                <w:szCs w:val="21"/>
              </w:rPr>
            </w:pPr>
            <w:r>
              <w:rPr>
                <w:rFonts w:hint="eastAsia"/>
                <w:snapToGrid w:val="0"/>
                <w:kern w:val="21"/>
                <w:szCs w:val="21"/>
              </w:rPr>
              <w:t>废物</w:t>
            </w:r>
          </w:p>
        </w:tc>
        <w:tc>
          <w:tcPr>
            <w:tcW w:w="1984" w:type="dxa"/>
            <w:vAlign w:val="center"/>
          </w:tcPr>
          <w:p>
            <w:pPr>
              <w:pStyle w:val="56"/>
              <w:rPr>
                <w:snapToGrid w:val="0"/>
                <w:kern w:val="21"/>
                <w:szCs w:val="21"/>
              </w:rPr>
            </w:pPr>
            <w:r>
              <w:rPr>
                <w:szCs w:val="21"/>
              </w:rPr>
              <w:t>在线监测设备废液</w:t>
            </w:r>
          </w:p>
        </w:tc>
        <w:tc>
          <w:tcPr>
            <w:tcW w:w="1317" w:type="dxa"/>
            <w:vAlign w:val="center"/>
          </w:tcPr>
          <w:p>
            <w:pPr>
              <w:pStyle w:val="56"/>
              <w:rPr>
                <w:snapToGrid w:val="0"/>
                <w:kern w:val="21"/>
                <w:szCs w:val="21"/>
              </w:rPr>
            </w:pPr>
            <w:r>
              <w:rPr>
                <w:snapToGrid w:val="0"/>
                <w:kern w:val="21"/>
                <w:szCs w:val="21"/>
              </w:rPr>
              <w:t>/</w:t>
            </w:r>
          </w:p>
        </w:tc>
        <w:tc>
          <w:tcPr>
            <w:tcW w:w="1320" w:type="dxa"/>
            <w:vAlign w:val="center"/>
          </w:tcPr>
          <w:p>
            <w:pPr>
              <w:pStyle w:val="56"/>
              <w:rPr>
                <w:snapToGrid w:val="0"/>
                <w:kern w:val="21"/>
                <w:szCs w:val="21"/>
              </w:rPr>
            </w:pPr>
            <w:r>
              <w:rPr>
                <w:snapToGrid w:val="0"/>
                <w:kern w:val="21"/>
                <w:szCs w:val="21"/>
              </w:rPr>
              <w:t>/</w:t>
            </w:r>
          </w:p>
        </w:tc>
        <w:tc>
          <w:tcPr>
            <w:tcW w:w="1665" w:type="dxa"/>
            <w:vAlign w:val="center"/>
          </w:tcPr>
          <w:p>
            <w:pPr>
              <w:pStyle w:val="56"/>
              <w:rPr>
                <w:snapToGrid w:val="0"/>
                <w:kern w:val="21"/>
                <w:szCs w:val="21"/>
              </w:rPr>
            </w:pPr>
            <w:r>
              <w:rPr>
                <w:snapToGrid w:val="0"/>
                <w:kern w:val="21"/>
                <w:szCs w:val="21"/>
              </w:rPr>
              <w:t>/</w:t>
            </w:r>
          </w:p>
        </w:tc>
        <w:tc>
          <w:tcPr>
            <w:tcW w:w="1785" w:type="dxa"/>
            <w:vAlign w:val="center"/>
          </w:tcPr>
          <w:p>
            <w:pPr>
              <w:spacing w:line="360" w:lineRule="exact"/>
              <w:jc w:val="center"/>
              <w:rPr>
                <w:sz w:val="21"/>
                <w:szCs w:val="21"/>
              </w:rPr>
            </w:pPr>
            <w:r>
              <w:rPr>
                <w:rFonts w:hint="eastAsia"/>
                <w:sz w:val="21"/>
                <w:szCs w:val="21"/>
              </w:rPr>
              <w:t>0.5</w:t>
            </w:r>
            <w:r>
              <w:rPr>
                <w:rFonts w:hint="eastAsia"/>
                <w:snapToGrid w:val="0"/>
                <w:kern w:val="21"/>
                <w:sz w:val="21"/>
                <w:szCs w:val="21"/>
              </w:rPr>
              <w:t xml:space="preserve"> t/a</w:t>
            </w:r>
          </w:p>
        </w:tc>
        <w:tc>
          <w:tcPr>
            <w:tcW w:w="1710" w:type="dxa"/>
            <w:vAlign w:val="center"/>
          </w:tcPr>
          <w:p>
            <w:pPr>
              <w:spacing w:line="240" w:lineRule="auto"/>
              <w:jc w:val="center"/>
              <w:textAlignment w:val="center"/>
              <w:rPr>
                <w:snapToGrid w:val="0"/>
                <w:kern w:val="21"/>
                <w:sz w:val="21"/>
                <w:szCs w:val="21"/>
              </w:rPr>
            </w:pPr>
            <w:r>
              <w:rPr>
                <w:snapToGrid w:val="0"/>
                <w:kern w:val="21"/>
                <w:sz w:val="21"/>
                <w:szCs w:val="21"/>
              </w:rPr>
              <w:t>/</w:t>
            </w:r>
          </w:p>
        </w:tc>
        <w:tc>
          <w:tcPr>
            <w:tcW w:w="1785" w:type="dxa"/>
            <w:vAlign w:val="center"/>
          </w:tcPr>
          <w:p>
            <w:pPr>
              <w:spacing w:line="360" w:lineRule="exact"/>
              <w:jc w:val="center"/>
              <w:rPr>
                <w:sz w:val="21"/>
                <w:szCs w:val="21"/>
              </w:rPr>
            </w:pPr>
            <w:r>
              <w:rPr>
                <w:rFonts w:hint="eastAsia"/>
                <w:sz w:val="21"/>
                <w:szCs w:val="21"/>
              </w:rPr>
              <w:t>0.5</w:t>
            </w:r>
            <w:r>
              <w:rPr>
                <w:rFonts w:hint="eastAsia"/>
                <w:snapToGrid w:val="0"/>
                <w:kern w:val="21"/>
                <w:sz w:val="21"/>
                <w:szCs w:val="21"/>
              </w:rPr>
              <w:t xml:space="preserve"> t/a</w:t>
            </w:r>
          </w:p>
        </w:tc>
        <w:tc>
          <w:tcPr>
            <w:tcW w:w="1371" w:type="dxa"/>
            <w:vAlign w:val="center"/>
          </w:tcPr>
          <w:p>
            <w:pPr>
              <w:spacing w:line="240" w:lineRule="auto"/>
              <w:jc w:val="center"/>
              <w:textAlignment w:val="center"/>
              <w:rPr>
                <w:snapToGrid w:val="0"/>
                <w:kern w:val="21"/>
                <w:sz w:val="21"/>
                <w:szCs w:val="21"/>
              </w:rPr>
            </w:pPr>
            <w:r>
              <w:rPr>
                <w:snapToGrid w:val="0"/>
                <w:kern w:val="21"/>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83" w:type="dxa"/>
            <w:vMerge w:val="continue"/>
            <w:vAlign w:val="center"/>
          </w:tcPr>
          <w:p>
            <w:pPr>
              <w:pStyle w:val="56"/>
              <w:rPr>
                <w:snapToGrid w:val="0"/>
                <w:kern w:val="21"/>
                <w:szCs w:val="21"/>
              </w:rPr>
            </w:pPr>
          </w:p>
        </w:tc>
        <w:tc>
          <w:tcPr>
            <w:tcW w:w="1984" w:type="dxa"/>
            <w:vAlign w:val="center"/>
          </w:tcPr>
          <w:p>
            <w:pPr>
              <w:pStyle w:val="56"/>
              <w:rPr>
                <w:snapToGrid w:val="0"/>
                <w:kern w:val="21"/>
                <w:szCs w:val="21"/>
              </w:rPr>
            </w:pPr>
            <w:r>
              <w:rPr>
                <w:rFonts w:hint="eastAsia"/>
                <w:szCs w:val="21"/>
              </w:rPr>
              <w:t>废弃化学试剂药品、废试剂瓶</w:t>
            </w:r>
          </w:p>
        </w:tc>
        <w:tc>
          <w:tcPr>
            <w:tcW w:w="1317" w:type="dxa"/>
            <w:vAlign w:val="center"/>
          </w:tcPr>
          <w:p>
            <w:pPr>
              <w:pStyle w:val="56"/>
              <w:rPr>
                <w:snapToGrid w:val="0"/>
                <w:kern w:val="21"/>
                <w:szCs w:val="21"/>
              </w:rPr>
            </w:pPr>
            <w:r>
              <w:rPr>
                <w:rFonts w:hint="eastAsia"/>
                <w:snapToGrid w:val="0"/>
                <w:kern w:val="21"/>
                <w:szCs w:val="21"/>
              </w:rPr>
              <w:t>/</w:t>
            </w:r>
          </w:p>
        </w:tc>
        <w:tc>
          <w:tcPr>
            <w:tcW w:w="1320" w:type="dxa"/>
            <w:vAlign w:val="center"/>
          </w:tcPr>
          <w:p>
            <w:pPr>
              <w:pStyle w:val="56"/>
              <w:rPr>
                <w:snapToGrid w:val="0"/>
                <w:kern w:val="21"/>
                <w:szCs w:val="21"/>
              </w:rPr>
            </w:pPr>
            <w:r>
              <w:rPr>
                <w:rFonts w:hint="eastAsia"/>
                <w:snapToGrid w:val="0"/>
                <w:kern w:val="21"/>
                <w:szCs w:val="21"/>
              </w:rPr>
              <w:t>/</w:t>
            </w:r>
          </w:p>
        </w:tc>
        <w:tc>
          <w:tcPr>
            <w:tcW w:w="1665" w:type="dxa"/>
            <w:vAlign w:val="center"/>
          </w:tcPr>
          <w:p>
            <w:pPr>
              <w:pStyle w:val="56"/>
              <w:rPr>
                <w:snapToGrid w:val="0"/>
                <w:kern w:val="21"/>
                <w:szCs w:val="21"/>
              </w:rPr>
            </w:pPr>
            <w:r>
              <w:rPr>
                <w:rFonts w:hint="eastAsia"/>
                <w:snapToGrid w:val="0"/>
                <w:kern w:val="21"/>
                <w:szCs w:val="21"/>
              </w:rPr>
              <w:t>/</w:t>
            </w:r>
          </w:p>
        </w:tc>
        <w:tc>
          <w:tcPr>
            <w:tcW w:w="1785" w:type="dxa"/>
            <w:vAlign w:val="center"/>
          </w:tcPr>
          <w:p>
            <w:pPr>
              <w:spacing w:line="360" w:lineRule="exact"/>
              <w:jc w:val="center"/>
              <w:rPr>
                <w:sz w:val="21"/>
                <w:szCs w:val="21"/>
              </w:rPr>
            </w:pPr>
            <w:r>
              <w:rPr>
                <w:rFonts w:hint="eastAsia"/>
                <w:sz w:val="21"/>
                <w:szCs w:val="21"/>
              </w:rPr>
              <w:t>0.1</w:t>
            </w:r>
            <w:r>
              <w:rPr>
                <w:rFonts w:hint="eastAsia"/>
                <w:snapToGrid w:val="0"/>
                <w:kern w:val="21"/>
                <w:sz w:val="21"/>
                <w:szCs w:val="21"/>
              </w:rPr>
              <w:t xml:space="preserve"> t/a</w:t>
            </w:r>
          </w:p>
        </w:tc>
        <w:tc>
          <w:tcPr>
            <w:tcW w:w="1710"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c>
          <w:tcPr>
            <w:tcW w:w="1785" w:type="dxa"/>
            <w:vAlign w:val="center"/>
          </w:tcPr>
          <w:p>
            <w:pPr>
              <w:spacing w:line="360" w:lineRule="exact"/>
              <w:jc w:val="center"/>
              <w:rPr>
                <w:sz w:val="21"/>
                <w:szCs w:val="21"/>
              </w:rPr>
            </w:pPr>
            <w:r>
              <w:rPr>
                <w:rFonts w:hint="eastAsia"/>
                <w:sz w:val="21"/>
                <w:szCs w:val="21"/>
              </w:rPr>
              <w:t>0.1</w:t>
            </w:r>
            <w:r>
              <w:rPr>
                <w:rFonts w:hint="eastAsia"/>
                <w:snapToGrid w:val="0"/>
                <w:kern w:val="21"/>
                <w:sz w:val="21"/>
                <w:szCs w:val="21"/>
              </w:rPr>
              <w:t xml:space="preserve"> t/a</w:t>
            </w:r>
          </w:p>
        </w:tc>
        <w:tc>
          <w:tcPr>
            <w:tcW w:w="1371" w:type="dxa"/>
            <w:vAlign w:val="center"/>
          </w:tcPr>
          <w:p>
            <w:pPr>
              <w:spacing w:line="240" w:lineRule="auto"/>
              <w:jc w:val="center"/>
              <w:textAlignment w:val="center"/>
              <w:rPr>
                <w:snapToGrid w:val="0"/>
                <w:kern w:val="21"/>
                <w:sz w:val="21"/>
                <w:szCs w:val="21"/>
              </w:rPr>
            </w:pPr>
            <w:r>
              <w:rPr>
                <w:rFonts w:hint="eastAsia"/>
                <w:snapToGrid w:val="0"/>
                <w:kern w:val="21"/>
                <w:sz w:val="21"/>
                <w:szCs w:val="21"/>
              </w:rPr>
              <w:t>/</w:t>
            </w:r>
          </w:p>
        </w:tc>
      </w:tr>
    </w:tbl>
    <w:p>
      <w:pPr>
        <w:pStyle w:val="56"/>
        <w:spacing w:before="260" w:beforeLines="80" w:after="24"/>
        <w:jc w:val="left"/>
        <w:rPr>
          <w:snapToGrid w:val="0"/>
          <w:spacing w:val="-6"/>
          <w:kern w:val="21"/>
          <w:szCs w:val="21"/>
          <w:lang w:val="en-US"/>
        </w:rPr>
      </w:pPr>
      <w:r>
        <w:rPr>
          <w:snapToGrid w:val="0"/>
          <w:kern w:val="21"/>
          <w:szCs w:val="21"/>
        </w:rPr>
        <w:t>注</w:t>
      </w:r>
      <w:r>
        <w:rPr>
          <w:snapToGrid w:val="0"/>
          <w:kern w:val="21"/>
          <w:szCs w:val="21"/>
          <w:lang w:val="en-US"/>
        </w:rPr>
        <w:t>：</w:t>
      </w:r>
      <w:r>
        <w:rPr>
          <w:snapToGrid w:val="0"/>
          <w:spacing w:val="-16"/>
          <w:kern w:val="21"/>
          <w:szCs w:val="21"/>
        </w:rPr>
        <w:fldChar w:fldCharType="begin"/>
      </w:r>
      <w:r>
        <w:rPr>
          <w:snapToGrid w:val="0"/>
          <w:spacing w:val="-16"/>
          <w:kern w:val="21"/>
          <w:szCs w:val="21"/>
          <w:lang w:val="en-US"/>
        </w:rPr>
        <w:instrText xml:space="preserve"> = 6 \* GB3 \* MERGEFORMAT </w:instrText>
      </w:r>
      <w:r>
        <w:rPr>
          <w:snapToGrid w:val="0"/>
          <w:spacing w:val="-16"/>
          <w:kern w:val="21"/>
          <w:szCs w:val="21"/>
        </w:rPr>
        <w:fldChar w:fldCharType="separate"/>
      </w:r>
      <w:r>
        <w:rPr>
          <w:rFonts w:hint="eastAsia" w:hAnsi="宋体" w:cs="宋体"/>
          <w:szCs w:val="21"/>
          <w:lang w:val="en-US"/>
        </w:rPr>
        <w:t>⑥</w:t>
      </w:r>
      <w:r>
        <w:rPr>
          <w:snapToGrid w:val="0"/>
          <w:spacing w:val="-16"/>
          <w:kern w:val="21"/>
          <w:szCs w:val="21"/>
        </w:rPr>
        <w:fldChar w:fldCharType="end"/>
      </w:r>
      <w:r>
        <w:rPr>
          <w:snapToGrid w:val="0"/>
          <w:spacing w:val="-16"/>
          <w:kern w:val="21"/>
          <w:szCs w:val="21"/>
          <w:lang w:val="en-US"/>
        </w:rPr>
        <w:t>=</w:t>
      </w:r>
      <w:r>
        <w:rPr>
          <w:snapToGrid w:val="0"/>
          <w:spacing w:val="-6"/>
          <w:kern w:val="21"/>
          <w:szCs w:val="21"/>
        </w:rPr>
        <w:fldChar w:fldCharType="begin"/>
      </w:r>
      <w:r>
        <w:rPr>
          <w:snapToGrid w:val="0"/>
          <w:spacing w:val="-6"/>
          <w:kern w:val="21"/>
          <w:szCs w:val="21"/>
          <w:lang w:val="en-US"/>
        </w:rPr>
        <w:instrText xml:space="preserve"> = 1 \* GB3 \* MERGEFORMAT </w:instrText>
      </w:r>
      <w:r>
        <w:rPr>
          <w:snapToGrid w:val="0"/>
          <w:spacing w:val="-6"/>
          <w:kern w:val="21"/>
          <w:szCs w:val="21"/>
        </w:rPr>
        <w:fldChar w:fldCharType="separate"/>
      </w:r>
      <w:r>
        <w:rPr>
          <w:rFonts w:hint="eastAsia" w:hAnsi="宋体" w:cs="宋体"/>
          <w:szCs w:val="21"/>
          <w:lang w:val="en-US"/>
        </w:rPr>
        <w:t>①</w:t>
      </w:r>
      <w:r>
        <w:rPr>
          <w:snapToGrid w:val="0"/>
          <w:spacing w:val="-6"/>
          <w:kern w:val="21"/>
          <w:szCs w:val="21"/>
        </w:rPr>
        <w:fldChar w:fldCharType="end"/>
      </w:r>
      <w:r>
        <w:rPr>
          <w:snapToGrid w:val="0"/>
          <w:spacing w:val="-6"/>
          <w:kern w:val="21"/>
          <w:szCs w:val="21"/>
          <w:lang w:val="en-US"/>
        </w:rPr>
        <w:t>+</w:t>
      </w:r>
      <w:r>
        <w:rPr>
          <w:snapToGrid w:val="0"/>
          <w:spacing w:val="-6"/>
          <w:kern w:val="21"/>
          <w:szCs w:val="21"/>
        </w:rPr>
        <w:fldChar w:fldCharType="begin"/>
      </w:r>
      <w:r>
        <w:rPr>
          <w:snapToGrid w:val="0"/>
          <w:spacing w:val="-6"/>
          <w:kern w:val="21"/>
          <w:szCs w:val="21"/>
          <w:lang w:val="en-US"/>
        </w:rPr>
        <w:instrText xml:space="preserve"> = 3 \* GB3 \* MERGEFORMAT </w:instrText>
      </w:r>
      <w:r>
        <w:rPr>
          <w:snapToGrid w:val="0"/>
          <w:spacing w:val="-6"/>
          <w:kern w:val="21"/>
          <w:szCs w:val="21"/>
        </w:rPr>
        <w:fldChar w:fldCharType="separate"/>
      </w:r>
      <w:r>
        <w:rPr>
          <w:rFonts w:hint="eastAsia" w:hAnsi="宋体" w:cs="宋体"/>
          <w:szCs w:val="21"/>
          <w:lang w:val="en-US"/>
        </w:rPr>
        <w:t>③</w:t>
      </w:r>
      <w:r>
        <w:rPr>
          <w:snapToGrid w:val="0"/>
          <w:spacing w:val="-6"/>
          <w:kern w:val="21"/>
          <w:szCs w:val="21"/>
        </w:rPr>
        <w:fldChar w:fldCharType="end"/>
      </w:r>
      <w:r>
        <w:rPr>
          <w:snapToGrid w:val="0"/>
          <w:spacing w:val="-6"/>
          <w:kern w:val="21"/>
          <w:szCs w:val="21"/>
          <w:lang w:val="en-US"/>
        </w:rPr>
        <w:t>+</w:t>
      </w:r>
      <w:r>
        <w:rPr>
          <w:snapToGrid w:val="0"/>
          <w:spacing w:val="-6"/>
          <w:kern w:val="21"/>
          <w:szCs w:val="21"/>
        </w:rPr>
        <w:fldChar w:fldCharType="begin"/>
      </w:r>
      <w:r>
        <w:rPr>
          <w:snapToGrid w:val="0"/>
          <w:spacing w:val="-6"/>
          <w:kern w:val="21"/>
          <w:szCs w:val="21"/>
          <w:lang w:val="en-US"/>
        </w:rPr>
        <w:instrText xml:space="preserve"> = 4 \* GB3 \* MERGEFORMAT </w:instrText>
      </w:r>
      <w:r>
        <w:rPr>
          <w:snapToGrid w:val="0"/>
          <w:spacing w:val="-6"/>
          <w:kern w:val="21"/>
          <w:szCs w:val="21"/>
        </w:rPr>
        <w:fldChar w:fldCharType="separate"/>
      </w:r>
      <w:r>
        <w:rPr>
          <w:rFonts w:hint="eastAsia" w:hAnsi="宋体" w:cs="宋体"/>
          <w:szCs w:val="21"/>
          <w:lang w:val="en-US"/>
        </w:rPr>
        <w:t>④</w:t>
      </w:r>
      <w:r>
        <w:rPr>
          <w:snapToGrid w:val="0"/>
          <w:spacing w:val="-6"/>
          <w:kern w:val="21"/>
          <w:szCs w:val="21"/>
        </w:rPr>
        <w:fldChar w:fldCharType="end"/>
      </w:r>
      <w:r>
        <w:rPr>
          <w:snapToGrid w:val="0"/>
          <w:spacing w:val="-6"/>
          <w:kern w:val="21"/>
          <w:szCs w:val="21"/>
          <w:lang w:val="en-US"/>
        </w:rPr>
        <w:t>-</w:t>
      </w:r>
      <w:r>
        <w:rPr>
          <w:snapToGrid w:val="0"/>
          <w:spacing w:val="-16"/>
          <w:kern w:val="21"/>
          <w:szCs w:val="21"/>
        </w:rPr>
        <w:fldChar w:fldCharType="begin"/>
      </w:r>
      <w:r>
        <w:rPr>
          <w:snapToGrid w:val="0"/>
          <w:spacing w:val="-16"/>
          <w:kern w:val="21"/>
          <w:szCs w:val="21"/>
          <w:lang w:val="en-US"/>
        </w:rPr>
        <w:instrText xml:space="preserve"> = 5 \* GB3 \* MERGEFORMAT </w:instrText>
      </w:r>
      <w:r>
        <w:rPr>
          <w:snapToGrid w:val="0"/>
          <w:spacing w:val="-16"/>
          <w:kern w:val="21"/>
          <w:szCs w:val="21"/>
        </w:rPr>
        <w:fldChar w:fldCharType="separate"/>
      </w:r>
      <w:r>
        <w:rPr>
          <w:rFonts w:hint="eastAsia" w:hAnsi="宋体" w:cs="宋体"/>
          <w:szCs w:val="21"/>
          <w:lang w:val="en-US"/>
        </w:rPr>
        <w:t>⑤</w:t>
      </w:r>
      <w:r>
        <w:rPr>
          <w:snapToGrid w:val="0"/>
          <w:spacing w:val="-16"/>
          <w:kern w:val="21"/>
          <w:szCs w:val="21"/>
        </w:rPr>
        <w:fldChar w:fldCharType="end"/>
      </w:r>
      <w:r>
        <w:rPr>
          <w:snapToGrid w:val="0"/>
          <w:spacing w:val="-16"/>
          <w:kern w:val="21"/>
          <w:szCs w:val="21"/>
          <w:lang w:val="en-US"/>
        </w:rPr>
        <w:t>；</w:t>
      </w:r>
      <w:r>
        <w:rPr>
          <w:snapToGrid w:val="0"/>
          <w:spacing w:val="-6"/>
          <w:kern w:val="21"/>
          <w:szCs w:val="21"/>
        </w:rPr>
        <w:fldChar w:fldCharType="begin"/>
      </w:r>
      <w:r>
        <w:rPr>
          <w:snapToGrid w:val="0"/>
          <w:spacing w:val="-6"/>
          <w:kern w:val="21"/>
          <w:szCs w:val="21"/>
          <w:lang w:val="en-US"/>
        </w:rPr>
        <w:instrText xml:space="preserve"> = 7 \* GB3 \* MERGEFORMAT </w:instrText>
      </w:r>
      <w:r>
        <w:rPr>
          <w:snapToGrid w:val="0"/>
          <w:spacing w:val="-6"/>
          <w:kern w:val="21"/>
          <w:szCs w:val="21"/>
        </w:rPr>
        <w:fldChar w:fldCharType="separate"/>
      </w:r>
      <w:r>
        <w:rPr>
          <w:rFonts w:hint="eastAsia" w:hAnsi="宋体" w:cs="宋体"/>
          <w:szCs w:val="21"/>
          <w:lang w:val="en-US"/>
        </w:rPr>
        <w:t>⑦</w:t>
      </w:r>
      <w:r>
        <w:rPr>
          <w:snapToGrid w:val="0"/>
          <w:spacing w:val="-6"/>
          <w:kern w:val="21"/>
          <w:szCs w:val="21"/>
        </w:rPr>
        <w:fldChar w:fldCharType="end"/>
      </w:r>
      <w:r>
        <w:rPr>
          <w:snapToGrid w:val="0"/>
          <w:spacing w:val="-6"/>
          <w:kern w:val="21"/>
          <w:szCs w:val="21"/>
          <w:lang w:val="en-US"/>
        </w:rPr>
        <w:t>=</w:t>
      </w:r>
      <w:r>
        <w:rPr>
          <w:snapToGrid w:val="0"/>
          <w:spacing w:val="-16"/>
          <w:kern w:val="21"/>
          <w:szCs w:val="21"/>
        </w:rPr>
        <w:fldChar w:fldCharType="begin"/>
      </w:r>
      <w:r>
        <w:rPr>
          <w:snapToGrid w:val="0"/>
          <w:spacing w:val="-16"/>
          <w:kern w:val="21"/>
          <w:szCs w:val="21"/>
          <w:lang w:val="en-US"/>
        </w:rPr>
        <w:instrText xml:space="preserve"> = 6 \* GB3 \* MERGEFORMAT </w:instrText>
      </w:r>
      <w:r>
        <w:rPr>
          <w:snapToGrid w:val="0"/>
          <w:spacing w:val="-16"/>
          <w:kern w:val="21"/>
          <w:szCs w:val="21"/>
        </w:rPr>
        <w:fldChar w:fldCharType="separate"/>
      </w:r>
      <w:r>
        <w:rPr>
          <w:rFonts w:hint="eastAsia" w:hAnsi="宋体" w:cs="宋体"/>
          <w:szCs w:val="21"/>
          <w:lang w:val="en-US"/>
        </w:rPr>
        <w:t>⑥</w:t>
      </w:r>
      <w:r>
        <w:rPr>
          <w:snapToGrid w:val="0"/>
          <w:spacing w:val="-16"/>
          <w:kern w:val="21"/>
          <w:szCs w:val="21"/>
        </w:rPr>
        <w:fldChar w:fldCharType="end"/>
      </w:r>
      <w:r>
        <w:rPr>
          <w:snapToGrid w:val="0"/>
          <w:spacing w:val="-16"/>
          <w:kern w:val="21"/>
          <w:szCs w:val="21"/>
          <w:lang w:val="en-US"/>
        </w:rPr>
        <w:t>-</w:t>
      </w:r>
      <w:r>
        <w:rPr>
          <w:snapToGrid w:val="0"/>
          <w:spacing w:val="-6"/>
          <w:kern w:val="21"/>
          <w:szCs w:val="21"/>
        </w:rPr>
        <w:fldChar w:fldCharType="begin"/>
      </w:r>
      <w:r>
        <w:rPr>
          <w:snapToGrid w:val="0"/>
          <w:spacing w:val="-6"/>
          <w:kern w:val="21"/>
          <w:szCs w:val="21"/>
          <w:lang w:val="en-US"/>
        </w:rPr>
        <w:instrText xml:space="preserve"> = 1 \* GB3 \* MERGEFORMAT </w:instrText>
      </w:r>
      <w:r>
        <w:rPr>
          <w:snapToGrid w:val="0"/>
          <w:spacing w:val="-6"/>
          <w:kern w:val="21"/>
          <w:szCs w:val="21"/>
        </w:rPr>
        <w:fldChar w:fldCharType="separate"/>
      </w:r>
      <w:r>
        <w:rPr>
          <w:rFonts w:hint="eastAsia" w:hAnsi="宋体" w:cs="宋体"/>
          <w:szCs w:val="21"/>
          <w:lang w:val="en-US"/>
        </w:rPr>
        <w:t>①</w:t>
      </w:r>
      <w:r>
        <w:rPr>
          <w:snapToGrid w:val="0"/>
          <w:spacing w:val="-6"/>
          <w:kern w:val="21"/>
          <w:szCs w:val="21"/>
        </w:rPr>
        <w:fldChar w:fldCharType="end"/>
      </w:r>
    </w:p>
    <w:sectPr>
      <w:pgSz w:w="16838" w:h="11906" w:orient="landscape"/>
      <w:pgMar w:top="1531" w:right="1701" w:bottom="1531" w:left="1701" w:header="851" w:footer="992" w:gutter="0"/>
      <w:pgBorders>
        <w:top w:val="none" w:sz="0" w:space="0"/>
        <w:left w:val="none" w:sz="0" w:space="0"/>
        <w:bottom w:val="none" w:sz="0" w:space="0"/>
        <w:right w:val="none" w:sz="0" w:space="0"/>
      </w:pgBorders>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112AC64-E7A5-437F-A68D-C3326EC3766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13CE2F4-7991-4638-B3DA-B0A986A8DD3C}"/>
  </w:font>
  <w:font w:name="Garamond">
    <w:altName w:val="RomanS"/>
    <w:panose1 w:val="02020404030301010803"/>
    <w:charset w:val="00"/>
    <w:family w:val="roman"/>
    <w:pitch w:val="default"/>
    <w:sig w:usb0="00000000" w:usb1="00000000" w:usb2="00000000" w:usb3="00000000" w:csb0="0000009F" w:csb1="DFD70000"/>
  </w:font>
  <w:font w:name="楷体_GB2312">
    <w:panose1 w:val="02010609030101010101"/>
    <w:charset w:val="86"/>
    <w:family w:val="modern"/>
    <w:pitch w:val="default"/>
    <w:sig w:usb0="00000001" w:usb1="080E0000" w:usb2="00000000" w:usb3="00000000" w:csb0="00040000" w:csb1="00000000"/>
    <w:embedRegular r:id="rId3" w:fontKey="{08EBC726-CB70-4898-A990-9CAF4E3464AB}"/>
  </w:font>
  <w:font w:name="Gloucester MT Extra Condensed">
    <w:altName w:val="MT Extra"/>
    <w:panose1 w:val="02030808020601010101"/>
    <w:charset w:val="00"/>
    <w:family w:val="roman"/>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embedRegular r:id="rId4" w:fontKey="{37085405-F0BD-481F-AE80-9D15DD3B9397}"/>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modern"/>
    <w:pitch w:val="default"/>
    <w:sig w:usb0="00000001" w:usb1="080E0000" w:usb2="00000000" w:usb3="00000000" w:csb0="00040000" w:csb1="00000000"/>
    <w:embedRegular r:id="rId5" w:fontKey="{A5F87BD8-32E8-48DE-B796-FCA5752FC7AE}"/>
  </w:font>
  <w:font w:name="方正小标宋_GBK">
    <w:panose1 w:val="02000000000000000000"/>
    <w:charset w:val="86"/>
    <w:family w:val="script"/>
    <w:pitch w:val="default"/>
    <w:sig w:usb0="A00002BF" w:usb1="38CF7CFA" w:usb2="00082016" w:usb3="00000000" w:csb0="00040001" w:csb1="00000000"/>
    <w:embedRegular r:id="rId6" w:fontKey="{0689F580-0EC5-45B8-B3D9-C91D8BC7A82F}"/>
  </w:font>
  <w:font w:name="Wingdings 2">
    <w:panose1 w:val="05020102010507070707"/>
    <w:charset w:val="02"/>
    <w:family w:val="roman"/>
    <w:pitch w:val="default"/>
    <w:sig w:usb0="00000000" w:usb1="00000000" w:usb2="00000000" w:usb3="00000000" w:csb0="80000000" w:csb1="00000000"/>
    <w:embedRegular r:id="rId7" w:fontKey="{0E1FC171-E2AD-4DAB-B4A2-7C7A351A49C0}"/>
  </w:font>
  <w:font w:name="Helv">
    <w:altName w:val="Segoe Print"/>
    <w:panose1 w:val="020B060402020203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embedRegular r:id="rId8" w:fontKey="{CC8B886F-BCA1-4757-81BB-6ACD68ABA074}"/>
  </w:font>
  <w:font w:name="MS Mincho">
    <w:altName w:val="Yu Gothic UI"/>
    <w:panose1 w:val="02020609040205080304"/>
    <w:charset w:val="80"/>
    <w:family w:val="modern"/>
    <w:pitch w:val="default"/>
    <w:sig w:usb0="00000000" w:usb1="00000000" w:usb2="08000012" w:usb3="00000000" w:csb0="0002009F" w:csb1="00000000"/>
    <w:embedRegular r:id="rId9" w:fontKey="{D49BE72F-D35D-42A8-A06A-D3C7B61891CB}"/>
  </w:font>
  <w:font w:name="新宋体">
    <w:panose1 w:val="02010609030101010101"/>
    <w:charset w:val="86"/>
    <w:family w:val="modern"/>
    <w:pitch w:val="default"/>
    <w:sig w:usb0="00000203" w:usb1="288F0000" w:usb2="00000006" w:usb3="00000000" w:csb0="00040001" w:csb1="00000000"/>
    <w:embedRegular r:id="rId10" w:fontKey="{11A56C95-744D-49F5-9BE7-411DFEE8B790}"/>
  </w:font>
  <w:font w:name="Yu Gothic UI">
    <w:panose1 w:val="020B0500000000000000"/>
    <w:charset w:val="80"/>
    <w:family w:val="auto"/>
    <w:pitch w:val="default"/>
    <w:sig w:usb0="E00002FF" w:usb1="2AC7FDFF" w:usb2="00000016" w:usb3="00000000" w:csb0="2002009F" w:csb1="00000000"/>
  </w:font>
  <w:font w:name="RomanS">
    <w:panose1 w:val="02000400000000000000"/>
    <w:charset w:val="00"/>
    <w:family w:val="auto"/>
    <w:pitch w:val="default"/>
    <w:sig w:usb0="00000207" w:usb1="00000000" w:usb2="00000000" w:usb3="00000000" w:csb0="000001FF" w:csb1="00000000"/>
  </w:font>
  <w:font w:name="MT Extra">
    <w:panose1 w:val="05050102010205020202"/>
    <w:charset w:val="00"/>
    <w:family w:val="auto"/>
    <w:pitch w:val="default"/>
    <w:sig w:usb0="8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28916495"/>
    </w:sdtPr>
    <w:sdtContent>
      <w:p>
        <w:pPr>
          <w:pStyle w:val="20"/>
          <w:jc w:val="center"/>
        </w:pPr>
        <w:r>
          <w:fldChar w:fldCharType="begin"/>
        </w:r>
        <w:r>
          <w:instrText xml:space="preserve">PAGE   \* MERGEFORMAT</w:instrText>
        </w:r>
        <w:r>
          <w:fldChar w:fldCharType="separate"/>
        </w:r>
        <w:r>
          <w:rPr>
            <w:lang w:val="zh-CN"/>
          </w:rPr>
          <w:t>129</w:t>
        </w:r>
        <w:r>
          <w:rPr>
            <w:lang w:val="zh-CN"/>
          </w:rPr>
          <w:fldChar w:fldCharType="end"/>
        </w:r>
      </w:p>
    </w:sdtContent>
  </w:sdt>
  <w:p>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574B12"/>
    <w:multiLevelType w:val="multilevel"/>
    <w:tmpl w:val="12574B12"/>
    <w:lvl w:ilvl="0" w:tentative="0">
      <w:start w:val="1"/>
      <w:numFmt w:val="decimal"/>
      <w:lvlText w:val="表2-%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34F4E98"/>
    <w:multiLevelType w:val="singleLevel"/>
    <w:tmpl w:val="134F4E98"/>
    <w:lvl w:ilvl="0" w:tentative="0">
      <w:start w:val="2"/>
      <w:numFmt w:val="decimal"/>
      <w:suff w:val="nothing"/>
      <w:lvlText w:val="%1）"/>
      <w:lvlJc w:val="left"/>
    </w:lvl>
  </w:abstractNum>
  <w:abstractNum w:abstractNumId="2">
    <w:nsid w:val="20CF4FD4"/>
    <w:multiLevelType w:val="multilevel"/>
    <w:tmpl w:val="20CF4FD4"/>
    <w:lvl w:ilvl="0" w:tentative="0">
      <w:start w:val="1"/>
      <w:numFmt w:val="decimal"/>
      <w:lvlText w:val="表1-%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7E51D02"/>
    <w:multiLevelType w:val="singleLevel"/>
    <w:tmpl w:val="27E51D02"/>
    <w:lvl w:ilvl="0" w:tentative="0">
      <w:start w:val="4"/>
      <w:numFmt w:val="decimal"/>
      <w:suff w:val="nothing"/>
      <w:lvlText w:val="（%1）"/>
      <w:lvlJc w:val="left"/>
    </w:lvl>
  </w:abstractNum>
  <w:abstractNum w:abstractNumId="4">
    <w:nsid w:val="3BFA2DA0"/>
    <w:multiLevelType w:val="multilevel"/>
    <w:tmpl w:val="3BFA2DA0"/>
    <w:lvl w:ilvl="0" w:tentative="0">
      <w:start w:val="1"/>
      <w:numFmt w:val="decimal"/>
      <w:lvlText w:val="表4-%1"/>
      <w:lvlJc w:val="left"/>
      <w:pPr>
        <w:ind w:left="1260"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500B09F0"/>
    <w:multiLevelType w:val="multilevel"/>
    <w:tmpl w:val="500B09F0"/>
    <w:lvl w:ilvl="0" w:tentative="0">
      <w:start w:val="1"/>
      <w:numFmt w:val="decimal"/>
      <w:lvlText w:val="图2-%1"/>
      <w:lvlJc w:val="left"/>
      <w:pPr>
        <w:ind w:left="860" w:hanging="440"/>
      </w:pPr>
      <w:rPr>
        <w:rFonts w:hint="eastAsia"/>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6">
    <w:nsid w:val="5A552F19"/>
    <w:multiLevelType w:val="multilevel"/>
    <w:tmpl w:val="5A552F19"/>
    <w:lvl w:ilvl="0" w:tentative="0">
      <w:start w:val="1"/>
      <w:numFmt w:val="decimal"/>
      <w:lvlText w:val="表3-%1"/>
      <w:lvlJc w:val="left"/>
      <w:pPr>
        <w:ind w:left="1340" w:hanging="440"/>
      </w:pPr>
      <w:rPr>
        <w:rFonts w:hint="eastAsia"/>
      </w:rPr>
    </w:lvl>
    <w:lvl w:ilvl="1" w:tentative="0">
      <w:start w:val="1"/>
      <w:numFmt w:val="lowerLetter"/>
      <w:lvlText w:val="%2)"/>
      <w:lvlJc w:val="left"/>
      <w:pPr>
        <w:ind w:left="1780" w:hanging="440"/>
      </w:pPr>
    </w:lvl>
    <w:lvl w:ilvl="2" w:tentative="0">
      <w:start w:val="1"/>
      <w:numFmt w:val="lowerRoman"/>
      <w:lvlText w:val="%3."/>
      <w:lvlJc w:val="right"/>
      <w:pPr>
        <w:ind w:left="2220" w:hanging="440"/>
      </w:pPr>
    </w:lvl>
    <w:lvl w:ilvl="3" w:tentative="0">
      <w:start w:val="1"/>
      <w:numFmt w:val="decimal"/>
      <w:lvlText w:val="%4."/>
      <w:lvlJc w:val="left"/>
      <w:pPr>
        <w:ind w:left="2660" w:hanging="440"/>
      </w:pPr>
    </w:lvl>
    <w:lvl w:ilvl="4" w:tentative="0">
      <w:start w:val="1"/>
      <w:numFmt w:val="lowerLetter"/>
      <w:lvlText w:val="%5)"/>
      <w:lvlJc w:val="left"/>
      <w:pPr>
        <w:ind w:left="3100" w:hanging="440"/>
      </w:pPr>
    </w:lvl>
    <w:lvl w:ilvl="5" w:tentative="0">
      <w:start w:val="1"/>
      <w:numFmt w:val="lowerRoman"/>
      <w:lvlText w:val="%6."/>
      <w:lvlJc w:val="right"/>
      <w:pPr>
        <w:ind w:left="3540" w:hanging="440"/>
      </w:pPr>
    </w:lvl>
    <w:lvl w:ilvl="6" w:tentative="0">
      <w:start w:val="1"/>
      <w:numFmt w:val="decimal"/>
      <w:lvlText w:val="%7."/>
      <w:lvlJc w:val="left"/>
      <w:pPr>
        <w:ind w:left="3980" w:hanging="440"/>
      </w:pPr>
    </w:lvl>
    <w:lvl w:ilvl="7" w:tentative="0">
      <w:start w:val="1"/>
      <w:numFmt w:val="lowerLetter"/>
      <w:lvlText w:val="%8)"/>
      <w:lvlJc w:val="left"/>
      <w:pPr>
        <w:ind w:left="4420" w:hanging="440"/>
      </w:pPr>
    </w:lvl>
    <w:lvl w:ilvl="8" w:tentative="0">
      <w:start w:val="1"/>
      <w:numFmt w:val="lowerRoman"/>
      <w:lvlText w:val="%9."/>
      <w:lvlJc w:val="right"/>
      <w:pPr>
        <w:ind w:left="4860" w:hanging="440"/>
      </w:pPr>
    </w:lvl>
  </w:abstractNum>
  <w:abstractNum w:abstractNumId="7">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81"/>
      <w:suff w:val="nothing"/>
      <w:lvlText w:val="%1%2　"/>
      <w:lvlJc w:val="left"/>
      <w:pPr>
        <w:ind w:left="0" w:firstLine="0"/>
      </w:pPr>
      <w:rPr>
        <w:rFonts w:hint="eastAsia" w:ascii="黑体" w:hAnsi="Times New Roman" w:eastAsia="黑体"/>
        <w:b w:val="0"/>
        <w:i w:val="0"/>
        <w:sz w:val="21"/>
      </w:rPr>
    </w:lvl>
    <w:lvl w:ilvl="2" w:tentative="0">
      <w:start w:val="1"/>
      <w:numFmt w:val="decimal"/>
      <w:pStyle w:val="80"/>
      <w:suff w:val="nothing"/>
      <w:lvlText w:val="%1%2.%3　"/>
      <w:lvlJc w:val="left"/>
      <w:pPr>
        <w:ind w:left="0" w:firstLine="0"/>
      </w:pPr>
      <w:rPr>
        <w:rFonts w:hint="eastAsia" w:ascii="黑体" w:hAnsi="Times New Roman" w:eastAsia="黑体"/>
        <w:b w:val="0"/>
        <w:i w:val="0"/>
        <w:sz w:val="21"/>
      </w:rPr>
    </w:lvl>
    <w:lvl w:ilvl="3" w:tentative="0">
      <w:start w:val="1"/>
      <w:numFmt w:val="decimal"/>
      <w:pStyle w:val="79"/>
      <w:suff w:val="nothing"/>
      <w:lvlText w:val="%1%2.%3.%4　"/>
      <w:lvlJc w:val="left"/>
      <w:pPr>
        <w:ind w:left="0" w:firstLine="0"/>
      </w:pPr>
      <w:rPr>
        <w:rFonts w:hint="eastAsia" w:ascii="黑体" w:hAnsi="Times New Roman" w:eastAsia="黑体"/>
        <w:b w:val="0"/>
        <w:i w:val="0"/>
        <w:sz w:val="21"/>
      </w:rPr>
    </w:lvl>
    <w:lvl w:ilvl="4" w:tentative="0">
      <w:start w:val="1"/>
      <w:numFmt w:val="decimal"/>
      <w:pStyle w:val="78"/>
      <w:suff w:val="nothing"/>
      <w:lvlText w:val="%1%2.%3.%4.%5　"/>
      <w:lvlJc w:val="left"/>
      <w:pPr>
        <w:ind w:left="0" w:firstLine="0"/>
      </w:pPr>
      <w:rPr>
        <w:rFonts w:hint="eastAsia" w:ascii="黑体" w:hAnsi="Times New Roman" w:eastAsia="黑体"/>
        <w:b w:val="0"/>
        <w:i w:val="0"/>
        <w:sz w:val="21"/>
      </w:rPr>
    </w:lvl>
    <w:lvl w:ilvl="5" w:tentative="0">
      <w:start w:val="1"/>
      <w:numFmt w:val="decimal"/>
      <w:pStyle w:val="77"/>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8">
    <w:nsid w:val="7ADD5F6A"/>
    <w:multiLevelType w:val="singleLevel"/>
    <w:tmpl w:val="7ADD5F6A"/>
    <w:lvl w:ilvl="0" w:tentative="0">
      <w:start w:val="2"/>
      <w:numFmt w:val="decimal"/>
      <w:pStyle w:val="242"/>
      <w:suff w:val="nothing"/>
      <w:lvlText w:val="%1）"/>
      <w:lvlJc w:val="left"/>
      <w:pPr>
        <w:ind w:left="0" w:firstLine="0"/>
      </w:pPr>
    </w:lvl>
  </w:abstractNum>
  <w:num w:numId="1">
    <w:abstractNumId w:val="7"/>
  </w:num>
  <w:num w:numId="2">
    <w:abstractNumId w:val="8"/>
    <w:lvlOverride w:ilvl="0">
      <w:startOverride w:val="2"/>
    </w:lvlOverride>
  </w:num>
  <w:num w:numId="3">
    <w:abstractNumId w:val="2"/>
  </w:num>
  <w:num w:numId="4">
    <w:abstractNumId w:val="5"/>
  </w:num>
  <w:num w:numId="5">
    <w:abstractNumId w:val="0"/>
  </w:num>
  <w:num w:numId="6">
    <w:abstractNumId w:val="6"/>
  </w:num>
  <w:num w:numId="7">
    <w:abstractNumId w:val="4"/>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hideSpellingErrors/>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hNTU3N2JlMDkxMjY1YzRhYTRjOTdiY2E0NTFjYWUifQ=="/>
  </w:docVars>
  <w:rsids>
    <w:rsidRoot w:val="003A410C"/>
    <w:rsid w:val="000004FE"/>
    <w:rsid w:val="00001CDB"/>
    <w:rsid w:val="00002309"/>
    <w:rsid w:val="0000276F"/>
    <w:rsid w:val="000027DF"/>
    <w:rsid w:val="00002B78"/>
    <w:rsid w:val="000031BE"/>
    <w:rsid w:val="00003334"/>
    <w:rsid w:val="000047C4"/>
    <w:rsid w:val="00005CF5"/>
    <w:rsid w:val="00005D14"/>
    <w:rsid w:val="000065D5"/>
    <w:rsid w:val="0000729C"/>
    <w:rsid w:val="000077CE"/>
    <w:rsid w:val="00010FFD"/>
    <w:rsid w:val="00011048"/>
    <w:rsid w:val="000113FB"/>
    <w:rsid w:val="00012FF2"/>
    <w:rsid w:val="000130BA"/>
    <w:rsid w:val="00013681"/>
    <w:rsid w:val="00013EA7"/>
    <w:rsid w:val="00014B7B"/>
    <w:rsid w:val="0001632E"/>
    <w:rsid w:val="00016E27"/>
    <w:rsid w:val="00017084"/>
    <w:rsid w:val="00017FAA"/>
    <w:rsid w:val="00020241"/>
    <w:rsid w:val="000207A8"/>
    <w:rsid w:val="00021ADF"/>
    <w:rsid w:val="000238C6"/>
    <w:rsid w:val="0002392C"/>
    <w:rsid w:val="0002456A"/>
    <w:rsid w:val="0002588C"/>
    <w:rsid w:val="00026199"/>
    <w:rsid w:val="00026901"/>
    <w:rsid w:val="000309FC"/>
    <w:rsid w:val="0003153A"/>
    <w:rsid w:val="0003282B"/>
    <w:rsid w:val="00032F10"/>
    <w:rsid w:val="00035148"/>
    <w:rsid w:val="00035349"/>
    <w:rsid w:val="0003544C"/>
    <w:rsid w:val="000357F9"/>
    <w:rsid w:val="000365B5"/>
    <w:rsid w:val="00036DDD"/>
    <w:rsid w:val="00037C55"/>
    <w:rsid w:val="000400EA"/>
    <w:rsid w:val="000401F6"/>
    <w:rsid w:val="00040DD1"/>
    <w:rsid w:val="00040EB6"/>
    <w:rsid w:val="000412A7"/>
    <w:rsid w:val="000415F1"/>
    <w:rsid w:val="0004416B"/>
    <w:rsid w:val="00045BD5"/>
    <w:rsid w:val="00046ACF"/>
    <w:rsid w:val="0004720C"/>
    <w:rsid w:val="000478D5"/>
    <w:rsid w:val="00047B7F"/>
    <w:rsid w:val="00050592"/>
    <w:rsid w:val="0005152C"/>
    <w:rsid w:val="00051E61"/>
    <w:rsid w:val="000526E9"/>
    <w:rsid w:val="0005293D"/>
    <w:rsid w:val="00052943"/>
    <w:rsid w:val="00053228"/>
    <w:rsid w:val="000532B3"/>
    <w:rsid w:val="000537FD"/>
    <w:rsid w:val="00053956"/>
    <w:rsid w:val="00054006"/>
    <w:rsid w:val="000549C1"/>
    <w:rsid w:val="00054F24"/>
    <w:rsid w:val="000550E3"/>
    <w:rsid w:val="0005586A"/>
    <w:rsid w:val="00055DD2"/>
    <w:rsid w:val="00056B8A"/>
    <w:rsid w:val="00056EDF"/>
    <w:rsid w:val="000571E0"/>
    <w:rsid w:val="0005760F"/>
    <w:rsid w:val="00057F39"/>
    <w:rsid w:val="00060119"/>
    <w:rsid w:val="00063707"/>
    <w:rsid w:val="00063735"/>
    <w:rsid w:val="00064218"/>
    <w:rsid w:val="0006504A"/>
    <w:rsid w:val="0006600D"/>
    <w:rsid w:val="0006613A"/>
    <w:rsid w:val="00066782"/>
    <w:rsid w:val="00070163"/>
    <w:rsid w:val="00070A68"/>
    <w:rsid w:val="00071202"/>
    <w:rsid w:val="00071493"/>
    <w:rsid w:val="00071E34"/>
    <w:rsid w:val="00072E9F"/>
    <w:rsid w:val="00073C37"/>
    <w:rsid w:val="00074005"/>
    <w:rsid w:val="00074118"/>
    <w:rsid w:val="00074623"/>
    <w:rsid w:val="00074A3E"/>
    <w:rsid w:val="00075C78"/>
    <w:rsid w:val="00076A0D"/>
    <w:rsid w:val="000771CE"/>
    <w:rsid w:val="000773EC"/>
    <w:rsid w:val="00077A73"/>
    <w:rsid w:val="00077F85"/>
    <w:rsid w:val="00080802"/>
    <w:rsid w:val="00080F28"/>
    <w:rsid w:val="00081849"/>
    <w:rsid w:val="00081EB6"/>
    <w:rsid w:val="00082600"/>
    <w:rsid w:val="00082C6F"/>
    <w:rsid w:val="00082D0B"/>
    <w:rsid w:val="00083082"/>
    <w:rsid w:val="00084374"/>
    <w:rsid w:val="000848DF"/>
    <w:rsid w:val="00084C02"/>
    <w:rsid w:val="0008615C"/>
    <w:rsid w:val="00086387"/>
    <w:rsid w:val="00087CF0"/>
    <w:rsid w:val="00087D2B"/>
    <w:rsid w:val="00087E58"/>
    <w:rsid w:val="0009183D"/>
    <w:rsid w:val="00091DC0"/>
    <w:rsid w:val="00092622"/>
    <w:rsid w:val="00092874"/>
    <w:rsid w:val="00092B04"/>
    <w:rsid w:val="00093303"/>
    <w:rsid w:val="0009374B"/>
    <w:rsid w:val="00094350"/>
    <w:rsid w:val="00094726"/>
    <w:rsid w:val="00094BD4"/>
    <w:rsid w:val="00094C35"/>
    <w:rsid w:val="00095F45"/>
    <w:rsid w:val="00096C63"/>
    <w:rsid w:val="000976F6"/>
    <w:rsid w:val="000A1ABC"/>
    <w:rsid w:val="000A2F55"/>
    <w:rsid w:val="000A3BD7"/>
    <w:rsid w:val="000A4145"/>
    <w:rsid w:val="000A44F7"/>
    <w:rsid w:val="000A45BF"/>
    <w:rsid w:val="000A552D"/>
    <w:rsid w:val="000A608A"/>
    <w:rsid w:val="000A6730"/>
    <w:rsid w:val="000A6C8C"/>
    <w:rsid w:val="000A70EC"/>
    <w:rsid w:val="000B04E5"/>
    <w:rsid w:val="000B0E05"/>
    <w:rsid w:val="000B19C0"/>
    <w:rsid w:val="000B2399"/>
    <w:rsid w:val="000B2B48"/>
    <w:rsid w:val="000B31B3"/>
    <w:rsid w:val="000B38D0"/>
    <w:rsid w:val="000B3ABB"/>
    <w:rsid w:val="000B3D20"/>
    <w:rsid w:val="000B46E1"/>
    <w:rsid w:val="000B4EB5"/>
    <w:rsid w:val="000B62A5"/>
    <w:rsid w:val="000B7A98"/>
    <w:rsid w:val="000C0B42"/>
    <w:rsid w:val="000C0D13"/>
    <w:rsid w:val="000C1A9A"/>
    <w:rsid w:val="000C4010"/>
    <w:rsid w:val="000C4103"/>
    <w:rsid w:val="000C4B11"/>
    <w:rsid w:val="000C5BF6"/>
    <w:rsid w:val="000C66F4"/>
    <w:rsid w:val="000C7834"/>
    <w:rsid w:val="000D0C10"/>
    <w:rsid w:val="000D12BF"/>
    <w:rsid w:val="000D1B56"/>
    <w:rsid w:val="000D21EB"/>
    <w:rsid w:val="000D21FE"/>
    <w:rsid w:val="000D28F6"/>
    <w:rsid w:val="000D2960"/>
    <w:rsid w:val="000D3A1B"/>
    <w:rsid w:val="000D3DF8"/>
    <w:rsid w:val="000D4DAF"/>
    <w:rsid w:val="000D4DE5"/>
    <w:rsid w:val="000D61BE"/>
    <w:rsid w:val="000D644A"/>
    <w:rsid w:val="000E00FE"/>
    <w:rsid w:val="000E0271"/>
    <w:rsid w:val="000E0382"/>
    <w:rsid w:val="000E0CC1"/>
    <w:rsid w:val="000E0FC1"/>
    <w:rsid w:val="000E233F"/>
    <w:rsid w:val="000E28FD"/>
    <w:rsid w:val="000E3803"/>
    <w:rsid w:val="000E56EA"/>
    <w:rsid w:val="000E6E8E"/>
    <w:rsid w:val="000E7F24"/>
    <w:rsid w:val="000F0374"/>
    <w:rsid w:val="000F1A65"/>
    <w:rsid w:val="000F1AA8"/>
    <w:rsid w:val="000F4B1A"/>
    <w:rsid w:val="000F5E07"/>
    <w:rsid w:val="000F6260"/>
    <w:rsid w:val="000F62A8"/>
    <w:rsid w:val="000F7C1C"/>
    <w:rsid w:val="00100FC2"/>
    <w:rsid w:val="00101366"/>
    <w:rsid w:val="0010136F"/>
    <w:rsid w:val="001018FF"/>
    <w:rsid w:val="00102403"/>
    <w:rsid w:val="00104185"/>
    <w:rsid w:val="00105C1C"/>
    <w:rsid w:val="00106324"/>
    <w:rsid w:val="00107C1B"/>
    <w:rsid w:val="00107F7F"/>
    <w:rsid w:val="001105B9"/>
    <w:rsid w:val="00110F08"/>
    <w:rsid w:val="001132ED"/>
    <w:rsid w:val="00113A79"/>
    <w:rsid w:val="00114C04"/>
    <w:rsid w:val="00114DC0"/>
    <w:rsid w:val="00115912"/>
    <w:rsid w:val="00115B8B"/>
    <w:rsid w:val="00115B95"/>
    <w:rsid w:val="0011644B"/>
    <w:rsid w:val="00117053"/>
    <w:rsid w:val="00117BCA"/>
    <w:rsid w:val="00121581"/>
    <w:rsid w:val="00122787"/>
    <w:rsid w:val="00122B24"/>
    <w:rsid w:val="001233B9"/>
    <w:rsid w:val="001237F7"/>
    <w:rsid w:val="00124642"/>
    <w:rsid w:val="00125699"/>
    <w:rsid w:val="00125B16"/>
    <w:rsid w:val="00127D0D"/>
    <w:rsid w:val="00131253"/>
    <w:rsid w:val="00131992"/>
    <w:rsid w:val="00133289"/>
    <w:rsid w:val="00133866"/>
    <w:rsid w:val="00134ADB"/>
    <w:rsid w:val="00135E2C"/>
    <w:rsid w:val="0013788E"/>
    <w:rsid w:val="00140153"/>
    <w:rsid w:val="0014189C"/>
    <w:rsid w:val="00142F7A"/>
    <w:rsid w:val="00143EE9"/>
    <w:rsid w:val="0014435F"/>
    <w:rsid w:val="00144A0C"/>
    <w:rsid w:val="00145131"/>
    <w:rsid w:val="00150A0B"/>
    <w:rsid w:val="00150DF9"/>
    <w:rsid w:val="0015125E"/>
    <w:rsid w:val="0015254D"/>
    <w:rsid w:val="0015256A"/>
    <w:rsid w:val="00152AC8"/>
    <w:rsid w:val="00152DF1"/>
    <w:rsid w:val="00153A79"/>
    <w:rsid w:val="00154C67"/>
    <w:rsid w:val="00154EFE"/>
    <w:rsid w:val="00155800"/>
    <w:rsid w:val="00156A5F"/>
    <w:rsid w:val="0015718A"/>
    <w:rsid w:val="001577A3"/>
    <w:rsid w:val="00160B0F"/>
    <w:rsid w:val="001610D0"/>
    <w:rsid w:val="00161A19"/>
    <w:rsid w:val="00163558"/>
    <w:rsid w:val="00163AA6"/>
    <w:rsid w:val="00164B78"/>
    <w:rsid w:val="001656FB"/>
    <w:rsid w:val="00165C2A"/>
    <w:rsid w:val="001666B7"/>
    <w:rsid w:val="00166E29"/>
    <w:rsid w:val="00167305"/>
    <w:rsid w:val="00167E00"/>
    <w:rsid w:val="00170EC5"/>
    <w:rsid w:val="00170FF2"/>
    <w:rsid w:val="00171B02"/>
    <w:rsid w:val="0017202E"/>
    <w:rsid w:val="00172F1D"/>
    <w:rsid w:val="0017316B"/>
    <w:rsid w:val="00173CAF"/>
    <w:rsid w:val="001741D0"/>
    <w:rsid w:val="001752FE"/>
    <w:rsid w:val="0017551B"/>
    <w:rsid w:val="001761B0"/>
    <w:rsid w:val="0017634C"/>
    <w:rsid w:val="00176ADB"/>
    <w:rsid w:val="00180BAC"/>
    <w:rsid w:val="001830CE"/>
    <w:rsid w:val="00183435"/>
    <w:rsid w:val="00183FF4"/>
    <w:rsid w:val="00185343"/>
    <w:rsid w:val="00185CB5"/>
    <w:rsid w:val="00186A39"/>
    <w:rsid w:val="00190AED"/>
    <w:rsid w:val="00192266"/>
    <w:rsid w:val="001924FA"/>
    <w:rsid w:val="001924FC"/>
    <w:rsid w:val="00192A61"/>
    <w:rsid w:val="001936F0"/>
    <w:rsid w:val="0019497F"/>
    <w:rsid w:val="00195754"/>
    <w:rsid w:val="001959C9"/>
    <w:rsid w:val="00196175"/>
    <w:rsid w:val="00196C82"/>
    <w:rsid w:val="00196E88"/>
    <w:rsid w:val="001972AF"/>
    <w:rsid w:val="00197AF1"/>
    <w:rsid w:val="00197B06"/>
    <w:rsid w:val="001A0EED"/>
    <w:rsid w:val="001A1D8B"/>
    <w:rsid w:val="001A208D"/>
    <w:rsid w:val="001A22E2"/>
    <w:rsid w:val="001A235D"/>
    <w:rsid w:val="001A273E"/>
    <w:rsid w:val="001A2A36"/>
    <w:rsid w:val="001A2CFC"/>
    <w:rsid w:val="001A30A0"/>
    <w:rsid w:val="001A3347"/>
    <w:rsid w:val="001A3BCF"/>
    <w:rsid w:val="001A44AE"/>
    <w:rsid w:val="001A5045"/>
    <w:rsid w:val="001A77FE"/>
    <w:rsid w:val="001A78B5"/>
    <w:rsid w:val="001A7AF8"/>
    <w:rsid w:val="001A7FCC"/>
    <w:rsid w:val="001B055D"/>
    <w:rsid w:val="001B08B7"/>
    <w:rsid w:val="001B294B"/>
    <w:rsid w:val="001B2CCB"/>
    <w:rsid w:val="001B36ED"/>
    <w:rsid w:val="001B3929"/>
    <w:rsid w:val="001B3FB4"/>
    <w:rsid w:val="001B41B5"/>
    <w:rsid w:val="001B4270"/>
    <w:rsid w:val="001B47CF"/>
    <w:rsid w:val="001B508E"/>
    <w:rsid w:val="001B5258"/>
    <w:rsid w:val="001B6519"/>
    <w:rsid w:val="001B73A4"/>
    <w:rsid w:val="001B747C"/>
    <w:rsid w:val="001B752C"/>
    <w:rsid w:val="001B7BC7"/>
    <w:rsid w:val="001C16BF"/>
    <w:rsid w:val="001C1C3C"/>
    <w:rsid w:val="001C1C9C"/>
    <w:rsid w:val="001C216C"/>
    <w:rsid w:val="001C2700"/>
    <w:rsid w:val="001C2DB7"/>
    <w:rsid w:val="001C3838"/>
    <w:rsid w:val="001C3E35"/>
    <w:rsid w:val="001C6E4C"/>
    <w:rsid w:val="001C71DB"/>
    <w:rsid w:val="001C761B"/>
    <w:rsid w:val="001D07F6"/>
    <w:rsid w:val="001D0E96"/>
    <w:rsid w:val="001D1A47"/>
    <w:rsid w:val="001D2062"/>
    <w:rsid w:val="001D2850"/>
    <w:rsid w:val="001D2FA6"/>
    <w:rsid w:val="001D3B08"/>
    <w:rsid w:val="001D3C78"/>
    <w:rsid w:val="001D48F1"/>
    <w:rsid w:val="001D507D"/>
    <w:rsid w:val="001D6054"/>
    <w:rsid w:val="001E0ACC"/>
    <w:rsid w:val="001E2AFD"/>
    <w:rsid w:val="001E2B42"/>
    <w:rsid w:val="001E2EC3"/>
    <w:rsid w:val="001E30E4"/>
    <w:rsid w:val="001E3EE0"/>
    <w:rsid w:val="001E497A"/>
    <w:rsid w:val="001E5E4D"/>
    <w:rsid w:val="001E61BB"/>
    <w:rsid w:val="001F0132"/>
    <w:rsid w:val="001F1308"/>
    <w:rsid w:val="001F1F85"/>
    <w:rsid w:val="001F290B"/>
    <w:rsid w:val="001F2B2E"/>
    <w:rsid w:val="001F350D"/>
    <w:rsid w:val="001F3C37"/>
    <w:rsid w:val="001F3F5F"/>
    <w:rsid w:val="001F4588"/>
    <w:rsid w:val="001F4803"/>
    <w:rsid w:val="001F5D2F"/>
    <w:rsid w:val="001F6A7C"/>
    <w:rsid w:val="001F6FD2"/>
    <w:rsid w:val="00202427"/>
    <w:rsid w:val="0020267D"/>
    <w:rsid w:val="00203120"/>
    <w:rsid w:val="0020454D"/>
    <w:rsid w:val="002045CD"/>
    <w:rsid w:val="002048DE"/>
    <w:rsid w:val="00206590"/>
    <w:rsid w:val="002073C0"/>
    <w:rsid w:val="00207E6C"/>
    <w:rsid w:val="002102F3"/>
    <w:rsid w:val="002109A3"/>
    <w:rsid w:val="002109E7"/>
    <w:rsid w:val="00210A62"/>
    <w:rsid w:val="00211411"/>
    <w:rsid w:val="002120F8"/>
    <w:rsid w:val="00212531"/>
    <w:rsid w:val="00212ADA"/>
    <w:rsid w:val="00215DA8"/>
    <w:rsid w:val="00215E47"/>
    <w:rsid w:val="00216765"/>
    <w:rsid w:val="002168C8"/>
    <w:rsid w:val="00223960"/>
    <w:rsid w:val="00224A50"/>
    <w:rsid w:val="00224AF5"/>
    <w:rsid w:val="00224B2B"/>
    <w:rsid w:val="00226349"/>
    <w:rsid w:val="00226CD4"/>
    <w:rsid w:val="00227630"/>
    <w:rsid w:val="00227D4B"/>
    <w:rsid w:val="00230E58"/>
    <w:rsid w:val="002316BA"/>
    <w:rsid w:val="0023250E"/>
    <w:rsid w:val="00232719"/>
    <w:rsid w:val="00232C41"/>
    <w:rsid w:val="00233ABF"/>
    <w:rsid w:val="00234B30"/>
    <w:rsid w:val="00234DD4"/>
    <w:rsid w:val="00235916"/>
    <w:rsid w:val="00235FAA"/>
    <w:rsid w:val="00236B20"/>
    <w:rsid w:val="00237AAC"/>
    <w:rsid w:val="0024010F"/>
    <w:rsid w:val="00242F3C"/>
    <w:rsid w:val="00243EFF"/>
    <w:rsid w:val="002444E3"/>
    <w:rsid w:val="002449B8"/>
    <w:rsid w:val="00245160"/>
    <w:rsid w:val="002452C6"/>
    <w:rsid w:val="002456FD"/>
    <w:rsid w:val="00245AA9"/>
    <w:rsid w:val="00245D42"/>
    <w:rsid w:val="00245E20"/>
    <w:rsid w:val="002461D3"/>
    <w:rsid w:val="00246278"/>
    <w:rsid w:val="00246C9B"/>
    <w:rsid w:val="0024734E"/>
    <w:rsid w:val="00250443"/>
    <w:rsid w:val="00250A58"/>
    <w:rsid w:val="00250AC4"/>
    <w:rsid w:val="002523BF"/>
    <w:rsid w:val="0025242A"/>
    <w:rsid w:val="002533DD"/>
    <w:rsid w:val="00253788"/>
    <w:rsid w:val="002573F8"/>
    <w:rsid w:val="00257774"/>
    <w:rsid w:val="00257ACC"/>
    <w:rsid w:val="002602C9"/>
    <w:rsid w:val="0026035E"/>
    <w:rsid w:val="00260693"/>
    <w:rsid w:val="0026137B"/>
    <w:rsid w:val="00261437"/>
    <w:rsid w:val="002618F1"/>
    <w:rsid w:val="0026255A"/>
    <w:rsid w:val="00263998"/>
    <w:rsid w:val="002639B6"/>
    <w:rsid w:val="00264353"/>
    <w:rsid w:val="0026455B"/>
    <w:rsid w:val="00265083"/>
    <w:rsid w:val="00266898"/>
    <w:rsid w:val="002672BD"/>
    <w:rsid w:val="00267937"/>
    <w:rsid w:val="00267E65"/>
    <w:rsid w:val="002700A9"/>
    <w:rsid w:val="002701A3"/>
    <w:rsid w:val="002708E0"/>
    <w:rsid w:val="0027093D"/>
    <w:rsid w:val="00271572"/>
    <w:rsid w:val="002715F7"/>
    <w:rsid w:val="0027180A"/>
    <w:rsid w:val="002719FB"/>
    <w:rsid w:val="0027336B"/>
    <w:rsid w:val="00273513"/>
    <w:rsid w:val="00273E10"/>
    <w:rsid w:val="00274216"/>
    <w:rsid w:val="0027426E"/>
    <w:rsid w:val="0027475F"/>
    <w:rsid w:val="00274925"/>
    <w:rsid w:val="0027494C"/>
    <w:rsid w:val="00274F8A"/>
    <w:rsid w:val="00275D5F"/>
    <w:rsid w:val="00276FEC"/>
    <w:rsid w:val="00277194"/>
    <w:rsid w:val="00277244"/>
    <w:rsid w:val="002772F5"/>
    <w:rsid w:val="00277412"/>
    <w:rsid w:val="00280B34"/>
    <w:rsid w:val="00281183"/>
    <w:rsid w:val="00281C7C"/>
    <w:rsid w:val="00282658"/>
    <w:rsid w:val="002827D6"/>
    <w:rsid w:val="0028295A"/>
    <w:rsid w:val="0028453D"/>
    <w:rsid w:val="0028502E"/>
    <w:rsid w:val="00285A0F"/>
    <w:rsid w:val="00286AFB"/>
    <w:rsid w:val="00287E44"/>
    <w:rsid w:val="002901B9"/>
    <w:rsid w:val="00290240"/>
    <w:rsid w:val="002904D5"/>
    <w:rsid w:val="00291C8E"/>
    <w:rsid w:val="00291D0C"/>
    <w:rsid w:val="00292869"/>
    <w:rsid w:val="00293278"/>
    <w:rsid w:val="002934E9"/>
    <w:rsid w:val="00293A12"/>
    <w:rsid w:val="00295EDF"/>
    <w:rsid w:val="00296A12"/>
    <w:rsid w:val="00296AD0"/>
    <w:rsid w:val="00296CCA"/>
    <w:rsid w:val="00297142"/>
    <w:rsid w:val="00297743"/>
    <w:rsid w:val="002A0ABB"/>
    <w:rsid w:val="002A14F2"/>
    <w:rsid w:val="002A17FA"/>
    <w:rsid w:val="002A360F"/>
    <w:rsid w:val="002A3998"/>
    <w:rsid w:val="002A650E"/>
    <w:rsid w:val="002A6565"/>
    <w:rsid w:val="002A776E"/>
    <w:rsid w:val="002B149B"/>
    <w:rsid w:val="002B207C"/>
    <w:rsid w:val="002B23C1"/>
    <w:rsid w:val="002B2A0A"/>
    <w:rsid w:val="002B2B86"/>
    <w:rsid w:val="002B2C3E"/>
    <w:rsid w:val="002B3972"/>
    <w:rsid w:val="002B5111"/>
    <w:rsid w:val="002B52C2"/>
    <w:rsid w:val="002B76D6"/>
    <w:rsid w:val="002C03B6"/>
    <w:rsid w:val="002C0612"/>
    <w:rsid w:val="002C069B"/>
    <w:rsid w:val="002C08F1"/>
    <w:rsid w:val="002C0D35"/>
    <w:rsid w:val="002C1DAA"/>
    <w:rsid w:val="002C2079"/>
    <w:rsid w:val="002C23BC"/>
    <w:rsid w:val="002C24CC"/>
    <w:rsid w:val="002C28AF"/>
    <w:rsid w:val="002C2EE5"/>
    <w:rsid w:val="002C45B1"/>
    <w:rsid w:val="002C45D6"/>
    <w:rsid w:val="002C48CA"/>
    <w:rsid w:val="002C5BBB"/>
    <w:rsid w:val="002C731C"/>
    <w:rsid w:val="002C7547"/>
    <w:rsid w:val="002C7ECE"/>
    <w:rsid w:val="002D012F"/>
    <w:rsid w:val="002D0445"/>
    <w:rsid w:val="002D06D2"/>
    <w:rsid w:val="002D0965"/>
    <w:rsid w:val="002D20CA"/>
    <w:rsid w:val="002D2AFA"/>
    <w:rsid w:val="002D2D6C"/>
    <w:rsid w:val="002D3725"/>
    <w:rsid w:val="002D3790"/>
    <w:rsid w:val="002D392B"/>
    <w:rsid w:val="002D3BB7"/>
    <w:rsid w:val="002D41AD"/>
    <w:rsid w:val="002D4480"/>
    <w:rsid w:val="002D4E8F"/>
    <w:rsid w:val="002D54CB"/>
    <w:rsid w:val="002D5DA4"/>
    <w:rsid w:val="002D6646"/>
    <w:rsid w:val="002D742D"/>
    <w:rsid w:val="002D7711"/>
    <w:rsid w:val="002D7D00"/>
    <w:rsid w:val="002E0A90"/>
    <w:rsid w:val="002E15D1"/>
    <w:rsid w:val="002E18D9"/>
    <w:rsid w:val="002E2484"/>
    <w:rsid w:val="002E288D"/>
    <w:rsid w:val="002E2F67"/>
    <w:rsid w:val="002E3088"/>
    <w:rsid w:val="002E3C76"/>
    <w:rsid w:val="002E4811"/>
    <w:rsid w:val="002E4BAB"/>
    <w:rsid w:val="002E5A0F"/>
    <w:rsid w:val="002E6570"/>
    <w:rsid w:val="002E6917"/>
    <w:rsid w:val="002E6CBF"/>
    <w:rsid w:val="002E73E5"/>
    <w:rsid w:val="002E7AFA"/>
    <w:rsid w:val="002E7CFB"/>
    <w:rsid w:val="002F055E"/>
    <w:rsid w:val="002F09F0"/>
    <w:rsid w:val="002F113D"/>
    <w:rsid w:val="002F178D"/>
    <w:rsid w:val="002F17CD"/>
    <w:rsid w:val="002F1B86"/>
    <w:rsid w:val="002F235B"/>
    <w:rsid w:val="002F361E"/>
    <w:rsid w:val="002F3674"/>
    <w:rsid w:val="002F3FE9"/>
    <w:rsid w:val="002F43BD"/>
    <w:rsid w:val="002F565D"/>
    <w:rsid w:val="002F63D3"/>
    <w:rsid w:val="002F6A5C"/>
    <w:rsid w:val="002F6AB1"/>
    <w:rsid w:val="002F6B5B"/>
    <w:rsid w:val="002F7091"/>
    <w:rsid w:val="002F74A7"/>
    <w:rsid w:val="00300346"/>
    <w:rsid w:val="00300DA3"/>
    <w:rsid w:val="00300DC7"/>
    <w:rsid w:val="0030100A"/>
    <w:rsid w:val="00302CA3"/>
    <w:rsid w:val="00302D83"/>
    <w:rsid w:val="00302EC3"/>
    <w:rsid w:val="00303998"/>
    <w:rsid w:val="0030427D"/>
    <w:rsid w:val="0030453D"/>
    <w:rsid w:val="0030454B"/>
    <w:rsid w:val="00304748"/>
    <w:rsid w:val="00304ACC"/>
    <w:rsid w:val="0030589F"/>
    <w:rsid w:val="003061D9"/>
    <w:rsid w:val="0030674D"/>
    <w:rsid w:val="00306A13"/>
    <w:rsid w:val="00311561"/>
    <w:rsid w:val="003140F1"/>
    <w:rsid w:val="00314203"/>
    <w:rsid w:val="00315210"/>
    <w:rsid w:val="003156B2"/>
    <w:rsid w:val="00315959"/>
    <w:rsid w:val="003159B2"/>
    <w:rsid w:val="00315F92"/>
    <w:rsid w:val="003174FF"/>
    <w:rsid w:val="00317D1E"/>
    <w:rsid w:val="00317F16"/>
    <w:rsid w:val="0032021D"/>
    <w:rsid w:val="003202E6"/>
    <w:rsid w:val="0032044A"/>
    <w:rsid w:val="00320A06"/>
    <w:rsid w:val="00320C35"/>
    <w:rsid w:val="00320D03"/>
    <w:rsid w:val="00320FA5"/>
    <w:rsid w:val="003212EB"/>
    <w:rsid w:val="00321F5A"/>
    <w:rsid w:val="003221F2"/>
    <w:rsid w:val="0032294F"/>
    <w:rsid w:val="00322AD5"/>
    <w:rsid w:val="00322BE6"/>
    <w:rsid w:val="0032320C"/>
    <w:rsid w:val="003248FB"/>
    <w:rsid w:val="00327558"/>
    <w:rsid w:val="003318B5"/>
    <w:rsid w:val="003319C0"/>
    <w:rsid w:val="00331AB0"/>
    <w:rsid w:val="0033222C"/>
    <w:rsid w:val="0033247F"/>
    <w:rsid w:val="003335C0"/>
    <w:rsid w:val="003339B6"/>
    <w:rsid w:val="003340D4"/>
    <w:rsid w:val="00334263"/>
    <w:rsid w:val="003349CF"/>
    <w:rsid w:val="003354D6"/>
    <w:rsid w:val="00335E67"/>
    <w:rsid w:val="00336037"/>
    <w:rsid w:val="0033608D"/>
    <w:rsid w:val="00336266"/>
    <w:rsid w:val="00336510"/>
    <w:rsid w:val="00337A05"/>
    <w:rsid w:val="00337BB3"/>
    <w:rsid w:val="00340962"/>
    <w:rsid w:val="0034129E"/>
    <w:rsid w:val="003412A5"/>
    <w:rsid w:val="0034167C"/>
    <w:rsid w:val="00341DFD"/>
    <w:rsid w:val="00341F52"/>
    <w:rsid w:val="00342175"/>
    <w:rsid w:val="00342229"/>
    <w:rsid w:val="00342799"/>
    <w:rsid w:val="0034350C"/>
    <w:rsid w:val="0034354E"/>
    <w:rsid w:val="00344325"/>
    <w:rsid w:val="0034509D"/>
    <w:rsid w:val="00345254"/>
    <w:rsid w:val="003453C6"/>
    <w:rsid w:val="003455AD"/>
    <w:rsid w:val="00346B05"/>
    <w:rsid w:val="003473AE"/>
    <w:rsid w:val="00347FD6"/>
    <w:rsid w:val="00350055"/>
    <w:rsid w:val="003503EA"/>
    <w:rsid w:val="00350A34"/>
    <w:rsid w:val="00350AB8"/>
    <w:rsid w:val="00350FAF"/>
    <w:rsid w:val="003512A4"/>
    <w:rsid w:val="003515D1"/>
    <w:rsid w:val="00351694"/>
    <w:rsid w:val="00351EF3"/>
    <w:rsid w:val="00352299"/>
    <w:rsid w:val="00352582"/>
    <w:rsid w:val="00352979"/>
    <w:rsid w:val="00353854"/>
    <w:rsid w:val="00353AD6"/>
    <w:rsid w:val="00354C17"/>
    <w:rsid w:val="00354FDB"/>
    <w:rsid w:val="00357433"/>
    <w:rsid w:val="0035774C"/>
    <w:rsid w:val="003600D4"/>
    <w:rsid w:val="00360624"/>
    <w:rsid w:val="003607FD"/>
    <w:rsid w:val="0036120B"/>
    <w:rsid w:val="00361340"/>
    <w:rsid w:val="00361665"/>
    <w:rsid w:val="00363969"/>
    <w:rsid w:val="00363AEC"/>
    <w:rsid w:val="00363D43"/>
    <w:rsid w:val="0036421B"/>
    <w:rsid w:val="00366635"/>
    <w:rsid w:val="0036691E"/>
    <w:rsid w:val="00366C58"/>
    <w:rsid w:val="00367709"/>
    <w:rsid w:val="0036783E"/>
    <w:rsid w:val="00367852"/>
    <w:rsid w:val="0037009F"/>
    <w:rsid w:val="0037013E"/>
    <w:rsid w:val="003705E9"/>
    <w:rsid w:val="00370F76"/>
    <w:rsid w:val="003710D6"/>
    <w:rsid w:val="003718A1"/>
    <w:rsid w:val="00371DC7"/>
    <w:rsid w:val="00371E15"/>
    <w:rsid w:val="003720F7"/>
    <w:rsid w:val="00372F65"/>
    <w:rsid w:val="0037359E"/>
    <w:rsid w:val="003735D6"/>
    <w:rsid w:val="00373C83"/>
    <w:rsid w:val="003753E8"/>
    <w:rsid w:val="0037672B"/>
    <w:rsid w:val="00377A20"/>
    <w:rsid w:val="00377D41"/>
    <w:rsid w:val="00377EE0"/>
    <w:rsid w:val="003801EF"/>
    <w:rsid w:val="00380DA4"/>
    <w:rsid w:val="0038128D"/>
    <w:rsid w:val="0038154A"/>
    <w:rsid w:val="00381F1C"/>
    <w:rsid w:val="00382894"/>
    <w:rsid w:val="00382CEB"/>
    <w:rsid w:val="003840AB"/>
    <w:rsid w:val="00384D90"/>
    <w:rsid w:val="00384FED"/>
    <w:rsid w:val="00385083"/>
    <w:rsid w:val="00385347"/>
    <w:rsid w:val="003853B8"/>
    <w:rsid w:val="00386094"/>
    <w:rsid w:val="003873AB"/>
    <w:rsid w:val="00387C98"/>
    <w:rsid w:val="00390226"/>
    <w:rsid w:val="00390BC0"/>
    <w:rsid w:val="00391FA2"/>
    <w:rsid w:val="003924C8"/>
    <w:rsid w:val="00392A43"/>
    <w:rsid w:val="00392AE3"/>
    <w:rsid w:val="00393651"/>
    <w:rsid w:val="00393A8A"/>
    <w:rsid w:val="00394AE4"/>
    <w:rsid w:val="003950B2"/>
    <w:rsid w:val="003961D2"/>
    <w:rsid w:val="00396617"/>
    <w:rsid w:val="00396A1A"/>
    <w:rsid w:val="003A048D"/>
    <w:rsid w:val="003A12DE"/>
    <w:rsid w:val="003A1730"/>
    <w:rsid w:val="003A20AB"/>
    <w:rsid w:val="003A281C"/>
    <w:rsid w:val="003A29B6"/>
    <w:rsid w:val="003A35D9"/>
    <w:rsid w:val="003A4049"/>
    <w:rsid w:val="003A410C"/>
    <w:rsid w:val="003A44A9"/>
    <w:rsid w:val="003A4C67"/>
    <w:rsid w:val="003A523E"/>
    <w:rsid w:val="003A5DFE"/>
    <w:rsid w:val="003A6A36"/>
    <w:rsid w:val="003A6B3A"/>
    <w:rsid w:val="003A77E1"/>
    <w:rsid w:val="003A7C02"/>
    <w:rsid w:val="003B2A2C"/>
    <w:rsid w:val="003B2AAC"/>
    <w:rsid w:val="003B3B6D"/>
    <w:rsid w:val="003B443E"/>
    <w:rsid w:val="003B4592"/>
    <w:rsid w:val="003B58E7"/>
    <w:rsid w:val="003B6B2D"/>
    <w:rsid w:val="003B6D37"/>
    <w:rsid w:val="003B71F4"/>
    <w:rsid w:val="003B7FDF"/>
    <w:rsid w:val="003C00CB"/>
    <w:rsid w:val="003C2238"/>
    <w:rsid w:val="003C2816"/>
    <w:rsid w:val="003C3558"/>
    <w:rsid w:val="003C3969"/>
    <w:rsid w:val="003C40D2"/>
    <w:rsid w:val="003C4E85"/>
    <w:rsid w:val="003C5C5E"/>
    <w:rsid w:val="003C6A42"/>
    <w:rsid w:val="003C6AA3"/>
    <w:rsid w:val="003C6AC8"/>
    <w:rsid w:val="003C6CDF"/>
    <w:rsid w:val="003C70AB"/>
    <w:rsid w:val="003C7BB3"/>
    <w:rsid w:val="003C7EB1"/>
    <w:rsid w:val="003D1031"/>
    <w:rsid w:val="003D116F"/>
    <w:rsid w:val="003D1AC2"/>
    <w:rsid w:val="003D1D58"/>
    <w:rsid w:val="003D1D67"/>
    <w:rsid w:val="003D23FD"/>
    <w:rsid w:val="003D2D90"/>
    <w:rsid w:val="003D380D"/>
    <w:rsid w:val="003D3813"/>
    <w:rsid w:val="003D40B3"/>
    <w:rsid w:val="003D43CF"/>
    <w:rsid w:val="003D44F5"/>
    <w:rsid w:val="003D4A0B"/>
    <w:rsid w:val="003D5912"/>
    <w:rsid w:val="003D5B4F"/>
    <w:rsid w:val="003D6486"/>
    <w:rsid w:val="003E1850"/>
    <w:rsid w:val="003E1980"/>
    <w:rsid w:val="003E1A05"/>
    <w:rsid w:val="003E1C0B"/>
    <w:rsid w:val="003E1DDC"/>
    <w:rsid w:val="003E2B9C"/>
    <w:rsid w:val="003E2DB6"/>
    <w:rsid w:val="003E2EE1"/>
    <w:rsid w:val="003E3751"/>
    <w:rsid w:val="003E37F7"/>
    <w:rsid w:val="003E4338"/>
    <w:rsid w:val="003E465A"/>
    <w:rsid w:val="003E46F0"/>
    <w:rsid w:val="003E4EA2"/>
    <w:rsid w:val="003E5826"/>
    <w:rsid w:val="003E606D"/>
    <w:rsid w:val="003E628F"/>
    <w:rsid w:val="003E6401"/>
    <w:rsid w:val="003E78A6"/>
    <w:rsid w:val="003F04BA"/>
    <w:rsid w:val="003F118E"/>
    <w:rsid w:val="003F15DB"/>
    <w:rsid w:val="003F212D"/>
    <w:rsid w:val="003F222B"/>
    <w:rsid w:val="003F2274"/>
    <w:rsid w:val="003F4278"/>
    <w:rsid w:val="003F46F4"/>
    <w:rsid w:val="003F5B06"/>
    <w:rsid w:val="003F5D38"/>
    <w:rsid w:val="003F5D93"/>
    <w:rsid w:val="003F5F31"/>
    <w:rsid w:val="003F6054"/>
    <w:rsid w:val="003F6FC9"/>
    <w:rsid w:val="00401677"/>
    <w:rsid w:val="004018C5"/>
    <w:rsid w:val="00401B59"/>
    <w:rsid w:val="00401B84"/>
    <w:rsid w:val="0040297A"/>
    <w:rsid w:val="00402B6E"/>
    <w:rsid w:val="00402DFE"/>
    <w:rsid w:val="00403335"/>
    <w:rsid w:val="00403E83"/>
    <w:rsid w:val="0040572F"/>
    <w:rsid w:val="0040599B"/>
    <w:rsid w:val="00405A30"/>
    <w:rsid w:val="00405B31"/>
    <w:rsid w:val="00405FF3"/>
    <w:rsid w:val="0040690D"/>
    <w:rsid w:val="0040726B"/>
    <w:rsid w:val="004074CE"/>
    <w:rsid w:val="00407587"/>
    <w:rsid w:val="004079AC"/>
    <w:rsid w:val="00410527"/>
    <w:rsid w:val="00410B23"/>
    <w:rsid w:val="00410F61"/>
    <w:rsid w:val="004116C1"/>
    <w:rsid w:val="00412043"/>
    <w:rsid w:val="00413FA2"/>
    <w:rsid w:val="00414C13"/>
    <w:rsid w:val="00414E58"/>
    <w:rsid w:val="0041574D"/>
    <w:rsid w:val="00416268"/>
    <w:rsid w:val="00416442"/>
    <w:rsid w:val="004169A0"/>
    <w:rsid w:val="00416F82"/>
    <w:rsid w:val="00420088"/>
    <w:rsid w:val="00420B6D"/>
    <w:rsid w:val="0042166E"/>
    <w:rsid w:val="00422B84"/>
    <w:rsid w:val="004237ED"/>
    <w:rsid w:val="0042415B"/>
    <w:rsid w:val="004245CF"/>
    <w:rsid w:val="004247E8"/>
    <w:rsid w:val="00426598"/>
    <w:rsid w:val="00426680"/>
    <w:rsid w:val="004306C8"/>
    <w:rsid w:val="004348D6"/>
    <w:rsid w:val="0043511C"/>
    <w:rsid w:val="004369FD"/>
    <w:rsid w:val="00436C2A"/>
    <w:rsid w:val="00437586"/>
    <w:rsid w:val="00437BE6"/>
    <w:rsid w:val="00437F0D"/>
    <w:rsid w:val="0044075D"/>
    <w:rsid w:val="00442F70"/>
    <w:rsid w:val="0044450E"/>
    <w:rsid w:val="004445D2"/>
    <w:rsid w:val="00444F95"/>
    <w:rsid w:val="0044636B"/>
    <w:rsid w:val="004463A6"/>
    <w:rsid w:val="00450295"/>
    <w:rsid w:val="00450858"/>
    <w:rsid w:val="00450E21"/>
    <w:rsid w:val="004510B1"/>
    <w:rsid w:val="00451698"/>
    <w:rsid w:val="004529D4"/>
    <w:rsid w:val="00452A73"/>
    <w:rsid w:val="00452EE6"/>
    <w:rsid w:val="00453750"/>
    <w:rsid w:val="00454126"/>
    <w:rsid w:val="0045541A"/>
    <w:rsid w:val="004554DD"/>
    <w:rsid w:val="00455AE4"/>
    <w:rsid w:val="004567D6"/>
    <w:rsid w:val="0045738C"/>
    <w:rsid w:val="0045774A"/>
    <w:rsid w:val="00457D0E"/>
    <w:rsid w:val="00457DC4"/>
    <w:rsid w:val="00460971"/>
    <w:rsid w:val="00460E83"/>
    <w:rsid w:val="00461247"/>
    <w:rsid w:val="00461E35"/>
    <w:rsid w:val="004630FD"/>
    <w:rsid w:val="004643A9"/>
    <w:rsid w:val="00464BE4"/>
    <w:rsid w:val="004651A1"/>
    <w:rsid w:val="00465257"/>
    <w:rsid w:val="004660ED"/>
    <w:rsid w:val="00466F34"/>
    <w:rsid w:val="00467774"/>
    <w:rsid w:val="00471ABC"/>
    <w:rsid w:val="00472285"/>
    <w:rsid w:val="00473146"/>
    <w:rsid w:val="0047333E"/>
    <w:rsid w:val="00473A1A"/>
    <w:rsid w:val="00473EF5"/>
    <w:rsid w:val="004747DE"/>
    <w:rsid w:val="00475B31"/>
    <w:rsid w:val="0047646F"/>
    <w:rsid w:val="0048025E"/>
    <w:rsid w:val="00480AB7"/>
    <w:rsid w:val="004833E8"/>
    <w:rsid w:val="00484E2E"/>
    <w:rsid w:val="004857EF"/>
    <w:rsid w:val="004879F7"/>
    <w:rsid w:val="00487A18"/>
    <w:rsid w:val="00487D90"/>
    <w:rsid w:val="00487DC7"/>
    <w:rsid w:val="004912DC"/>
    <w:rsid w:val="00491E4D"/>
    <w:rsid w:val="00492725"/>
    <w:rsid w:val="004927C4"/>
    <w:rsid w:val="00492CEA"/>
    <w:rsid w:val="00493465"/>
    <w:rsid w:val="00496674"/>
    <w:rsid w:val="0049673D"/>
    <w:rsid w:val="00497459"/>
    <w:rsid w:val="004975FA"/>
    <w:rsid w:val="00497991"/>
    <w:rsid w:val="004A02DA"/>
    <w:rsid w:val="004A1398"/>
    <w:rsid w:val="004A13AD"/>
    <w:rsid w:val="004A1466"/>
    <w:rsid w:val="004A1631"/>
    <w:rsid w:val="004A16C9"/>
    <w:rsid w:val="004A1800"/>
    <w:rsid w:val="004A18EB"/>
    <w:rsid w:val="004A25D9"/>
    <w:rsid w:val="004A2762"/>
    <w:rsid w:val="004A31AD"/>
    <w:rsid w:val="004A4EBD"/>
    <w:rsid w:val="004A509C"/>
    <w:rsid w:val="004A56FC"/>
    <w:rsid w:val="004A5931"/>
    <w:rsid w:val="004A67F2"/>
    <w:rsid w:val="004A7B54"/>
    <w:rsid w:val="004B0390"/>
    <w:rsid w:val="004B05DF"/>
    <w:rsid w:val="004B0989"/>
    <w:rsid w:val="004B1279"/>
    <w:rsid w:val="004B12ED"/>
    <w:rsid w:val="004B2359"/>
    <w:rsid w:val="004B40B9"/>
    <w:rsid w:val="004B48C9"/>
    <w:rsid w:val="004B4FD0"/>
    <w:rsid w:val="004B503B"/>
    <w:rsid w:val="004B6C82"/>
    <w:rsid w:val="004C0278"/>
    <w:rsid w:val="004C0D08"/>
    <w:rsid w:val="004C0D2B"/>
    <w:rsid w:val="004C1F63"/>
    <w:rsid w:val="004C277E"/>
    <w:rsid w:val="004C376D"/>
    <w:rsid w:val="004C3794"/>
    <w:rsid w:val="004C4122"/>
    <w:rsid w:val="004C494F"/>
    <w:rsid w:val="004C4A2C"/>
    <w:rsid w:val="004D1022"/>
    <w:rsid w:val="004D1F39"/>
    <w:rsid w:val="004D2789"/>
    <w:rsid w:val="004D29EE"/>
    <w:rsid w:val="004D4DB6"/>
    <w:rsid w:val="004D5801"/>
    <w:rsid w:val="004D5D25"/>
    <w:rsid w:val="004D71D5"/>
    <w:rsid w:val="004E0C60"/>
    <w:rsid w:val="004E1400"/>
    <w:rsid w:val="004E28A2"/>
    <w:rsid w:val="004E2B49"/>
    <w:rsid w:val="004E48E0"/>
    <w:rsid w:val="004E4A52"/>
    <w:rsid w:val="004E5CDB"/>
    <w:rsid w:val="004E61ED"/>
    <w:rsid w:val="004E7751"/>
    <w:rsid w:val="004E7B7C"/>
    <w:rsid w:val="004E7E36"/>
    <w:rsid w:val="004F0130"/>
    <w:rsid w:val="004F0AE5"/>
    <w:rsid w:val="004F0D63"/>
    <w:rsid w:val="004F0F86"/>
    <w:rsid w:val="004F195F"/>
    <w:rsid w:val="004F1AF4"/>
    <w:rsid w:val="004F219F"/>
    <w:rsid w:val="004F2776"/>
    <w:rsid w:val="004F3A41"/>
    <w:rsid w:val="004F3FB8"/>
    <w:rsid w:val="004F4833"/>
    <w:rsid w:val="004F501B"/>
    <w:rsid w:val="004F6D95"/>
    <w:rsid w:val="005010E4"/>
    <w:rsid w:val="00501770"/>
    <w:rsid w:val="00501B64"/>
    <w:rsid w:val="00501DCE"/>
    <w:rsid w:val="0050446C"/>
    <w:rsid w:val="00504522"/>
    <w:rsid w:val="00504A2A"/>
    <w:rsid w:val="00504DEF"/>
    <w:rsid w:val="00505063"/>
    <w:rsid w:val="0050522A"/>
    <w:rsid w:val="00506220"/>
    <w:rsid w:val="005066F8"/>
    <w:rsid w:val="00507845"/>
    <w:rsid w:val="00507CE2"/>
    <w:rsid w:val="005104BC"/>
    <w:rsid w:val="005108A8"/>
    <w:rsid w:val="00511384"/>
    <w:rsid w:val="00512F29"/>
    <w:rsid w:val="00513AA1"/>
    <w:rsid w:val="00513DCD"/>
    <w:rsid w:val="00514020"/>
    <w:rsid w:val="00514331"/>
    <w:rsid w:val="00515CAA"/>
    <w:rsid w:val="005166D1"/>
    <w:rsid w:val="00516B84"/>
    <w:rsid w:val="00517244"/>
    <w:rsid w:val="005176F6"/>
    <w:rsid w:val="00517AF9"/>
    <w:rsid w:val="00520B11"/>
    <w:rsid w:val="005216CB"/>
    <w:rsid w:val="0052312D"/>
    <w:rsid w:val="00523599"/>
    <w:rsid w:val="00523BB4"/>
    <w:rsid w:val="00523C0C"/>
    <w:rsid w:val="005247C5"/>
    <w:rsid w:val="005247EE"/>
    <w:rsid w:val="00525107"/>
    <w:rsid w:val="005254AF"/>
    <w:rsid w:val="005278FC"/>
    <w:rsid w:val="00530895"/>
    <w:rsid w:val="00530D43"/>
    <w:rsid w:val="0053138D"/>
    <w:rsid w:val="0053170F"/>
    <w:rsid w:val="0053171F"/>
    <w:rsid w:val="005319AC"/>
    <w:rsid w:val="005319E6"/>
    <w:rsid w:val="0053237A"/>
    <w:rsid w:val="00534591"/>
    <w:rsid w:val="00534983"/>
    <w:rsid w:val="00534D44"/>
    <w:rsid w:val="005361C0"/>
    <w:rsid w:val="005361F9"/>
    <w:rsid w:val="00537171"/>
    <w:rsid w:val="005413DF"/>
    <w:rsid w:val="005416E5"/>
    <w:rsid w:val="00541A74"/>
    <w:rsid w:val="00541AC5"/>
    <w:rsid w:val="00541F7E"/>
    <w:rsid w:val="00542CDB"/>
    <w:rsid w:val="00543A29"/>
    <w:rsid w:val="00545FE2"/>
    <w:rsid w:val="00551FEF"/>
    <w:rsid w:val="0055299F"/>
    <w:rsid w:val="005541BD"/>
    <w:rsid w:val="00555838"/>
    <w:rsid w:val="0055628E"/>
    <w:rsid w:val="005573EE"/>
    <w:rsid w:val="005609E4"/>
    <w:rsid w:val="00561356"/>
    <w:rsid w:val="005617CB"/>
    <w:rsid w:val="00561813"/>
    <w:rsid w:val="00562C31"/>
    <w:rsid w:val="0056378F"/>
    <w:rsid w:val="00563B41"/>
    <w:rsid w:val="00563C81"/>
    <w:rsid w:val="00564BC4"/>
    <w:rsid w:val="00564F9C"/>
    <w:rsid w:val="00565305"/>
    <w:rsid w:val="00566294"/>
    <w:rsid w:val="0056736E"/>
    <w:rsid w:val="00567882"/>
    <w:rsid w:val="0057050E"/>
    <w:rsid w:val="005712C2"/>
    <w:rsid w:val="005712E4"/>
    <w:rsid w:val="0057135A"/>
    <w:rsid w:val="00571638"/>
    <w:rsid w:val="00571CF0"/>
    <w:rsid w:val="005754E7"/>
    <w:rsid w:val="00575F35"/>
    <w:rsid w:val="005761AA"/>
    <w:rsid w:val="00576B79"/>
    <w:rsid w:val="0057759B"/>
    <w:rsid w:val="005776DB"/>
    <w:rsid w:val="005805E5"/>
    <w:rsid w:val="00580A22"/>
    <w:rsid w:val="00582E09"/>
    <w:rsid w:val="00583589"/>
    <w:rsid w:val="00583BCC"/>
    <w:rsid w:val="005845B1"/>
    <w:rsid w:val="005849BE"/>
    <w:rsid w:val="00584DC9"/>
    <w:rsid w:val="00585266"/>
    <w:rsid w:val="005857ED"/>
    <w:rsid w:val="00586101"/>
    <w:rsid w:val="00586435"/>
    <w:rsid w:val="005871CD"/>
    <w:rsid w:val="00587647"/>
    <w:rsid w:val="00590EB5"/>
    <w:rsid w:val="00590F42"/>
    <w:rsid w:val="005912DA"/>
    <w:rsid w:val="005921B3"/>
    <w:rsid w:val="0059243E"/>
    <w:rsid w:val="00592698"/>
    <w:rsid w:val="00593465"/>
    <w:rsid w:val="005938D9"/>
    <w:rsid w:val="00593903"/>
    <w:rsid w:val="0059496A"/>
    <w:rsid w:val="0059501B"/>
    <w:rsid w:val="005952FB"/>
    <w:rsid w:val="005974B8"/>
    <w:rsid w:val="005A0245"/>
    <w:rsid w:val="005A1EC4"/>
    <w:rsid w:val="005A27B6"/>
    <w:rsid w:val="005A2FF8"/>
    <w:rsid w:val="005A30B3"/>
    <w:rsid w:val="005A3726"/>
    <w:rsid w:val="005A479F"/>
    <w:rsid w:val="005A4B70"/>
    <w:rsid w:val="005A4BF1"/>
    <w:rsid w:val="005A4F0C"/>
    <w:rsid w:val="005A511B"/>
    <w:rsid w:val="005A5866"/>
    <w:rsid w:val="005A5B6C"/>
    <w:rsid w:val="005A792F"/>
    <w:rsid w:val="005B024A"/>
    <w:rsid w:val="005B11E3"/>
    <w:rsid w:val="005B18FB"/>
    <w:rsid w:val="005B1AF3"/>
    <w:rsid w:val="005B2316"/>
    <w:rsid w:val="005B2D0D"/>
    <w:rsid w:val="005B36BC"/>
    <w:rsid w:val="005B39B1"/>
    <w:rsid w:val="005B3C02"/>
    <w:rsid w:val="005B46C9"/>
    <w:rsid w:val="005B5083"/>
    <w:rsid w:val="005B5FA4"/>
    <w:rsid w:val="005B673B"/>
    <w:rsid w:val="005B7845"/>
    <w:rsid w:val="005B7EAF"/>
    <w:rsid w:val="005C0325"/>
    <w:rsid w:val="005C0C92"/>
    <w:rsid w:val="005C10E5"/>
    <w:rsid w:val="005C3340"/>
    <w:rsid w:val="005C3C3B"/>
    <w:rsid w:val="005C50FA"/>
    <w:rsid w:val="005C6BB0"/>
    <w:rsid w:val="005C7CD0"/>
    <w:rsid w:val="005D1C26"/>
    <w:rsid w:val="005D2470"/>
    <w:rsid w:val="005D2EEE"/>
    <w:rsid w:val="005D32DE"/>
    <w:rsid w:val="005D4F3C"/>
    <w:rsid w:val="005D5646"/>
    <w:rsid w:val="005D5A35"/>
    <w:rsid w:val="005D5FB8"/>
    <w:rsid w:val="005D6AD4"/>
    <w:rsid w:val="005D70F2"/>
    <w:rsid w:val="005D7598"/>
    <w:rsid w:val="005E119A"/>
    <w:rsid w:val="005E1C7B"/>
    <w:rsid w:val="005E406F"/>
    <w:rsid w:val="005E48DC"/>
    <w:rsid w:val="005E5429"/>
    <w:rsid w:val="005E589C"/>
    <w:rsid w:val="005E607D"/>
    <w:rsid w:val="005E7162"/>
    <w:rsid w:val="005F01EE"/>
    <w:rsid w:val="005F05E0"/>
    <w:rsid w:val="005F0A2F"/>
    <w:rsid w:val="005F14D4"/>
    <w:rsid w:val="005F2CA7"/>
    <w:rsid w:val="005F2EC8"/>
    <w:rsid w:val="005F3873"/>
    <w:rsid w:val="005F573A"/>
    <w:rsid w:val="005F5899"/>
    <w:rsid w:val="005F5C95"/>
    <w:rsid w:val="005F5CBD"/>
    <w:rsid w:val="005F7672"/>
    <w:rsid w:val="00600186"/>
    <w:rsid w:val="00600573"/>
    <w:rsid w:val="0060133C"/>
    <w:rsid w:val="00601D1F"/>
    <w:rsid w:val="00603EA7"/>
    <w:rsid w:val="0060497B"/>
    <w:rsid w:val="0060562E"/>
    <w:rsid w:val="00605BBC"/>
    <w:rsid w:val="00606548"/>
    <w:rsid w:val="006067ED"/>
    <w:rsid w:val="0060786E"/>
    <w:rsid w:val="0060794B"/>
    <w:rsid w:val="006113F5"/>
    <w:rsid w:val="00611B14"/>
    <w:rsid w:val="006158E2"/>
    <w:rsid w:val="006162D1"/>
    <w:rsid w:val="00617692"/>
    <w:rsid w:val="00617DB3"/>
    <w:rsid w:val="0062098C"/>
    <w:rsid w:val="006210B2"/>
    <w:rsid w:val="00621453"/>
    <w:rsid w:val="00621C54"/>
    <w:rsid w:val="006229BF"/>
    <w:rsid w:val="00622BDE"/>
    <w:rsid w:val="00622CC1"/>
    <w:rsid w:val="006232C7"/>
    <w:rsid w:val="0062472F"/>
    <w:rsid w:val="00624ADF"/>
    <w:rsid w:val="006253B4"/>
    <w:rsid w:val="00625648"/>
    <w:rsid w:val="00625700"/>
    <w:rsid w:val="00625945"/>
    <w:rsid w:val="0062685C"/>
    <w:rsid w:val="006268F1"/>
    <w:rsid w:val="006268FF"/>
    <w:rsid w:val="00627D67"/>
    <w:rsid w:val="00630BE5"/>
    <w:rsid w:val="0063104D"/>
    <w:rsid w:val="00632495"/>
    <w:rsid w:val="00632D08"/>
    <w:rsid w:val="006339C0"/>
    <w:rsid w:val="00634166"/>
    <w:rsid w:val="006341DD"/>
    <w:rsid w:val="00635298"/>
    <w:rsid w:val="00635FE6"/>
    <w:rsid w:val="00636951"/>
    <w:rsid w:val="00637066"/>
    <w:rsid w:val="006374F9"/>
    <w:rsid w:val="00637F5D"/>
    <w:rsid w:val="006412AF"/>
    <w:rsid w:val="006414AC"/>
    <w:rsid w:val="0064269E"/>
    <w:rsid w:val="006429D0"/>
    <w:rsid w:val="00643663"/>
    <w:rsid w:val="006440DE"/>
    <w:rsid w:val="00644D32"/>
    <w:rsid w:val="0064640B"/>
    <w:rsid w:val="006472AB"/>
    <w:rsid w:val="00650E89"/>
    <w:rsid w:val="00651C76"/>
    <w:rsid w:val="00651EE7"/>
    <w:rsid w:val="00654166"/>
    <w:rsid w:val="00655A80"/>
    <w:rsid w:val="0065648E"/>
    <w:rsid w:val="006567CF"/>
    <w:rsid w:val="00657153"/>
    <w:rsid w:val="0065753F"/>
    <w:rsid w:val="006600ED"/>
    <w:rsid w:val="006601C9"/>
    <w:rsid w:val="00660647"/>
    <w:rsid w:val="0066066D"/>
    <w:rsid w:val="00660C6D"/>
    <w:rsid w:val="00661299"/>
    <w:rsid w:val="00661439"/>
    <w:rsid w:val="006622A4"/>
    <w:rsid w:val="006640F0"/>
    <w:rsid w:val="00664365"/>
    <w:rsid w:val="00665854"/>
    <w:rsid w:val="00666AF3"/>
    <w:rsid w:val="0066794E"/>
    <w:rsid w:val="006716BB"/>
    <w:rsid w:val="006729EA"/>
    <w:rsid w:val="00672B55"/>
    <w:rsid w:val="00673B74"/>
    <w:rsid w:val="00673F71"/>
    <w:rsid w:val="006749BC"/>
    <w:rsid w:val="0067640E"/>
    <w:rsid w:val="0067649F"/>
    <w:rsid w:val="0067669F"/>
    <w:rsid w:val="00676714"/>
    <w:rsid w:val="006770E4"/>
    <w:rsid w:val="006772F6"/>
    <w:rsid w:val="00677B47"/>
    <w:rsid w:val="00677D2B"/>
    <w:rsid w:val="00680967"/>
    <w:rsid w:val="00680988"/>
    <w:rsid w:val="00680A4B"/>
    <w:rsid w:val="00680B51"/>
    <w:rsid w:val="00680B8C"/>
    <w:rsid w:val="00680CA4"/>
    <w:rsid w:val="006810AC"/>
    <w:rsid w:val="00681B21"/>
    <w:rsid w:val="006824E5"/>
    <w:rsid w:val="00682F1E"/>
    <w:rsid w:val="006830FA"/>
    <w:rsid w:val="006841BF"/>
    <w:rsid w:val="0068537C"/>
    <w:rsid w:val="0068578F"/>
    <w:rsid w:val="00685C22"/>
    <w:rsid w:val="00685D8B"/>
    <w:rsid w:val="00685EAB"/>
    <w:rsid w:val="00686B98"/>
    <w:rsid w:val="00686D96"/>
    <w:rsid w:val="00686EDF"/>
    <w:rsid w:val="00687B8A"/>
    <w:rsid w:val="00687F0A"/>
    <w:rsid w:val="006900B8"/>
    <w:rsid w:val="0069029F"/>
    <w:rsid w:val="00691D87"/>
    <w:rsid w:val="00691FCA"/>
    <w:rsid w:val="00692144"/>
    <w:rsid w:val="006921A2"/>
    <w:rsid w:val="006929DD"/>
    <w:rsid w:val="0069387B"/>
    <w:rsid w:val="00694790"/>
    <w:rsid w:val="00696170"/>
    <w:rsid w:val="00696A42"/>
    <w:rsid w:val="006A071C"/>
    <w:rsid w:val="006A1447"/>
    <w:rsid w:val="006A1E1E"/>
    <w:rsid w:val="006A2995"/>
    <w:rsid w:val="006A30CD"/>
    <w:rsid w:val="006A3840"/>
    <w:rsid w:val="006A3979"/>
    <w:rsid w:val="006A4045"/>
    <w:rsid w:val="006A4460"/>
    <w:rsid w:val="006A637A"/>
    <w:rsid w:val="006A7152"/>
    <w:rsid w:val="006A7466"/>
    <w:rsid w:val="006B003E"/>
    <w:rsid w:val="006B00D8"/>
    <w:rsid w:val="006B0569"/>
    <w:rsid w:val="006B0FEB"/>
    <w:rsid w:val="006B132E"/>
    <w:rsid w:val="006B19DE"/>
    <w:rsid w:val="006B3480"/>
    <w:rsid w:val="006B3C68"/>
    <w:rsid w:val="006B3D6C"/>
    <w:rsid w:val="006B4830"/>
    <w:rsid w:val="006B488F"/>
    <w:rsid w:val="006B496A"/>
    <w:rsid w:val="006B5272"/>
    <w:rsid w:val="006B55C5"/>
    <w:rsid w:val="006B5794"/>
    <w:rsid w:val="006B57B8"/>
    <w:rsid w:val="006B5827"/>
    <w:rsid w:val="006B77CF"/>
    <w:rsid w:val="006C0374"/>
    <w:rsid w:val="006C0505"/>
    <w:rsid w:val="006C0C98"/>
    <w:rsid w:val="006C15D2"/>
    <w:rsid w:val="006C192F"/>
    <w:rsid w:val="006C24A9"/>
    <w:rsid w:val="006C2AA8"/>
    <w:rsid w:val="006C49B4"/>
    <w:rsid w:val="006C5617"/>
    <w:rsid w:val="006C5E48"/>
    <w:rsid w:val="006C618F"/>
    <w:rsid w:val="006C657C"/>
    <w:rsid w:val="006C669B"/>
    <w:rsid w:val="006C66EC"/>
    <w:rsid w:val="006C70FF"/>
    <w:rsid w:val="006C7100"/>
    <w:rsid w:val="006C76A4"/>
    <w:rsid w:val="006C7B6C"/>
    <w:rsid w:val="006D00E7"/>
    <w:rsid w:val="006D0397"/>
    <w:rsid w:val="006D0E38"/>
    <w:rsid w:val="006D11D2"/>
    <w:rsid w:val="006D1248"/>
    <w:rsid w:val="006D1787"/>
    <w:rsid w:val="006D1AE1"/>
    <w:rsid w:val="006D3F36"/>
    <w:rsid w:val="006D4067"/>
    <w:rsid w:val="006D4E8E"/>
    <w:rsid w:val="006D5408"/>
    <w:rsid w:val="006D5EFB"/>
    <w:rsid w:val="006D676A"/>
    <w:rsid w:val="006D6C5F"/>
    <w:rsid w:val="006D756C"/>
    <w:rsid w:val="006E0748"/>
    <w:rsid w:val="006E11EA"/>
    <w:rsid w:val="006E1CD0"/>
    <w:rsid w:val="006E27AC"/>
    <w:rsid w:val="006E2FF8"/>
    <w:rsid w:val="006E36E4"/>
    <w:rsid w:val="006E474A"/>
    <w:rsid w:val="006E5364"/>
    <w:rsid w:val="006E61E8"/>
    <w:rsid w:val="006E6EEB"/>
    <w:rsid w:val="006F0390"/>
    <w:rsid w:val="006F1C21"/>
    <w:rsid w:val="006F2172"/>
    <w:rsid w:val="006F22E9"/>
    <w:rsid w:val="006F29B6"/>
    <w:rsid w:val="006F342D"/>
    <w:rsid w:val="006F3D25"/>
    <w:rsid w:val="006F4CD7"/>
    <w:rsid w:val="006F4F3E"/>
    <w:rsid w:val="006F51EF"/>
    <w:rsid w:val="006F54F2"/>
    <w:rsid w:val="00700BC8"/>
    <w:rsid w:val="00700BEE"/>
    <w:rsid w:val="00701592"/>
    <w:rsid w:val="007018AD"/>
    <w:rsid w:val="00702B31"/>
    <w:rsid w:val="007037DC"/>
    <w:rsid w:val="00703B01"/>
    <w:rsid w:val="007041EE"/>
    <w:rsid w:val="0070442F"/>
    <w:rsid w:val="007054B4"/>
    <w:rsid w:val="007057EF"/>
    <w:rsid w:val="0070589D"/>
    <w:rsid w:val="00705BE5"/>
    <w:rsid w:val="007064BB"/>
    <w:rsid w:val="007073B6"/>
    <w:rsid w:val="00707EE1"/>
    <w:rsid w:val="00710E23"/>
    <w:rsid w:val="0071291A"/>
    <w:rsid w:val="00712D4B"/>
    <w:rsid w:val="007131DE"/>
    <w:rsid w:val="00713240"/>
    <w:rsid w:val="00713AB6"/>
    <w:rsid w:val="0071483F"/>
    <w:rsid w:val="00715A6E"/>
    <w:rsid w:val="00715AE5"/>
    <w:rsid w:val="00715DD7"/>
    <w:rsid w:val="00716EB4"/>
    <w:rsid w:val="007173C9"/>
    <w:rsid w:val="00720CE6"/>
    <w:rsid w:val="00722037"/>
    <w:rsid w:val="00722874"/>
    <w:rsid w:val="007236E5"/>
    <w:rsid w:val="00723A61"/>
    <w:rsid w:val="00723DF7"/>
    <w:rsid w:val="007251B1"/>
    <w:rsid w:val="00725287"/>
    <w:rsid w:val="007255CB"/>
    <w:rsid w:val="00727D5A"/>
    <w:rsid w:val="00727E1A"/>
    <w:rsid w:val="00730266"/>
    <w:rsid w:val="00730A40"/>
    <w:rsid w:val="00730D51"/>
    <w:rsid w:val="00731357"/>
    <w:rsid w:val="0073171F"/>
    <w:rsid w:val="00732435"/>
    <w:rsid w:val="00732FDF"/>
    <w:rsid w:val="00733B43"/>
    <w:rsid w:val="00734EA3"/>
    <w:rsid w:val="00736333"/>
    <w:rsid w:val="00736B05"/>
    <w:rsid w:val="007373C0"/>
    <w:rsid w:val="00737457"/>
    <w:rsid w:val="007377EA"/>
    <w:rsid w:val="00737AAC"/>
    <w:rsid w:val="00737C71"/>
    <w:rsid w:val="0074076E"/>
    <w:rsid w:val="0074130A"/>
    <w:rsid w:val="00741582"/>
    <w:rsid w:val="007418A2"/>
    <w:rsid w:val="00742248"/>
    <w:rsid w:val="00744DA0"/>
    <w:rsid w:val="00745D7C"/>
    <w:rsid w:val="00745FCF"/>
    <w:rsid w:val="0074632A"/>
    <w:rsid w:val="00746554"/>
    <w:rsid w:val="00746E96"/>
    <w:rsid w:val="00747CB2"/>
    <w:rsid w:val="00750F35"/>
    <w:rsid w:val="0075164E"/>
    <w:rsid w:val="00752A47"/>
    <w:rsid w:val="007539A9"/>
    <w:rsid w:val="0075487A"/>
    <w:rsid w:val="00760144"/>
    <w:rsid w:val="007608B6"/>
    <w:rsid w:val="00761A68"/>
    <w:rsid w:val="00761AF6"/>
    <w:rsid w:val="007627ED"/>
    <w:rsid w:val="0076328C"/>
    <w:rsid w:val="00763988"/>
    <w:rsid w:val="0076434B"/>
    <w:rsid w:val="00764FE9"/>
    <w:rsid w:val="00765125"/>
    <w:rsid w:val="0076546A"/>
    <w:rsid w:val="007658BD"/>
    <w:rsid w:val="00766FD3"/>
    <w:rsid w:val="00770ED6"/>
    <w:rsid w:val="007710CC"/>
    <w:rsid w:val="0077114B"/>
    <w:rsid w:val="00771615"/>
    <w:rsid w:val="007719FD"/>
    <w:rsid w:val="00772A4F"/>
    <w:rsid w:val="00773A2D"/>
    <w:rsid w:val="007743ED"/>
    <w:rsid w:val="00775578"/>
    <w:rsid w:val="007760F6"/>
    <w:rsid w:val="00777CB5"/>
    <w:rsid w:val="00780AAF"/>
    <w:rsid w:val="00781626"/>
    <w:rsid w:val="0078292D"/>
    <w:rsid w:val="0078294C"/>
    <w:rsid w:val="00782DA9"/>
    <w:rsid w:val="00783665"/>
    <w:rsid w:val="00783707"/>
    <w:rsid w:val="00785DE1"/>
    <w:rsid w:val="0078615F"/>
    <w:rsid w:val="007861B3"/>
    <w:rsid w:val="00786ECB"/>
    <w:rsid w:val="007875CE"/>
    <w:rsid w:val="00787FA9"/>
    <w:rsid w:val="0079094C"/>
    <w:rsid w:val="00792075"/>
    <w:rsid w:val="00793976"/>
    <w:rsid w:val="007939B9"/>
    <w:rsid w:val="00793FC5"/>
    <w:rsid w:val="00794482"/>
    <w:rsid w:val="00795423"/>
    <w:rsid w:val="007955C5"/>
    <w:rsid w:val="00795E0B"/>
    <w:rsid w:val="007A00F2"/>
    <w:rsid w:val="007A03E2"/>
    <w:rsid w:val="007A0B9B"/>
    <w:rsid w:val="007A12C5"/>
    <w:rsid w:val="007A1DA4"/>
    <w:rsid w:val="007A281A"/>
    <w:rsid w:val="007A2DE8"/>
    <w:rsid w:val="007A3265"/>
    <w:rsid w:val="007A3ABB"/>
    <w:rsid w:val="007A4DC9"/>
    <w:rsid w:val="007A50FE"/>
    <w:rsid w:val="007A51AA"/>
    <w:rsid w:val="007A6117"/>
    <w:rsid w:val="007A65BF"/>
    <w:rsid w:val="007A6EF7"/>
    <w:rsid w:val="007A785C"/>
    <w:rsid w:val="007A7BD6"/>
    <w:rsid w:val="007B0342"/>
    <w:rsid w:val="007B070B"/>
    <w:rsid w:val="007B0A53"/>
    <w:rsid w:val="007B1054"/>
    <w:rsid w:val="007B1465"/>
    <w:rsid w:val="007B1875"/>
    <w:rsid w:val="007B1C02"/>
    <w:rsid w:val="007B1E58"/>
    <w:rsid w:val="007B1E6A"/>
    <w:rsid w:val="007B2CEE"/>
    <w:rsid w:val="007B2D3C"/>
    <w:rsid w:val="007B3052"/>
    <w:rsid w:val="007B5D8A"/>
    <w:rsid w:val="007B614C"/>
    <w:rsid w:val="007B6ED9"/>
    <w:rsid w:val="007B7349"/>
    <w:rsid w:val="007B769A"/>
    <w:rsid w:val="007B77EE"/>
    <w:rsid w:val="007B7D82"/>
    <w:rsid w:val="007C0481"/>
    <w:rsid w:val="007C0A2C"/>
    <w:rsid w:val="007C1D95"/>
    <w:rsid w:val="007C1DB1"/>
    <w:rsid w:val="007C2178"/>
    <w:rsid w:val="007C3854"/>
    <w:rsid w:val="007C386E"/>
    <w:rsid w:val="007C445E"/>
    <w:rsid w:val="007C6D18"/>
    <w:rsid w:val="007C6D9F"/>
    <w:rsid w:val="007C6DE8"/>
    <w:rsid w:val="007C769C"/>
    <w:rsid w:val="007C7957"/>
    <w:rsid w:val="007C7B79"/>
    <w:rsid w:val="007D0ADA"/>
    <w:rsid w:val="007D0E88"/>
    <w:rsid w:val="007D44C8"/>
    <w:rsid w:val="007D505E"/>
    <w:rsid w:val="007D515F"/>
    <w:rsid w:val="007D5A09"/>
    <w:rsid w:val="007D6BEE"/>
    <w:rsid w:val="007D6E97"/>
    <w:rsid w:val="007E007A"/>
    <w:rsid w:val="007E1864"/>
    <w:rsid w:val="007E224A"/>
    <w:rsid w:val="007E22EA"/>
    <w:rsid w:val="007E2558"/>
    <w:rsid w:val="007E2DE0"/>
    <w:rsid w:val="007E3201"/>
    <w:rsid w:val="007E355F"/>
    <w:rsid w:val="007E3ECC"/>
    <w:rsid w:val="007E3F21"/>
    <w:rsid w:val="007E416C"/>
    <w:rsid w:val="007E4653"/>
    <w:rsid w:val="007E4BA6"/>
    <w:rsid w:val="007E552D"/>
    <w:rsid w:val="007E5A30"/>
    <w:rsid w:val="007E64F9"/>
    <w:rsid w:val="007E6CF2"/>
    <w:rsid w:val="007E74DE"/>
    <w:rsid w:val="007F0646"/>
    <w:rsid w:val="007F067B"/>
    <w:rsid w:val="007F07FD"/>
    <w:rsid w:val="007F0E0D"/>
    <w:rsid w:val="007F0ED3"/>
    <w:rsid w:val="007F1AD8"/>
    <w:rsid w:val="007F1D1E"/>
    <w:rsid w:val="007F2DB5"/>
    <w:rsid w:val="007F3BBB"/>
    <w:rsid w:val="007F3C49"/>
    <w:rsid w:val="007F4518"/>
    <w:rsid w:val="007F52C3"/>
    <w:rsid w:val="007F6949"/>
    <w:rsid w:val="007F78E7"/>
    <w:rsid w:val="007F7B6E"/>
    <w:rsid w:val="0080011E"/>
    <w:rsid w:val="00800483"/>
    <w:rsid w:val="008006B7"/>
    <w:rsid w:val="00802B66"/>
    <w:rsid w:val="008031D9"/>
    <w:rsid w:val="00804862"/>
    <w:rsid w:val="008049E2"/>
    <w:rsid w:val="00804A3A"/>
    <w:rsid w:val="0080586E"/>
    <w:rsid w:val="008058DE"/>
    <w:rsid w:val="0080615B"/>
    <w:rsid w:val="0080722D"/>
    <w:rsid w:val="00807B29"/>
    <w:rsid w:val="00807DBA"/>
    <w:rsid w:val="00810E62"/>
    <w:rsid w:val="00810F78"/>
    <w:rsid w:val="00811037"/>
    <w:rsid w:val="00811C70"/>
    <w:rsid w:val="00811FC7"/>
    <w:rsid w:val="00812DD3"/>
    <w:rsid w:val="00812F52"/>
    <w:rsid w:val="008131C4"/>
    <w:rsid w:val="00814A85"/>
    <w:rsid w:val="00814AAE"/>
    <w:rsid w:val="008156F4"/>
    <w:rsid w:val="0081573B"/>
    <w:rsid w:val="008172FE"/>
    <w:rsid w:val="00817405"/>
    <w:rsid w:val="00817DF9"/>
    <w:rsid w:val="008209DF"/>
    <w:rsid w:val="008210FF"/>
    <w:rsid w:val="008215FF"/>
    <w:rsid w:val="00821670"/>
    <w:rsid w:val="008219F8"/>
    <w:rsid w:val="00821BB6"/>
    <w:rsid w:val="00822271"/>
    <w:rsid w:val="00822FA5"/>
    <w:rsid w:val="00823612"/>
    <w:rsid w:val="008236E6"/>
    <w:rsid w:val="008237D9"/>
    <w:rsid w:val="008246B6"/>
    <w:rsid w:val="00826927"/>
    <w:rsid w:val="0082764B"/>
    <w:rsid w:val="00831A9D"/>
    <w:rsid w:val="00831C57"/>
    <w:rsid w:val="00832FB7"/>
    <w:rsid w:val="008330DB"/>
    <w:rsid w:val="00833D7D"/>
    <w:rsid w:val="008348BA"/>
    <w:rsid w:val="00835149"/>
    <w:rsid w:val="00835715"/>
    <w:rsid w:val="008366DC"/>
    <w:rsid w:val="00836E11"/>
    <w:rsid w:val="00837C5E"/>
    <w:rsid w:val="00837E3D"/>
    <w:rsid w:val="0084003C"/>
    <w:rsid w:val="008400DB"/>
    <w:rsid w:val="008413A6"/>
    <w:rsid w:val="00841F07"/>
    <w:rsid w:val="00842167"/>
    <w:rsid w:val="008425EE"/>
    <w:rsid w:val="00842F81"/>
    <w:rsid w:val="00844038"/>
    <w:rsid w:val="008451F2"/>
    <w:rsid w:val="0084534C"/>
    <w:rsid w:val="0084563D"/>
    <w:rsid w:val="0084670B"/>
    <w:rsid w:val="00846B42"/>
    <w:rsid w:val="008474C7"/>
    <w:rsid w:val="00847788"/>
    <w:rsid w:val="008478EF"/>
    <w:rsid w:val="0084797F"/>
    <w:rsid w:val="00847B6C"/>
    <w:rsid w:val="00847C8A"/>
    <w:rsid w:val="00851499"/>
    <w:rsid w:val="00852C32"/>
    <w:rsid w:val="00853BF2"/>
    <w:rsid w:val="008540CE"/>
    <w:rsid w:val="00854C8A"/>
    <w:rsid w:val="00854EEC"/>
    <w:rsid w:val="008558B2"/>
    <w:rsid w:val="008560E5"/>
    <w:rsid w:val="008569B2"/>
    <w:rsid w:val="008600C1"/>
    <w:rsid w:val="00860E12"/>
    <w:rsid w:val="00860EAD"/>
    <w:rsid w:val="0086193A"/>
    <w:rsid w:val="00861C20"/>
    <w:rsid w:val="00862F00"/>
    <w:rsid w:val="008642BF"/>
    <w:rsid w:val="00864323"/>
    <w:rsid w:val="0086469A"/>
    <w:rsid w:val="00866077"/>
    <w:rsid w:val="008667E8"/>
    <w:rsid w:val="008669B8"/>
    <w:rsid w:val="0086700F"/>
    <w:rsid w:val="008674A6"/>
    <w:rsid w:val="0087098A"/>
    <w:rsid w:val="008718CB"/>
    <w:rsid w:val="00872754"/>
    <w:rsid w:val="00874369"/>
    <w:rsid w:val="00874683"/>
    <w:rsid w:val="00874A70"/>
    <w:rsid w:val="00874BF6"/>
    <w:rsid w:val="0087551B"/>
    <w:rsid w:val="0087579E"/>
    <w:rsid w:val="008757C9"/>
    <w:rsid w:val="00875BC2"/>
    <w:rsid w:val="00875E35"/>
    <w:rsid w:val="008762A3"/>
    <w:rsid w:val="00876437"/>
    <w:rsid w:val="008765EC"/>
    <w:rsid w:val="00876DBB"/>
    <w:rsid w:val="00877376"/>
    <w:rsid w:val="0087766A"/>
    <w:rsid w:val="0088061D"/>
    <w:rsid w:val="00880717"/>
    <w:rsid w:val="0088170E"/>
    <w:rsid w:val="008822E3"/>
    <w:rsid w:val="00882AC4"/>
    <w:rsid w:val="00882C07"/>
    <w:rsid w:val="0088347C"/>
    <w:rsid w:val="00886626"/>
    <w:rsid w:val="00886E83"/>
    <w:rsid w:val="00890B86"/>
    <w:rsid w:val="008910E5"/>
    <w:rsid w:val="00891A63"/>
    <w:rsid w:val="008926F1"/>
    <w:rsid w:val="00894EF7"/>
    <w:rsid w:val="00895EE1"/>
    <w:rsid w:val="00896AA0"/>
    <w:rsid w:val="00896AF0"/>
    <w:rsid w:val="00897962"/>
    <w:rsid w:val="008A0306"/>
    <w:rsid w:val="008A0734"/>
    <w:rsid w:val="008A0D5C"/>
    <w:rsid w:val="008A0ECF"/>
    <w:rsid w:val="008A13C1"/>
    <w:rsid w:val="008A3C15"/>
    <w:rsid w:val="008A5CF8"/>
    <w:rsid w:val="008A79B0"/>
    <w:rsid w:val="008A7D75"/>
    <w:rsid w:val="008A7E1F"/>
    <w:rsid w:val="008B024D"/>
    <w:rsid w:val="008B1037"/>
    <w:rsid w:val="008B1AF4"/>
    <w:rsid w:val="008B1B59"/>
    <w:rsid w:val="008B1CFF"/>
    <w:rsid w:val="008B3DB5"/>
    <w:rsid w:val="008B407B"/>
    <w:rsid w:val="008B493C"/>
    <w:rsid w:val="008B5C44"/>
    <w:rsid w:val="008B5E89"/>
    <w:rsid w:val="008B6196"/>
    <w:rsid w:val="008B72C0"/>
    <w:rsid w:val="008B7EBE"/>
    <w:rsid w:val="008C18BC"/>
    <w:rsid w:val="008C269F"/>
    <w:rsid w:val="008C349E"/>
    <w:rsid w:val="008C37E2"/>
    <w:rsid w:val="008C393B"/>
    <w:rsid w:val="008C63E5"/>
    <w:rsid w:val="008C65A4"/>
    <w:rsid w:val="008C7520"/>
    <w:rsid w:val="008C75A7"/>
    <w:rsid w:val="008C78F3"/>
    <w:rsid w:val="008D04FA"/>
    <w:rsid w:val="008D2B39"/>
    <w:rsid w:val="008D3048"/>
    <w:rsid w:val="008D5294"/>
    <w:rsid w:val="008D556C"/>
    <w:rsid w:val="008D6049"/>
    <w:rsid w:val="008D6568"/>
    <w:rsid w:val="008D7134"/>
    <w:rsid w:val="008E2ECF"/>
    <w:rsid w:val="008E3B62"/>
    <w:rsid w:val="008E3BF6"/>
    <w:rsid w:val="008E54CD"/>
    <w:rsid w:val="008E64F3"/>
    <w:rsid w:val="008E7AC0"/>
    <w:rsid w:val="008E7B3F"/>
    <w:rsid w:val="008F03AB"/>
    <w:rsid w:val="008F1706"/>
    <w:rsid w:val="008F3AB8"/>
    <w:rsid w:val="008F3ED9"/>
    <w:rsid w:val="008F4104"/>
    <w:rsid w:val="008F4774"/>
    <w:rsid w:val="008F6CF4"/>
    <w:rsid w:val="008F6F1F"/>
    <w:rsid w:val="008F73FF"/>
    <w:rsid w:val="008F7DAB"/>
    <w:rsid w:val="008F7F23"/>
    <w:rsid w:val="0090087E"/>
    <w:rsid w:val="00900CFA"/>
    <w:rsid w:val="00902851"/>
    <w:rsid w:val="0090324E"/>
    <w:rsid w:val="009036EC"/>
    <w:rsid w:val="00903B61"/>
    <w:rsid w:val="00903BF7"/>
    <w:rsid w:val="009047CB"/>
    <w:rsid w:val="009048FA"/>
    <w:rsid w:val="0090505A"/>
    <w:rsid w:val="00906D0A"/>
    <w:rsid w:val="00906D8A"/>
    <w:rsid w:val="0090771C"/>
    <w:rsid w:val="009078EB"/>
    <w:rsid w:val="00907AD5"/>
    <w:rsid w:val="0091032E"/>
    <w:rsid w:val="00911996"/>
    <w:rsid w:val="00912134"/>
    <w:rsid w:val="009124BD"/>
    <w:rsid w:val="0091276B"/>
    <w:rsid w:val="0091302F"/>
    <w:rsid w:val="00913075"/>
    <w:rsid w:val="009133F5"/>
    <w:rsid w:val="009134FC"/>
    <w:rsid w:val="0091393E"/>
    <w:rsid w:val="00913FCE"/>
    <w:rsid w:val="009146C3"/>
    <w:rsid w:val="00915B77"/>
    <w:rsid w:val="00916292"/>
    <w:rsid w:val="00916936"/>
    <w:rsid w:val="0091758A"/>
    <w:rsid w:val="00917702"/>
    <w:rsid w:val="009200F2"/>
    <w:rsid w:val="00920751"/>
    <w:rsid w:val="00920866"/>
    <w:rsid w:val="00923209"/>
    <w:rsid w:val="00923374"/>
    <w:rsid w:val="009233A8"/>
    <w:rsid w:val="00923D8E"/>
    <w:rsid w:val="009247D0"/>
    <w:rsid w:val="009249C8"/>
    <w:rsid w:val="009259C1"/>
    <w:rsid w:val="00927128"/>
    <w:rsid w:val="0092724E"/>
    <w:rsid w:val="00930C36"/>
    <w:rsid w:val="00930FC1"/>
    <w:rsid w:val="009310CE"/>
    <w:rsid w:val="0093179A"/>
    <w:rsid w:val="00931B38"/>
    <w:rsid w:val="00931D9A"/>
    <w:rsid w:val="00931E6E"/>
    <w:rsid w:val="009335A2"/>
    <w:rsid w:val="009337DE"/>
    <w:rsid w:val="009342A0"/>
    <w:rsid w:val="0093445D"/>
    <w:rsid w:val="0093445F"/>
    <w:rsid w:val="00934841"/>
    <w:rsid w:val="009351BA"/>
    <w:rsid w:val="00935344"/>
    <w:rsid w:val="00935E53"/>
    <w:rsid w:val="00935EE4"/>
    <w:rsid w:val="00936683"/>
    <w:rsid w:val="009366F2"/>
    <w:rsid w:val="00937185"/>
    <w:rsid w:val="00937EE4"/>
    <w:rsid w:val="00940A61"/>
    <w:rsid w:val="0094121E"/>
    <w:rsid w:val="00941F41"/>
    <w:rsid w:val="00944062"/>
    <w:rsid w:val="00944322"/>
    <w:rsid w:val="009446B6"/>
    <w:rsid w:val="0094485D"/>
    <w:rsid w:val="009459AA"/>
    <w:rsid w:val="00946485"/>
    <w:rsid w:val="00946AB0"/>
    <w:rsid w:val="00947402"/>
    <w:rsid w:val="0094745A"/>
    <w:rsid w:val="00947B23"/>
    <w:rsid w:val="00947D05"/>
    <w:rsid w:val="00947F23"/>
    <w:rsid w:val="009509C6"/>
    <w:rsid w:val="00951ABC"/>
    <w:rsid w:val="00951E27"/>
    <w:rsid w:val="00952EAC"/>
    <w:rsid w:val="00953699"/>
    <w:rsid w:val="00953A24"/>
    <w:rsid w:val="00953B89"/>
    <w:rsid w:val="00954217"/>
    <w:rsid w:val="00955361"/>
    <w:rsid w:val="00955A1D"/>
    <w:rsid w:val="00956B8B"/>
    <w:rsid w:val="00956D90"/>
    <w:rsid w:val="00957289"/>
    <w:rsid w:val="00957297"/>
    <w:rsid w:val="009572F0"/>
    <w:rsid w:val="009600D1"/>
    <w:rsid w:val="009610C5"/>
    <w:rsid w:val="009623CC"/>
    <w:rsid w:val="00962871"/>
    <w:rsid w:val="00962A11"/>
    <w:rsid w:val="00963E2A"/>
    <w:rsid w:val="00964009"/>
    <w:rsid w:val="00964770"/>
    <w:rsid w:val="0096536D"/>
    <w:rsid w:val="00965A07"/>
    <w:rsid w:val="00965BF8"/>
    <w:rsid w:val="009672FC"/>
    <w:rsid w:val="00970BD7"/>
    <w:rsid w:val="00971580"/>
    <w:rsid w:val="00971BEF"/>
    <w:rsid w:val="00972B94"/>
    <w:rsid w:val="00972E36"/>
    <w:rsid w:val="00973888"/>
    <w:rsid w:val="00973E82"/>
    <w:rsid w:val="00974602"/>
    <w:rsid w:val="00974AA5"/>
    <w:rsid w:val="00975976"/>
    <w:rsid w:val="009765AE"/>
    <w:rsid w:val="00976F97"/>
    <w:rsid w:val="009776D9"/>
    <w:rsid w:val="00977E30"/>
    <w:rsid w:val="00977FA1"/>
    <w:rsid w:val="00980010"/>
    <w:rsid w:val="009808A3"/>
    <w:rsid w:val="009817C8"/>
    <w:rsid w:val="00982685"/>
    <w:rsid w:val="00982B1C"/>
    <w:rsid w:val="00982B92"/>
    <w:rsid w:val="00982E53"/>
    <w:rsid w:val="00983FA0"/>
    <w:rsid w:val="00984068"/>
    <w:rsid w:val="009853BD"/>
    <w:rsid w:val="009853F7"/>
    <w:rsid w:val="0098593B"/>
    <w:rsid w:val="00986891"/>
    <w:rsid w:val="009873B3"/>
    <w:rsid w:val="00987C9C"/>
    <w:rsid w:val="009906BD"/>
    <w:rsid w:val="00990957"/>
    <w:rsid w:val="009912DA"/>
    <w:rsid w:val="00991FE7"/>
    <w:rsid w:val="00992C0C"/>
    <w:rsid w:val="0099323B"/>
    <w:rsid w:val="00993552"/>
    <w:rsid w:val="00993F65"/>
    <w:rsid w:val="00994CC9"/>
    <w:rsid w:val="00996584"/>
    <w:rsid w:val="00996993"/>
    <w:rsid w:val="00997C89"/>
    <w:rsid w:val="009A2858"/>
    <w:rsid w:val="009A308F"/>
    <w:rsid w:val="009A37B5"/>
    <w:rsid w:val="009A447A"/>
    <w:rsid w:val="009A566B"/>
    <w:rsid w:val="009B0358"/>
    <w:rsid w:val="009B057A"/>
    <w:rsid w:val="009B1F6A"/>
    <w:rsid w:val="009B3166"/>
    <w:rsid w:val="009B34AC"/>
    <w:rsid w:val="009B35D7"/>
    <w:rsid w:val="009B401E"/>
    <w:rsid w:val="009B51C9"/>
    <w:rsid w:val="009B5B3F"/>
    <w:rsid w:val="009B661E"/>
    <w:rsid w:val="009B668A"/>
    <w:rsid w:val="009B7036"/>
    <w:rsid w:val="009B7A31"/>
    <w:rsid w:val="009B7BDB"/>
    <w:rsid w:val="009B7F18"/>
    <w:rsid w:val="009C0AA8"/>
    <w:rsid w:val="009C1D9F"/>
    <w:rsid w:val="009C32E4"/>
    <w:rsid w:val="009C341C"/>
    <w:rsid w:val="009C3894"/>
    <w:rsid w:val="009C38E8"/>
    <w:rsid w:val="009C43B7"/>
    <w:rsid w:val="009C4ABB"/>
    <w:rsid w:val="009C4BD3"/>
    <w:rsid w:val="009C5AF0"/>
    <w:rsid w:val="009C6469"/>
    <w:rsid w:val="009C66D2"/>
    <w:rsid w:val="009C6932"/>
    <w:rsid w:val="009C7C99"/>
    <w:rsid w:val="009D0133"/>
    <w:rsid w:val="009D1CCB"/>
    <w:rsid w:val="009D21D3"/>
    <w:rsid w:val="009D28E4"/>
    <w:rsid w:val="009D3FE0"/>
    <w:rsid w:val="009D47DD"/>
    <w:rsid w:val="009D583F"/>
    <w:rsid w:val="009D6D7F"/>
    <w:rsid w:val="009D72DD"/>
    <w:rsid w:val="009D7DA4"/>
    <w:rsid w:val="009E0E7C"/>
    <w:rsid w:val="009E14FF"/>
    <w:rsid w:val="009E17B3"/>
    <w:rsid w:val="009E28F6"/>
    <w:rsid w:val="009E29DD"/>
    <w:rsid w:val="009E2A22"/>
    <w:rsid w:val="009E40F9"/>
    <w:rsid w:val="009E52C1"/>
    <w:rsid w:val="009E5624"/>
    <w:rsid w:val="009E5733"/>
    <w:rsid w:val="009E5C0D"/>
    <w:rsid w:val="009E5FAF"/>
    <w:rsid w:val="009E600D"/>
    <w:rsid w:val="009E670C"/>
    <w:rsid w:val="009E79C1"/>
    <w:rsid w:val="009F0579"/>
    <w:rsid w:val="009F05F3"/>
    <w:rsid w:val="009F06D8"/>
    <w:rsid w:val="009F1283"/>
    <w:rsid w:val="009F1E43"/>
    <w:rsid w:val="009F2095"/>
    <w:rsid w:val="009F2926"/>
    <w:rsid w:val="009F2E47"/>
    <w:rsid w:val="009F3024"/>
    <w:rsid w:val="009F3032"/>
    <w:rsid w:val="009F313B"/>
    <w:rsid w:val="009F31E9"/>
    <w:rsid w:val="009F3751"/>
    <w:rsid w:val="009F3795"/>
    <w:rsid w:val="009F3A4E"/>
    <w:rsid w:val="009F407D"/>
    <w:rsid w:val="009F44EA"/>
    <w:rsid w:val="009F4E71"/>
    <w:rsid w:val="009F55E9"/>
    <w:rsid w:val="009F5A61"/>
    <w:rsid w:val="009F7976"/>
    <w:rsid w:val="00A010B1"/>
    <w:rsid w:val="00A01C34"/>
    <w:rsid w:val="00A02026"/>
    <w:rsid w:val="00A022DE"/>
    <w:rsid w:val="00A02996"/>
    <w:rsid w:val="00A03096"/>
    <w:rsid w:val="00A032B4"/>
    <w:rsid w:val="00A0372E"/>
    <w:rsid w:val="00A03926"/>
    <w:rsid w:val="00A03953"/>
    <w:rsid w:val="00A03B1E"/>
    <w:rsid w:val="00A03CE0"/>
    <w:rsid w:val="00A05B55"/>
    <w:rsid w:val="00A06473"/>
    <w:rsid w:val="00A07087"/>
    <w:rsid w:val="00A074FE"/>
    <w:rsid w:val="00A07848"/>
    <w:rsid w:val="00A103D1"/>
    <w:rsid w:val="00A105EF"/>
    <w:rsid w:val="00A10C5C"/>
    <w:rsid w:val="00A12317"/>
    <w:rsid w:val="00A12461"/>
    <w:rsid w:val="00A126EF"/>
    <w:rsid w:val="00A12832"/>
    <w:rsid w:val="00A129BA"/>
    <w:rsid w:val="00A1386F"/>
    <w:rsid w:val="00A1428F"/>
    <w:rsid w:val="00A14E45"/>
    <w:rsid w:val="00A151E8"/>
    <w:rsid w:val="00A1561A"/>
    <w:rsid w:val="00A156D4"/>
    <w:rsid w:val="00A17D18"/>
    <w:rsid w:val="00A21CE0"/>
    <w:rsid w:val="00A221D4"/>
    <w:rsid w:val="00A22B0D"/>
    <w:rsid w:val="00A23440"/>
    <w:rsid w:val="00A23AE7"/>
    <w:rsid w:val="00A23E12"/>
    <w:rsid w:val="00A2410C"/>
    <w:rsid w:val="00A25157"/>
    <w:rsid w:val="00A2567F"/>
    <w:rsid w:val="00A26D15"/>
    <w:rsid w:val="00A26DC0"/>
    <w:rsid w:val="00A278D1"/>
    <w:rsid w:val="00A27BFD"/>
    <w:rsid w:val="00A27F8C"/>
    <w:rsid w:val="00A32230"/>
    <w:rsid w:val="00A32B02"/>
    <w:rsid w:val="00A3385D"/>
    <w:rsid w:val="00A340B7"/>
    <w:rsid w:val="00A340CC"/>
    <w:rsid w:val="00A35068"/>
    <w:rsid w:val="00A354C5"/>
    <w:rsid w:val="00A35809"/>
    <w:rsid w:val="00A35CBC"/>
    <w:rsid w:val="00A365EC"/>
    <w:rsid w:val="00A36B60"/>
    <w:rsid w:val="00A36F14"/>
    <w:rsid w:val="00A3797E"/>
    <w:rsid w:val="00A40543"/>
    <w:rsid w:val="00A40936"/>
    <w:rsid w:val="00A40DC1"/>
    <w:rsid w:val="00A434D5"/>
    <w:rsid w:val="00A435CA"/>
    <w:rsid w:val="00A43709"/>
    <w:rsid w:val="00A44004"/>
    <w:rsid w:val="00A440AC"/>
    <w:rsid w:val="00A44146"/>
    <w:rsid w:val="00A45AB4"/>
    <w:rsid w:val="00A461BB"/>
    <w:rsid w:val="00A46F8C"/>
    <w:rsid w:val="00A475B2"/>
    <w:rsid w:val="00A47AA9"/>
    <w:rsid w:val="00A47D89"/>
    <w:rsid w:val="00A51991"/>
    <w:rsid w:val="00A51CF8"/>
    <w:rsid w:val="00A51D9E"/>
    <w:rsid w:val="00A52910"/>
    <w:rsid w:val="00A52A1F"/>
    <w:rsid w:val="00A52D54"/>
    <w:rsid w:val="00A5349E"/>
    <w:rsid w:val="00A54178"/>
    <w:rsid w:val="00A54F23"/>
    <w:rsid w:val="00A5584C"/>
    <w:rsid w:val="00A57A96"/>
    <w:rsid w:val="00A57DC5"/>
    <w:rsid w:val="00A60539"/>
    <w:rsid w:val="00A607C5"/>
    <w:rsid w:val="00A60F5E"/>
    <w:rsid w:val="00A61033"/>
    <w:rsid w:val="00A62FD7"/>
    <w:rsid w:val="00A637C0"/>
    <w:rsid w:val="00A650DF"/>
    <w:rsid w:val="00A65647"/>
    <w:rsid w:val="00A65ED0"/>
    <w:rsid w:val="00A66944"/>
    <w:rsid w:val="00A67582"/>
    <w:rsid w:val="00A70DCF"/>
    <w:rsid w:val="00A71598"/>
    <w:rsid w:val="00A71992"/>
    <w:rsid w:val="00A71EF2"/>
    <w:rsid w:val="00A72719"/>
    <w:rsid w:val="00A728BA"/>
    <w:rsid w:val="00A735B5"/>
    <w:rsid w:val="00A739AE"/>
    <w:rsid w:val="00A73F56"/>
    <w:rsid w:val="00A7466C"/>
    <w:rsid w:val="00A74E6F"/>
    <w:rsid w:val="00A7580A"/>
    <w:rsid w:val="00A75E65"/>
    <w:rsid w:val="00A76596"/>
    <w:rsid w:val="00A774C4"/>
    <w:rsid w:val="00A8077F"/>
    <w:rsid w:val="00A80C7F"/>
    <w:rsid w:val="00A80D1E"/>
    <w:rsid w:val="00A80E59"/>
    <w:rsid w:val="00A81635"/>
    <w:rsid w:val="00A817E0"/>
    <w:rsid w:val="00A81DF4"/>
    <w:rsid w:val="00A82120"/>
    <w:rsid w:val="00A82651"/>
    <w:rsid w:val="00A82C26"/>
    <w:rsid w:val="00A83209"/>
    <w:rsid w:val="00A843F1"/>
    <w:rsid w:val="00A84CE6"/>
    <w:rsid w:val="00A850D0"/>
    <w:rsid w:val="00A85B11"/>
    <w:rsid w:val="00A864D4"/>
    <w:rsid w:val="00A865DF"/>
    <w:rsid w:val="00A868B2"/>
    <w:rsid w:val="00A86AC1"/>
    <w:rsid w:val="00A870C3"/>
    <w:rsid w:val="00A87F86"/>
    <w:rsid w:val="00A909FA"/>
    <w:rsid w:val="00A90C22"/>
    <w:rsid w:val="00A90D42"/>
    <w:rsid w:val="00A911B3"/>
    <w:rsid w:val="00A9183F"/>
    <w:rsid w:val="00A91AE6"/>
    <w:rsid w:val="00A9215C"/>
    <w:rsid w:val="00A9354C"/>
    <w:rsid w:val="00A93957"/>
    <w:rsid w:val="00A94E3A"/>
    <w:rsid w:val="00A95891"/>
    <w:rsid w:val="00A958D2"/>
    <w:rsid w:val="00A9680B"/>
    <w:rsid w:val="00A97E23"/>
    <w:rsid w:val="00AA1235"/>
    <w:rsid w:val="00AA1A71"/>
    <w:rsid w:val="00AA2BAC"/>
    <w:rsid w:val="00AA3BCD"/>
    <w:rsid w:val="00AA5899"/>
    <w:rsid w:val="00AA5E68"/>
    <w:rsid w:val="00AA60AF"/>
    <w:rsid w:val="00AA6767"/>
    <w:rsid w:val="00AA7DCA"/>
    <w:rsid w:val="00AB00A2"/>
    <w:rsid w:val="00AB035F"/>
    <w:rsid w:val="00AB0B26"/>
    <w:rsid w:val="00AB22F1"/>
    <w:rsid w:val="00AB26D8"/>
    <w:rsid w:val="00AB273A"/>
    <w:rsid w:val="00AB2DEE"/>
    <w:rsid w:val="00AB2FB5"/>
    <w:rsid w:val="00AB4052"/>
    <w:rsid w:val="00AB4081"/>
    <w:rsid w:val="00AB4F21"/>
    <w:rsid w:val="00AB5CC6"/>
    <w:rsid w:val="00AB687F"/>
    <w:rsid w:val="00AC0656"/>
    <w:rsid w:val="00AC0662"/>
    <w:rsid w:val="00AC0BBF"/>
    <w:rsid w:val="00AC1682"/>
    <w:rsid w:val="00AC26CD"/>
    <w:rsid w:val="00AC26F1"/>
    <w:rsid w:val="00AC32A3"/>
    <w:rsid w:val="00AC35D4"/>
    <w:rsid w:val="00AC3EC4"/>
    <w:rsid w:val="00AC4DC1"/>
    <w:rsid w:val="00AC4F22"/>
    <w:rsid w:val="00AC504A"/>
    <w:rsid w:val="00AC6061"/>
    <w:rsid w:val="00AC701F"/>
    <w:rsid w:val="00AD020C"/>
    <w:rsid w:val="00AD0E19"/>
    <w:rsid w:val="00AD1A5D"/>
    <w:rsid w:val="00AD29C8"/>
    <w:rsid w:val="00AD2FEF"/>
    <w:rsid w:val="00AD30AA"/>
    <w:rsid w:val="00AD30F0"/>
    <w:rsid w:val="00AD347D"/>
    <w:rsid w:val="00AD34DF"/>
    <w:rsid w:val="00AD3DD0"/>
    <w:rsid w:val="00AD443B"/>
    <w:rsid w:val="00AD79BA"/>
    <w:rsid w:val="00AD7ECC"/>
    <w:rsid w:val="00AE22C2"/>
    <w:rsid w:val="00AE2D07"/>
    <w:rsid w:val="00AE31DE"/>
    <w:rsid w:val="00AE353D"/>
    <w:rsid w:val="00AE4469"/>
    <w:rsid w:val="00AE48D3"/>
    <w:rsid w:val="00AE4943"/>
    <w:rsid w:val="00AE4B90"/>
    <w:rsid w:val="00AE5157"/>
    <w:rsid w:val="00AE51DC"/>
    <w:rsid w:val="00AE5642"/>
    <w:rsid w:val="00AE5791"/>
    <w:rsid w:val="00AE6733"/>
    <w:rsid w:val="00AE6AD1"/>
    <w:rsid w:val="00AE6D2C"/>
    <w:rsid w:val="00AE7706"/>
    <w:rsid w:val="00AF04F0"/>
    <w:rsid w:val="00AF06EB"/>
    <w:rsid w:val="00AF0D54"/>
    <w:rsid w:val="00AF0F22"/>
    <w:rsid w:val="00AF377F"/>
    <w:rsid w:val="00AF4197"/>
    <w:rsid w:val="00AF43B2"/>
    <w:rsid w:val="00AF4603"/>
    <w:rsid w:val="00B008EB"/>
    <w:rsid w:val="00B01BFA"/>
    <w:rsid w:val="00B0246A"/>
    <w:rsid w:val="00B02E1E"/>
    <w:rsid w:val="00B0312D"/>
    <w:rsid w:val="00B03191"/>
    <w:rsid w:val="00B03405"/>
    <w:rsid w:val="00B03641"/>
    <w:rsid w:val="00B04C16"/>
    <w:rsid w:val="00B04C90"/>
    <w:rsid w:val="00B04F98"/>
    <w:rsid w:val="00B05007"/>
    <w:rsid w:val="00B05397"/>
    <w:rsid w:val="00B05521"/>
    <w:rsid w:val="00B05E66"/>
    <w:rsid w:val="00B07184"/>
    <w:rsid w:val="00B10D5B"/>
    <w:rsid w:val="00B12007"/>
    <w:rsid w:val="00B121E4"/>
    <w:rsid w:val="00B127A0"/>
    <w:rsid w:val="00B138D9"/>
    <w:rsid w:val="00B146A7"/>
    <w:rsid w:val="00B169F0"/>
    <w:rsid w:val="00B16D5E"/>
    <w:rsid w:val="00B17372"/>
    <w:rsid w:val="00B20786"/>
    <w:rsid w:val="00B20C91"/>
    <w:rsid w:val="00B22654"/>
    <w:rsid w:val="00B230C7"/>
    <w:rsid w:val="00B23693"/>
    <w:rsid w:val="00B24A3A"/>
    <w:rsid w:val="00B25960"/>
    <w:rsid w:val="00B2609C"/>
    <w:rsid w:val="00B27231"/>
    <w:rsid w:val="00B30B0F"/>
    <w:rsid w:val="00B311E1"/>
    <w:rsid w:val="00B33382"/>
    <w:rsid w:val="00B33934"/>
    <w:rsid w:val="00B34FE3"/>
    <w:rsid w:val="00B368CD"/>
    <w:rsid w:val="00B369DF"/>
    <w:rsid w:val="00B371E4"/>
    <w:rsid w:val="00B37860"/>
    <w:rsid w:val="00B40965"/>
    <w:rsid w:val="00B40C45"/>
    <w:rsid w:val="00B40FB3"/>
    <w:rsid w:val="00B416C1"/>
    <w:rsid w:val="00B4362B"/>
    <w:rsid w:val="00B43E70"/>
    <w:rsid w:val="00B43EF3"/>
    <w:rsid w:val="00B44792"/>
    <w:rsid w:val="00B45237"/>
    <w:rsid w:val="00B45723"/>
    <w:rsid w:val="00B457F2"/>
    <w:rsid w:val="00B46D1C"/>
    <w:rsid w:val="00B4729B"/>
    <w:rsid w:val="00B476E7"/>
    <w:rsid w:val="00B477FE"/>
    <w:rsid w:val="00B50600"/>
    <w:rsid w:val="00B50B57"/>
    <w:rsid w:val="00B53348"/>
    <w:rsid w:val="00B53B9A"/>
    <w:rsid w:val="00B54247"/>
    <w:rsid w:val="00B5517F"/>
    <w:rsid w:val="00B55B23"/>
    <w:rsid w:val="00B5606B"/>
    <w:rsid w:val="00B569DF"/>
    <w:rsid w:val="00B57AED"/>
    <w:rsid w:val="00B57AFF"/>
    <w:rsid w:val="00B60372"/>
    <w:rsid w:val="00B60F62"/>
    <w:rsid w:val="00B61A51"/>
    <w:rsid w:val="00B61B21"/>
    <w:rsid w:val="00B62022"/>
    <w:rsid w:val="00B622F1"/>
    <w:rsid w:val="00B62423"/>
    <w:rsid w:val="00B65857"/>
    <w:rsid w:val="00B66112"/>
    <w:rsid w:val="00B665BB"/>
    <w:rsid w:val="00B67328"/>
    <w:rsid w:val="00B67A2B"/>
    <w:rsid w:val="00B67D77"/>
    <w:rsid w:val="00B67F09"/>
    <w:rsid w:val="00B70C33"/>
    <w:rsid w:val="00B72021"/>
    <w:rsid w:val="00B722B3"/>
    <w:rsid w:val="00B727A7"/>
    <w:rsid w:val="00B7288B"/>
    <w:rsid w:val="00B730D9"/>
    <w:rsid w:val="00B730F1"/>
    <w:rsid w:val="00B73C0E"/>
    <w:rsid w:val="00B73F2D"/>
    <w:rsid w:val="00B74927"/>
    <w:rsid w:val="00B756C3"/>
    <w:rsid w:val="00B764DD"/>
    <w:rsid w:val="00B7689E"/>
    <w:rsid w:val="00B77002"/>
    <w:rsid w:val="00B77B86"/>
    <w:rsid w:val="00B77F75"/>
    <w:rsid w:val="00B80675"/>
    <w:rsid w:val="00B80E24"/>
    <w:rsid w:val="00B81451"/>
    <w:rsid w:val="00B81F07"/>
    <w:rsid w:val="00B82A03"/>
    <w:rsid w:val="00B83108"/>
    <w:rsid w:val="00B842EE"/>
    <w:rsid w:val="00B8431D"/>
    <w:rsid w:val="00B84CF3"/>
    <w:rsid w:val="00B85A1E"/>
    <w:rsid w:val="00B93247"/>
    <w:rsid w:val="00B933B8"/>
    <w:rsid w:val="00B936BB"/>
    <w:rsid w:val="00B93E4D"/>
    <w:rsid w:val="00B94087"/>
    <w:rsid w:val="00B94868"/>
    <w:rsid w:val="00B94B34"/>
    <w:rsid w:val="00B950DA"/>
    <w:rsid w:val="00B9597E"/>
    <w:rsid w:val="00B95BD0"/>
    <w:rsid w:val="00B96289"/>
    <w:rsid w:val="00B97A97"/>
    <w:rsid w:val="00BA0237"/>
    <w:rsid w:val="00BA137B"/>
    <w:rsid w:val="00BA1E22"/>
    <w:rsid w:val="00BA217B"/>
    <w:rsid w:val="00BA2C8C"/>
    <w:rsid w:val="00BA2FFF"/>
    <w:rsid w:val="00BA54E2"/>
    <w:rsid w:val="00BA7F20"/>
    <w:rsid w:val="00BB0693"/>
    <w:rsid w:val="00BB0AF6"/>
    <w:rsid w:val="00BB20C3"/>
    <w:rsid w:val="00BB2613"/>
    <w:rsid w:val="00BB335D"/>
    <w:rsid w:val="00BB38F8"/>
    <w:rsid w:val="00BB3B58"/>
    <w:rsid w:val="00BB4299"/>
    <w:rsid w:val="00BB48D5"/>
    <w:rsid w:val="00BB5785"/>
    <w:rsid w:val="00BB59DC"/>
    <w:rsid w:val="00BB5A24"/>
    <w:rsid w:val="00BB5F46"/>
    <w:rsid w:val="00BB60C2"/>
    <w:rsid w:val="00BB6166"/>
    <w:rsid w:val="00BB63C6"/>
    <w:rsid w:val="00BB7576"/>
    <w:rsid w:val="00BC0022"/>
    <w:rsid w:val="00BC158C"/>
    <w:rsid w:val="00BC28FB"/>
    <w:rsid w:val="00BC3198"/>
    <w:rsid w:val="00BC361C"/>
    <w:rsid w:val="00BC3E5A"/>
    <w:rsid w:val="00BC42CA"/>
    <w:rsid w:val="00BC5580"/>
    <w:rsid w:val="00BC5F9D"/>
    <w:rsid w:val="00BC6868"/>
    <w:rsid w:val="00BC69CE"/>
    <w:rsid w:val="00BC6F11"/>
    <w:rsid w:val="00BD023A"/>
    <w:rsid w:val="00BD0BED"/>
    <w:rsid w:val="00BD6EA2"/>
    <w:rsid w:val="00BD74B8"/>
    <w:rsid w:val="00BD77BE"/>
    <w:rsid w:val="00BE0EB0"/>
    <w:rsid w:val="00BE2581"/>
    <w:rsid w:val="00BE2836"/>
    <w:rsid w:val="00BE35C7"/>
    <w:rsid w:val="00BE5384"/>
    <w:rsid w:val="00BE5970"/>
    <w:rsid w:val="00BE628A"/>
    <w:rsid w:val="00BE62E1"/>
    <w:rsid w:val="00BF099A"/>
    <w:rsid w:val="00BF0A48"/>
    <w:rsid w:val="00BF1F9F"/>
    <w:rsid w:val="00BF27F5"/>
    <w:rsid w:val="00BF46DF"/>
    <w:rsid w:val="00BF4D88"/>
    <w:rsid w:val="00BF52A9"/>
    <w:rsid w:val="00BF5DFD"/>
    <w:rsid w:val="00BF70AF"/>
    <w:rsid w:val="00BF791C"/>
    <w:rsid w:val="00BF7A8F"/>
    <w:rsid w:val="00BF7DD6"/>
    <w:rsid w:val="00C00BF8"/>
    <w:rsid w:val="00C01429"/>
    <w:rsid w:val="00C01AD0"/>
    <w:rsid w:val="00C01DF3"/>
    <w:rsid w:val="00C02520"/>
    <w:rsid w:val="00C02831"/>
    <w:rsid w:val="00C02A3B"/>
    <w:rsid w:val="00C0338C"/>
    <w:rsid w:val="00C045BA"/>
    <w:rsid w:val="00C04A8C"/>
    <w:rsid w:val="00C05609"/>
    <w:rsid w:val="00C0653D"/>
    <w:rsid w:val="00C06AD1"/>
    <w:rsid w:val="00C07736"/>
    <w:rsid w:val="00C10E29"/>
    <w:rsid w:val="00C12916"/>
    <w:rsid w:val="00C14B43"/>
    <w:rsid w:val="00C15358"/>
    <w:rsid w:val="00C16403"/>
    <w:rsid w:val="00C16500"/>
    <w:rsid w:val="00C1664F"/>
    <w:rsid w:val="00C1683A"/>
    <w:rsid w:val="00C16B51"/>
    <w:rsid w:val="00C16BD2"/>
    <w:rsid w:val="00C1730B"/>
    <w:rsid w:val="00C20554"/>
    <w:rsid w:val="00C207D0"/>
    <w:rsid w:val="00C2118B"/>
    <w:rsid w:val="00C21597"/>
    <w:rsid w:val="00C21FB1"/>
    <w:rsid w:val="00C22182"/>
    <w:rsid w:val="00C225B6"/>
    <w:rsid w:val="00C22E65"/>
    <w:rsid w:val="00C2475D"/>
    <w:rsid w:val="00C25418"/>
    <w:rsid w:val="00C25515"/>
    <w:rsid w:val="00C257A1"/>
    <w:rsid w:val="00C279A1"/>
    <w:rsid w:val="00C27F10"/>
    <w:rsid w:val="00C3099F"/>
    <w:rsid w:val="00C322A2"/>
    <w:rsid w:val="00C32BA2"/>
    <w:rsid w:val="00C32EB6"/>
    <w:rsid w:val="00C343AF"/>
    <w:rsid w:val="00C353F0"/>
    <w:rsid w:val="00C36759"/>
    <w:rsid w:val="00C40111"/>
    <w:rsid w:val="00C40B9F"/>
    <w:rsid w:val="00C41201"/>
    <w:rsid w:val="00C451F2"/>
    <w:rsid w:val="00C45616"/>
    <w:rsid w:val="00C456C5"/>
    <w:rsid w:val="00C45ED2"/>
    <w:rsid w:val="00C45F4E"/>
    <w:rsid w:val="00C465B0"/>
    <w:rsid w:val="00C4685E"/>
    <w:rsid w:val="00C507B4"/>
    <w:rsid w:val="00C51354"/>
    <w:rsid w:val="00C52CF6"/>
    <w:rsid w:val="00C5668C"/>
    <w:rsid w:val="00C56AB9"/>
    <w:rsid w:val="00C573A2"/>
    <w:rsid w:val="00C57B4C"/>
    <w:rsid w:val="00C60178"/>
    <w:rsid w:val="00C60344"/>
    <w:rsid w:val="00C6111D"/>
    <w:rsid w:val="00C6135D"/>
    <w:rsid w:val="00C628A2"/>
    <w:rsid w:val="00C640AD"/>
    <w:rsid w:val="00C643E9"/>
    <w:rsid w:val="00C64545"/>
    <w:rsid w:val="00C64998"/>
    <w:rsid w:val="00C64E5F"/>
    <w:rsid w:val="00C66993"/>
    <w:rsid w:val="00C70205"/>
    <w:rsid w:val="00C7032C"/>
    <w:rsid w:val="00C70439"/>
    <w:rsid w:val="00C7159E"/>
    <w:rsid w:val="00C718AB"/>
    <w:rsid w:val="00C7210F"/>
    <w:rsid w:val="00C72B42"/>
    <w:rsid w:val="00C73257"/>
    <w:rsid w:val="00C73643"/>
    <w:rsid w:val="00C768D9"/>
    <w:rsid w:val="00C76B9F"/>
    <w:rsid w:val="00C8060D"/>
    <w:rsid w:val="00C814C1"/>
    <w:rsid w:val="00C827E3"/>
    <w:rsid w:val="00C840C3"/>
    <w:rsid w:val="00C84123"/>
    <w:rsid w:val="00C84D04"/>
    <w:rsid w:val="00C85955"/>
    <w:rsid w:val="00C85ECE"/>
    <w:rsid w:val="00C86C7C"/>
    <w:rsid w:val="00C86DEC"/>
    <w:rsid w:val="00C870B0"/>
    <w:rsid w:val="00C87676"/>
    <w:rsid w:val="00C90614"/>
    <w:rsid w:val="00C9191D"/>
    <w:rsid w:val="00C93450"/>
    <w:rsid w:val="00C93CD1"/>
    <w:rsid w:val="00C93EAF"/>
    <w:rsid w:val="00C945C4"/>
    <w:rsid w:val="00C946EF"/>
    <w:rsid w:val="00C957D1"/>
    <w:rsid w:val="00C95C2E"/>
    <w:rsid w:val="00C95F11"/>
    <w:rsid w:val="00C9620D"/>
    <w:rsid w:val="00C96519"/>
    <w:rsid w:val="00C97F3E"/>
    <w:rsid w:val="00CA018A"/>
    <w:rsid w:val="00CA03BC"/>
    <w:rsid w:val="00CA1AEA"/>
    <w:rsid w:val="00CA1F00"/>
    <w:rsid w:val="00CA21F4"/>
    <w:rsid w:val="00CA29FB"/>
    <w:rsid w:val="00CA3747"/>
    <w:rsid w:val="00CA49A2"/>
    <w:rsid w:val="00CA49F3"/>
    <w:rsid w:val="00CA70AD"/>
    <w:rsid w:val="00CA73B5"/>
    <w:rsid w:val="00CB0523"/>
    <w:rsid w:val="00CB116B"/>
    <w:rsid w:val="00CB1508"/>
    <w:rsid w:val="00CB1936"/>
    <w:rsid w:val="00CB3A63"/>
    <w:rsid w:val="00CB3A68"/>
    <w:rsid w:val="00CB3EB2"/>
    <w:rsid w:val="00CB40D0"/>
    <w:rsid w:val="00CB487B"/>
    <w:rsid w:val="00CB5E95"/>
    <w:rsid w:val="00CB6C1F"/>
    <w:rsid w:val="00CB7157"/>
    <w:rsid w:val="00CC20DA"/>
    <w:rsid w:val="00CC2694"/>
    <w:rsid w:val="00CC32BB"/>
    <w:rsid w:val="00CC4F35"/>
    <w:rsid w:val="00CC61FD"/>
    <w:rsid w:val="00CC6403"/>
    <w:rsid w:val="00CC707C"/>
    <w:rsid w:val="00CC73D3"/>
    <w:rsid w:val="00CC7C79"/>
    <w:rsid w:val="00CD0538"/>
    <w:rsid w:val="00CD09D7"/>
    <w:rsid w:val="00CD1305"/>
    <w:rsid w:val="00CD2DCC"/>
    <w:rsid w:val="00CD4075"/>
    <w:rsid w:val="00CD4581"/>
    <w:rsid w:val="00CD4A8B"/>
    <w:rsid w:val="00CD4C4E"/>
    <w:rsid w:val="00CD4D0C"/>
    <w:rsid w:val="00CD60FB"/>
    <w:rsid w:val="00CD6C2F"/>
    <w:rsid w:val="00CD6EDD"/>
    <w:rsid w:val="00CE0469"/>
    <w:rsid w:val="00CE05B4"/>
    <w:rsid w:val="00CE18F6"/>
    <w:rsid w:val="00CE247D"/>
    <w:rsid w:val="00CE269E"/>
    <w:rsid w:val="00CE3665"/>
    <w:rsid w:val="00CE3F86"/>
    <w:rsid w:val="00CE44FA"/>
    <w:rsid w:val="00CE4B0E"/>
    <w:rsid w:val="00CE53D7"/>
    <w:rsid w:val="00CE5587"/>
    <w:rsid w:val="00CE5928"/>
    <w:rsid w:val="00CE5A57"/>
    <w:rsid w:val="00CE5A5C"/>
    <w:rsid w:val="00CE5F9D"/>
    <w:rsid w:val="00CE67B4"/>
    <w:rsid w:val="00CE7102"/>
    <w:rsid w:val="00CE7207"/>
    <w:rsid w:val="00CE7D69"/>
    <w:rsid w:val="00CF0349"/>
    <w:rsid w:val="00CF1019"/>
    <w:rsid w:val="00CF19DD"/>
    <w:rsid w:val="00CF23B5"/>
    <w:rsid w:val="00CF2D93"/>
    <w:rsid w:val="00CF4293"/>
    <w:rsid w:val="00CF77F3"/>
    <w:rsid w:val="00CF794A"/>
    <w:rsid w:val="00D00A81"/>
    <w:rsid w:val="00D00CA3"/>
    <w:rsid w:val="00D00F5B"/>
    <w:rsid w:val="00D0197D"/>
    <w:rsid w:val="00D01AEA"/>
    <w:rsid w:val="00D022A4"/>
    <w:rsid w:val="00D02B37"/>
    <w:rsid w:val="00D03A11"/>
    <w:rsid w:val="00D03BF0"/>
    <w:rsid w:val="00D04594"/>
    <w:rsid w:val="00D046EA"/>
    <w:rsid w:val="00D04794"/>
    <w:rsid w:val="00D0490F"/>
    <w:rsid w:val="00D04C8A"/>
    <w:rsid w:val="00D05675"/>
    <w:rsid w:val="00D065D0"/>
    <w:rsid w:val="00D06F4A"/>
    <w:rsid w:val="00D073C1"/>
    <w:rsid w:val="00D114A9"/>
    <w:rsid w:val="00D1500C"/>
    <w:rsid w:val="00D15040"/>
    <w:rsid w:val="00D1511C"/>
    <w:rsid w:val="00D1596C"/>
    <w:rsid w:val="00D16A5A"/>
    <w:rsid w:val="00D16D25"/>
    <w:rsid w:val="00D16E43"/>
    <w:rsid w:val="00D170B5"/>
    <w:rsid w:val="00D17EE3"/>
    <w:rsid w:val="00D209F6"/>
    <w:rsid w:val="00D23D24"/>
    <w:rsid w:val="00D23F7B"/>
    <w:rsid w:val="00D241BE"/>
    <w:rsid w:val="00D24CCE"/>
    <w:rsid w:val="00D25457"/>
    <w:rsid w:val="00D25B4C"/>
    <w:rsid w:val="00D25D2A"/>
    <w:rsid w:val="00D26F64"/>
    <w:rsid w:val="00D275EA"/>
    <w:rsid w:val="00D3001A"/>
    <w:rsid w:val="00D30361"/>
    <w:rsid w:val="00D304D3"/>
    <w:rsid w:val="00D30B9C"/>
    <w:rsid w:val="00D30D03"/>
    <w:rsid w:val="00D313D2"/>
    <w:rsid w:val="00D32551"/>
    <w:rsid w:val="00D32AF7"/>
    <w:rsid w:val="00D33C4B"/>
    <w:rsid w:val="00D348E9"/>
    <w:rsid w:val="00D34AB5"/>
    <w:rsid w:val="00D3529E"/>
    <w:rsid w:val="00D35E93"/>
    <w:rsid w:val="00D363ED"/>
    <w:rsid w:val="00D37C97"/>
    <w:rsid w:val="00D37F38"/>
    <w:rsid w:val="00D40CCC"/>
    <w:rsid w:val="00D4116D"/>
    <w:rsid w:val="00D429D1"/>
    <w:rsid w:val="00D42DB6"/>
    <w:rsid w:val="00D43427"/>
    <w:rsid w:val="00D43977"/>
    <w:rsid w:val="00D43FF1"/>
    <w:rsid w:val="00D445A7"/>
    <w:rsid w:val="00D44BD2"/>
    <w:rsid w:val="00D45B4C"/>
    <w:rsid w:val="00D462BA"/>
    <w:rsid w:val="00D46ADA"/>
    <w:rsid w:val="00D47142"/>
    <w:rsid w:val="00D47795"/>
    <w:rsid w:val="00D51C43"/>
    <w:rsid w:val="00D528B0"/>
    <w:rsid w:val="00D52FF2"/>
    <w:rsid w:val="00D53125"/>
    <w:rsid w:val="00D536D4"/>
    <w:rsid w:val="00D53A6A"/>
    <w:rsid w:val="00D53EF7"/>
    <w:rsid w:val="00D53F52"/>
    <w:rsid w:val="00D5447A"/>
    <w:rsid w:val="00D54AE5"/>
    <w:rsid w:val="00D54ED3"/>
    <w:rsid w:val="00D560FF"/>
    <w:rsid w:val="00D56D50"/>
    <w:rsid w:val="00D57708"/>
    <w:rsid w:val="00D57CF8"/>
    <w:rsid w:val="00D613B3"/>
    <w:rsid w:val="00D62355"/>
    <w:rsid w:val="00D623A2"/>
    <w:rsid w:val="00D63E24"/>
    <w:rsid w:val="00D64B4B"/>
    <w:rsid w:val="00D659C9"/>
    <w:rsid w:val="00D65AD4"/>
    <w:rsid w:val="00D65C32"/>
    <w:rsid w:val="00D65ED9"/>
    <w:rsid w:val="00D6608C"/>
    <w:rsid w:val="00D6678D"/>
    <w:rsid w:val="00D66804"/>
    <w:rsid w:val="00D66BA1"/>
    <w:rsid w:val="00D67065"/>
    <w:rsid w:val="00D678CC"/>
    <w:rsid w:val="00D67999"/>
    <w:rsid w:val="00D703F6"/>
    <w:rsid w:val="00D70566"/>
    <w:rsid w:val="00D70807"/>
    <w:rsid w:val="00D70BC6"/>
    <w:rsid w:val="00D72695"/>
    <w:rsid w:val="00D73371"/>
    <w:rsid w:val="00D74929"/>
    <w:rsid w:val="00D74B92"/>
    <w:rsid w:val="00D74E95"/>
    <w:rsid w:val="00D765BF"/>
    <w:rsid w:val="00D76926"/>
    <w:rsid w:val="00D77002"/>
    <w:rsid w:val="00D77BDB"/>
    <w:rsid w:val="00D77EFC"/>
    <w:rsid w:val="00D8092A"/>
    <w:rsid w:val="00D80AE9"/>
    <w:rsid w:val="00D81289"/>
    <w:rsid w:val="00D8169B"/>
    <w:rsid w:val="00D81755"/>
    <w:rsid w:val="00D81E44"/>
    <w:rsid w:val="00D820E0"/>
    <w:rsid w:val="00D828A8"/>
    <w:rsid w:val="00D83425"/>
    <w:rsid w:val="00D83DD8"/>
    <w:rsid w:val="00D847D1"/>
    <w:rsid w:val="00D8723A"/>
    <w:rsid w:val="00D874B0"/>
    <w:rsid w:val="00D87F58"/>
    <w:rsid w:val="00D91373"/>
    <w:rsid w:val="00D91D82"/>
    <w:rsid w:val="00D92B57"/>
    <w:rsid w:val="00D92C23"/>
    <w:rsid w:val="00D92CA2"/>
    <w:rsid w:val="00D92DC4"/>
    <w:rsid w:val="00D9433B"/>
    <w:rsid w:val="00D94D15"/>
    <w:rsid w:val="00D95300"/>
    <w:rsid w:val="00D95431"/>
    <w:rsid w:val="00D95941"/>
    <w:rsid w:val="00D96A3D"/>
    <w:rsid w:val="00DA2474"/>
    <w:rsid w:val="00DA37F2"/>
    <w:rsid w:val="00DA3C36"/>
    <w:rsid w:val="00DA5373"/>
    <w:rsid w:val="00DA5894"/>
    <w:rsid w:val="00DA7356"/>
    <w:rsid w:val="00DA7A39"/>
    <w:rsid w:val="00DB022E"/>
    <w:rsid w:val="00DB102A"/>
    <w:rsid w:val="00DB14E2"/>
    <w:rsid w:val="00DB34B7"/>
    <w:rsid w:val="00DB3DC2"/>
    <w:rsid w:val="00DB4D00"/>
    <w:rsid w:val="00DB54D5"/>
    <w:rsid w:val="00DB576D"/>
    <w:rsid w:val="00DB6A4B"/>
    <w:rsid w:val="00DB6BC4"/>
    <w:rsid w:val="00DC00D5"/>
    <w:rsid w:val="00DC1B84"/>
    <w:rsid w:val="00DC36D8"/>
    <w:rsid w:val="00DC3CF5"/>
    <w:rsid w:val="00DC3F17"/>
    <w:rsid w:val="00DC5F74"/>
    <w:rsid w:val="00DC666B"/>
    <w:rsid w:val="00DC7067"/>
    <w:rsid w:val="00DC7864"/>
    <w:rsid w:val="00DC7C42"/>
    <w:rsid w:val="00DD01D5"/>
    <w:rsid w:val="00DD04FE"/>
    <w:rsid w:val="00DD0CFA"/>
    <w:rsid w:val="00DD125D"/>
    <w:rsid w:val="00DD206B"/>
    <w:rsid w:val="00DD22B7"/>
    <w:rsid w:val="00DD2D14"/>
    <w:rsid w:val="00DD3119"/>
    <w:rsid w:val="00DD4CF3"/>
    <w:rsid w:val="00DD63AA"/>
    <w:rsid w:val="00DD7703"/>
    <w:rsid w:val="00DE0BBB"/>
    <w:rsid w:val="00DE100A"/>
    <w:rsid w:val="00DE287D"/>
    <w:rsid w:val="00DE41CE"/>
    <w:rsid w:val="00DE433B"/>
    <w:rsid w:val="00DE527B"/>
    <w:rsid w:val="00DE65E7"/>
    <w:rsid w:val="00DE69E6"/>
    <w:rsid w:val="00DE6EC3"/>
    <w:rsid w:val="00DE6F7D"/>
    <w:rsid w:val="00DE7232"/>
    <w:rsid w:val="00DE73B9"/>
    <w:rsid w:val="00DE785B"/>
    <w:rsid w:val="00DE7C5A"/>
    <w:rsid w:val="00DE7D1D"/>
    <w:rsid w:val="00DE7D69"/>
    <w:rsid w:val="00DF0341"/>
    <w:rsid w:val="00DF03F9"/>
    <w:rsid w:val="00DF06CC"/>
    <w:rsid w:val="00DF0AD3"/>
    <w:rsid w:val="00DF1260"/>
    <w:rsid w:val="00DF1EB7"/>
    <w:rsid w:val="00DF564C"/>
    <w:rsid w:val="00DF65DA"/>
    <w:rsid w:val="00DF6B52"/>
    <w:rsid w:val="00DF769B"/>
    <w:rsid w:val="00DF7E4D"/>
    <w:rsid w:val="00E00163"/>
    <w:rsid w:val="00E008FA"/>
    <w:rsid w:val="00E00D5F"/>
    <w:rsid w:val="00E00DDB"/>
    <w:rsid w:val="00E01C42"/>
    <w:rsid w:val="00E06DC9"/>
    <w:rsid w:val="00E06E2C"/>
    <w:rsid w:val="00E07F8E"/>
    <w:rsid w:val="00E10D39"/>
    <w:rsid w:val="00E114BD"/>
    <w:rsid w:val="00E11556"/>
    <w:rsid w:val="00E11AD5"/>
    <w:rsid w:val="00E11C2B"/>
    <w:rsid w:val="00E11C8E"/>
    <w:rsid w:val="00E12770"/>
    <w:rsid w:val="00E12CAD"/>
    <w:rsid w:val="00E12DD8"/>
    <w:rsid w:val="00E12F11"/>
    <w:rsid w:val="00E13AF2"/>
    <w:rsid w:val="00E13B83"/>
    <w:rsid w:val="00E14079"/>
    <w:rsid w:val="00E148E8"/>
    <w:rsid w:val="00E14BF9"/>
    <w:rsid w:val="00E14F5F"/>
    <w:rsid w:val="00E150DE"/>
    <w:rsid w:val="00E154DD"/>
    <w:rsid w:val="00E15A50"/>
    <w:rsid w:val="00E16048"/>
    <w:rsid w:val="00E1787D"/>
    <w:rsid w:val="00E17A1D"/>
    <w:rsid w:val="00E204D4"/>
    <w:rsid w:val="00E207A1"/>
    <w:rsid w:val="00E21BE2"/>
    <w:rsid w:val="00E2240A"/>
    <w:rsid w:val="00E224E7"/>
    <w:rsid w:val="00E228CD"/>
    <w:rsid w:val="00E23001"/>
    <w:rsid w:val="00E231B9"/>
    <w:rsid w:val="00E24019"/>
    <w:rsid w:val="00E242E1"/>
    <w:rsid w:val="00E24983"/>
    <w:rsid w:val="00E25106"/>
    <w:rsid w:val="00E25EFD"/>
    <w:rsid w:val="00E263CF"/>
    <w:rsid w:val="00E264CC"/>
    <w:rsid w:val="00E265B8"/>
    <w:rsid w:val="00E268FF"/>
    <w:rsid w:val="00E27F56"/>
    <w:rsid w:val="00E3039A"/>
    <w:rsid w:val="00E30ACC"/>
    <w:rsid w:val="00E31AD1"/>
    <w:rsid w:val="00E31CBB"/>
    <w:rsid w:val="00E31D6F"/>
    <w:rsid w:val="00E34A7C"/>
    <w:rsid w:val="00E34A94"/>
    <w:rsid w:val="00E34BA8"/>
    <w:rsid w:val="00E35BB3"/>
    <w:rsid w:val="00E35E24"/>
    <w:rsid w:val="00E36A27"/>
    <w:rsid w:val="00E41437"/>
    <w:rsid w:val="00E4170F"/>
    <w:rsid w:val="00E4200F"/>
    <w:rsid w:val="00E42CBE"/>
    <w:rsid w:val="00E432C3"/>
    <w:rsid w:val="00E4355A"/>
    <w:rsid w:val="00E43ACB"/>
    <w:rsid w:val="00E43B56"/>
    <w:rsid w:val="00E4407E"/>
    <w:rsid w:val="00E44690"/>
    <w:rsid w:val="00E44F78"/>
    <w:rsid w:val="00E457E6"/>
    <w:rsid w:val="00E45A24"/>
    <w:rsid w:val="00E45DF8"/>
    <w:rsid w:val="00E45FE8"/>
    <w:rsid w:val="00E461C1"/>
    <w:rsid w:val="00E467FA"/>
    <w:rsid w:val="00E46803"/>
    <w:rsid w:val="00E46A2F"/>
    <w:rsid w:val="00E47A08"/>
    <w:rsid w:val="00E51C5C"/>
    <w:rsid w:val="00E51EF4"/>
    <w:rsid w:val="00E52F27"/>
    <w:rsid w:val="00E54088"/>
    <w:rsid w:val="00E54194"/>
    <w:rsid w:val="00E5573F"/>
    <w:rsid w:val="00E55742"/>
    <w:rsid w:val="00E559A4"/>
    <w:rsid w:val="00E55B1D"/>
    <w:rsid w:val="00E56276"/>
    <w:rsid w:val="00E577B4"/>
    <w:rsid w:val="00E60C57"/>
    <w:rsid w:val="00E610F8"/>
    <w:rsid w:val="00E614EA"/>
    <w:rsid w:val="00E61E85"/>
    <w:rsid w:val="00E62515"/>
    <w:rsid w:val="00E63D68"/>
    <w:rsid w:val="00E63F40"/>
    <w:rsid w:val="00E65815"/>
    <w:rsid w:val="00E65A7C"/>
    <w:rsid w:val="00E65ED4"/>
    <w:rsid w:val="00E66E84"/>
    <w:rsid w:val="00E67AEF"/>
    <w:rsid w:val="00E7243B"/>
    <w:rsid w:val="00E727F6"/>
    <w:rsid w:val="00E7319D"/>
    <w:rsid w:val="00E737BA"/>
    <w:rsid w:val="00E73AA4"/>
    <w:rsid w:val="00E740D3"/>
    <w:rsid w:val="00E758AA"/>
    <w:rsid w:val="00E75FBE"/>
    <w:rsid w:val="00E764C0"/>
    <w:rsid w:val="00E77131"/>
    <w:rsid w:val="00E8109F"/>
    <w:rsid w:val="00E8225C"/>
    <w:rsid w:val="00E84138"/>
    <w:rsid w:val="00E847AE"/>
    <w:rsid w:val="00E84C99"/>
    <w:rsid w:val="00E84FC9"/>
    <w:rsid w:val="00E869C8"/>
    <w:rsid w:val="00E87D4D"/>
    <w:rsid w:val="00E91056"/>
    <w:rsid w:val="00E91CA5"/>
    <w:rsid w:val="00E92051"/>
    <w:rsid w:val="00E92DD4"/>
    <w:rsid w:val="00E92E15"/>
    <w:rsid w:val="00E94142"/>
    <w:rsid w:val="00E948C7"/>
    <w:rsid w:val="00E95D6A"/>
    <w:rsid w:val="00E96351"/>
    <w:rsid w:val="00E966C2"/>
    <w:rsid w:val="00E96D35"/>
    <w:rsid w:val="00E976E2"/>
    <w:rsid w:val="00E97A06"/>
    <w:rsid w:val="00E97E8C"/>
    <w:rsid w:val="00E97F50"/>
    <w:rsid w:val="00EA0CE6"/>
    <w:rsid w:val="00EA221E"/>
    <w:rsid w:val="00EA2777"/>
    <w:rsid w:val="00EA2E96"/>
    <w:rsid w:val="00EA2F73"/>
    <w:rsid w:val="00EA38FA"/>
    <w:rsid w:val="00EA4153"/>
    <w:rsid w:val="00EA4934"/>
    <w:rsid w:val="00EA5BD0"/>
    <w:rsid w:val="00EA718A"/>
    <w:rsid w:val="00EA7AF4"/>
    <w:rsid w:val="00EA7BB0"/>
    <w:rsid w:val="00EB0669"/>
    <w:rsid w:val="00EB1350"/>
    <w:rsid w:val="00EB1CCB"/>
    <w:rsid w:val="00EB1F74"/>
    <w:rsid w:val="00EB2345"/>
    <w:rsid w:val="00EB2D67"/>
    <w:rsid w:val="00EB2F96"/>
    <w:rsid w:val="00EB2FE1"/>
    <w:rsid w:val="00EB3176"/>
    <w:rsid w:val="00EB46DA"/>
    <w:rsid w:val="00EB4A8F"/>
    <w:rsid w:val="00EB7508"/>
    <w:rsid w:val="00EB764C"/>
    <w:rsid w:val="00EC06DB"/>
    <w:rsid w:val="00EC095C"/>
    <w:rsid w:val="00EC19E9"/>
    <w:rsid w:val="00EC1F0D"/>
    <w:rsid w:val="00EC2530"/>
    <w:rsid w:val="00EC2670"/>
    <w:rsid w:val="00EC268D"/>
    <w:rsid w:val="00EC358A"/>
    <w:rsid w:val="00EC3731"/>
    <w:rsid w:val="00EC4578"/>
    <w:rsid w:val="00EC485B"/>
    <w:rsid w:val="00EC4FC4"/>
    <w:rsid w:val="00EC55E2"/>
    <w:rsid w:val="00ED0DAA"/>
    <w:rsid w:val="00ED0FF5"/>
    <w:rsid w:val="00ED174E"/>
    <w:rsid w:val="00ED2116"/>
    <w:rsid w:val="00ED22B2"/>
    <w:rsid w:val="00ED2812"/>
    <w:rsid w:val="00ED341A"/>
    <w:rsid w:val="00ED492C"/>
    <w:rsid w:val="00ED5475"/>
    <w:rsid w:val="00ED68C9"/>
    <w:rsid w:val="00ED6F0C"/>
    <w:rsid w:val="00ED79EC"/>
    <w:rsid w:val="00ED7C6C"/>
    <w:rsid w:val="00ED7F26"/>
    <w:rsid w:val="00EE0DF7"/>
    <w:rsid w:val="00EE165D"/>
    <w:rsid w:val="00EE1ABF"/>
    <w:rsid w:val="00EE26CC"/>
    <w:rsid w:val="00EE2F7C"/>
    <w:rsid w:val="00EE2FF1"/>
    <w:rsid w:val="00EE554E"/>
    <w:rsid w:val="00EE7DF5"/>
    <w:rsid w:val="00EF13C6"/>
    <w:rsid w:val="00EF3694"/>
    <w:rsid w:val="00EF3C31"/>
    <w:rsid w:val="00EF41D2"/>
    <w:rsid w:val="00EF43D4"/>
    <w:rsid w:val="00EF5E92"/>
    <w:rsid w:val="00EF6CED"/>
    <w:rsid w:val="00EF6E13"/>
    <w:rsid w:val="00F01B72"/>
    <w:rsid w:val="00F01DBC"/>
    <w:rsid w:val="00F022A0"/>
    <w:rsid w:val="00F0291C"/>
    <w:rsid w:val="00F02A88"/>
    <w:rsid w:val="00F0324B"/>
    <w:rsid w:val="00F036C5"/>
    <w:rsid w:val="00F038AD"/>
    <w:rsid w:val="00F042D3"/>
    <w:rsid w:val="00F05FF2"/>
    <w:rsid w:val="00F065B1"/>
    <w:rsid w:val="00F06AB8"/>
    <w:rsid w:val="00F07140"/>
    <w:rsid w:val="00F07600"/>
    <w:rsid w:val="00F1103F"/>
    <w:rsid w:val="00F11690"/>
    <w:rsid w:val="00F122B8"/>
    <w:rsid w:val="00F13060"/>
    <w:rsid w:val="00F13654"/>
    <w:rsid w:val="00F14A02"/>
    <w:rsid w:val="00F15B39"/>
    <w:rsid w:val="00F162D3"/>
    <w:rsid w:val="00F17389"/>
    <w:rsid w:val="00F17604"/>
    <w:rsid w:val="00F17D74"/>
    <w:rsid w:val="00F203AC"/>
    <w:rsid w:val="00F20D32"/>
    <w:rsid w:val="00F20FFF"/>
    <w:rsid w:val="00F23962"/>
    <w:rsid w:val="00F23A06"/>
    <w:rsid w:val="00F23EF7"/>
    <w:rsid w:val="00F24323"/>
    <w:rsid w:val="00F24848"/>
    <w:rsid w:val="00F2542B"/>
    <w:rsid w:val="00F25732"/>
    <w:rsid w:val="00F26161"/>
    <w:rsid w:val="00F26241"/>
    <w:rsid w:val="00F269AB"/>
    <w:rsid w:val="00F27F78"/>
    <w:rsid w:val="00F30535"/>
    <w:rsid w:val="00F30AE1"/>
    <w:rsid w:val="00F30C4B"/>
    <w:rsid w:val="00F334C9"/>
    <w:rsid w:val="00F33A66"/>
    <w:rsid w:val="00F34D5F"/>
    <w:rsid w:val="00F35801"/>
    <w:rsid w:val="00F35B63"/>
    <w:rsid w:val="00F37E51"/>
    <w:rsid w:val="00F415B2"/>
    <w:rsid w:val="00F41600"/>
    <w:rsid w:val="00F41690"/>
    <w:rsid w:val="00F42ACE"/>
    <w:rsid w:val="00F43725"/>
    <w:rsid w:val="00F43B7A"/>
    <w:rsid w:val="00F454F8"/>
    <w:rsid w:val="00F45F78"/>
    <w:rsid w:val="00F466D9"/>
    <w:rsid w:val="00F46993"/>
    <w:rsid w:val="00F47811"/>
    <w:rsid w:val="00F478DB"/>
    <w:rsid w:val="00F47E81"/>
    <w:rsid w:val="00F502BD"/>
    <w:rsid w:val="00F51CFC"/>
    <w:rsid w:val="00F5349E"/>
    <w:rsid w:val="00F53590"/>
    <w:rsid w:val="00F53BFF"/>
    <w:rsid w:val="00F53E16"/>
    <w:rsid w:val="00F54025"/>
    <w:rsid w:val="00F54974"/>
    <w:rsid w:val="00F553A5"/>
    <w:rsid w:val="00F5584B"/>
    <w:rsid w:val="00F56C41"/>
    <w:rsid w:val="00F56D75"/>
    <w:rsid w:val="00F5727F"/>
    <w:rsid w:val="00F57585"/>
    <w:rsid w:val="00F57F56"/>
    <w:rsid w:val="00F60247"/>
    <w:rsid w:val="00F6071F"/>
    <w:rsid w:val="00F60DC2"/>
    <w:rsid w:val="00F61425"/>
    <w:rsid w:val="00F614A5"/>
    <w:rsid w:val="00F617F6"/>
    <w:rsid w:val="00F6365E"/>
    <w:rsid w:val="00F639F4"/>
    <w:rsid w:val="00F63B17"/>
    <w:rsid w:val="00F65027"/>
    <w:rsid w:val="00F65C67"/>
    <w:rsid w:val="00F65CE5"/>
    <w:rsid w:val="00F66389"/>
    <w:rsid w:val="00F66AAD"/>
    <w:rsid w:val="00F676AD"/>
    <w:rsid w:val="00F700E2"/>
    <w:rsid w:val="00F7015B"/>
    <w:rsid w:val="00F70214"/>
    <w:rsid w:val="00F70FF3"/>
    <w:rsid w:val="00F71241"/>
    <w:rsid w:val="00F71270"/>
    <w:rsid w:val="00F72DDC"/>
    <w:rsid w:val="00F74627"/>
    <w:rsid w:val="00F7479F"/>
    <w:rsid w:val="00F7489D"/>
    <w:rsid w:val="00F75145"/>
    <w:rsid w:val="00F75641"/>
    <w:rsid w:val="00F77A72"/>
    <w:rsid w:val="00F80B2F"/>
    <w:rsid w:val="00F80EB7"/>
    <w:rsid w:val="00F82116"/>
    <w:rsid w:val="00F82F1A"/>
    <w:rsid w:val="00F84431"/>
    <w:rsid w:val="00F84577"/>
    <w:rsid w:val="00F849A9"/>
    <w:rsid w:val="00F84B10"/>
    <w:rsid w:val="00F84E7E"/>
    <w:rsid w:val="00F85668"/>
    <w:rsid w:val="00F856C1"/>
    <w:rsid w:val="00F869FA"/>
    <w:rsid w:val="00F86DBC"/>
    <w:rsid w:val="00F909BE"/>
    <w:rsid w:val="00F9221E"/>
    <w:rsid w:val="00F922E6"/>
    <w:rsid w:val="00F92581"/>
    <w:rsid w:val="00F9395F"/>
    <w:rsid w:val="00F94A71"/>
    <w:rsid w:val="00F94D6F"/>
    <w:rsid w:val="00F95670"/>
    <w:rsid w:val="00F96D4A"/>
    <w:rsid w:val="00F9713C"/>
    <w:rsid w:val="00F972ED"/>
    <w:rsid w:val="00F97E16"/>
    <w:rsid w:val="00FA0651"/>
    <w:rsid w:val="00FA0ADA"/>
    <w:rsid w:val="00FA1718"/>
    <w:rsid w:val="00FA1E1C"/>
    <w:rsid w:val="00FA3D12"/>
    <w:rsid w:val="00FA5FFF"/>
    <w:rsid w:val="00FA654A"/>
    <w:rsid w:val="00FA694B"/>
    <w:rsid w:val="00FA710C"/>
    <w:rsid w:val="00FA7395"/>
    <w:rsid w:val="00FB0217"/>
    <w:rsid w:val="00FB04A2"/>
    <w:rsid w:val="00FB0854"/>
    <w:rsid w:val="00FB137F"/>
    <w:rsid w:val="00FB1789"/>
    <w:rsid w:val="00FB1EC9"/>
    <w:rsid w:val="00FB2786"/>
    <w:rsid w:val="00FB35B3"/>
    <w:rsid w:val="00FB4817"/>
    <w:rsid w:val="00FB4A1B"/>
    <w:rsid w:val="00FB4EBA"/>
    <w:rsid w:val="00FB5209"/>
    <w:rsid w:val="00FB539D"/>
    <w:rsid w:val="00FB5CC5"/>
    <w:rsid w:val="00FB7F40"/>
    <w:rsid w:val="00FC0954"/>
    <w:rsid w:val="00FC262A"/>
    <w:rsid w:val="00FC33CD"/>
    <w:rsid w:val="00FC397A"/>
    <w:rsid w:val="00FC3E82"/>
    <w:rsid w:val="00FC5065"/>
    <w:rsid w:val="00FC648F"/>
    <w:rsid w:val="00FC6E20"/>
    <w:rsid w:val="00FC6EB6"/>
    <w:rsid w:val="00FC79B5"/>
    <w:rsid w:val="00FD0B43"/>
    <w:rsid w:val="00FD1034"/>
    <w:rsid w:val="00FD1075"/>
    <w:rsid w:val="00FD11DC"/>
    <w:rsid w:val="00FD18BC"/>
    <w:rsid w:val="00FD1E51"/>
    <w:rsid w:val="00FD22CE"/>
    <w:rsid w:val="00FD2621"/>
    <w:rsid w:val="00FD3287"/>
    <w:rsid w:val="00FD35E3"/>
    <w:rsid w:val="00FD46F4"/>
    <w:rsid w:val="00FD49B4"/>
    <w:rsid w:val="00FD4C18"/>
    <w:rsid w:val="00FD4D77"/>
    <w:rsid w:val="00FD577A"/>
    <w:rsid w:val="00FD5E3D"/>
    <w:rsid w:val="00FD6E15"/>
    <w:rsid w:val="00FD6FB8"/>
    <w:rsid w:val="00FD7F78"/>
    <w:rsid w:val="00FE0237"/>
    <w:rsid w:val="00FE0EBC"/>
    <w:rsid w:val="00FE1EEC"/>
    <w:rsid w:val="00FE21FE"/>
    <w:rsid w:val="00FE2830"/>
    <w:rsid w:val="00FE4480"/>
    <w:rsid w:val="00FE45C3"/>
    <w:rsid w:val="00FE4BE7"/>
    <w:rsid w:val="00FE51DF"/>
    <w:rsid w:val="00FE520A"/>
    <w:rsid w:val="00FE5A30"/>
    <w:rsid w:val="00FE61D8"/>
    <w:rsid w:val="00FF21F7"/>
    <w:rsid w:val="00FF2856"/>
    <w:rsid w:val="00FF28C1"/>
    <w:rsid w:val="00FF3E11"/>
    <w:rsid w:val="00FF4364"/>
    <w:rsid w:val="00FF4BEC"/>
    <w:rsid w:val="00FF4C1F"/>
    <w:rsid w:val="00FF4F28"/>
    <w:rsid w:val="00FF50F3"/>
    <w:rsid w:val="00FF5D91"/>
    <w:rsid w:val="00FF6EAE"/>
    <w:rsid w:val="00FF7764"/>
    <w:rsid w:val="00FF7F47"/>
    <w:rsid w:val="0260477D"/>
    <w:rsid w:val="02E907CD"/>
    <w:rsid w:val="08C27D97"/>
    <w:rsid w:val="0A297C0E"/>
    <w:rsid w:val="107D407E"/>
    <w:rsid w:val="123266AD"/>
    <w:rsid w:val="15D1541F"/>
    <w:rsid w:val="18F94ACC"/>
    <w:rsid w:val="1A10399E"/>
    <w:rsid w:val="1DB53F5E"/>
    <w:rsid w:val="1E060308"/>
    <w:rsid w:val="1F61304F"/>
    <w:rsid w:val="20BA2601"/>
    <w:rsid w:val="22053DC1"/>
    <w:rsid w:val="247E508E"/>
    <w:rsid w:val="25EB42B4"/>
    <w:rsid w:val="31E45BF7"/>
    <w:rsid w:val="3644432F"/>
    <w:rsid w:val="3ABA7077"/>
    <w:rsid w:val="3B091033"/>
    <w:rsid w:val="3B974891"/>
    <w:rsid w:val="3BCE78F6"/>
    <w:rsid w:val="3F934C4B"/>
    <w:rsid w:val="3FCE0692"/>
    <w:rsid w:val="4153424B"/>
    <w:rsid w:val="44066257"/>
    <w:rsid w:val="474520F4"/>
    <w:rsid w:val="545B6D39"/>
    <w:rsid w:val="57E64161"/>
    <w:rsid w:val="5DAD6B2F"/>
    <w:rsid w:val="6014546F"/>
    <w:rsid w:val="62690718"/>
    <w:rsid w:val="68177A45"/>
    <w:rsid w:val="69A433E0"/>
    <w:rsid w:val="6A36416C"/>
    <w:rsid w:val="6A3B3D8A"/>
    <w:rsid w:val="6BB25576"/>
    <w:rsid w:val="6D97652F"/>
    <w:rsid w:val="6F2E15A4"/>
    <w:rsid w:val="74E41BEE"/>
    <w:rsid w:val="765D1ECD"/>
    <w:rsid w:val="795E519E"/>
    <w:rsid w:val="79C66659"/>
    <w:rsid w:val="7A4A6662"/>
    <w:rsid w:val="7B5C7795"/>
    <w:rsid w:val="7F424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nhideWhenUsed="0" w:uiPriority="99" w:semiHidden="0" w:name="footer"/>
    <w:lsdException w:qFormat="1" w:unhideWhenUsed="0" w:uiPriority="0" w:semiHidden="0" w:name="index heading"/>
    <w:lsdException w:qFormat="1" w:uiPriority="0" w:semiHidden="0" w:name="caption"/>
    <w:lsdException w:qFormat="1" w:unhideWhenUsed="0" w:uiPriority="99"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0" w:semiHidden="0"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iPriority="99"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59"/>
    <w:qFormat/>
    <w:uiPriority w:val="0"/>
    <w:pPr>
      <w:keepNext/>
      <w:widowControl w:val="0"/>
      <w:overflowPunct w:val="0"/>
      <w:adjustRightInd w:val="0"/>
      <w:snapToGrid w:val="0"/>
      <w:jc w:val="both"/>
      <w:outlineLvl w:val="0"/>
    </w:pPr>
    <w:rPr>
      <w:rFonts w:ascii="Times New Roman" w:hAnsi="Times New Roman" w:eastAsia="黑体" w:cs="Times New Roman"/>
      <w:b/>
      <w:bCs/>
      <w:color w:val="000000"/>
      <w:kern w:val="44"/>
      <w:sz w:val="28"/>
      <w:szCs w:val="30"/>
    </w:rPr>
  </w:style>
  <w:style w:type="paragraph" w:styleId="3">
    <w:name w:val="heading 2"/>
    <w:basedOn w:val="1"/>
    <w:next w:val="1"/>
    <w:link w:val="60"/>
    <w:qFormat/>
    <w:uiPriority w:val="0"/>
    <w:pPr>
      <w:keepNext/>
      <w:keepLines/>
      <w:widowControl w:val="0"/>
      <w:adjustRightInd w:val="0"/>
      <w:snapToGrid w:val="0"/>
      <w:jc w:val="both"/>
      <w:outlineLvl w:val="1"/>
    </w:pPr>
    <w:rPr>
      <w:rFonts w:ascii="Arial" w:hAnsi="Arial" w:eastAsia="宋体" w:cs="Times New Roman"/>
      <w:b/>
    </w:rPr>
  </w:style>
  <w:style w:type="paragraph" w:styleId="4">
    <w:name w:val="heading 3"/>
    <w:next w:val="1"/>
    <w:link w:val="61"/>
    <w:unhideWhenUsed/>
    <w:qFormat/>
    <w:uiPriority w:val="0"/>
    <w:pPr>
      <w:keepNext/>
      <w:keepLines/>
      <w:widowControl w:val="0"/>
      <w:adjustRightInd w:val="0"/>
      <w:snapToGrid w:val="0"/>
      <w:spacing w:line="360" w:lineRule="auto"/>
      <w:outlineLvl w:val="2"/>
    </w:pPr>
    <w:rPr>
      <w:rFonts w:ascii="Times New Roman" w:hAnsi="Times New Roman" w:eastAsia="宋体" w:cs="Times New Roman"/>
      <w:b/>
      <w:kern w:val="2"/>
      <w:sz w:val="24"/>
      <w:szCs w:val="24"/>
      <w:lang w:val="en-US" w:eastAsia="zh-CN" w:bidi="ar-SA"/>
    </w:rPr>
  </w:style>
  <w:style w:type="paragraph" w:styleId="5">
    <w:name w:val="heading 4"/>
    <w:basedOn w:val="1"/>
    <w:next w:val="1"/>
    <w:link w:val="62"/>
    <w:unhideWhenUsed/>
    <w:qFormat/>
    <w:uiPriority w:val="0"/>
    <w:pPr>
      <w:keepNext/>
      <w:keepLines/>
      <w:widowControl w:val="0"/>
      <w:adjustRightInd w:val="0"/>
      <w:snapToGrid w:val="0"/>
      <w:outlineLvl w:val="3"/>
    </w:pPr>
    <w:rPr>
      <w:rFonts w:asciiTheme="majorHAnsi" w:hAnsiTheme="majorHAnsi" w:eastAsiaTheme="majorEastAsia" w:cstheme="majorBidi"/>
      <w:b/>
      <w:bCs/>
      <w:szCs w:val="28"/>
    </w:rPr>
  </w:style>
  <w:style w:type="paragraph" w:styleId="6">
    <w:name w:val="heading 5"/>
    <w:basedOn w:val="1"/>
    <w:next w:val="1"/>
    <w:link w:val="185"/>
    <w:unhideWhenUsed/>
    <w:qFormat/>
    <w:uiPriority w:val="0"/>
    <w:pPr>
      <w:keepNext/>
      <w:keepLines/>
      <w:spacing w:before="280" w:after="290" w:line="376" w:lineRule="auto"/>
      <w:outlineLvl w:val="4"/>
    </w:pPr>
    <w:rPr>
      <w:b/>
      <w:bCs/>
      <w:sz w:val="28"/>
      <w:szCs w:val="28"/>
    </w:rPr>
  </w:style>
  <w:style w:type="paragraph" w:styleId="7">
    <w:name w:val="heading 6"/>
    <w:basedOn w:val="1"/>
    <w:next w:val="1"/>
    <w:link w:val="194"/>
    <w:qFormat/>
    <w:uiPriority w:val="0"/>
    <w:pPr>
      <w:keepNext/>
      <w:keepLines/>
      <w:adjustRightInd w:val="0"/>
      <w:snapToGrid w:val="0"/>
      <w:spacing w:before="240" w:after="64" w:line="320" w:lineRule="auto"/>
      <w:jc w:val="both"/>
      <w:outlineLvl w:val="5"/>
    </w:pPr>
    <w:rPr>
      <w:rFonts w:ascii="Arial" w:hAnsi="Arial" w:eastAsia="黑体" w:cs="Times New Roman"/>
      <w:b/>
      <w:snapToGrid w:val="0"/>
      <w:kern w:val="0"/>
      <w:szCs w:val="20"/>
    </w:rPr>
  </w:style>
  <w:style w:type="paragraph" w:styleId="8">
    <w:name w:val="heading 7"/>
    <w:basedOn w:val="1"/>
    <w:next w:val="9"/>
    <w:link w:val="195"/>
    <w:qFormat/>
    <w:uiPriority w:val="0"/>
    <w:pPr>
      <w:keepNext/>
      <w:keepLines/>
      <w:adjustRightInd w:val="0"/>
      <w:snapToGrid w:val="0"/>
      <w:spacing w:before="240" w:after="64" w:line="320" w:lineRule="auto"/>
      <w:jc w:val="both"/>
      <w:outlineLvl w:val="6"/>
    </w:pPr>
    <w:rPr>
      <w:rFonts w:ascii="宋体" w:hAnsi="Garamond" w:eastAsia="宋体" w:cs="Times New Roman"/>
      <w:b/>
      <w:snapToGrid w:val="0"/>
      <w:kern w:val="0"/>
      <w:szCs w:val="20"/>
    </w:rPr>
  </w:style>
  <w:style w:type="paragraph" w:styleId="10">
    <w:name w:val="heading 8"/>
    <w:basedOn w:val="1"/>
    <w:next w:val="9"/>
    <w:link w:val="196"/>
    <w:qFormat/>
    <w:uiPriority w:val="0"/>
    <w:pPr>
      <w:keepNext/>
      <w:keepLines/>
      <w:adjustRightInd w:val="0"/>
      <w:snapToGrid w:val="0"/>
      <w:spacing w:before="240" w:after="64" w:line="320" w:lineRule="auto"/>
      <w:jc w:val="both"/>
      <w:outlineLvl w:val="7"/>
    </w:pPr>
    <w:rPr>
      <w:rFonts w:ascii="Arial" w:hAnsi="Arial" w:eastAsia="黑体" w:cs="Times New Roman"/>
      <w:snapToGrid w:val="0"/>
      <w:kern w:val="0"/>
      <w:szCs w:val="20"/>
    </w:rPr>
  </w:style>
  <w:style w:type="paragraph" w:styleId="11">
    <w:name w:val="heading 9"/>
    <w:basedOn w:val="1"/>
    <w:next w:val="9"/>
    <w:link w:val="197"/>
    <w:qFormat/>
    <w:uiPriority w:val="0"/>
    <w:pPr>
      <w:keepNext/>
      <w:keepLines/>
      <w:adjustRightInd w:val="0"/>
      <w:snapToGrid w:val="0"/>
      <w:spacing w:before="240" w:after="64" w:line="320" w:lineRule="auto"/>
      <w:jc w:val="both"/>
      <w:outlineLvl w:val="8"/>
    </w:pPr>
    <w:rPr>
      <w:rFonts w:ascii="Arial" w:hAnsi="Arial" w:eastAsia="黑体" w:cs="Times New Roman"/>
      <w:snapToGrid w:val="0"/>
      <w:kern w:val="0"/>
      <w:sz w:val="28"/>
      <w:szCs w:val="20"/>
    </w:rPr>
  </w:style>
  <w:style w:type="character" w:default="1" w:styleId="47">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9">
    <w:name w:val="Normal Indent"/>
    <w:basedOn w:val="1"/>
    <w:qFormat/>
    <w:uiPriority w:val="0"/>
    <w:pPr>
      <w:widowControl w:val="0"/>
      <w:spacing w:line="240" w:lineRule="auto"/>
      <w:ind w:firstLine="420"/>
      <w:jc w:val="both"/>
    </w:pPr>
    <w:rPr>
      <w:rFonts w:ascii="Times New Roman" w:hAnsi="Times New Roman" w:eastAsia="宋体" w:cs="Times New Roman"/>
      <w:sz w:val="28"/>
      <w:szCs w:val="20"/>
    </w:rPr>
  </w:style>
  <w:style w:type="paragraph" w:styleId="12">
    <w:name w:val="toc 7"/>
    <w:basedOn w:val="1"/>
    <w:next w:val="1"/>
    <w:qFormat/>
    <w:uiPriority w:val="39"/>
    <w:pPr>
      <w:widowControl w:val="0"/>
      <w:spacing w:line="240" w:lineRule="auto"/>
      <w:ind w:left="2520" w:leftChars="1200"/>
      <w:jc w:val="both"/>
    </w:pPr>
    <w:rPr>
      <w:rFonts w:ascii="Times New Roman" w:hAnsi="Times New Roman" w:eastAsia="宋体" w:cs="Times New Roman"/>
      <w:sz w:val="28"/>
    </w:rPr>
  </w:style>
  <w:style w:type="paragraph" w:styleId="13">
    <w:name w:val="table of authorities"/>
    <w:basedOn w:val="1"/>
    <w:next w:val="1"/>
    <w:unhideWhenUsed/>
    <w:qFormat/>
    <w:uiPriority w:val="0"/>
    <w:pPr>
      <w:ind w:left="420" w:leftChars="200"/>
    </w:pPr>
  </w:style>
  <w:style w:type="paragraph" w:styleId="14">
    <w:name w:val="caption"/>
    <w:basedOn w:val="1"/>
    <w:next w:val="1"/>
    <w:link w:val="239"/>
    <w:unhideWhenUsed/>
    <w:qFormat/>
    <w:uiPriority w:val="0"/>
    <w:pPr>
      <w:widowControl w:val="0"/>
      <w:jc w:val="center"/>
    </w:pPr>
    <w:rPr>
      <w:rFonts w:asciiTheme="majorHAnsi" w:hAnsiTheme="majorHAnsi" w:eastAsiaTheme="majorEastAsia" w:cstheme="majorBidi"/>
      <w:szCs w:val="20"/>
    </w:rPr>
  </w:style>
  <w:style w:type="paragraph" w:styleId="15">
    <w:name w:val="Document Map"/>
    <w:basedOn w:val="1"/>
    <w:link w:val="139"/>
    <w:semiHidden/>
    <w:unhideWhenUsed/>
    <w:qFormat/>
    <w:uiPriority w:val="0"/>
    <w:pPr>
      <w:widowControl w:val="0"/>
      <w:spacing w:line="240" w:lineRule="auto"/>
      <w:jc w:val="both"/>
    </w:pPr>
    <w:rPr>
      <w:rFonts w:ascii="宋体" w:hAnsi="Times New Roman" w:eastAsia="宋体" w:cs="Times New Roman"/>
      <w:sz w:val="18"/>
      <w:szCs w:val="18"/>
    </w:rPr>
  </w:style>
  <w:style w:type="paragraph" w:styleId="16">
    <w:name w:val="toa heading"/>
    <w:basedOn w:val="1"/>
    <w:next w:val="1"/>
    <w:qFormat/>
    <w:uiPriority w:val="0"/>
    <w:pPr>
      <w:widowControl w:val="0"/>
      <w:spacing w:before="120" w:line="240" w:lineRule="auto"/>
      <w:jc w:val="both"/>
    </w:pPr>
    <w:rPr>
      <w:rFonts w:ascii="Arial" w:hAnsi="Arial" w:eastAsia="宋体" w:cs="Arial"/>
      <w:sz w:val="21"/>
    </w:rPr>
  </w:style>
  <w:style w:type="paragraph" w:styleId="17">
    <w:name w:val="annotation text"/>
    <w:basedOn w:val="1"/>
    <w:link w:val="64"/>
    <w:qFormat/>
    <w:uiPriority w:val="0"/>
    <w:pPr>
      <w:widowControl w:val="0"/>
      <w:spacing w:line="240" w:lineRule="auto"/>
    </w:pPr>
    <w:rPr>
      <w:rFonts w:ascii="Times New Roman" w:hAnsi="Times New Roman" w:eastAsia="宋体" w:cs="Times New Roman"/>
      <w:kern w:val="0"/>
      <w:szCs w:val="20"/>
    </w:rPr>
  </w:style>
  <w:style w:type="paragraph" w:styleId="18">
    <w:name w:val="Body Text"/>
    <w:basedOn w:val="1"/>
    <w:next w:val="1"/>
    <w:link w:val="65"/>
    <w:qFormat/>
    <w:uiPriority w:val="0"/>
    <w:pPr>
      <w:snapToGrid w:val="0"/>
      <w:spacing w:before="60" w:after="160" w:line="259" w:lineRule="auto"/>
      <w:ind w:right="113"/>
      <w:jc w:val="both"/>
    </w:pPr>
    <w:rPr>
      <w:rFonts w:ascii="Times New Roman" w:hAnsi="Times New Roman" w:eastAsia="宋体" w:cs="Times New Roman"/>
      <w:kern w:val="0"/>
      <w:sz w:val="18"/>
      <w:szCs w:val="20"/>
    </w:rPr>
  </w:style>
  <w:style w:type="paragraph" w:styleId="19">
    <w:name w:val="Body Text Indent"/>
    <w:basedOn w:val="1"/>
    <w:next w:val="20"/>
    <w:link w:val="66"/>
    <w:qFormat/>
    <w:uiPriority w:val="0"/>
    <w:pPr>
      <w:widowControl w:val="0"/>
      <w:spacing w:after="120" w:line="240" w:lineRule="auto"/>
      <w:ind w:left="420" w:leftChars="200"/>
      <w:jc w:val="both"/>
    </w:pPr>
    <w:rPr>
      <w:rFonts w:ascii="Times New Roman" w:hAnsi="Times New Roman" w:eastAsia="宋体" w:cs="Times New Roman"/>
      <w:kern w:val="0"/>
      <w:szCs w:val="20"/>
    </w:rPr>
  </w:style>
  <w:style w:type="paragraph" w:styleId="20">
    <w:name w:val="footer"/>
    <w:basedOn w:val="1"/>
    <w:link w:val="86"/>
    <w:qFormat/>
    <w:uiPriority w:val="99"/>
    <w:pPr>
      <w:widowControl w:val="0"/>
      <w:tabs>
        <w:tab w:val="center" w:pos="4153"/>
        <w:tab w:val="right" w:pos="8306"/>
      </w:tabs>
      <w:snapToGrid w:val="0"/>
      <w:spacing w:line="240" w:lineRule="auto"/>
    </w:pPr>
    <w:rPr>
      <w:rFonts w:ascii="Times New Roman" w:hAnsi="Times New Roman" w:eastAsia="宋体" w:cs="Times New Roman"/>
      <w:kern w:val="0"/>
      <w:sz w:val="18"/>
      <w:szCs w:val="20"/>
    </w:rPr>
  </w:style>
  <w:style w:type="paragraph" w:styleId="21">
    <w:name w:val="Block Text"/>
    <w:basedOn w:val="1"/>
    <w:semiHidden/>
    <w:unhideWhenUsed/>
    <w:qFormat/>
    <w:uiPriority w:val="99"/>
    <w:pPr>
      <w:widowControl w:val="0"/>
      <w:spacing w:after="120" w:line="240" w:lineRule="auto"/>
      <w:ind w:left="1440" w:leftChars="700" w:right="1440" w:rightChars="700"/>
      <w:jc w:val="both"/>
    </w:pPr>
    <w:rPr>
      <w:rFonts w:ascii="Times New Roman" w:hAnsi="Times New Roman" w:eastAsia="宋体" w:cs="Times New Roman"/>
    </w:rPr>
  </w:style>
  <w:style w:type="paragraph" w:styleId="22">
    <w:name w:val="toc 5"/>
    <w:basedOn w:val="1"/>
    <w:next w:val="1"/>
    <w:qFormat/>
    <w:uiPriority w:val="39"/>
    <w:pPr>
      <w:widowControl w:val="0"/>
      <w:spacing w:line="240" w:lineRule="auto"/>
      <w:ind w:left="1680" w:leftChars="800"/>
      <w:jc w:val="both"/>
    </w:pPr>
    <w:rPr>
      <w:rFonts w:ascii="Times New Roman" w:hAnsi="Times New Roman" w:eastAsia="宋体" w:cs="Times New Roman"/>
      <w:sz w:val="28"/>
    </w:rPr>
  </w:style>
  <w:style w:type="paragraph" w:styleId="23">
    <w:name w:val="toc 3"/>
    <w:next w:val="1"/>
    <w:unhideWhenUsed/>
    <w:qFormat/>
    <w:uiPriority w:val="39"/>
    <w:pPr>
      <w:widowControl w:val="0"/>
      <w:spacing w:line="300" w:lineRule="auto"/>
      <w:ind w:left="200" w:leftChars="200" w:right="100" w:rightChars="100"/>
    </w:pPr>
    <w:rPr>
      <w:rFonts w:ascii="Calibri" w:hAnsi="Calibri" w:eastAsia="楷体_GB2312" w:cs="Times New Roman"/>
      <w:kern w:val="2"/>
      <w:sz w:val="24"/>
      <w:szCs w:val="22"/>
      <w:lang w:val="en-US" w:eastAsia="zh-CN" w:bidi="ar-SA"/>
    </w:rPr>
  </w:style>
  <w:style w:type="paragraph" w:styleId="24">
    <w:name w:val="Plain Text"/>
    <w:basedOn w:val="1"/>
    <w:next w:val="1"/>
    <w:link w:val="68"/>
    <w:qFormat/>
    <w:uiPriority w:val="0"/>
    <w:pPr>
      <w:widowControl w:val="0"/>
      <w:spacing w:line="240" w:lineRule="auto"/>
      <w:jc w:val="both"/>
    </w:pPr>
    <w:rPr>
      <w:rFonts w:ascii="宋体" w:hAnsi="Courier New" w:eastAsia="宋体" w:cs="Times New Roman"/>
      <w:sz w:val="21"/>
    </w:rPr>
  </w:style>
  <w:style w:type="paragraph" w:styleId="25">
    <w:name w:val="toc 8"/>
    <w:basedOn w:val="1"/>
    <w:next w:val="1"/>
    <w:qFormat/>
    <w:uiPriority w:val="39"/>
    <w:pPr>
      <w:widowControl w:val="0"/>
      <w:spacing w:line="240" w:lineRule="auto"/>
      <w:ind w:left="2940" w:leftChars="1400"/>
      <w:jc w:val="both"/>
    </w:pPr>
    <w:rPr>
      <w:rFonts w:ascii="Times New Roman" w:hAnsi="Times New Roman" w:eastAsia="宋体" w:cs="Times New Roman"/>
      <w:sz w:val="28"/>
    </w:rPr>
  </w:style>
  <w:style w:type="paragraph" w:styleId="26">
    <w:name w:val="Date"/>
    <w:basedOn w:val="1"/>
    <w:next w:val="1"/>
    <w:link w:val="87"/>
    <w:qFormat/>
    <w:uiPriority w:val="0"/>
    <w:pPr>
      <w:widowControl w:val="0"/>
      <w:spacing w:line="240" w:lineRule="auto"/>
      <w:ind w:left="100" w:leftChars="2500"/>
      <w:jc w:val="both"/>
    </w:pPr>
    <w:rPr>
      <w:rFonts w:ascii="Times New Roman" w:hAnsi="Times New Roman" w:eastAsia="宋体" w:cs="Times New Roman"/>
      <w:kern w:val="0"/>
      <w:szCs w:val="20"/>
    </w:rPr>
  </w:style>
  <w:style w:type="paragraph" w:styleId="27">
    <w:name w:val="Body Text Indent 2"/>
    <w:basedOn w:val="1"/>
    <w:next w:val="1"/>
    <w:link w:val="70"/>
    <w:qFormat/>
    <w:uiPriority w:val="0"/>
    <w:pPr>
      <w:widowControl w:val="0"/>
      <w:adjustRightInd w:val="0"/>
      <w:snapToGrid w:val="0"/>
      <w:spacing w:line="440" w:lineRule="atLeast"/>
      <w:ind w:firstLine="573"/>
      <w:jc w:val="both"/>
    </w:pPr>
    <w:rPr>
      <w:rFonts w:ascii="宋体" w:hAnsi="Times New Roman" w:eastAsia="宋体" w:cs="Times New Roman"/>
      <w:sz w:val="21"/>
    </w:rPr>
  </w:style>
  <w:style w:type="paragraph" w:styleId="28">
    <w:name w:val="Balloon Text"/>
    <w:basedOn w:val="1"/>
    <w:link w:val="71"/>
    <w:semiHidden/>
    <w:qFormat/>
    <w:uiPriority w:val="0"/>
    <w:pPr>
      <w:widowControl w:val="0"/>
      <w:spacing w:line="240" w:lineRule="auto"/>
      <w:jc w:val="both"/>
    </w:pPr>
    <w:rPr>
      <w:rFonts w:ascii="Times New Roman" w:hAnsi="Times New Roman" w:eastAsia="宋体" w:cs="Times New Roman"/>
      <w:kern w:val="0"/>
      <w:sz w:val="18"/>
      <w:szCs w:val="20"/>
    </w:rPr>
  </w:style>
  <w:style w:type="paragraph" w:styleId="29">
    <w:name w:val="header"/>
    <w:basedOn w:val="1"/>
    <w:link w:val="63"/>
    <w:unhideWhenUsed/>
    <w:qFormat/>
    <w:uiPriority w:val="99"/>
    <w:pPr>
      <w:widowControl w:val="0"/>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sz w:val="18"/>
      <w:szCs w:val="18"/>
    </w:rPr>
  </w:style>
  <w:style w:type="paragraph" w:styleId="30">
    <w:name w:val="toc 1"/>
    <w:next w:val="13"/>
    <w:unhideWhenUsed/>
    <w:qFormat/>
    <w:uiPriority w:val="39"/>
    <w:pPr>
      <w:widowControl w:val="0"/>
      <w:spacing w:before="120" w:after="120"/>
    </w:pPr>
    <w:rPr>
      <w:rFonts w:hint="eastAsia" w:ascii="Times New Roman" w:hAnsi="Times New Roman" w:eastAsia="宋体" w:cs="Times New Roman"/>
      <w:b/>
      <w:caps/>
      <w:kern w:val="2"/>
      <w:szCs w:val="24"/>
      <w:lang w:val="en-US" w:eastAsia="zh-CN" w:bidi="ar-SA"/>
    </w:rPr>
  </w:style>
  <w:style w:type="paragraph" w:styleId="31">
    <w:name w:val="toc 4"/>
    <w:basedOn w:val="1"/>
    <w:next w:val="1"/>
    <w:qFormat/>
    <w:uiPriority w:val="39"/>
    <w:pPr>
      <w:widowControl w:val="0"/>
      <w:spacing w:line="240" w:lineRule="auto"/>
      <w:ind w:left="1260" w:leftChars="600"/>
      <w:jc w:val="both"/>
    </w:pPr>
    <w:rPr>
      <w:rFonts w:ascii="Times New Roman" w:hAnsi="Times New Roman" w:eastAsia="宋体" w:cs="Times New Roman"/>
      <w:sz w:val="28"/>
    </w:rPr>
  </w:style>
  <w:style w:type="paragraph" w:styleId="32">
    <w:name w:val="index heading"/>
    <w:basedOn w:val="1"/>
    <w:next w:val="33"/>
    <w:qFormat/>
    <w:uiPriority w:val="0"/>
    <w:pPr>
      <w:widowControl w:val="0"/>
      <w:spacing w:line="240" w:lineRule="auto"/>
      <w:jc w:val="both"/>
    </w:pPr>
    <w:rPr>
      <w:rFonts w:ascii="Times New Roman" w:hAnsi="Times New Roman" w:eastAsia="宋体" w:cs="Times New Roman"/>
      <w:sz w:val="21"/>
      <w:szCs w:val="20"/>
    </w:rPr>
  </w:style>
  <w:style w:type="paragraph" w:styleId="33">
    <w:name w:val="index 1"/>
    <w:basedOn w:val="1"/>
    <w:next w:val="1"/>
    <w:semiHidden/>
    <w:unhideWhenUsed/>
    <w:qFormat/>
    <w:uiPriority w:val="0"/>
    <w:pPr>
      <w:widowControl w:val="0"/>
      <w:spacing w:line="240" w:lineRule="auto"/>
      <w:jc w:val="both"/>
    </w:pPr>
    <w:rPr>
      <w:rFonts w:ascii="Times New Roman" w:hAnsi="Times New Roman" w:eastAsia="宋体" w:cs="Times New Roman"/>
      <w:sz w:val="21"/>
    </w:rPr>
  </w:style>
  <w:style w:type="paragraph" w:styleId="34">
    <w:name w:val="toc 6"/>
    <w:basedOn w:val="1"/>
    <w:next w:val="1"/>
    <w:qFormat/>
    <w:uiPriority w:val="39"/>
    <w:pPr>
      <w:widowControl w:val="0"/>
      <w:spacing w:line="240" w:lineRule="auto"/>
      <w:ind w:left="2100" w:leftChars="1000"/>
      <w:jc w:val="both"/>
    </w:pPr>
    <w:rPr>
      <w:rFonts w:ascii="Times New Roman" w:hAnsi="Times New Roman" w:eastAsia="宋体" w:cs="Times New Roman"/>
      <w:sz w:val="28"/>
    </w:rPr>
  </w:style>
  <w:style w:type="paragraph" w:styleId="35">
    <w:name w:val="Body Text Indent 3"/>
    <w:basedOn w:val="1"/>
    <w:link w:val="224"/>
    <w:qFormat/>
    <w:uiPriority w:val="0"/>
    <w:pPr>
      <w:widowControl w:val="0"/>
      <w:spacing w:line="240" w:lineRule="auto"/>
      <w:ind w:left="1890" w:hanging="1320"/>
      <w:jc w:val="both"/>
    </w:pPr>
    <w:rPr>
      <w:rFonts w:ascii="Times New Roman" w:hAnsi="Times New Roman" w:eastAsia="宋体" w:cs="Times New Roman"/>
      <w:sz w:val="28"/>
    </w:rPr>
  </w:style>
  <w:style w:type="paragraph" w:styleId="36">
    <w:name w:val="table of figures"/>
    <w:next w:val="1"/>
    <w:qFormat/>
    <w:uiPriority w:val="99"/>
    <w:pPr>
      <w:widowControl w:val="0"/>
      <w:ind w:left="200" w:leftChars="200" w:hanging="200" w:hangingChars="200"/>
      <w:jc w:val="both"/>
    </w:pPr>
    <w:rPr>
      <w:rFonts w:ascii="Times New Roman" w:hAnsi="Times New Roman" w:eastAsia="宋体" w:cs="Times New Roman"/>
      <w:kern w:val="2"/>
      <w:sz w:val="21"/>
      <w:szCs w:val="24"/>
      <w:lang w:val="en-US" w:eastAsia="zh-CN" w:bidi="ar-SA"/>
    </w:rPr>
  </w:style>
  <w:style w:type="paragraph" w:styleId="37">
    <w:name w:val="toc 2"/>
    <w:next w:val="23"/>
    <w:unhideWhenUsed/>
    <w:qFormat/>
    <w:uiPriority w:val="39"/>
    <w:pPr>
      <w:tabs>
        <w:tab w:val="right" w:leader="dot" w:pos="8494"/>
      </w:tabs>
      <w:spacing w:line="300" w:lineRule="auto"/>
      <w:ind w:left="240" w:leftChars="100"/>
      <w:jc w:val="both"/>
    </w:pPr>
    <w:rPr>
      <w:rFonts w:ascii="楷体_GB2312" w:hAnsi="Times New Roman" w:eastAsia="宋体" w:cs="Times New Roman"/>
      <w:sz w:val="24"/>
      <w:szCs w:val="24"/>
      <w:lang w:val="en-US" w:eastAsia="zh-CN" w:bidi="ar-SA"/>
    </w:rPr>
  </w:style>
  <w:style w:type="paragraph" w:styleId="38">
    <w:name w:val="toc 9"/>
    <w:basedOn w:val="1"/>
    <w:next w:val="1"/>
    <w:qFormat/>
    <w:uiPriority w:val="39"/>
    <w:pPr>
      <w:widowControl w:val="0"/>
      <w:spacing w:line="240" w:lineRule="auto"/>
      <w:ind w:left="3360" w:leftChars="1600"/>
      <w:jc w:val="both"/>
    </w:pPr>
    <w:rPr>
      <w:rFonts w:ascii="Times New Roman" w:hAnsi="Times New Roman" w:eastAsia="宋体" w:cs="Times New Roman"/>
      <w:sz w:val="28"/>
    </w:rPr>
  </w:style>
  <w:style w:type="paragraph" w:styleId="39">
    <w:name w:val="Body Text 2"/>
    <w:basedOn w:val="1"/>
    <w:link w:val="225"/>
    <w:qFormat/>
    <w:uiPriority w:val="0"/>
    <w:pPr>
      <w:widowControl w:val="0"/>
      <w:jc w:val="center"/>
    </w:pPr>
    <w:rPr>
      <w:rFonts w:ascii="Times New Roman" w:hAnsi="Times New Roman" w:eastAsia="宋体" w:cs="Times New Roman"/>
      <w:szCs w:val="20"/>
    </w:rPr>
  </w:style>
  <w:style w:type="paragraph" w:styleId="40">
    <w:name w:val="Normal (Web)"/>
    <w:basedOn w:val="1"/>
    <w:link w:val="88"/>
    <w:qFormat/>
    <w:uiPriority w:val="0"/>
    <w:pPr>
      <w:spacing w:before="100" w:beforeAutospacing="1" w:after="100" w:afterAutospacing="1" w:line="240" w:lineRule="auto"/>
    </w:pPr>
    <w:rPr>
      <w:rFonts w:ascii="宋体" w:hAnsi="宋体" w:eastAsia="宋体" w:cs="Times New Roman"/>
      <w:kern w:val="0"/>
      <w:szCs w:val="20"/>
    </w:rPr>
  </w:style>
  <w:style w:type="paragraph" w:styleId="41">
    <w:name w:val="annotation subject"/>
    <w:basedOn w:val="17"/>
    <w:next w:val="17"/>
    <w:link w:val="72"/>
    <w:qFormat/>
    <w:uiPriority w:val="0"/>
    <w:rPr>
      <w:b/>
    </w:rPr>
  </w:style>
  <w:style w:type="paragraph" w:styleId="42">
    <w:name w:val="Body Text First Indent"/>
    <w:basedOn w:val="18"/>
    <w:link w:val="73"/>
    <w:qFormat/>
    <w:uiPriority w:val="0"/>
    <w:pPr>
      <w:spacing w:line="360" w:lineRule="auto"/>
      <w:ind w:firstLine="420" w:firstLineChars="100"/>
    </w:pPr>
    <w:rPr>
      <w:sz w:val="21"/>
      <w:szCs w:val="21"/>
    </w:rPr>
  </w:style>
  <w:style w:type="paragraph" w:styleId="43">
    <w:name w:val="Body Text First Indent 2"/>
    <w:basedOn w:val="19"/>
    <w:next w:val="1"/>
    <w:link w:val="74"/>
    <w:qFormat/>
    <w:uiPriority w:val="0"/>
    <w:pPr>
      <w:tabs>
        <w:tab w:val="left" w:pos="420"/>
        <w:tab w:val="left" w:pos="870"/>
        <w:tab w:val="left" w:pos="3150"/>
      </w:tabs>
      <w:autoSpaceDE w:val="0"/>
      <w:autoSpaceDN w:val="0"/>
      <w:adjustRightInd w:val="0"/>
      <w:spacing w:after="0" w:line="360" w:lineRule="auto"/>
      <w:ind w:left="0" w:leftChars="0" w:firstLine="567"/>
      <w:textAlignment w:val="baseline"/>
    </w:pPr>
    <w:rPr>
      <w:rFonts w:ascii="宋体"/>
      <w:szCs w:val="28"/>
    </w:rPr>
  </w:style>
  <w:style w:type="table" w:styleId="45">
    <w:name w:val="Table Grid"/>
    <w:basedOn w:val="4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6">
    <w:name w:val="Table Theme"/>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qFormat/>
    <w:uiPriority w:val="0"/>
    <w:rPr>
      <w:b/>
    </w:rPr>
  </w:style>
  <w:style w:type="character" w:styleId="49">
    <w:name w:val="page number"/>
    <w:basedOn w:val="47"/>
    <w:qFormat/>
    <w:uiPriority w:val="0"/>
  </w:style>
  <w:style w:type="character" w:styleId="50">
    <w:name w:val="FollowedHyperlink"/>
    <w:qFormat/>
    <w:uiPriority w:val="0"/>
    <w:rPr>
      <w:color w:val="800080"/>
      <w:u w:val="single"/>
    </w:rPr>
  </w:style>
  <w:style w:type="character" w:styleId="51">
    <w:name w:val="Hyperlink"/>
    <w:basedOn w:val="47"/>
    <w:unhideWhenUsed/>
    <w:qFormat/>
    <w:uiPriority w:val="99"/>
    <w:rPr>
      <w:color w:val="0563C1" w:themeColor="hyperlink"/>
      <w:u w:val="single"/>
      <w14:textFill>
        <w14:solidFill>
          <w14:schemeClr w14:val="hlink"/>
        </w14:solidFill>
      </w14:textFill>
    </w:rPr>
  </w:style>
  <w:style w:type="character" w:styleId="52">
    <w:name w:val="annotation reference"/>
    <w:qFormat/>
    <w:uiPriority w:val="0"/>
    <w:rPr>
      <w:sz w:val="21"/>
    </w:rPr>
  </w:style>
  <w:style w:type="paragraph" w:customStyle="1" w:styleId="53">
    <w:name w:val="++++正文正文正文"/>
    <w:basedOn w:val="1"/>
    <w:link w:val="54"/>
    <w:qFormat/>
    <w:uiPriority w:val="0"/>
    <w:pPr>
      <w:widowControl w:val="0"/>
      <w:autoSpaceDE w:val="0"/>
      <w:autoSpaceDN w:val="0"/>
      <w:adjustRightInd w:val="0"/>
      <w:ind w:firstLine="200" w:firstLineChars="200"/>
      <w:jc w:val="both"/>
    </w:pPr>
    <w:rPr>
      <w:rFonts w:ascii="Times New Roman" w:hAnsi="Times New Roman" w:eastAsia="宋体" w:cs="Times New Roman"/>
      <w:szCs w:val="20"/>
    </w:rPr>
  </w:style>
  <w:style w:type="character" w:customStyle="1" w:styleId="54">
    <w:name w:val="++++正文正文正文 Char"/>
    <w:link w:val="53"/>
    <w:qFormat/>
    <w:uiPriority w:val="0"/>
    <w:rPr>
      <w:kern w:val="2"/>
      <w:sz w:val="24"/>
    </w:rPr>
  </w:style>
  <w:style w:type="table" w:customStyle="1" w:styleId="55">
    <w:name w:val="浅色底纹1"/>
    <w:basedOn w:val="44"/>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paragraph" w:customStyle="1" w:styleId="56">
    <w:name w:val="表格"/>
    <w:basedOn w:val="1"/>
    <w:next w:val="1"/>
    <w:link w:val="57"/>
    <w:qFormat/>
    <w:uiPriority w:val="0"/>
    <w:pPr>
      <w:widowControl w:val="0"/>
      <w:spacing w:line="240" w:lineRule="auto"/>
      <w:jc w:val="center"/>
    </w:pPr>
    <w:rPr>
      <w:rFonts w:ascii="Times New Roman" w:hAnsi="Times New Roman" w:eastAsia="宋体" w:cs="Times New Roman"/>
      <w:sz w:val="21"/>
      <w:lang w:val="zh-CN"/>
    </w:rPr>
  </w:style>
  <w:style w:type="character" w:customStyle="1" w:styleId="57">
    <w:name w:val="表格 Char Char"/>
    <w:link w:val="56"/>
    <w:qFormat/>
    <w:uiPriority w:val="0"/>
    <w:rPr>
      <w:rFonts w:ascii="Times New Roman" w:hAnsi="Times New Roman" w:eastAsia="宋体" w:cs="Times New Roman"/>
      <w:sz w:val="21"/>
      <w:lang w:val="zh-CN" w:eastAsia="zh-CN"/>
    </w:rPr>
  </w:style>
  <w:style w:type="table" w:customStyle="1" w:styleId="58">
    <w:name w:val="报告书表"/>
    <w:basedOn w:val="44"/>
    <w:qFormat/>
    <w:uiPriority w:val="0"/>
    <w:pPr>
      <w:jc w:val="center"/>
    </w:pPr>
    <w:tblPr>
      <w:tblBorders>
        <w:top w:val="single" w:color="auto" w:sz="12" w:space="0"/>
        <w:bottom w:val="single" w:color="auto" w:sz="12" w:space="0"/>
        <w:insideH w:val="single" w:color="auto" w:sz="4" w:space="0"/>
        <w:insideV w:val="single" w:color="auto" w:sz="4" w:space="0"/>
      </w:tblBorders>
      <w:tblCellMar>
        <w:left w:w="28" w:type="dxa"/>
        <w:right w:w="28" w:type="dxa"/>
      </w:tblCellMar>
    </w:tblPr>
    <w:tcPr>
      <w:vAlign w:val="center"/>
    </w:tcPr>
  </w:style>
  <w:style w:type="character" w:customStyle="1" w:styleId="59">
    <w:name w:val="标题 1 字符"/>
    <w:basedOn w:val="47"/>
    <w:link w:val="2"/>
    <w:qFormat/>
    <w:uiPriority w:val="99"/>
    <w:rPr>
      <w:rFonts w:ascii="Times New Roman" w:hAnsi="Times New Roman" w:eastAsia="黑体" w:cs="Times New Roman"/>
      <w:b/>
      <w:bCs/>
      <w:color w:val="000000"/>
      <w:kern w:val="44"/>
      <w:sz w:val="28"/>
      <w:szCs w:val="30"/>
    </w:rPr>
  </w:style>
  <w:style w:type="character" w:customStyle="1" w:styleId="60">
    <w:name w:val="标题 2 字符"/>
    <w:basedOn w:val="47"/>
    <w:link w:val="3"/>
    <w:qFormat/>
    <w:uiPriority w:val="9"/>
    <w:rPr>
      <w:rFonts w:ascii="Arial" w:hAnsi="Arial" w:eastAsia="宋体" w:cs="Times New Roman"/>
      <w:b/>
    </w:rPr>
  </w:style>
  <w:style w:type="character" w:customStyle="1" w:styleId="61">
    <w:name w:val="标题 3 字符"/>
    <w:basedOn w:val="47"/>
    <w:link w:val="4"/>
    <w:qFormat/>
    <w:uiPriority w:val="0"/>
    <w:rPr>
      <w:rFonts w:ascii="Times New Roman" w:hAnsi="Times New Roman" w:eastAsia="宋体" w:cs="Times New Roman"/>
      <w:b/>
    </w:rPr>
  </w:style>
  <w:style w:type="character" w:customStyle="1" w:styleId="62">
    <w:name w:val="标题 4 字符"/>
    <w:basedOn w:val="47"/>
    <w:link w:val="5"/>
    <w:qFormat/>
    <w:uiPriority w:val="0"/>
    <w:rPr>
      <w:rFonts w:asciiTheme="majorHAnsi" w:hAnsiTheme="majorHAnsi" w:eastAsiaTheme="majorEastAsia" w:cstheme="majorBidi"/>
      <w:b/>
      <w:bCs/>
      <w:szCs w:val="28"/>
    </w:rPr>
  </w:style>
  <w:style w:type="character" w:customStyle="1" w:styleId="63">
    <w:name w:val="页眉 字符"/>
    <w:basedOn w:val="47"/>
    <w:link w:val="29"/>
    <w:qFormat/>
    <w:uiPriority w:val="99"/>
    <w:rPr>
      <w:rFonts w:ascii="Times New Roman" w:hAnsi="Times New Roman" w:eastAsia="宋体" w:cs="Times New Roman"/>
      <w:sz w:val="18"/>
      <w:szCs w:val="18"/>
    </w:rPr>
  </w:style>
  <w:style w:type="character" w:customStyle="1" w:styleId="64">
    <w:name w:val="批注文字 字符"/>
    <w:basedOn w:val="47"/>
    <w:link w:val="17"/>
    <w:qFormat/>
    <w:uiPriority w:val="0"/>
    <w:rPr>
      <w:rFonts w:ascii="Times New Roman" w:hAnsi="Times New Roman" w:eastAsia="宋体" w:cs="Times New Roman"/>
      <w:kern w:val="0"/>
      <w:szCs w:val="20"/>
    </w:rPr>
  </w:style>
  <w:style w:type="character" w:customStyle="1" w:styleId="65">
    <w:name w:val="正文文本 字符"/>
    <w:basedOn w:val="47"/>
    <w:link w:val="18"/>
    <w:qFormat/>
    <w:uiPriority w:val="0"/>
    <w:rPr>
      <w:rFonts w:ascii="Times New Roman" w:hAnsi="Times New Roman" w:eastAsia="宋体" w:cs="Times New Roman"/>
      <w:kern w:val="0"/>
      <w:sz w:val="18"/>
      <w:szCs w:val="20"/>
    </w:rPr>
  </w:style>
  <w:style w:type="character" w:customStyle="1" w:styleId="66">
    <w:name w:val="正文文本缩进 字符"/>
    <w:basedOn w:val="47"/>
    <w:link w:val="19"/>
    <w:qFormat/>
    <w:uiPriority w:val="0"/>
    <w:rPr>
      <w:rFonts w:ascii="Times New Roman" w:hAnsi="Times New Roman" w:eastAsia="宋体" w:cs="Times New Roman"/>
      <w:kern w:val="0"/>
      <w:szCs w:val="20"/>
    </w:rPr>
  </w:style>
  <w:style w:type="character" w:customStyle="1" w:styleId="67">
    <w:name w:val="页脚 字符"/>
    <w:basedOn w:val="47"/>
    <w:qFormat/>
    <w:uiPriority w:val="99"/>
    <w:rPr>
      <w:sz w:val="18"/>
      <w:szCs w:val="18"/>
    </w:rPr>
  </w:style>
  <w:style w:type="character" w:customStyle="1" w:styleId="68">
    <w:name w:val="纯文本 字符"/>
    <w:basedOn w:val="47"/>
    <w:link w:val="24"/>
    <w:qFormat/>
    <w:uiPriority w:val="0"/>
    <w:rPr>
      <w:rFonts w:ascii="宋体" w:hAnsi="Courier New" w:eastAsia="宋体" w:cs="Times New Roman"/>
      <w:sz w:val="21"/>
    </w:rPr>
  </w:style>
  <w:style w:type="character" w:customStyle="1" w:styleId="69">
    <w:name w:val="日期 字符"/>
    <w:basedOn w:val="47"/>
    <w:semiHidden/>
    <w:qFormat/>
    <w:uiPriority w:val="0"/>
  </w:style>
  <w:style w:type="character" w:customStyle="1" w:styleId="70">
    <w:name w:val="正文文本缩进 2 字符"/>
    <w:basedOn w:val="47"/>
    <w:link w:val="27"/>
    <w:qFormat/>
    <w:uiPriority w:val="99"/>
    <w:rPr>
      <w:rFonts w:ascii="宋体" w:hAnsi="Times New Roman" w:eastAsia="宋体" w:cs="Times New Roman"/>
      <w:sz w:val="21"/>
    </w:rPr>
  </w:style>
  <w:style w:type="character" w:customStyle="1" w:styleId="71">
    <w:name w:val="批注框文本 字符"/>
    <w:basedOn w:val="47"/>
    <w:link w:val="28"/>
    <w:semiHidden/>
    <w:qFormat/>
    <w:uiPriority w:val="0"/>
    <w:rPr>
      <w:rFonts w:ascii="Times New Roman" w:hAnsi="Times New Roman" w:eastAsia="宋体" w:cs="Times New Roman"/>
      <w:kern w:val="0"/>
      <w:sz w:val="18"/>
      <w:szCs w:val="20"/>
    </w:rPr>
  </w:style>
  <w:style w:type="character" w:customStyle="1" w:styleId="72">
    <w:name w:val="批注主题 字符"/>
    <w:basedOn w:val="64"/>
    <w:link w:val="41"/>
    <w:qFormat/>
    <w:uiPriority w:val="0"/>
    <w:rPr>
      <w:rFonts w:ascii="Times New Roman" w:hAnsi="Times New Roman" w:eastAsia="宋体" w:cs="Times New Roman"/>
      <w:b/>
      <w:kern w:val="0"/>
      <w:szCs w:val="20"/>
    </w:rPr>
  </w:style>
  <w:style w:type="character" w:customStyle="1" w:styleId="73">
    <w:name w:val="正文文本首行缩进 字符"/>
    <w:basedOn w:val="65"/>
    <w:link w:val="42"/>
    <w:qFormat/>
    <w:uiPriority w:val="0"/>
    <w:rPr>
      <w:rFonts w:ascii="Times New Roman" w:hAnsi="Times New Roman" w:eastAsia="宋体" w:cs="Times New Roman"/>
      <w:kern w:val="0"/>
      <w:sz w:val="21"/>
      <w:szCs w:val="21"/>
    </w:rPr>
  </w:style>
  <w:style w:type="character" w:customStyle="1" w:styleId="74">
    <w:name w:val="正文文本首行缩进 2 字符"/>
    <w:basedOn w:val="66"/>
    <w:link w:val="43"/>
    <w:qFormat/>
    <w:uiPriority w:val="0"/>
    <w:rPr>
      <w:rFonts w:ascii="宋体" w:hAnsi="Times New Roman" w:eastAsia="宋体" w:cs="Times New Roman"/>
      <w:kern w:val="0"/>
      <w:szCs w:val="28"/>
    </w:rPr>
  </w:style>
  <w:style w:type="paragraph" w:customStyle="1" w:styleId="75">
    <w:name w:val="Default"/>
    <w:next w:val="1"/>
    <w:link w:val="15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6">
    <w:name w:val="样式5"/>
    <w:qFormat/>
    <w:uiPriority w:val="0"/>
    <w:pPr>
      <w:widowControl w:val="0"/>
      <w:spacing w:line="520" w:lineRule="atLeast"/>
      <w:ind w:firstLine="560"/>
    </w:pPr>
    <w:rPr>
      <w:rFonts w:ascii="黑体" w:hAnsi="Times New Roman" w:eastAsia="宋体" w:cs="Times New Roman"/>
      <w:sz w:val="28"/>
      <w:lang w:val="en-US" w:eastAsia="zh-CN" w:bidi="ar-SA"/>
    </w:rPr>
  </w:style>
  <w:style w:type="paragraph" w:customStyle="1" w:styleId="77">
    <w:name w:val="四级条标题"/>
    <w:basedOn w:val="78"/>
    <w:next w:val="82"/>
    <w:qFormat/>
    <w:uiPriority w:val="0"/>
    <w:pPr>
      <w:numPr>
        <w:ilvl w:val="5"/>
      </w:numPr>
      <w:tabs>
        <w:tab w:val="left" w:pos="360"/>
        <w:tab w:val="left" w:pos="903"/>
      </w:tabs>
      <w:outlineLvl w:val="5"/>
    </w:pPr>
  </w:style>
  <w:style w:type="paragraph" w:customStyle="1" w:styleId="78">
    <w:name w:val="三级条标题"/>
    <w:basedOn w:val="79"/>
    <w:next w:val="82"/>
    <w:qFormat/>
    <w:uiPriority w:val="0"/>
    <w:pPr>
      <w:numPr>
        <w:ilvl w:val="4"/>
      </w:numPr>
      <w:tabs>
        <w:tab w:val="left" w:pos="360"/>
        <w:tab w:val="left" w:pos="903"/>
      </w:tabs>
      <w:outlineLvl w:val="4"/>
    </w:pPr>
  </w:style>
  <w:style w:type="paragraph" w:customStyle="1" w:styleId="79">
    <w:name w:val="二级条标题"/>
    <w:basedOn w:val="80"/>
    <w:next w:val="82"/>
    <w:qFormat/>
    <w:uiPriority w:val="0"/>
    <w:pPr>
      <w:numPr>
        <w:ilvl w:val="3"/>
      </w:numPr>
      <w:tabs>
        <w:tab w:val="left" w:pos="360"/>
        <w:tab w:val="left" w:pos="903"/>
      </w:tabs>
      <w:outlineLvl w:val="3"/>
    </w:pPr>
  </w:style>
  <w:style w:type="paragraph" w:customStyle="1" w:styleId="80">
    <w:name w:val="一级条标题"/>
    <w:basedOn w:val="81"/>
    <w:next w:val="82"/>
    <w:qFormat/>
    <w:uiPriority w:val="0"/>
    <w:pPr>
      <w:numPr>
        <w:ilvl w:val="2"/>
      </w:numPr>
      <w:tabs>
        <w:tab w:val="left" w:pos="360"/>
        <w:tab w:val="left" w:pos="903"/>
      </w:tabs>
      <w:spacing w:before="0" w:after="0"/>
      <w:outlineLvl w:val="2"/>
    </w:pPr>
  </w:style>
  <w:style w:type="paragraph" w:customStyle="1" w:styleId="81">
    <w:name w:val="章标题"/>
    <w:next w:val="82"/>
    <w:qFormat/>
    <w:uiPriority w:val="0"/>
    <w:pPr>
      <w:numPr>
        <w:ilvl w:val="1"/>
        <w:numId w:val="1"/>
      </w:num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8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3">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84">
    <w:name w:val="正文首行缩进 21"/>
    <w:basedOn w:val="19"/>
    <w:qFormat/>
    <w:uiPriority w:val="99"/>
    <w:pPr>
      <w:ind w:firstLine="420"/>
    </w:pPr>
  </w:style>
  <w:style w:type="paragraph" w:customStyle="1" w:styleId="85">
    <w:name w:val="样式 正文文本缩进 + 行距: 1.5 倍行距"/>
    <w:basedOn w:val="1"/>
    <w:qFormat/>
    <w:uiPriority w:val="0"/>
    <w:pPr>
      <w:widowControl w:val="0"/>
      <w:spacing w:after="120"/>
      <w:ind w:left="90" w:leftChars="32" w:firstLine="560" w:firstLineChars="200"/>
      <w:jc w:val="both"/>
    </w:pPr>
    <w:rPr>
      <w:rFonts w:ascii="Times New Roman" w:hAnsi="Times New Roman" w:eastAsia="宋体" w:cs="宋体"/>
    </w:rPr>
  </w:style>
  <w:style w:type="character" w:customStyle="1" w:styleId="86">
    <w:name w:val="页脚 字符1"/>
    <w:link w:val="20"/>
    <w:qFormat/>
    <w:uiPriority w:val="99"/>
    <w:rPr>
      <w:rFonts w:ascii="Times New Roman" w:hAnsi="Times New Roman" w:eastAsia="宋体" w:cs="Times New Roman"/>
      <w:kern w:val="0"/>
      <w:sz w:val="18"/>
      <w:szCs w:val="20"/>
    </w:rPr>
  </w:style>
  <w:style w:type="character" w:customStyle="1" w:styleId="87">
    <w:name w:val="日期 字符1"/>
    <w:link w:val="26"/>
    <w:qFormat/>
    <w:uiPriority w:val="0"/>
    <w:rPr>
      <w:rFonts w:ascii="Times New Roman" w:hAnsi="Times New Roman" w:eastAsia="宋体" w:cs="Times New Roman"/>
      <w:kern w:val="0"/>
      <w:szCs w:val="20"/>
    </w:rPr>
  </w:style>
  <w:style w:type="character" w:customStyle="1" w:styleId="88">
    <w:name w:val="普通(网站) 字符"/>
    <w:link w:val="40"/>
    <w:qFormat/>
    <w:uiPriority w:val="0"/>
    <w:rPr>
      <w:rFonts w:ascii="宋体" w:hAnsi="宋体" w:eastAsia="宋体" w:cs="Times New Roman"/>
      <w:kern w:val="0"/>
      <w:szCs w:val="20"/>
    </w:rPr>
  </w:style>
  <w:style w:type="character" w:customStyle="1" w:styleId="89">
    <w:name w:val="正文文本 字符1"/>
    <w:semiHidden/>
    <w:qFormat/>
    <w:uiPriority w:val="0"/>
    <w:rPr>
      <w:rFonts w:ascii="Times New Roman" w:hAnsi="Times New Roman" w:eastAsia="宋体"/>
      <w:sz w:val="24"/>
    </w:rPr>
  </w:style>
  <w:style w:type="character" w:customStyle="1" w:styleId="90">
    <w:name w:val="表格 Char"/>
    <w:qFormat/>
    <w:uiPriority w:val="0"/>
    <w:rPr>
      <w:rFonts w:ascii="宋体"/>
      <w:sz w:val="21"/>
    </w:rPr>
  </w:style>
  <w:style w:type="character" w:customStyle="1" w:styleId="91">
    <w:name w:val="批注文字 字符1"/>
    <w:semiHidden/>
    <w:qFormat/>
    <w:uiPriority w:val="0"/>
    <w:rPr>
      <w:rFonts w:ascii="Times New Roman" w:hAnsi="Times New Roman" w:eastAsia="宋体"/>
      <w:sz w:val="24"/>
    </w:rPr>
  </w:style>
  <w:style w:type="paragraph" w:customStyle="1" w:styleId="9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普通(网站)2"/>
    <w:basedOn w:val="1"/>
    <w:qFormat/>
    <w:uiPriority w:val="0"/>
    <w:pPr>
      <w:spacing w:before="100" w:beforeAutospacing="1" w:after="100" w:afterAutospacing="1" w:line="240" w:lineRule="auto"/>
    </w:pPr>
    <w:rPr>
      <w:rFonts w:ascii="宋体" w:hAnsi="宋体" w:eastAsia="宋体" w:cs="Times New Roman"/>
      <w:szCs w:val="20"/>
    </w:rPr>
  </w:style>
  <w:style w:type="paragraph" w:customStyle="1" w:styleId="94">
    <w:name w:val="++++++++正文"/>
    <w:basedOn w:val="1"/>
    <w:qFormat/>
    <w:uiPriority w:val="0"/>
    <w:pPr>
      <w:widowControl w:val="0"/>
      <w:autoSpaceDE w:val="0"/>
      <w:autoSpaceDN w:val="0"/>
      <w:adjustRightInd w:val="0"/>
      <w:snapToGrid w:val="0"/>
      <w:spacing w:line="240" w:lineRule="auto"/>
      <w:ind w:firstLine="200" w:firstLineChars="200"/>
      <w:jc w:val="both"/>
    </w:pPr>
    <w:rPr>
      <w:rFonts w:ascii="Times New Roman" w:hAnsi="Times New Roman" w:eastAsia="宋体" w:cs="Times New Roman"/>
      <w:sz w:val="21"/>
    </w:rPr>
  </w:style>
  <w:style w:type="paragraph" w:customStyle="1" w:styleId="95">
    <w:name w:val="表文"/>
    <w:basedOn w:val="1"/>
    <w:qFormat/>
    <w:uiPriority w:val="0"/>
    <w:pPr>
      <w:widowControl w:val="0"/>
      <w:adjustRightInd w:val="0"/>
      <w:spacing w:before="120" w:after="120" w:line="200" w:lineRule="atLeast"/>
      <w:jc w:val="center"/>
      <w:textAlignment w:val="baseline"/>
    </w:pPr>
    <w:rPr>
      <w:rFonts w:ascii="宋体" w:hAnsi="Times New Roman" w:eastAsia="宋体" w:cs="Times New Roman"/>
      <w:sz w:val="21"/>
      <w:szCs w:val="18"/>
    </w:rPr>
  </w:style>
  <w:style w:type="paragraph" w:customStyle="1" w:styleId="96">
    <w:name w:val="Table Paragraph"/>
    <w:basedOn w:val="1"/>
    <w:qFormat/>
    <w:uiPriority w:val="0"/>
    <w:pPr>
      <w:widowControl w:val="0"/>
      <w:snapToGrid w:val="0"/>
      <w:spacing w:line="240" w:lineRule="auto"/>
    </w:pPr>
    <w:rPr>
      <w:rFonts w:ascii="Calibri" w:hAnsi="Calibri" w:eastAsia="宋体" w:cs="Calibri"/>
      <w:kern w:val="0"/>
      <w:sz w:val="22"/>
      <w:lang w:eastAsia="en-US"/>
    </w:rPr>
  </w:style>
  <w:style w:type="paragraph" w:customStyle="1" w:styleId="97">
    <w:name w:val="文本文字"/>
    <w:basedOn w:val="1"/>
    <w:qFormat/>
    <w:uiPriority w:val="0"/>
    <w:pPr>
      <w:spacing w:line="240" w:lineRule="auto"/>
      <w:ind w:firstLine="200" w:firstLineChars="200"/>
      <w:jc w:val="both"/>
    </w:pPr>
    <w:rPr>
      <w:rFonts w:ascii="Times New Roman" w:hAnsi="Times New Roman" w:eastAsia="宋体" w:cs="Times New Roman"/>
      <w:color w:val="000000"/>
      <w:kern w:val="0"/>
      <w:sz w:val="21"/>
    </w:rPr>
  </w:style>
  <w:style w:type="paragraph" w:customStyle="1" w:styleId="98">
    <w:name w:val="表格文字"/>
    <w:basedOn w:val="1"/>
    <w:next w:val="1"/>
    <w:link w:val="173"/>
    <w:qFormat/>
    <w:uiPriority w:val="0"/>
    <w:pPr>
      <w:widowControl w:val="0"/>
      <w:spacing w:line="300" w:lineRule="exact"/>
      <w:jc w:val="center"/>
    </w:pPr>
    <w:rPr>
      <w:rFonts w:ascii="Times New Roman" w:hAnsi="Times New Roman" w:eastAsia="宋体" w:cs="Times New Roman"/>
      <w:snapToGrid w:val="0"/>
      <w:color w:val="000000"/>
      <w:kern w:val="24"/>
      <w:sz w:val="21"/>
      <w:szCs w:val="20"/>
    </w:rPr>
  </w:style>
  <w:style w:type="table" w:customStyle="1" w:styleId="99">
    <w:name w:val="Table Normal"/>
    <w:unhideWhenUsed/>
    <w:qFormat/>
    <w:uiPriority w:val="2"/>
    <w:tblPr>
      <w:tblCellMar>
        <w:top w:w="0" w:type="dxa"/>
        <w:left w:w="0" w:type="dxa"/>
        <w:bottom w:w="0" w:type="dxa"/>
        <w:right w:w="0" w:type="dxa"/>
      </w:tblCellMar>
    </w:tblPr>
  </w:style>
  <w:style w:type="paragraph" w:customStyle="1" w:styleId="100">
    <w:name w:val="样式4"/>
    <w:basedOn w:val="1"/>
    <w:qFormat/>
    <w:uiPriority w:val="0"/>
    <w:pPr>
      <w:widowControl w:val="0"/>
      <w:ind w:firstLine="1044" w:firstLineChars="200"/>
      <w:jc w:val="both"/>
    </w:pPr>
    <w:rPr>
      <w:rFonts w:ascii="Times New Roman" w:hAnsi="Times New Roman" w:eastAsia="宋体" w:cs="Times New Roman"/>
      <w:sz w:val="21"/>
    </w:rPr>
  </w:style>
  <w:style w:type="paragraph" w:customStyle="1" w:styleId="101">
    <w:name w:val="样式2"/>
    <w:basedOn w:val="1"/>
    <w:qFormat/>
    <w:uiPriority w:val="0"/>
    <w:pPr>
      <w:widowControl w:val="0"/>
      <w:spacing w:line="240" w:lineRule="auto"/>
      <w:jc w:val="center"/>
    </w:pPr>
    <w:rPr>
      <w:rFonts w:ascii="Times New Roman" w:hAnsi="Times New Roman" w:eastAsia="黑体" w:cs="Times New Roman"/>
      <w:sz w:val="21"/>
    </w:rPr>
  </w:style>
  <w:style w:type="paragraph" w:customStyle="1" w:styleId="102">
    <w:name w:val="正文文本2"/>
    <w:basedOn w:val="18"/>
    <w:qFormat/>
    <w:uiPriority w:val="0"/>
    <w:pPr>
      <w:spacing w:after="0"/>
      <w:ind w:firstLine="480" w:firstLineChars="200"/>
    </w:pPr>
    <w:rPr>
      <w:rFonts w:ascii="宋体" w:cs="宋体"/>
    </w:rPr>
  </w:style>
  <w:style w:type="paragraph" w:customStyle="1" w:styleId="103">
    <w:name w:val="无间隔1"/>
    <w:qFormat/>
    <w:uiPriority w:val="0"/>
    <w:pPr>
      <w:widowControl w:val="0"/>
      <w:contextualSpacing/>
      <w:jc w:val="center"/>
    </w:pPr>
    <w:rPr>
      <w:rFonts w:ascii="Times New Roman" w:hAnsi="Times New Roman" w:eastAsia="宋体" w:cs="Times New Roman"/>
      <w:sz w:val="21"/>
      <w:szCs w:val="24"/>
      <w:lang w:val="en-US" w:eastAsia="zh-CN" w:bidi="ar-SA"/>
    </w:rPr>
  </w:style>
  <w:style w:type="paragraph" w:customStyle="1" w:styleId="104">
    <w:name w:val="报告"/>
    <w:link w:val="176"/>
    <w:qFormat/>
    <w:uiPriority w:val="0"/>
    <w:pPr>
      <w:widowControl w:val="0"/>
      <w:spacing w:line="360" w:lineRule="auto"/>
      <w:ind w:firstLine="200" w:firstLineChars="200"/>
      <w:jc w:val="both"/>
      <w:textAlignment w:val="baseline"/>
    </w:pPr>
    <w:rPr>
      <w:rFonts w:ascii="Calibri" w:hAnsi="Calibri" w:eastAsia="宋体" w:cs="Times New Roman"/>
      <w:sz w:val="24"/>
      <w:lang w:val="en-US" w:eastAsia="zh-CN" w:bidi="ar-SA"/>
    </w:rPr>
  </w:style>
  <w:style w:type="paragraph" w:customStyle="1" w:styleId="105">
    <w:name w:val="报告表正文"/>
    <w:link w:val="179"/>
    <w:qFormat/>
    <w:uiPriority w:val="0"/>
    <w:pPr>
      <w:widowControl w:val="0"/>
      <w:adjustRightInd w:val="0"/>
      <w:snapToGrid w:val="0"/>
      <w:spacing w:line="360" w:lineRule="auto"/>
      <w:ind w:firstLine="200" w:firstLineChars="200"/>
      <w:jc w:val="both"/>
      <w:textAlignment w:val="baseline"/>
    </w:pPr>
    <w:rPr>
      <w:rFonts w:ascii="Calibri" w:hAnsi="Calibri" w:eastAsia="宋体" w:cs="Times New Roman"/>
      <w:sz w:val="24"/>
      <w:szCs w:val="22"/>
      <w:lang w:val="en-US" w:eastAsia="zh-CN" w:bidi="ar-SA"/>
    </w:rPr>
  </w:style>
  <w:style w:type="paragraph" w:customStyle="1" w:styleId="106">
    <w:name w:val="表格内容居中"/>
    <w:qFormat/>
    <w:uiPriority w:val="0"/>
    <w:pPr>
      <w:adjustRightInd w:val="0"/>
      <w:snapToGrid w:val="0"/>
      <w:jc w:val="center"/>
    </w:pPr>
    <w:rPr>
      <w:rFonts w:ascii="Calibri" w:hAnsi="Calibri" w:eastAsia="宋体" w:cs="Times New Roman"/>
      <w:snapToGrid w:val="0"/>
      <w:sz w:val="21"/>
      <w:szCs w:val="21"/>
      <w:lang w:val="en-US" w:eastAsia="zh-CN" w:bidi="ar-SA"/>
    </w:rPr>
  </w:style>
  <w:style w:type="paragraph" w:customStyle="1" w:styleId="107">
    <w:name w:val="中文报告书样式"/>
    <w:qFormat/>
    <w:uiPriority w:val="0"/>
    <w:pPr>
      <w:widowControl w:val="0"/>
      <w:adjustRightInd w:val="0"/>
      <w:spacing w:line="480" w:lineRule="atLeast"/>
      <w:ind w:firstLine="482"/>
      <w:jc w:val="both"/>
    </w:pPr>
    <w:rPr>
      <w:rFonts w:ascii="Times New Roman" w:hAnsi="Times New Roman" w:eastAsia="宋体" w:cs="Times New Roman"/>
      <w:kern w:val="24"/>
      <w:sz w:val="24"/>
      <w:lang w:val="en-US" w:eastAsia="zh-CN" w:bidi="ar-SA"/>
    </w:rPr>
  </w:style>
  <w:style w:type="paragraph" w:customStyle="1" w:styleId="108">
    <w:name w:val="表格内容"/>
    <w:basedOn w:val="109"/>
    <w:link w:val="170"/>
    <w:qFormat/>
    <w:uiPriority w:val="0"/>
    <w:rPr>
      <w:rFonts w:ascii="Calibri" w:hAnsi="Calibri" w:cs="Times New Roman"/>
      <w:bCs/>
    </w:rPr>
  </w:style>
  <w:style w:type="paragraph" w:customStyle="1" w:styleId="109">
    <w:name w:val="表格标题"/>
    <w:basedOn w:val="14"/>
    <w:qFormat/>
    <w:uiPriority w:val="0"/>
    <w:rPr>
      <w:rFonts w:ascii="Times New Roman" w:hAnsi="Times New Roman" w:eastAsia="宋体" w:cs="Arial"/>
      <w:b/>
      <w:sz w:val="21"/>
      <w:szCs w:val="24"/>
    </w:rPr>
  </w:style>
  <w:style w:type="paragraph" w:customStyle="1" w:styleId="110">
    <w:name w:val="样式3"/>
    <w:qFormat/>
    <w:uiPriority w:val="0"/>
    <w:pPr>
      <w:widowControl w:val="0"/>
      <w:spacing w:line="520" w:lineRule="atLeast"/>
      <w:ind w:firstLine="560"/>
    </w:pPr>
    <w:rPr>
      <w:rFonts w:ascii="Times New Roman" w:hAnsi="Times New Roman" w:eastAsia="宋体" w:cs="Times New Roman"/>
      <w:sz w:val="28"/>
      <w:lang w:val="en-US" w:eastAsia="zh-CN" w:bidi="ar-SA"/>
    </w:rPr>
  </w:style>
  <w:style w:type="paragraph" w:customStyle="1" w:styleId="111">
    <w:name w:val="正文缩进1"/>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112">
    <w:name w:val="居中正文"/>
    <w:qFormat/>
    <w:uiPriority w:val="0"/>
    <w:pPr>
      <w:adjustRightInd w:val="0"/>
      <w:snapToGrid w:val="0"/>
      <w:spacing w:before="120" w:line="360" w:lineRule="auto"/>
      <w:ind w:firstLine="100" w:firstLineChars="100"/>
      <w:jc w:val="center"/>
      <w:textAlignment w:val="baseline"/>
    </w:pPr>
    <w:rPr>
      <w:rFonts w:ascii="宋体" w:hAnsi="Times New Roman" w:eastAsia="宋体" w:cs="Times New Roman"/>
      <w:kern w:val="28"/>
      <w:sz w:val="24"/>
      <w:szCs w:val="21"/>
      <w:lang w:val="en-US" w:eastAsia="zh-CN" w:bidi="ar-SA"/>
    </w:rPr>
  </w:style>
  <w:style w:type="paragraph" w:customStyle="1" w:styleId="113">
    <w:name w:val="正文-张"/>
    <w:basedOn w:val="1"/>
    <w:qFormat/>
    <w:uiPriority w:val="0"/>
    <w:pPr>
      <w:widowControl w:val="0"/>
      <w:ind w:firstLine="480" w:firstLineChars="200"/>
      <w:jc w:val="both"/>
    </w:pPr>
    <w:rPr>
      <w:rFonts w:ascii="Times New Roman" w:hAnsi="Times New Roman" w:eastAsia="宋体" w:cs="Times New Roman"/>
    </w:rPr>
  </w:style>
  <w:style w:type="paragraph" w:customStyle="1" w:styleId="114">
    <w:name w:val="正文样式"/>
    <w:qFormat/>
    <w:uiPriority w:val="0"/>
    <w:pPr>
      <w:widowControl w:val="0"/>
      <w:tabs>
        <w:tab w:val="left" w:pos="1440"/>
        <w:tab w:val="left" w:pos="4368"/>
      </w:tabs>
      <w:spacing w:line="360" w:lineRule="auto"/>
      <w:ind w:firstLine="493"/>
      <w:jc w:val="both"/>
    </w:pPr>
    <w:rPr>
      <w:rFonts w:ascii="Times New Roman" w:hAnsi="Times New Roman" w:eastAsia="宋体" w:cs="Times New Roman"/>
      <w:color w:val="FF0000"/>
      <w:kern w:val="2"/>
      <w:sz w:val="24"/>
      <w:szCs w:val="24"/>
      <w:lang w:val="en-US" w:eastAsia="zh-CN" w:bidi="ar-SA"/>
    </w:rPr>
  </w:style>
  <w:style w:type="character" w:customStyle="1" w:styleId="115">
    <w:name w:val="fontstyle01"/>
    <w:qFormat/>
    <w:uiPriority w:val="0"/>
    <w:rPr>
      <w:rFonts w:ascii="宋体" w:hAnsi="宋体" w:eastAsia="宋体" w:cs="宋体"/>
      <w:color w:val="000000"/>
      <w:sz w:val="24"/>
      <w:szCs w:val="24"/>
    </w:rPr>
  </w:style>
  <w:style w:type="character" w:customStyle="1" w:styleId="116">
    <w:name w:val="fontstyle21"/>
    <w:qFormat/>
    <w:uiPriority w:val="0"/>
    <w:rPr>
      <w:rFonts w:ascii="宋体" w:hAnsi="宋体" w:eastAsia="宋体" w:cs="宋体"/>
      <w:color w:val="000000"/>
      <w:sz w:val="24"/>
      <w:szCs w:val="24"/>
    </w:rPr>
  </w:style>
  <w:style w:type="paragraph" w:customStyle="1" w:styleId="117">
    <w:name w:val="列出段落1"/>
    <w:qFormat/>
    <w:uiPriority w:val="1"/>
    <w:pPr>
      <w:widowControl w:val="0"/>
      <w:autoSpaceDE w:val="0"/>
      <w:autoSpaceDN w:val="0"/>
      <w:ind w:left="220" w:firstLine="480"/>
    </w:pPr>
    <w:rPr>
      <w:rFonts w:ascii="宋体" w:hAnsi="宋体" w:eastAsia="宋体" w:cs="宋体"/>
      <w:sz w:val="22"/>
      <w:szCs w:val="22"/>
      <w:lang w:val="zh-CN" w:eastAsia="zh-CN" w:bidi="zh-CN"/>
    </w:rPr>
  </w:style>
  <w:style w:type="character" w:customStyle="1" w:styleId="118">
    <w:name w:val="font11"/>
    <w:basedOn w:val="47"/>
    <w:qFormat/>
    <w:uiPriority w:val="0"/>
    <w:rPr>
      <w:rFonts w:hint="eastAsia" w:ascii="宋体" w:hAnsi="宋体" w:eastAsia="宋体" w:cs="宋体"/>
      <w:color w:val="000000"/>
      <w:sz w:val="24"/>
      <w:szCs w:val="24"/>
      <w:u w:val="none"/>
    </w:rPr>
  </w:style>
  <w:style w:type="paragraph" w:customStyle="1" w:styleId="119">
    <w:name w:val="妇幼正文"/>
    <w:qFormat/>
    <w:uiPriority w:val="0"/>
    <w:pPr>
      <w:widowControl w:val="0"/>
      <w:adjustRightInd w:val="0"/>
      <w:spacing w:line="360" w:lineRule="auto"/>
      <w:ind w:firstLine="480" w:firstLineChars="200"/>
      <w:jc w:val="both"/>
    </w:pPr>
    <w:rPr>
      <w:rFonts w:ascii="Times New Roman" w:hAnsi="Times New Roman" w:eastAsia="宋体" w:cs="Times New Roman"/>
      <w:color w:val="000000"/>
      <w:kern w:val="2"/>
      <w:sz w:val="24"/>
      <w:szCs w:val="24"/>
      <w:lang w:val="en-US" w:eastAsia="zh-CN" w:bidi="ar-SA"/>
    </w:rPr>
  </w:style>
  <w:style w:type="paragraph" w:customStyle="1" w:styleId="120">
    <w:name w:val="文本"/>
    <w:next w:val="121"/>
    <w:qFormat/>
    <w:uiPriority w:val="0"/>
    <w:pPr>
      <w:widowControl w:val="0"/>
      <w:autoSpaceDE w:val="0"/>
      <w:autoSpaceDN w:val="0"/>
      <w:spacing w:line="360" w:lineRule="auto"/>
      <w:ind w:firstLine="495"/>
    </w:pPr>
    <w:rPr>
      <w:rFonts w:ascii="宋体" w:hAnsi="宋体" w:eastAsia="宋体" w:cs="宋体"/>
      <w:sz w:val="24"/>
      <w:szCs w:val="24"/>
      <w:lang w:val="zh-CN" w:eastAsia="zh-CN" w:bidi="zh-CN"/>
    </w:rPr>
  </w:style>
  <w:style w:type="paragraph" w:customStyle="1" w:styleId="121">
    <w:name w:val="正文文本缩进 21"/>
    <w:qFormat/>
    <w:uiPriority w:val="0"/>
    <w:pPr>
      <w:widowControl w:val="0"/>
      <w:autoSpaceDE w:val="0"/>
      <w:autoSpaceDN w:val="0"/>
      <w:ind w:firstLine="570"/>
    </w:pPr>
    <w:rPr>
      <w:rFonts w:ascii="宋体" w:hAnsi="宋体" w:eastAsia="宋体" w:cs="宋体"/>
      <w:sz w:val="28"/>
      <w:szCs w:val="22"/>
      <w:lang w:val="zh-CN" w:eastAsia="zh-CN" w:bidi="zh-CN"/>
    </w:rPr>
  </w:style>
  <w:style w:type="paragraph" w:customStyle="1" w:styleId="122">
    <w:name w:val="样式 样式 (符号) 宋体 小四 + (中文) 楷体_GB2312 加粗"/>
    <w:qFormat/>
    <w:uiPriority w:val="0"/>
    <w:pPr>
      <w:widowControl w:val="0"/>
      <w:spacing w:line="360" w:lineRule="auto"/>
      <w:jc w:val="both"/>
    </w:pPr>
    <w:rPr>
      <w:rFonts w:ascii="Times New Roman" w:hAnsi="宋体" w:eastAsia="楷体_GB2312" w:cs="宋体"/>
      <w:b/>
      <w:bCs/>
      <w:kern w:val="2"/>
      <w:sz w:val="24"/>
      <w:lang w:val="en-US" w:eastAsia="zh-CN" w:bidi="ar-SA"/>
    </w:rPr>
  </w:style>
  <w:style w:type="paragraph" w:customStyle="1" w:styleId="123">
    <w:name w:val="样式 (符号) 宋体 小四"/>
    <w:qFormat/>
    <w:uiPriority w:val="0"/>
    <w:pPr>
      <w:widowControl w:val="0"/>
      <w:spacing w:line="360" w:lineRule="auto"/>
      <w:ind w:firstLine="200" w:firstLineChars="200"/>
      <w:jc w:val="both"/>
    </w:pPr>
    <w:rPr>
      <w:rFonts w:ascii="Times New Roman" w:hAnsi="宋体" w:eastAsia="Times New Roman" w:cs="Times New Roman"/>
      <w:bCs/>
      <w:kern w:val="2"/>
      <w:sz w:val="24"/>
      <w:lang w:val="en-US" w:eastAsia="zh-CN" w:bidi="ar-SA"/>
    </w:rPr>
  </w:style>
  <w:style w:type="paragraph" w:customStyle="1" w:styleId="124">
    <w:name w:val="正文_5"/>
    <w:qFormat/>
    <w:uiPriority w:val="0"/>
    <w:pPr>
      <w:widowControl w:val="0"/>
      <w:jc w:val="both"/>
    </w:pPr>
    <w:rPr>
      <w:rFonts w:ascii="Calibri" w:hAnsi="Calibri" w:eastAsia="宋体" w:cs="Times New Roman"/>
      <w:kern w:val="2"/>
      <w:sz w:val="21"/>
      <w:lang w:val="en-US" w:eastAsia="zh-CN" w:bidi="ar-SA"/>
    </w:rPr>
  </w:style>
  <w:style w:type="paragraph" w:customStyle="1" w:styleId="125">
    <w:name w:val="表标题"/>
    <w:qFormat/>
    <w:uiPriority w:val="0"/>
    <w:pPr>
      <w:autoSpaceDE w:val="0"/>
      <w:autoSpaceDN w:val="0"/>
      <w:snapToGrid w:val="0"/>
      <w:spacing w:before="120" w:afterLines="50"/>
      <w:ind w:firstLine="482"/>
      <w:jc w:val="center"/>
    </w:pPr>
    <w:rPr>
      <w:rFonts w:ascii="黑体" w:hAnsi="Gloucester MT Extra Condensed" w:eastAsia="黑体" w:cs="宋体"/>
      <w:bCs/>
      <w:sz w:val="22"/>
      <w:szCs w:val="21"/>
      <w:lang w:val="zh-CN" w:eastAsia="zh-CN" w:bidi="zh-CN"/>
    </w:rPr>
  </w:style>
  <w:style w:type="paragraph" w:customStyle="1" w:styleId="126">
    <w:name w:val="同一表格内容"/>
    <w:basedOn w:val="1"/>
    <w:qFormat/>
    <w:uiPriority w:val="0"/>
    <w:pPr>
      <w:widowControl w:val="0"/>
      <w:adjustRightInd w:val="0"/>
      <w:snapToGrid w:val="0"/>
      <w:spacing w:line="240" w:lineRule="auto"/>
      <w:jc w:val="center"/>
    </w:pPr>
    <w:rPr>
      <w:rFonts w:ascii="Times New Roman" w:hAnsi="Times New Roman" w:eastAsia="宋体" w:cs="Times New Roman"/>
      <w:sz w:val="21"/>
    </w:rPr>
  </w:style>
  <w:style w:type="character" w:customStyle="1" w:styleId="127">
    <w:name w:val="font31"/>
    <w:basedOn w:val="47"/>
    <w:qFormat/>
    <w:uiPriority w:val="0"/>
    <w:rPr>
      <w:rFonts w:hint="default" w:ascii="Times New Roman" w:hAnsi="Times New Roman" w:cs="Times New Roman"/>
      <w:color w:val="000000"/>
      <w:sz w:val="21"/>
      <w:szCs w:val="21"/>
      <w:u w:val="none"/>
      <w:vertAlign w:val="subscript"/>
    </w:rPr>
  </w:style>
  <w:style w:type="paragraph" w:customStyle="1" w:styleId="128">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2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130">
    <w:name w:val="Table Grid_0"/>
    <w:basedOn w:val="44"/>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1">
    <w:name w:val="1111"/>
    <w:basedOn w:val="1"/>
    <w:qFormat/>
    <w:uiPriority w:val="0"/>
    <w:pPr>
      <w:adjustRightInd w:val="0"/>
      <w:snapToGrid w:val="0"/>
      <w:ind w:firstLine="200" w:firstLineChars="200"/>
      <w:jc w:val="both"/>
    </w:pPr>
    <w:rPr>
      <w:rFonts w:ascii="Times New Roman" w:hAnsi="Times New Roman" w:eastAsia="宋体" w:cs="Times New Roman"/>
      <w:kern w:val="0"/>
      <w:szCs w:val="30"/>
    </w:rPr>
  </w:style>
  <w:style w:type="paragraph" w:customStyle="1" w:styleId="132">
    <w:name w:val="TOC 标题1"/>
    <w:next w:val="1"/>
    <w:qFormat/>
    <w:uiPriority w:val="39"/>
    <w:pPr>
      <w:keepNext/>
      <w:keepLines/>
      <w:spacing w:before="480" w:line="276" w:lineRule="auto"/>
    </w:pPr>
    <w:rPr>
      <w:rFonts w:ascii="Cambria" w:hAnsi="Cambria" w:eastAsia="宋体" w:cs="Times New Roman"/>
      <w:b/>
      <w:bCs/>
      <w:color w:val="365F91"/>
      <w:sz w:val="28"/>
      <w:szCs w:val="28"/>
      <w:lang w:val="en-US" w:eastAsia="zh-CN" w:bidi="ar-SA"/>
    </w:rPr>
  </w:style>
  <w:style w:type="paragraph" w:customStyle="1" w:styleId="133">
    <w:name w:val="图名"/>
    <w:qFormat/>
    <w:uiPriority w:val="99"/>
    <w:pPr>
      <w:spacing w:beforeLines="50" w:afterLines="50"/>
      <w:jc w:val="center"/>
    </w:pPr>
    <w:rPr>
      <w:rFonts w:ascii="Times New Roman" w:hAnsi="Times New Roman" w:eastAsia="宋体" w:cs="Times New Roman"/>
      <w:b/>
      <w:kern w:val="2"/>
      <w:sz w:val="21"/>
      <w:szCs w:val="24"/>
      <w:lang w:val="en-US" w:eastAsia="zh-CN" w:bidi="ar-SA"/>
    </w:rPr>
  </w:style>
  <w:style w:type="paragraph" w:customStyle="1" w:styleId="134">
    <w:name w:val="03表格文字"/>
    <w:qFormat/>
    <w:uiPriority w:val="0"/>
    <w:pPr>
      <w:widowControl w:val="0"/>
      <w:adjustRightInd w:val="0"/>
      <w:snapToGrid w:val="0"/>
      <w:spacing w:line="360" w:lineRule="exact"/>
      <w:jc w:val="center"/>
    </w:pPr>
    <w:rPr>
      <w:rFonts w:ascii="Calibri" w:hAnsi="Calibri" w:eastAsia="宋体" w:cs="Times New Roman"/>
      <w:kern w:val="2"/>
      <w:sz w:val="22"/>
      <w:szCs w:val="24"/>
      <w:lang w:val="en-US" w:eastAsia="zh-CN" w:bidi="ar-SA"/>
    </w:rPr>
  </w:style>
  <w:style w:type="paragraph" w:customStyle="1" w:styleId="135">
    <w:name w:val="LRY正文"/>
    <w:qFormat/>
    <w:uiPriority w:val="0"/>
    <w:pPr>
      <w:widowControl w:val="0"/>
      <w:autoSpaceDE w:val="0"/>
      <w:autoSpaceDN w:val="0"/>
      <w:adjustRightInd w:val="0"/>
      <w:spacing w:before="60" w:line="360" w:lineRule="auto"/>
      <w:ind w:firstLine="480" w:firstLineChars="225"/>
      <w:jc w:val="both"/>
    </w:pPr>
    <w:rPr>
      <w:rFonts w:ascii="宋体" w:hAnsi="宋体" w:eastAsia="宋体" w:cs="Times New Roman"/>
      <w:bCs/>
      <w:sz w:val="24"/>
      <w:szCs w:val="24"/>
      <w:lang w:val="en-US" w:eastAsia="zh-CN" w:bidi="ar-SA"/>
    </w:rPr>
  </w:style>
  <w:style w:type="paragraph" w:customStyle="1" w:styleId="136">
    <w:name w:val="简单回函地址"/>
    <w:basedOn w:val="1"/>
    <w:next w:val="137"/>
    <w:qFormat/>
    <w:uiPriority w:val="0"/>
    <w:pPr>
      <w:widowControl w:val="0"/>
      <w:spacing w:line="240" w:lineRule="auto"/>
      <w:jc w:val="both"/>
    </w:pPr>
    <w:rPr>
      <w:rFonts w:ascii="Times New Roman" w:hAnsi="Times New Roman" w:eastAsia="宋体" w:cs="Times New Roman"/>
      <w:sz w:val="21"/>
    </w:rPr>
  </w:style>
  <w:style w:type="paragraph" w:customStyle="1" w:styleId="137">
    <w:name w:val="正文2"/>
    <w:basedOn w:val="1"/>
    <w:next w:val="1"/>
    <w:qFormat/>
    <w:uiPriority w:val="0"/>
    <w:pPr>
      <w:widowControl w:val="0"/>
      <w:spacing w:line="240" w:lineRule="auto"/>
      <w:ind w:firstLine="200" w:firstLineChars="200"/>
      <w:jc w:val="both"/>
    </w:pPr>
    <w:rPr>
      <w:rFonts w:ascii="Times New Roman" w:hAnsi="Times New Roman" w:eastAsia="宋体" w:cs="Times New Roman"/>
      <w:sz w:val="21"/>
    </w:rPr>
  </w:style>
  <w:style w:type="character" w:customStyle="1" w:styleId="138">
    <w:name w:val="font61"/>
    <w:basedOn w:val="47"/>
    <w:qFormat/>
    <w:uiPriority w:val="0"/>
    <w:rPr>
      <w:rFonts w:hint="eastAsia" w:ascii="宋体" w:hAnsi="宋体" w:eastAsia="宋体" w:cs="宋体"/>
      <w:color w:val="000000"/>
      <w:sz w:val="20"/>
      <w:szCs w:val="20"/>
      <w:u w:val="none"/>
    </w:rPr>
  </w:style>
  <w:style w:type="character" w:customStyle="1" w:styleId="139">
    <w:name w:val="文档结构图 字符"/>
    <w:basedOn w:val="47"/>
    <w:link w:val="15"/>
    <w:semiHidden/>
    <w:qFormat/>
    <w:uiPriority w:val="99"/>
    <w:rPr>
      <w:rFonts w:ascii="宋体" w:hAnsi="Times New Roman" w:eastAsia="宋体" w:cs="Times New Roman"/>
      <w:sz w:val="18"/>
      <w:szCs w:val="18"/>
    </w:rPr>
  </w:style>
  <w:style w:type="character" w:customStyle="1" w:styleId="140">
    <w:name w:val="批注文字 字符2"/>
    <w:basedOn w:val="47"/>
    <w:qFormat/>
    <w:uiPriority w:val="0"/>
    <w:rPr>
      <w:rFonts w:ascii="Times New Roman" w:hAnsi="Times New Roman" w:eastAsia="宋体" w:cs="Times New Roman"/>
    </w:rPr>
  </w:style>
  <w:style w:type="character" w:customStyle="1" w:styleId="141">
    <w:name w:val="页眉 字符1"/>
    <w:basedOn w:val="47"/>
    <w:semiHidden/>
    <w:qFormat/>
    <w:uiPriority w:val="99"/>
    <w:rPr>
      <w:rFonts w:ascii="Times New Roman" w:hAnsi="Times New Roman" w:eastAsia="宋体" w:cs="Times New Roman"/>
      <w:sz w:val="18"/>
      <w:szCs w:val="18"/>
    </w:rPr>
  </w:style>
  <w:style w:type="character" w:customStyle="1" w:styleId="142">
    <w:name w:val="页脚 字符2"/>
    <w:basedOn w:val="47"/>
    <w:semiHidden/>
    <w:qFormat/>
    <w:uiPriority w:val="99"/>
    <w:rPr>
      <w:rFonts w:ascii="Times New Roman" w:hAnsi="Times New Roman" w:eastAsia="宋体" w:cs="Times New Roman"/>
      <w:sz w:val="18"/>
      <w:szCs w:val="18"/>
    </w:rPr>
  </w:style>
  <w:style w:type="character" w:customStyle="1" w:styleId="143">
    <w:name w:val="正文文本 字符2"/>
    <w:basedOn w:val="47"/>
    <w:semiHidden/>
    <w:qFormat/>
    <w:uiPriority w:val="99"/>
    <w:rPr>
      <w:rFonts w:ascii="Times New Roman" w:hAnsi="Times New Roman" w:eastAsia="宋体" w:cs="Times New Roman"/>
    </w:rPr>
  </w:style>
  <w:style w:type="character" w:customStyle="1" w:styleId="144">
    <w:name w:val="批注框文本 字符1"/>
    <w:basedOn w:val="47"/>
    <w:semiHidden/>
    <w:qFormat/>
    <w:uiPriority w:val="99"/>
    <w:rPr>
      <w:rFonts w:ascii="Times New Roman" w:hAnsi="Times New Roman" w:eastAsia="宋体" w:cs="Times New Roman"/>
      <w:sz w:val="18"/>
      <w:szCs w:val="18"/>
    </w:rPr>
  </w:style>
  <w:style w:type="character" w:customStyle="1" w:styleId="145">
    <w:name w:val="批注主题 字符1"/>
    <w:basedOn w:val="140"/>
    <w:semiHidden/>
    <w:qFormat/>
    <w:uiPriority w:val="99"/>
    <w:rPr>
      <w:rFonts w:ascii="Times New Roman" w:hAnsi="Times New Roman" w:eastAsia="宋体" w:cs="Times New Roman"/>
      <w:b/>
      <w:bCs/>
    </w:rPr>
  </w:style>
  <w:style w:type="character" w:customStyle="1" w:styleId="146">
    <w:name w:val="日期 字符2"/>
    <w:basedOn w:val="47"/>
    <w:semiHidden/>
    <w:qFormat/>
    <w:uiPriority w:val="99"/>
    <w:rPr>
      <w:rFonts w:ascii="Times New Roman" w:hAnsi="Times New Roman" w:eastAsia="宋体" w:cs="Times New Roman"/>
    </w:rPr>
  </w:style>
  <w:style w:type="character" w:customStyle="1" w:styleId="147">
    <w:name w:val="正文文本缩进 字符1"/>
    <w:basedOn w:val="47"/>
    <w:semiHidden/>
    <w:qFormat/>
    <w:uiPriority w:val="99"/>
    <w:rPr>
      <w:rFonts w:ascii="Times New Roman" w:hAnsi="Times New Roman" w:eastAsia="宋体" w:cs="Times New Roman"/>
    </w:rPr>
  </w:style>
  <w:style w:type="paragraph" w:styleId="148">
    <w:name w:val="No Spacing"/>
    <w:link w:val="180"/>
    <w:qFormat/>
    <w:uiPriority w:val="1"/>
    <w:pPr>
      <w:widowControl w:val="0"/>
      <w:jc w:val="both"/>
    </w:pPr>
    <w:rPr>
      <w:rFonts w:ascii="Calibri" w:hAnsi="Calibri" w:eastAsia="宋体" w:cs="Times New Roman"/>
      <w:kern w:val="2"/>
      <w:sz w:val="21"/>
      <w:szCs w:val="22"/>
      <w:lang w:val="en-US" w:eastAsia="zh-CN" w:bidi="ar-SA"/>
    </w:rPr>
  </w:style>
  <w:style w:type="paragraph" w:customStyle="1" w:styleId="149">
    <w:name w:val="正文11"/>
    <w:basedOn w:val="21"/>
    <w:qFormat/>
    <w:uiPriority w:val="0"/>
    <w:pPr>
      <w:adjustRightInd w:val="0"/>
      <w:spacing w:after="0" w:line="360" w:lineRule="auto"/>
      <w:ind w:left="0" w:leftChars="0" w:right="0" w:rightChars="0" w:firstLine="200" w:firstLineChars="200"/>
      <w:textAlignment w:val="baseline"/>
    </w:pPr>
    <w:rPr>
      <w:kern w:val="0"/>
    </w:rPr>
  </w:style>
  <w:style w:type="character" w:customStyle="1" w:styleId="150">
    <w:name w:val="批注文字 Char"/>
    <w:basedOn w:val="47"/>
    <w:qFormat/>
    <w:uiPriority w:val="0"/>
    <w:rPr>
      <w:kern w:val="2"/>
      <w:sz w:val="24"/>
      <w:szCs w:val="24"/>
    </w:rPr>
  </w:style>
  <w:style w:type="paragraph" w:customStyle="1" w:styleId="151">
    <w:name w:val="y正文"/>
    <w:link w:val="152"/>
    <w:qFormat/>
    <w:uiPriority w:val="0"/>
    <w:pPr>
      <w:spacing w:line="360" w:lineRule="auto"/>
      <w:ind w:firstLine="480" w:firstLineChars="200"/>
      <w:jc w:val="both"/>
    </w:pPr>
    <w:rPr>
      <w:rFonts w:ascii="Times New Roman" w:hAnsi="Times New Roman" w:eastAsia="宋体" w:cs="Times New Roman"/>
      <w:kern w:val="2"/>
      <w:sz w:val="24"/>
      <w:lang w:val="en-US" w:eastAsia="zh-CN" w:bidi="ar-SA"/>
    </w:rPr>
  </w:style>
  <w:style w:type="character" w:customStyle="1" w:styleId="152">
    <w:name w:val="y正文 Char"/>
    <w:link w:val="151"/>
    <w:qFormat/>
    <w:uiPriority w:val="0"/>
    <w:rPr>
      <w:rFonts w:ascii="Times New Roman" w:hAnsi="Times New Roman" w:eastAsia="宋体" w:cs="Times New Roman"/>
      <w:szCs w:val="20"/>
    </w:rPr>
  </w:style>
  <w:style w:type="character" w:customStyle="1" w:styleId="153">
    <w:name w:val="Default Char"/>
    <w:link w:val="75"/>
    <w:qFormat/>
    <w:uiPriority w:val="0"/>
    <w:rPr>
      <w:rFonts w:ascii="宋体" w:hAnsi="Times New Roman" w:eastAsia="宋体" w:cs="宋体"/>
      <w:color w:val="000000"/>
      <w:kern w:val="0"/>
    </w:rPr>
  </w:style>
  <w:style w:type="paragraph" w:customStyle="1" w:styleId="154">
    <w:name w:val="【正文.】"/>
    <w:basedOn w:val="1"/>
    <w:qFormat/>
    <w:uiPriority w:val="0"/>
    <w:pPr>
      <w:widowControl w:val="0"/>
      <w:adjustRightInd w:val="0"/>
      <w:snapToGrid w:val="0"/>
      <w:ind w:firstLine="200" w:firstLineChars="200"/>
      <w:jc w:val="both"/>
    </w:pPr>
    <w:rPr>
      <w:rFonts w:ascii="Times New Roman" w:hAnsi="Times New Roman" w:eastAsia="宋体" w:cs="Times New Roman"/>
      <w:snapToGrid w:val="0"/>
      <w:kern w:val="0"/>
    </w:rPr>
  </w:style>
  <w:style w:type="character" w:customStyle="1" w:styleId="155">
    <w:name w:val="【表内字】 Char"/>
    <w:link w:val="156"/>
    <w:qFormat/>
    <w:uiPriority w:val="0"/>
    <w:rPr>
      <w:sz w:val="21"/>
    </w:rPr>
  </w:style>
  <w:style w:type="paragraph" w:customStyle="1" w:styleId="156">
    <w:name w:val="【表内字】"/>
    <w:basedOn w:val="1"/>
    <w:link w:val="155"/>
    <w:qFormat/>
    <w:uiPriority w:val="0"/>
    <w:pPr>
      <w:widowControl w:val="0"/>
      <w:spacing w:line="240" w:lineRule="auto"/>
      <w:jc w:val="center"/>
    </w:pPr>
    <w:rPr>
      <w:sz w:val="21"/>
    </w:rPr>
  </w:style>
  <w:style w:type="table" w:customStyle="1" w:styleId="157">
    <w:name w:val="表格样式 1刘文"/>
    <w:basedOn w:val="44"/>
    <w:qFormat/>
    <w:uiPriority w:val="0"/>
    <w:pPr>
      <w:jc w:val="center"/>
    </w:pPr>
    <w:tblPr>
      <w:tblBorders>
        <w:top w:val="single" w:color="auto" w:sz="12" w:space="0"/>
        <w:bottom w:val="single" w:color="auto" w:sz="12" w:space="0"/>
        <w:insideH w:val="single" w:color="auto" w:sz="4" w:space="0"/>
        <w:insideV w:val="single" w:color="auto" w:sz="4" w:space="0"/>
      </w:tblBorders>
      <w:tblCellMar>
        <w:left w:w="28" w:type="dxa"/>
        <w:right w:w="28" w:type="dxa"/>
      </w:tblCellMar>
    </w:tblPr>
    <w:tcPr>
      <w:vAlign w:val="center"/>
    </w:tcPr>
  </w:style>
  <w:style w:type="character" w:customStyle="1" w:styleId="158">
    <w:name w:val="【表头】 Char"/>
    <w:link w:val="159"/>
    <w:qFormat/>
    <w:uiPriority w:val="0"/>
    <w:rPr>
      <w:rFonts w:hAnsi="宋体"/>
      <w:b/>
      <w:sz w:val="21"/>
      <w:szCs w:val="21"/>
    </w:rPr>
  </w:style>
  <w:style w:type="paragraph" w:customStyle="1" w:styleId="159">
    <w:name w:val="【表头】"/>
    <w:basedOn w:val="1"/>
    <w:link w:val="158"/>
    <w:qFormat/>
    <w:uiPriority w:val="0"/>
    <w:pPr>
      <w:widowControl w:val="0"/>
      <w:spacing w:line="240" w:lineRule="auto"/>
      <w:jc w:val="center"/>
    </w:pPr>
    <w:rPr>
      <w:rFonts w:hAnsi="宋体"/>
      <w:b/>
      <w:sz w:val="21"/>
      <w:szCs w:val="21"/>
    </w:rPr>
  </w:style>
  <w:style w:type="paragraph" w:customStyle="1" w:styleId="160">
    <w:name w:val="真·正文"/>
    <w:basedOn w:val="1"/>
    <w:next w:val="1"/>
    <w:qFormat/>
    <w:uiPriority w:val="0"/>
    <w:pPr>
      <w:widowControl w:val="0"/>
      <w:ind w:firstLine="200"/>
      <w:jc w:val="both"/>
    </w:pPr>
    <w:rPr>
      <w:rFonts w:ascii="Calibri" w:hAnsi="Times New Roman" w:eastAsia="宋体" w:cs="Times New Roman"/>
    </w:rPr>
  </w:style>
  <w:style w:type="paragraph" w:styleId="161">
    <w:name w:val="List Paragraph"/>
    <w:basedOn w:val="1"/>
    <w:qFormat/>
    <w:uiPriority w:val="34"/>
    <w:pPr>
      <w:widowControl w:val="0"/>
      <w:spacing w:line="240" w:lineRule="auto"/>
      <w:ind w:firstLine="420" w:firstLineChars="200"/>
      <w:jc w:val="both"/>
    </w:pPr>
    <w:rPr>
      <w:rFonts w:ascii="Times New Roman" w:hAnsi="Times New Roman" w:eastAsia="宋体" w:cs="Times New Roman"/>
    </w:rPr>
  </w:style>
  <w:style w:type="character" w:customStyle="1" w:styleId="162">
    <w:name w:val="表格 字符"/>
    <w:qFormat/>
    <w:uiPriority w:val="0"/>
    <w:rPr>
      <w:rFonts w:ascii="Calibri" w:hAnsi="Calibri"/>
      <w:spacing w:val="10"/>
      <w:sz w:val="21"/>
      <w:szCs w:val="24"/>
    </w:rPr>
  </w:style>
  <w:style w:type="character" w:customStyle="1" w:styleId="163">
    <w:name w:val="书籍标题1"/>
    <w:qFormat/>
    <w:uiPriority w:val="99"/>
    <w:rPr>
      <w:rFonts w:ascii="Times New Roman" w:hAnsi="Times New Roman" w:eastAsia="黑体"/>
      <w:sz w:val="21"/>
      <w:szCs w:val="21"/>
    </w:rPr>
  </w:style>
  <w:style w:type="table" w:customStyle="1" w:styleId="164">
    <w:name w:val="灰度表格15"/>
    <w:basedOn w:val="44"/>
    <w:qFormat/>
    <w:uiPriority w:val="59"/>
    <w:pPr>
      <w:adjustRightInd w:val="0"/>
      <w:snapToGrid w:val="0"/>
      <w:jc w:val="center"/>
    </w:pPr>
    <w:rPr>
      <w:rFonts w:ascii="Calibri" w:hAnsi="Calibri"/>
      <w:sz w:val="21"/>
      <w:szCs w:val="22"/>
    </w:r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165">
    <w:name w:val="font21"/>
    <w:basedOn w:val="47"/>
    <w:qFormat/>
    <w:uiPriority w:val="0"/>
    <w:rPr>
      <w:rFonts w:hint="default" w:ascii="Times New Roman" w:hAnsi="Times New Roman" w:cs="Times New Roman"/>
      <w:color w:val="000000"/>
      <w:sz w:val="21"/>
      <w:szCs w:val="21"/>
      <w:u w:val="none"/>
    </w:rPr>
  </w:style>
  <w:style w:type="paragraph" w:customStyle="1" w:styleId="166">
    <w:name w:val="无间隔2"/>
    <w:qFormat/>
    <w:uiPriority w:val="0"/>
    <w:pPr>
      <w:widowControl w:val="0"/>
      <w:spacing w:line="280" w:lineRule="exact"/>
      <w:jc w:val="center"/>
    </w:pPr>
    <w:rPr>
      <w:rFonts w:ascii="Times New Roman" w:hAnsi="Times New Roman" w:eastAsia="宋体" w:cs="Times New Roman"/>
      <w:kern w:val="2"/>
      <w:sz w:val="18"/>
      <w:szCs w:val="24"/>
      <w:lang w:val="en-US" w:eastAsia="zh-CN" w:bidi="ar-SA"/>
    </w:rPr>
  </w:style>
  <w:style w:type="paragraph" w:customStyle="1" w:styleId="167">
    <w:name w:val="标准"/>
    <w:basedOn w:val="1"/>
    <w:qFormat/>
    <w:uiPriority w:val="0"/>
    <w:pPr>
      <w:keepNext/>
      <w:widowControl w:val="0"/>
      <w:adjustRightInd w:val="0"/>
      <w:snapToGrid w:val="0"/>
      <w:spacing w:line="312" w:lineRule="atLeast"/>
      <w:ind w:firstLine="590" w:firstLineChars="200"/>
      <w:jc w:val="both"/>
      <w:textAlignment w:val="baseline"/>
    </w:pPr>
    <w:rPr>
      <w:rFonts w:ascii="Times New Roman" w:hAnsi="Times New Roman" w:eastAsia="宋体" w:cs="Times New Roman"/>
      <w:snapToGrid w:val="0"/>
      <w:spacing w:val="10"/>
      <w:kern w:val="0"/>
    </w:rPr>
  </w:style>
  <w:style w:type="character" w:customStyle="1" w:styleId="168">
    <w:name w:val="批注文字 字符3"/>
    <w:basedOn w:val="47"/>
    <w:qFormat/>
    <w:uiPriority w:val="99"/>
    <w:rPr>
      <w:kern w:val="2"/>
      <w:sz w:val="24"/>
      <w:szCs w:val="24"/>
    </w:rPr>
  </w:style>
  <w:style w:type="paragraph" w:customStyle="1" w:styleId="169">
    <w:name w:val="应填表格"/>
    <w:basedOn w:val="1"/>
    <w:qFormat/>
    <w:uiPriority w:val="0"/>
    <w:pPr>
      <w:widowControl w:val="0"/>
      <w:adjustRightInd w:val="0"/>
      <w:spacing w:before="40" w:after="40" w:line="240" w:lineRule="auto"/>
      <w:textAlignment w:val="baseline"/>
    </w:pPr>
    <w:rPr>
      <w:rFonts w:ascii="Times New Roman" w:hAnsi="Times New Roman" w:eastAsia="宋体" w:cs="Times New Roman"/>
      <w:kern w:val="0"/>
      <w:szCs w:val="20"/>
    </w:rPr>
  </w:style>
  <w:style w:type="character" w:customStyle="1" w:styleId="170">
    <w:name w:val="表格内容 Char"/>
    <w:link w:val="108"/>
    <w:qFormat/>
    <w:uiPriority w:val="0"/>
    <w:rPr>
      <w:rFonts w:ascii="Calibri" w:hAnsi="Calibri" w:eastAsia="宋体" w:cs="Times New Roman"/>
      <w:b/>
      <w:bCs/>
      <w:sz w:val="21"/>
    </w:rPr>
  </w:style>
  <w:style w:type="paragraph" w:customStyle="1" w:styleId="171">
    <w:name w:val="【图名】"/>
    <w:basedOn w:val="1"/>
    <w:qFormat/>
    <w:uiPriority w:val="0"/>
    <w:pPr>
      <w:widowControl w:val="0"/>
      <w:adjustRightInd w:val="0"/>
      <w:snapToGrid w:val="0"/>
      <w:spacing w:afterLines="50" w:line="240" w:lineRule="auto"/>
      <w:jc w:val="center"/>
    </w:pPr>
    <w:rPr>
      <w:rFonts w:ascii="Times New Roman" w:hAnsi="Times New Roman" w:eastAsia="宋体" w:cs="Times New Roman"/>
      <w:b/>
    </w:rPr>
  </w:style>
  <w:style w:type="character" w:styleId="172">
    <w:name w:val="Placeholder Text"/>
    <w:basedOn w:val="47"/>
    <w:semiHidden/>
    <w:qFormat/>
    <w:uiPriority w:val="99"/>
    <w:rPr>
      <w:color w:val="808080"/>
    </w:rPr>
  </w:style>
  <w:style w:type="character" w:customStyle="1" w:styleId="173">
    <w:name w:val="表格文字 Char"/>
    <w:link w:val="98"/>
    <w:qFormat/>
    <w:locked/>
    <w:uiPriority w:val="0"/>
    <w:rPr>
      <w:rFonts w:ascii="Times New Roman" w:hAnsi="Times New Roman" w:eastAsia="宋体" w:cs="Times New Roman"/>
      <w:snapToGrid w:val="0"/>
      <w:color w:val="000000"/>
      <w:kern w:val="24"/>
      <w:sz w:val="21"/>
      <w:szCs w:val="20"/>
    </w:rPr>
  </w:style>
  <w:style w:type="paragraph" w:customStyle="1" w:styleId="174">
    <w:name w:val="报告书"/>
    <w:basedOn w:val="1"/>
    <w:qFormat/>
    <w:uiPriority w:val="0"/>
    <w:pPr>
      <w:autoSpaceDE w:val="0"/>
      <w:autoSpaceDN w:val="0"/>
      <w:adjustRightInd w:val="0"/>
      <w:ind w:firstLine="505"/>
      <w:textAlignment w:val="bottom"/>
    </w:pPr>
    <w:rPr>
      <w:kern w:val="0"/>
      <w:szCs w:val="20"/>
    </w:rPr>
  </w:style>
  <w:style w:type="paragraph" w:customStyle="1" w:styleId="175">
    <w:name w:val="表头图名"/>
    <w:basedOn w:val="1"/>
    <w:next w:val="1"/>
    <w:qFormat/>
    <w:uiPriority w:val="0"/>
    <w:pPr>
      <w:widowControl w:val="0"/>
      <w:spacing w:line="240" w:lineRule="auto"/>
      <w:jc w:val="center"/>
    </w:pPr>
    <w:rPr>
      <w:rFonts w:ascii="Times New Roman" w:hAnsi="Times New Roman" w:eastAsia="黑体" w:cs="黑体"/>
      <w:sz w:val="18"/>
      <w:szCs w:val="21"/>
    </w:rPr>
  </w:style>
  <w:style w:type="character" w:customStyle="1" w:styleId="176">
    <w:name w:val="报告 Char"/>
    <w:link w:val="104"/>
    <w:qFormat/>
    <w:uiPriority w:val="0"/>
    <w:rPr>
      <w:rFonts w:ascii="Calibri" w:hAnsi="Calibri"/>
      <w:sz w:val="24"/>
    </w:rPr>
  </w:style>
  <w:style w:type="character" w:customStyle="1" w:styleId="177">
    <w:name w:val="NormalCharacter"/>
    <w:semiHidden/>
    <w:qFormat/>
    <w:uiPriority w:val="0"/>
  </w:style>
  <w:style w:type="character" w:customStyle="1" w:styleId="178">
    <w:name w:val="纯文本 Char"/>
    <w:qFormat/>
    <w:uiPriority w:val="0"/>
    <w:rPr>
      <w:rFonts w:ascii="宋体" w:hAnsi="Courier New" w:cs="Arial Unicode MS"/>
      <w:kern w:val="2"/>
      <w:sz w:val="21"/>
      <w:lang w:bidi="bo-CN"/>
    </w:rPr>
  </w:style>
  <w:style w:type="character" w:customStyle="1" w:styleId="179">
    <w:name w:val="报告表正文 Char"/>
    <w:link w:val="105"/>
    <w:qFormat/>
    <w:uiPriority w:val="0"/>
    <w:rPr>
      <w:rFonts w:ascii="Calibri" w:hAnsi="Calibri"/>
      <w:sz w:val="24"/>
      <w:szCs w:val="22"/>
    </w:rPr>
  </w:style>
  <w:style w:type="character" w:customStyle="1" w:styleId="180">
    <w:name w:val="无间隔 字符"/>
    <w:link w:val="148"/>
    <w:qFormat/>
    <w:uiPriority w:val="1"/>
    <w:rPr>
      <w:rFonts w:ascii="Calibri" w:hAnsi="Calibri"/>
      <w:kern w:val="2"/>
      <w:sz w:val="21"/>
      <w:szCs w:val="22"/>
    </w:rPr>
  </w:style>
  <w:style w:type="paragraph" w:customStyle="1" w:styleId="181">
    <w:name w:val="p0"/>
    <w:basedOn w:val="1"/>
    <w:qFormat/>
    <w:uiPriority w:val="0"/>
    <w:pPr>
      <w:ind w:firstLine="200" w:firstLineChars="200"/>
      <w:jc w:val="both"/>
    </w:pPr>
    <w:rPr>
      <w:rFonts w:ascii="Times New Roman" w:hAnsi="Times New Roman" w:eastAsia="宋体" w:cs="Times New Roman"/>
      <w:kern w:val="0"/>
      <w:szCs w:val="21"/>
    </w:rPr>
  </w:style>
  <w:style w:type="paragraph" w:customStyle="1" w:styleId="182">
    <w:name w:val="W正文"/>
    <w:basedOn w:val="1"/>
    <w:qFormat/>
    <w:uiPriority w:val="0"/>
    <w:pPr>
      <w:widowControl w:val="0"/>
      <w:adjustRightInd w:val="0"/>
      <w:snapToGrid w:val="0"/>
      <w:ind w:firstLine="200" w:firstLineChars="200"/>
      <w:jc w:val="both"/>
    </w:pPr>
    <w:rPr>
      <w:rFonts w:ascii="Times New Roman" w:hAnsi="Times New Roman" w:eastAsia="宋体" w:cs="Times New Roman"/>
      <w:kern w:val="0"/>
      <w:szCs w:val="20"/>
    </w:rPr>
  </w:style>
  <w:style w:type="paragraph" w:customStyle="1" w:styleId="183">
    <w:name w:val="文本正文3"/>
    <w:qFormat/>
    <w:uiPriority w:val="0"/>
    <w:pPr>
      <w:spacing w:line="360" w:lineRule="auto"/>
      <w:ind w:firstLine="177" w:firstLineChars="177"/>
      <w:jc w:val="both"/>
    </w:pPr>
    <w:rPr>
      <w:rFonts w:ascii="Times New Roman" w:hAnsi="Times New Roman" w:eastAsia="宋体" w:cs="Times New Roman"/>
      <w:kern w:val="2"/>
      <w:sz w:val="24"/>
      <w:szCs w:val="21"/>
      <w:lang w:val="en-US" w:eastAsia="zh-CN" w:bidi="ar-SA"/>
    </w:rPr>
  </w:style>
  <w:style w:type="paragraph" w:customStyle="1" w:styleId="184">
    <w:name w:val="正文-1"/>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character" w:customStyle="1" w:styleId="185">
    <w:name w:val="标题 5 字符"/>
    <w:basedOn w:val="47"/>
    <w:link w:val="6"/>
    <w:semiHidden/>
    <w:qFormat/>
    <w:uiPriority w:val="9"/>
    <w:rPr>
      <w:rFonts w:asciiTheme="minorHAnsi" w:hAnsiTheme="minorHAnsi" w:eastAsiaTheme="minorEastAsia" w:cstheme="minorBidi"/>
      <w:b/>
      <w:bCs/>
      <w:kern w:val="2"/>
      <w:sz w:val="28"/>
      <w:szCs w:val="28"/>
    </w:rPr>
  </w:style>
  <w:style w:type="paragraph" w:customStyle="1" w:styleId="186">
    <w:name w:val="表标题名"/>
    <w:basedOn w:val="1"/>
    <w:qFormat/>
    <w:uiPriority w:val="0"/>
    <w:pPr>
      <w:widowControl w:val="0"/>
      <w:shd w:val="clear" w:color="auto" w:fill="FFFFFF"/>
      <w:tabs>
        <w:tab w:val="left" w:pos="360"/>
        <w:tab w:val="left" w:pos="1350"/>
      </w:tabs>
      <w:autoSpaceDE w:val="0"/>
      <w:autoSpaceDN w:val="0"/>
      <w:adjustRightInd w:val="0"/>
      <w:snapToGrid w:val="0"/>
      <w:spacing w:line="320" w:lineRule="exact"/>
      <w:jc w:val="center"/>
    </w:pPr>
    <w:rPr>
      <w:rFonts w:ascii="黑体" w:hAnsi="宋体" w:eastAsia="黑体" w:cs="Times New Roman"/>
      <w:b/>
      <w:color w:val="000000"/>
      <w:sz w:val="21"/>
      <w:szCs w:val="28"/>
    </w:rPr>
  </w:style>
  <w:style w:type="paragraph" w:customStyle="1" w:styleId="187">
    <w:name w:val="正文-欣欣"/>
    <w:basedOn w:val="1"/>
    <w:link w:val="190"/>
    <w:qFormat/>
    <w:uiPriority w:val="0"/>
    <w:pPr>
      <w:adjustRightInd w:val="0"/>
      <w:ind w:firstLine="200" w:firstLineChars="200"/>
    </w:pPr>
    <w:rPr>
      <w:szCs w:val="30"/>
    </w:rPr>
  </w:style>
  <w:style w:type="paragraph" w:customStyle="1" w:styleId="188">
    <w:name w:val="p18"/>
    <w:basedOn w:val="1"/>
    <w:qFormat/>
    <w:uiPriority w:val="0"/>
    <w:pPr>
      <w:spacing w:before="100" w:beforeAutospacing="1" w:after="100" w:afterAutospacing="1" w:line="240" w:lineRule="auto"/>
    </w:pPr>
    <w:rPr>
      <w:rFonts w:ascii="宋体" w:hAnsi="宋体" w:eastAsia="宋体" w:cs="宋体"/>
      <w:kern w:val="0"/>
    </w:rPr>
  </w:style>
  <w:style w:type="paragraph" w:customStyle="1" w:styleId="189">
    <w:name w:val="表格首行"/>
    <w:basedOn w:val="1"/>
    <w:next w:val="1"/>
    <w:qFormat/>
    <w:uiPriority w:val="0"/>
    <w:pPr>
      <w:widowControl w:val="0"/>
      <w:spacing w:line="240" w:lineRule="auto"/>
      <w:jc w:val="center"/>
    </w:pPr>
    <w:rPr>
      <w:rFonts w:ascii="Times New Roman" w:hAnsi="Times New Roman" w:eastAsia="宋体" w:cs="宋体"/>
      <w:b/>
      <w:sz w:val="21"/>
      <w:szCs w:val="20"/>
    </w:rPr>
  </w:style>
  <w:style w:type="character" w:customStyle="1" w:styleId="190">
    <w:name w:val="正文-欣欣 Char"/>
    <w:link w:val="187"/>
    <w:qFormat/>
    <w:locked/>
    <w:uiPriority w:val="0"/>
    <w:rPr>
      <w:rFonts w:asciiTheme="minorHAnsi" w:hAnsiTheme="minorHAnsi" w:eastAsiaTheme="minorEastAsia" w:cstheme="minorBidi"/>
      <w:kern w:val="2"/>
      <w:sz w:val="24"/>
      <w:szCs w:val="30"/>
    </w:rPr>
  </w:style>
  <w:style w:type="character" w:customStyle="1" w:styleId="191">
    <w:name w:val="页脚 Char1"/>
    <w:qFormat/>
    <w:locked/>
    <w:uiPriority w:val="99"/>
    <w:rPr>
      <w:sz w:val="18"/>
    </w:rPr>
  </w:style>
  <w:style w:type="character" w:customStyle="1" w:styleId="192">
    <w:name w:val="正文四号 Char Char"/>
    <w:link w:val="193"/>
    <w:qFormat/>
    <w:uiPriority w:val="0"/>
    <w:rPr>
      <w:rFonts w:cs="宋体"/>
      <w:kern w:val="2"/>
      <w:sz w:val="28"/>
      <w:szCs w:val="28"/>
    </w:rPr>
  </w:style>
  <w:style w:type="paragraph" w:customStyle="1" w:styleId="193">
    <w:name w:val="正文四号"/>
    <w:basedOn w:val="1"/>
    <w:link w:val="192"/>
    <w:qFormat/>
    <w:uiPriority w:val="0"/>
    <w:pPr>
      <w:widowControl w:val="0"/>
      <w:spacing w:afterLines="50" w:line="348" w:lineRule="auto"/>
      <w:ind w:firstLine="200" w:firstLineChars="200"/>
      <w:jc w:val="both"/>
    </w:pPr>
    <w:rPr>
      <w:rFonts w:ascii="Times New Roman" w:hAnsi="Times New Roman" w:eastAsia="宋体" w:cs="宋体"/>
      <w:sz w:val="28"/>
      <w:szCs w:val="28"/>
    </w:rPr>
  </w:style>
  <w:style w:type="character" w:customStyle="1" w:styleId="194">
    <w:name w:val="标题 6 字符"/>
    <w:basedOn w:val="47"/>
    <w:link w:val="7"/>
    <w:qFormat/>
    <w:uiPriority w:val="0"/>
    <w:rPr>
      <w:rFonts w:ascii="Arial" w:hAnsi="Arial" w:eastAsia="黑体"/>
      <w:b/>
      <w:snapToGrid w:val="0"/>
      <w:sz w:val="24"/>
      <w:lang w:val="en-US" w:eastAsia="zh-CN"/>
    </w:rPr>
  </w:style>
  <w:style w:type="character" w:customStyle="1" w:styleId="195">
    <w:name w:val="标题 7 字符"/>
    <w:basedOn w:val="47"/>
    <w:link w:val="8"/>
    <w:qFormat/>
    <w:uiPriority w:val="0"/>
    <w:rPr>
      <w:rFonts w:ascii="宋体" w:hAnsi="Garamond"/>
      <w:b/>
      <w:snapToGrid w:val="0"/>
      <w:sz w:val="24"/>
      <w:lang w:val="en-US" w:eastAsia="zh-CN"/>
    </w:rPr>
  </w:style>
  <w:style w:type="character" w:customStyle="1" w:styleId="196">
    <w:name w:val="标题 8 字符"/>
    <w:basedOn w:val="47"/>
    <w:link w:val="10"/>
    <w:qFormat/>
    <w:uiPriority w:val="0"/>
    <w:rPr>
      <w:rFonts w:ascii="Arial" w:hAnsi="Arial" w:eastAsia="黑体"/>
      <w:snapToGrid w:val="0"/>
      <w:sz w:val="24"/>
      <w:lang w:val="en-US" w:eastAsia="zh-CN"/>
    </w:rPr>
  </w:style>
  <w:style w:type="character" w:customStyle="1" w:styleId="197">
    <w:name w:val="标题 9 字符"/>
    <w:basedOn w:val="47"/>
    <w:link w:val="11"/>
    <w:qFormat/>
    <w:uiPriority w:val="0"/>
    <w:rPr>
      <w:rFonts w:ascii="Arial" w:hAnsi="Arial" w:eastAsia="黑体"/>
      <w:snapToGrid w:val="0"/>
      <w:sz w:val="28"/>
      <w:lang w:val="en-US" w:eastAsia="zh-CN"/>
    </w:rPr>
  </w:style>
  <w:style w:type="character" w:customStyle="1" w:styleId="198">
    <w:name w:val="font51"/>
    <w:qFormat/>
    <w:uiPriority w:val="0"/>
    <w:rPr>
      <w:rFonts w:ascii="仿宋_GB2312" w:eastAsia="仿宋_GB2312" w:cs="仿宋_GB2312"/>
      <w:color w:val="000000"/>
      <w:sz w:val="24"/>
      <w:szCs w:val="24"/>
      <w:u w:val="none"/>
    </w:rPr>
  </w:style>
  <w:style w:type="character" w:customStyle="1" w:styleId="199">
    <w:name w:val="font01"/>
    <w:qFormat/>
    <w:uiPriority w:val="0"/>
    <w:rPr>
      <w:rFonts w:hint="default" w:ascii="Times New Roman" w:hAnsi="Times New Roman" w:cs="Times New Roman"/>
      <w:color w:val="000000"/>
      <w:sz w:val="21"/>
      <w:szCs w:val="21"/>
      <w:u w:val="none"/>
    </w:rPr>
  </w:style>
  <w:style w:type="character" w:customStyle="1" w:styleId="200">
    <w:name w:val="未处理的提及1"/>
    <w:unhideWhenUsed/>
    <w:qFormat/>
    <w:uiPriority w:val="99"/>
    <w:rPr>
      <w:color w:val="605E5C"/>
      <w:shd w:val="clear" w:color="auto" w:fill="E1DFDD"/>
    </w:rPr>
  </w:style>
  <w:style w:type="character" w:customStyle="1" w:styleId="201">
    <w:name w:val="font41"/>
    <w:qFormat/>
    <w:uiPriority w:val="0"/>
    <w:rPr>
      <w:rFonts w:hint="eastAsia" w:ascii="宋体" w:hAnsi="宋体" w:eastAsia="宋体" w:cs="宋体"/>
      <w:color w:val="000000"/>
      <w:sz w:val="22"/>
      <w:szCs w:val="22"/>
      <w:u w:val="none"/>
    </w:rPr>
  </w:style>
  <w:style w:type="paragraph" w:customStyle="1" w:styleId="202">
    <w:name w:val="可研标题1"/>
    <w:basedOn w:val="203"/>
    <w:qFormat/>
    <w:uiPriority w:val="0"/>
    <w:pPr>
      <w:spacing w:beforeLines="0" w:afterLines="0" w:line="640" w:lineRule="exact"/>
    </w:pPr>
    <w:rPr>
      <w:rFonts w:ascii="Times New Roman" w:hAnsi="Times New Roman" w:eastAsia="宋体"/>
      <w:sz w:val="28"/>
    </w:rPr>
  </w:style>
  <w:style w:type="paragraph" w:customStyle="1" w:styleId="203">
    <w:name w:val="样式 样式 样式 样式 样式 标题 1 + 黑体 三号 + 首行缩进:  2 字符 段后: 0.5 行 + 段后: 0.5 行 ..."/>
    <w:basedOn w:val="204"/>
    <w:qFormat/>
    <w:uiPriority w:val="0"/>
    <w:pPr>
      <w:spacing w:beforeLines="200"/>
    </w:pPr>
  </w:style>
  <w:style w:type="paragraph" w:customStyle="1" w:styleId="204">
    <w:name w:val="样式 样式 样式 样式 标题 1 + 黑体 三号 + 首行缩进:  2 字符 段后: 0.5 行 + 段后: 0.5 行 + 段..."/>
    <w:basedOn w:val="205"/>
    <w:qFormat/>
    <w:uiPriority w:val="0"/>
    <w:pPr>
      <w:spacing w:beforeLines="100"/>
    </w:pPr>
  </w:style>
  <w:style w:type="paragraph" w:customStyle="1" w:styleId="205">
    <w:name w:val="样式 样式 样式 标题 1 + 黑体 三号 + 首行缩进:  2 字符 段后: 0.5 行 + 段后: 0.5 行"/>
    <w:basedOn w:val="206"/>
    <w:qFormat/>
    <w:uiPriority w:val="0"/>
    <w:pPr>
      <w:spacing w:afterLines="100" w:line="360" w:lineRule="auto"/>
    </w:pPr>
  </w:style>
  <w:style w:type="paragraph" w:customStyle="1" w:styleId="206">
    <w:name w:val="样式 样式 标题 1 + 黑体 三号 + 首行缩进:  2 字符 段后: 0.5 行"/>
    <w:basedOn w:val="207"/>
    <w:qFormat/>
    <w:uiPriority w:val="0"/>
    <w:pPr>
      <w:spacing w:afterLines="50" w:line="578" w:lineRule="auto"/>
    </w:pPr>
    <w:rPr>
      <w:rFonts w:cs="宋体"/>
      <w:szCs w:val="20"/>
    </w:rPr>
  </w:style>
  <w:style w:type="paragraph" w:customStyle="1" w:styleId="207">
    <w:name w:val="样式 标题 1 + 黑体 三号"/>
    <w:basedOn w:val="2"/>
    <w:qFormat/>
    <w:uiPriority w:val="0"/>
    <w:pPr>
      <w:keepLines/>
      <w:overflowPunct/>
      <w:adjustRightInd/>
      <w:snapToGrid/>
      <w:spacing w:before="340" w:after="330"/>
      <w:jc w:val="center"/>
    </w:pPr>
    <w:rPr>
      <w:rFonts w:ascii="黑体" w:hAnsi="黑体"/>
      <w:color w:val="auto"/>
      <w:kern w:val="32"/>
      <w:sz w:val="32"/>
      <w:szCs w:val="44"/>
    </w:rPr>
  </w:style>
  <w:style w:type="paragraph" w:customStyle="1" w:styleId="208">
    <w:name w:val="Char4 Char Char Char"/>
    <w:basedOn w:val="1"/>
    <w:semiHidden/>
    <w:qFormat/>
    <w:uiPriority w:val="0"/>
    <w:pPr>
      <w:widowControl w:val="0"/>
      <w:adjustRightInd w:val="0"/>
      <w:snapToGrid w:val="0"/>
      <w:ind w:firstLine="200" w:firstLineChars="200"/>
      <w:jc w:val="both"/>
    </w:pPr>
    <w:rPr>
      <w:rFonts w:ascii="宋体" w:hAnsi="宋体" w:eastAsia="宋体" w:cs="宋体"/>
      <w:szCs w:val="26"/>
    </w:rPr>
  </w:style>
  <w:style w:type="paragraph" w:customStyle="1" w:styleId="209">
    <w:name w:val="样式 样式 首行缩进:  2 字符 段后: 0.5 行 + 首行缩进:  2 字符 段后: 0.5 行"/>
    <w:basedOn w:val="1"/>
    <w:qFormat/>
    <w:uiPriority w:val="0"/>
    <w:pPr>
      <w:widowControl w:val="0"/>
      <w:spacing w:afterLines="50"/>
      <w:ind w:firstLine="560" w:firstLineChars="200"/>
      <w:jc w:val="both"/>
    </w:pPr>
    <w:rPr>
      <w:rFonts w:ascii="Times New Roman" w:hAnsi="Times New Roman" w:eastAsia="宋体" w:cs="宋体"/>
      <w:sz w:val="28"/>
      <w:szCs w:val="20"/>
    </w:rPr>
  </w:style>
  <w:style w:type="paragraph" w:customStyle="1" w:styleId="210">
    <w:name w:val="样式 样式 正文四号 + 首行缩进:  2 字符 段后: 0.5 行1 + 首行缩进:  2 字符"/>
    <w:basedOn w:val="211"/>
    <w:qFormat/>
    <w:uiPriority w:val="0"/>
    <w:pPr>
      <w:ind w:firstLine="560"/>
    </w:pPr>
  </w:style>
  <w:style w:type="paragraph" w:customStyle="1" w:styleId="211">
    <w:name w:val="样式 正文四号 + 首行缩进:  2 字符 段后: 0.5 行1"/>
    <w:basedOn w:val="193"/>
    <w:qFormat/>
    <w:uiPriority w:val="0"/>
    <w:pPr>
      <w:spacing w:afterLines="0" w:line="560" w:lineRule="exact"/>
    </w:pPr>
  </w:style>
  <w:style w:type="paragraph" w:customStyle="1" w:styleId="212">
    <w:name w:val="样式 样式 样式 样式 首行缩进:  2 字符 段后: 0.5 行 + 首行缩进:  2 字符 段后: 0.5 行 + 黑体 小...2"/>
    <w:basedOn w:val="1"/>
    <w:qFormat/>
    <w:uiPriority w:val="0"/>
    <w:pPr>
      <w:widowControl w:val="0"/>
      <w:spacing w:line="640" w:lineRule="exact"/>
      <w:jc w:val="center"/>
    </w:pPr>
    <w:rPr>
      <w:rFonts w:ascii="Times New Roman" w:hAnsi="Times New Roman" w:eastAsia="宋体" w:cs="宋体"/>
      <w:b/>
      <w:sz w:val="28"/>
      <w:szCs w:val="20"/>
    </w:rPr>
  </w:style>
  <w:style w:type="paragraph" w:customStyle="1" w:styleId="213">
    <w:name w:val="标题3"/>
    <w:basedOn w:val="1"/>
    <w:qFormat/>
    <w:uiPriority w:val="0"/>
    <w:pPr>
      <w:widowControl w:val="0"/>
      <w:jc w:val="both"/>
    </w:pPr>
    <w:rPr>
      <w:rFonts w:ascii="Times New Roman" w:hAnsi="Times New Roman" w:eastAsia="宋体" w:cs="Times New Roman"/>
      <w:b/>
      <w:sz w:val="28"/>
    </w:rPr>
  </w:style>
  <w:style w:type="paragraph" w:customStyle="1" w:styleId="214">
    <w:name w:val="样式 标题 3 + 段后: 0.5 行"/>
    <w:basedOn w:val="4"/>
    <w:qFormat/>
    <w:uiPriority w:val="0"/>
    <w:pPr>
      <w:adjustRightInd/>
      <w:snapToGrid/>
      <w:spacing w:before="260" w:afterLines="50"/>
      <w:jc w:val="both"/>
    </w:pPr>
    <w:rPr>
      <w:rFonts w:eastAsia="黑体" w:cs="宋体"/>
      <w:bCs/>
      <w:sz w:val="28"/>
      <w:szCs w:val="20"/>
    </w:rPr>
  </w:style>
  <w:style w:type="paragraph" w:customStyle="1" w:styleId="215">
    <w:name w:val="样式 样式 样式 首行缩进:  2 字符 段后: 0.5 行 + 首行缩进:  2 字符 段后: 0.5 行 + 段后: 0.5...1"/>
    <w:basedOn w:val="209"/>
    <w:qFormat/>
    <w:uiPriority w:val="0"/>
    <w:pPr>
      <w:spacing w:afterLines="0" w:line="640" w:lineRule="exact"/>
      <w:ind w:firstLine="200"/>
    </w:pPr>
  </w:style>
  <w:style w:type="paragraph" w:customStyle="1" w:styleId="216">
    <w:name w:val="可研表格格式"/>
    <w:basedOn w:val="1"/>
    <w:qFormat/>
    <w:uiPriority w:val="0"/>
    <w:pPr>
      <w:widowControl w:val="0"/>
      <w:spacing w:line="300" w:lineRule="auto"/>
      <w:jc w:val="center"/>
    </w:pPr>
    <w:rPr>
      <w:rFonts w:ascii="Times New Roman" w:hAnsi="仿宋" w:eastAsia="宋体" w:cs="宋体"/>
      <w:kern w:val="0"/>
      <w:szCs w:val="20"/>
    </w:rPr>
  </w:style>
  <w:style w:type="paragraph" w:customStyle="1" w:styleId="217">
    <w:name w:val="样式 样式 样式 样式 首行缩进:  2 字符 段后: 0.5 行 + 首行缩进:  2 字符 段后: 0.5 行 + 段后: ..."/>
    <w:basedOn w:val="1"/>
    <w:qFormat/>
    <w:uiPriority w:val="0"/>
    <w:pPr>
      <w:widowControl w:val="0"/>
      <w:spacing w:line="640" w:lineRule="exact"/>
      <w:ind w:firstLine="560" w:firstLineChars="200"/>
      <w:jc w:val="both"/>
    </w:pPr>
    <w:rPr>
      <w:rFonts w:ascii="Times New Roman" w:hAnsi="Times New Roman" w:eastAsia="宋体" w:cs="宋体"/>
      <w:sz w:val="28"/>
      <w:szCs w:val="20"/>
    </w:rPr>
  </w:style>
  <w:style w:type="paragraph" w:customStyle="1" w:styleId="218">
    <w:name w:val="样式 样式 样式 样式 标题 2 + 首行缩进:  2 字符 段后: 0.5 行 + 首行缩进:  2 字符 + 段后: 0.5..."/>
    <w:basedOn w:val="1"/>
    <w:qFormat/>
    <w:uiPriority w:val="0"/>
    <w:pPr>
      <w:keepNext/>
      <w:keepLines/>
      <w:widowControl w:val="0"/>
      <w:spacing w:line="640" w:lineRule="exact"/>
      <w:jc w:val="both"/>
      <w:outlineLvl w:val="1"/>
    </w:pPr>
    <w:rPr>
      <w:rFonts w:ascii="Times New Roman" w:hAnsi="Times New Roman" w:eastAsia="宋体" w:cs="宋体"/>
      <w:b/>
      <w:kern w:val="44"/>
      <w:sz w:val="28"/>
      <w:szCs w:val="28"/>
    </w:rPr>
  </w:style>
  <w:style w:type="paragraph" w:customStyle="1" w:styleId="219">
    <w:name w:val="Z正文"/>
    <w:basedOn w:val="1"/>
    <w:qFormat/>
    <w:uiPriority w:val="0"/>
    <w:pPr>
      <w:widowControl w:val="0"/>
      <w:spacing w:after="120" w:line="240" w:lineRule="auto"/>
      <w:ind w:firstLine="600" w:firstLineChars="200"/>
      <w:jc w:val="both"/>
    </w:pPr>
    <w:rPr>
      <w:rFonts w:ascii="Times New Roman" w:hAnsi="Times New Roman" w:eastAsia="仿宋_GB2312" w:cs="Times New Roman"/>
      <w:sz w:val="30"/>
      <w:szCs w:val="20"/>
    </w:rPr>
  </w:style>
  <w:style w:type="paragraph" w:customStyle="1" w:styleId="220">
    <w:name w:val="样式 标题 2 + 红色 首行缩进:  2 字符 行距: 固定值 30 磅"/>
    <w:basedOn w:val="4"/>
    <w:qFormat/>
    <w:uiPriority w:val="0"/>
    <w:pPr>
      <w:adjustRightInd/>
      <w:spacing w:line="600" w:lineRule="exact"/>
      <w:ind w:firstLine="561"/>
      <w:jc w:val="both"/>
    </w:pPr>
    <w:rPr>
      <w:rFonts w:cs="宋体"/>
      <w:b w:val="0"/>
      <w:sz w:val="28"/>
      <w:szCs w:val="20"/>
    </w:rPr>
  </w:style>
  <w:style w:type="paragraph" w:customStyle="1" w:styleId="221">
    <w:name w:val="样式 正文四号 + 自动设置"/>
    <w:basedOn w:val="193"/>
    <w:qFormat/>
    <w:uiPriority w:val="0"/>
  </w:style>
  <w:style w:type="paragraph" w:customStyle="1" w:styleId="222">
    <w:name w:val="可研标题3"/>
    <w:basedOn w:val="1"/>
    <w:qFormat/>
    <w:uiPriority w:val="0"/>
    <w:pPr>
      <w:keepNext/>
      <w:keepLines/>
      <w:widowControl w:val="0"/>
      <w:spacing w:line="640" w:lineRule="exact"/>
      <w:jc w:val="both"/>
      <w:outlineLvl w:val="2"/>
    </w:pPr>
    <w:rPr>
      <w:rFonts w:ascii="Times New Roman" w:hAnsi="Times New Roman" w:eastAsia="宋体" w:cs="宋体"/>
      <w:sz w:val="28"/>
      <w:szCs w:val="20"/>
    </w:rPr>
  </w:style>
  <w:style w:type="paragraph" w:customStyle="1" w:styleId="223">
    <w:name w:val="样式 样式 标题 3 + 段后: 0.5 行 + 段后: 0.5 行"/>
    <w:basedOn w:val="214"/>
    <w:qFormat/>
    <w:uiPriority w:val="0"/>
    <w:pPr>
      <w:spacing w:afterLines="0" w:line="640" w:lineRule="exact"/>
    </w:pPr>
    <w:rPr>
      <w:rFonts w:eastAsia="宋体"/>
      <w:bCs w:val="0"/>
    </w:rPr>
  </w:style>
  <w:style w:type="character" w:customStyle="1" w:styleId="224">
    <w:name w:val="正文文本缩进 3 字符"/>
    <w:basedOn w:val="47"/>
    <w:link w:val="35"/>
    <w:qFormat/>
    <w:uiPriority w:val="0"/>
    <w:rPr>
      <w:kern w:val="2"/>
      <w:sz w:val="28"/>
      <w:szCs w:val="24"/>
    </w:rPr>
  </w:style>
  <w:style w:type="character" w:customStyle="1" w:styleId="225">
    <w:name w:val="正文文本 2 字符"/>
    <w:basedOn w:val="47"/>
    <w:link w:val="39"/>
    <w:qFormat/>
    <w:uiPriority w:val="0"/>
    <w:rPr>
      <w:kern w:val="2"/>
      <w:sz w:val="24"/>
    </w:rPr>
  </w:style>
  <w:style w:type="paragraph" w:customStyle="1" w:styleId="226">
    <w:name w:val="TOC Heading"/>
    <w:basedOn w:val="2"/>
    <w:next w:val="1"/>
    <w:qFormat/>
    <w:uiPriority w:val="39"/>
    <w:pPr>
      <w:keepLines/>
      <w:widowControl/>
      <w:overflowPunct/>
      <w:adjustRightInd/>
      <w:snapToGrid/>
      <w:spacing w:before="480" w:line="276" w:lineRule="auto"/>
      <w:jc w:val="left"/>
      <w:outlineLvl w:val="9"/>
    </w:pPr>
    <w:rPr>
      <w:rFonts w:ascii="Cambria" w:hAnsi="Cambria" w:eastAsia="宋体"/>
      <w:color w:val="365F91"/>
      <w:kern w:val="0"/>
      <w:szCs w:val="28"/>
    </w:rPr>
  </w:style>
  <w:style w:type="paragraph" w:customStyle="1" w:styleId="227">
    <w:name w:val="可研图表格式"/>
    <w:basedOn w:val="228"/>
    <w:qFormat/>
    <w:uiPriority w:val="0"/>
    <w:pPr>
      <w:spacing w:line="240" w:lineRule="auto"/>
      <w:ind w:firstLine="0" w:firstLineChars="0"/>
      <w:jc w:val="center"/>
    </w:pPr>
    <w:rPr>
      <w:sz w:val="24"/>
    </w:rPr>
  </w:style>
  <w:style w:type="paragraph" w:customStyle="1" w:styleId="228">
    <w:name w:val="可研正文标题"/>
    <w:basedOn w:val="1"/>
    <w:qFormat/>
    <w:uiPriority w:val="0"/>
    <w:pPr>
      <w:widowControl w:val="0"/>
      <w:spacing w:line="640" w:lineRule="exact"/>
      <w:ind w:firstLine="560" w:firstLineChars="200"/>
      <w:jc w:val="both"/>
    </w:pPr>
    <w:rPr>
      <w:rFonts w:ascii="Times New Roman" w:hAnsi="Times New Roman" w:eastAsia="宋体" w:cs="Times New Roman"/>
      <w:sz w:val="28"/>
      <w:szCs w:val="20"/>
    </w:rPr>
  </w:style>
  <w:style w:type="paragraph" w:customStyle="1" w:styleId="229">
    <w:name w:val="！题注"/>
    <w:basedOn w:val="14"/>
    <w:qFormat/>
    <w:uiPriority w:val="0"/>
    <w:pPr>
      <w:spacing w:line="348" w:lineRule="auto"/>
    </w:pPr>
    <w:rPr>
      <w:rFonts w:ascii="Times New Roman" w:hAnsi="Times New Roman" w:eastAsia="宋体" w:cs="宋体"/>
      <w:sz w:val="28"/>
    </w:rPr>
  </w:style>
  <w:style w:type="paragraph" w:customStyle="1" w:styleId="230">
    <w:name w:val="Revision"/>
    <w:unhideWhenUsed/>
    <w:qFormat/>
    <w:uiPriority w:val="99"/>
    <w:rPr>
      <w:rFonts w:ascii="Times New Roman" w:hAnsi="Times New Roman" w:eastAsia="宋体" w:cs="Times New Roman"/>
      <w:kern w:val="2"/>
      <w:sz w:val="28"/>
      <w:szCs w:val="24"/>
      <w:lang w:val="en-US" w:eastAsia="zh-CN" w:bidi="ar-SA"/>
    </w:rPr>
  </w:style>
  <w:style w:type="paragraph" w:customStyle="1" w:styleId="231">
    <w:name w:val="表头"/>
    <w:basedOn w:val="1"/>
    <w:next w:val="1"/>
    <w:qFormat/>
    <w:uiPriority w:val="0"/>
    <w:pPr>
      <w:widowControl w:val="0"/>
      <w:snapToGrid w:val="0"/>
      <w:spacing w:beforeLines="50" w:line="240" w:lineRule="auto"/>
      <w:ind w:firstLine="200" w:firstLineChars="200"/>
      <w:jc w:val="both"/>
    </w:pPr>
    <w:rPr>
      <w:rFonts w:ascii="Times New Roman" w:hAnsi="Times New Roman" w:eastAsia="宋体" w:cs="Times New Roman"/>
      <w:spacing w:val="2"/>
      <w:szCs w:val="20"/>
    </w:rPr>
  </w:style>
  <w:style w:type="paragraph" w:customStyle="1" w:styleId="232">
    <w:name w:val="样式 样式 正文四号 + 自动设置 + 首行缩进:  2 字符 段后: 0.5 行"/>
    <w:basedOn w:val="221"/>
    <w:qFormat/>
    <w:uiPriority w:val="0"/>
    <w:pPr>
      <w:spacing w:afterLines="0"/>
      <w:ind w:firstLine="560"/>
    </w:pPr>
    <w:rPr>
      <w:szCs w:val="20"/>
    </w:rPr>
  </w:style>
  <w:style w:type="paragraph" w:customStyle="1" w:styleId="233">
    <w:name w:val="大庆样式1"/>
    <w:basedOn w:val="1"/>
    <w:qFormat/>
    <w:uiPriority w:val="0"/>
    <w:pPr>
      <w:widowControl w:val="0"/>
      <w:autoSpaceDE w:val="0"/>
      <w:autoSpaceDN w:val="0"/>
      <w:adjustRightInd w:val="0"/>
      <w:spacing w:line="240" w:lineRule="auto"/>
      <w:ind w:firstLine="748"/>
      <w:textAlignment w:val="baseline"/>
    </w:pPr>
    <w:rPr>
      <w:rFonts w:ascii="Times New Roman" w:hAnsi="Times New Roman" w:eastAsia="宋体" w:cs="Times New Roman"/>
      <w:spacing w:val="5"/>
      <w:kern w:val="0"/>
      <w:sz w:val="30"/>
      <w:szCs w:val="20"/>
    </w:rPr>
  </w:style>
  <w:style w:type="paragraph" w:customStyle="1" w:styleId="234">
    <w:name w:val="表格尾格式"/>
    <w:basedOn w:val="1"/>
    <w:qFormat/>
    <w:uiPriority w:val="0"/>
    <w:pPr>
      <w:widowControl w:val="0"/>
      <w:spacing w:line="240" w:lineRule="exact"/>
      <w:ind w:left="561"/>
    </w:pPr>
    <w:rPr>
      <w:rFonts w:ascii="Times New Roman" w:hAnsi="Times New Roman" w:eastAsia="宋体" w:cs="Times New Roman"/>
      <w:sz w:val="10"/>
    </w:rPr>
  </w:style>
  <w:style w:type="paragraph" w:customStyle="1" w:styleId="235">
    <w:name w:val="Char1"/>
    <w:basedOn w:val="1"/>
    <w:qFormat/>
    <w:uiPriority w:val="0"/>
    <w:pPr>
      <w:widowControl w:val="0"/>
      <w:spacing w:line="240" w:lineRule="auto"/>
      <w:jc w:val="both"/>
    </w:pPr>
    <w:rPr>
      <w:rFonts w:ascii="Times New Roman" w:hAnsi="Times New Roman" w:eastAsia="宋体" w:cs="Times New Roman"/>
      <w:sz w:val="21"/>
    </w:rPr>
  </w:style>
  <w:style w:type="paragraph" w:customStyle="1" w:styleId="236">
    <w:name w:val="黄正文"/>
    <w:basedOn w:val="1"/>
    <w:qFormat/>
    <w:uiPriority w:val="0"/>
    <w:pPr>
      <w:widowControl w:val="0"/>
      <w:spacing w:line="240" w:lineRule="auto"/>
      <w:ind w:firstLine="560"/>
      <w:jc w:val="both"/>
    </w:pPr>
    <w:rPr>
      <w:rFonts w:ascii="仿宋" w:hAnsi="仿宋" w:eastAsia="仿宋" w:cs="Times New Roman"/>
      <w:sz w:val="28"/>
      <w:szCs w:val="22"/>
      <w:lang w:val="zh-CN"/>
    </w:rPr>
  </w:style>
  <w:style w:type="paragraph" w:customStyle="1" w:styleId="237">
    <w:name w:val="+++ 表头"/>
    <w:basedOn w:val="1"/>
    <w:link w:val="238"/>
    <w:qFormat/>
    <w:uiPriority w:val="0"/>
    <w:pPr>
      <w:widowControl w:val="0"/>
      <w:jc w:val="center"/>
    </w:pPr>
    <w:rPr>
      <w:rFonts w:ascii="Times New Roman" w:hAnsi="Times New Roman" w:eastAsia="宋体" w:cs="Times New Roman"/>
      <w:b/>
      <w:bCs/>
      <w:color w:val="99CC00"/>
    </w:rPr>
  </w:style>
  <w:style w:type="character" w:customStyle="1" w:styleId="238">
    <w:name w:val="+++ 表头 Char"/>
    <w:link w:val="237"/>
    <w:qFormat/>
    <w:uiPriority w:val="0"/>
    <w:rPr>
      <w:b/>
      <w:bCs/>
      <w:color w:val="99CC00"/>
      <w:kern w:val="2"/>
      <w:sz w:val="24"/>
      <w:szCs w:val="24"/>
    </w:rPr>
  </w:style>
  <w:style w:type="character" w:customStyle="1" w:styleId="239">
    <w:name w:val="题注 字符"/>
    <w:link w:val="14"/>
    <w:qFormat/>
    <w:locked/>
    <w:uiPriority w:val="0"/>
    <w:rPr>
      <w:rFonts w:asciiTheme="majorHAnsi" w:hAnsiTheme="majorHAnsi" w:eastAsiaTheme="majorEastAsia" w:cstheme="majorBidi"/>
      <w:kern w:val="2"/>
      <w:sz w:val="24"/>
    </w:rPr>
  </w:style>
  <w:style w:type="paragraph" w:customStyle="1" w:styleId="240">
    <w:name w:val="报告六级"/>
    <w:basedOn w:val="1"/>
    <w:qFormat/>
    <w:uiPriority w:val="0"/>
    <w:pPr>
      <w:widowControl w:val="0"/>
      <w:adjustRightInd w:val="0"/>
      <w:ind w:firstLine="200" w:firstLineChars="200"/>
      <w:jc w:val="both"/>
      <w:outlineLvl w:val="5"/>
    </w:pPr>
    <w:rPr>
      <w:rFonts w:ascii="Times New Roman" w:hAnsi="Times New Roman" w:eastAsia="宋体" w:cs="Times New Roman"/>
      <w:b/>
      <w:bCs/>
      <w:kern w:val="21"/>
      <w:szCs w:val="20"/>
    </w:rPr>
  </w:style>
  <w:style w:type="character" w:customStyle="1" w:styleId="241">
    <w:name w:val="报告 Char Char"/>
    <w:qFormat/>
    <w:locked/>
    <w:uiPriority w:val="0"/>
    <w:rPr>
      <w:sz w:val="24"/>
      <w:szCs w:val="24"/>
    </w:rPr>
  </w:style>
  <w:style w:type="paragraph" w:customStyle="1" w:styleId="242">
    <w:name w:val="表格标题-4"/>
    <w:basedOn w:val="1"/>
    <w:next w:val="1"/>
    <w:qFormat/>
    <w:uiPriority w:val="0"/>
    <w:pPr>
      <w:widowControl w:val="0"/>
      <w:numPr>
        <w:ilvl w:val="0"/>
        <w:numId w:val="2"/>
      </w:numPr>
      <w:tabs>
        <w:tab w:val="left" w:pos="851"/>
      </w:tabs>
      <w:snapToGrid w:val="0"/>
      <w:spacing w:line="240" w:lineRule="auto"/>
      <w:jc w:val="center"/>
    </w:pPr>
    <w:rPr>
      <w:rFonts w:ascii="Times New Roman" w:hAnsi="Times New Roman" w:eastAsia="黑体" w:cs="Times New Roman"/>
      <w:sz w:val="21"/>
    </w:rPr>
  </w:style>
  <w:style w:type="character" w:customStyle="1" w:styleId="243">
    <w:name w:val="0表格 Char"/>
    <w:link w:val="244"/>
    <w:qFormat/>
    <w:uiPriority w:val="0"/>
    <w:rPr>
      <w:kern w:val="2"/>
      <w:sz w:val="21"/>
      <w:szCs w:val="24"/>
    </w:rPr>
  </w:style>
  <w:style w:type="paragraph" w:customStyle="1" w:styleId="244">
    <w:name w:val="0表格"/>
    <w:basedOn w:val="1"/>
    <w:link w:val="243"/>
    <w:qFormat/>
    <w:uiPriority w:val="0"/>
    <w:pPr>
      <w:widowControl w:val="0"/>
      <w:spacing w:line="240" w:lineRule="auto"/>
      <w:jc w:val="center"/>
    </w:pPr>
    <w:rPr>
      <w:rFonts w:ascii="Times New Roman" w:hAnsi="Times New Roman" w:eastAsia="宋体" w:cs="Times New Roman"/>
      <w:sz w:val="21"/>
    </w:rPr>
  </w:style>
  <w:style w:type="paragraph" w:customStyle="1" w:styleId="245">
    <w:name w:val="引言二级条标题"/>
    <w:basedOn w:val="1"/>
    <w:next w:val="82"/>
    <w:qFormat/>
    <w:uiPriority w:val="0"/>
    <w:pPr>
      <w:tabs>
        <w:tab w:val="left" w:pos="360"/>
      </w:tabs>
      <w:spacing w:line="240" w:lineRule="auto"/>
      <w:ind w:left="2258" w:hanging="420"/>
      <w:jc w:val="both"/>
    </w:pPr>
    <w:rPr>
      <w:rFonts w:ascii="Times New Roman" w:hAnsi="Times New Roman" w:eastAsia="黑体" w:cs="Times New Roman"/>
      <w:b/>
      <w:sz w:val="21"/>
    </w:rPr>
  </w:style>
  <w:style w:type="paragraph" w:customStyle="1" w:styleId="246">
    <w:name w:val="正文样式1"/>
    <w:basedOn w:val="1"/>
    <w:link w:val="247"/>
    <w:qFormat/>
    <w:uiPriority w:val="0"/>
    <w:pPr>
      <w:spacing w:line="440" w:lineRule="exact"/>
      <w:ind w:firstLine="200" w:firstLineChars="200"/>
    </w:pPr>
    <w:rPr>
      <w:rFonts w:ascii="宋体" w:hAnsi="宋体" w:eastAsia="宋体" w:cs="宋体"/>
      <w:kern w:val="0"/>
    </w:rPr>
  </w:style>
  <w:style w:type="character" w:customStyle="1" w:styleId="247">
    <w:name w:val="正文样式1 Char"/>
    <w:link w:val="246"/>
    <w:qFormat/>
    <w:uiPriority w:val="0"/>
    <w:rPr>
      <w:rFonts w:ascii="宋体" w:hAnsi="宋体" w:cs="宋体"/>
      <w:sz w:val="24"/>
      <w:szCs w:val="24"/>
    </w:rPr>
  </w:style>
  <w:style w:type="paragraph" w:customStyle="1" w:styleId="248">
    <w:name w:val="样式 小四 居中 行距: 固定值 24 磅"/>
    <w:basedOn w:val="1"/>
    <w:qFormat/>
    <w:uiPriority w:val="0"/>
    <w:pPr>
      <w:widowControl w:val="0"/>
      <w:jc w:val="center"/>
    </w:pPr>
    <w:rPr>
      <w:rFonts w:ascii="Times New Roman" w:hAnsi="Times New Roman" w:eastAsia="宋体" w:cs="宋体"/>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wmf"/><Relationship Id="rId5" Type="http://schemas.openxmlformats.org/officeDocument/2006/relationships/footer" Target="footer1.xml"/><Relationship Id="rId49" Type="http://schemas.openxmlformats.org/officeDocument/2006/relationships/oleObject" Target="embeddings/oleObject17.bin"/><Relationship Id="rId48" Type="http://schemas.openxmlformats.org/officeDocument/2006/relationships/image" Target="media/image24.wmf"/><Relationship Id="rId47" Type="http://schemas.openxmlformats.org/officeDocument/2006/relationships/oleObject" Target="embeddings/oleObject16.bin"/><Relationship Id="rId46" Type="http://schemas.openxmlformats.org/officeDocument/2006/relationships/image" Target="media/image23.wmf"/><Relationship Id="rId45" Type="http://schemas.openxmlformats.org/officeDocument/2006/relationships/oleObject" Target="embeddings/oleObject15.bin"/><Relationship Id="rId44" Type="http://schemas.openxmlformats.org/officeDocument/2006/relationships/image" Target="media/image22.wmf"/><Relationship Id="rId43" Type="http://schemas.openxmlformats.org/officeDocument/2006/relationships/oleObject" Target="embeddings/oleObject14.bin"/><Relationship Id="rId42" Type="http://schemas.openxmlformats.org/officeDocument/2006/relationships/image" Target="media/image21.wmf"/><Relationship Id="rId41" Type="http://schemas.openxmlformats.org/officeDocument/2006/relationships/oleObject" Target="embeddings/oleObject13.bin"/><Relationship Id="rId40" Type="http://schemas.openxmlformats.org/officeDocument/2006/relationships/image" Target="media/image20.wmf"/><Relationship Id="rId4" Type="http://schemas.openxmlformats.org/officeDocument/2006/relationships/endnotes" Target="endnotes.xml"/><Relationship Id="rId39" Type="http://schemas.openxmlformats.org/officeDocument/2006/relationships/oleObject" Target="embeddings/oleObject12.bin"/><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wmf"/><Relationship Id="rId35" Type="http://schemas.openxmlformats.org/officeDocument/2006/relationships/oleObject" Target="embeddings/oleObject10.bin"/><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image" Target="media/image15.wmf"/><Relationship Id="rId3" Type="http://schemas.openxmlformats.org/officeDocument/2006/relationships/footnotes" Target="footnotes.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emf"/><Relationship Id="rId25" Type="http://schemas.openxmlformats.org/officeDocument/2006/relationships/oleObject" Target="embeddings/oleObject5.bin"/><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7.emf"/><Relationship Id="rId17" Type="http://schemas.openxmlformats.org/officeDocument/2006/relationships/oleObject" Target="embeddings/oleObject3.bin"/><Relationship Id="rId16" Type="http://schemas.openxmlformats.org/officeDocument/2006/relationships/image" Target="media/image6.emf"/><Relationship Id="rId15" Type="http://schemas.openxmlformats.org/officeDocument/2006/relationships/oleObject" Target="embeddings/oleObject2.bin"/><Relationship Id="rId14" Type="http://schemas.openxmlformats.org/officeDocument/2006/relationships/image" Target="media/image5.emf"/><Relationship Id="rId13" Type="http://schemas.openxmlformats.org/officeDocument/2006/relationships/oleObject" Target="embeddings/oleObject1.bin"/><Relationship Id="rId12" Type="http://schemas.openxmlformats.org/officeDocument/2006/relationships/image" Target="../../../AppData/Roaming/Tencent/Users/675653576/QQ/WinTemp/RichOle/VW%25252525257b8%2525252525600KO6PCPM98SP_WO0KS.png" TargetMode="Externa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环评">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0B1E7A-FD51-4732-A4C7-12C527628C61}">
  <ds:schemaRefs/>
</ds:datastoreItem>
</file>

<file path=docProps/app.xml><?xml version="1.0" encoding="utf-8"?>
<Properties xmlns="http://schemas.openxmlformats.org/officeDocument/2006/extended-properties" xmlns:vt="http://schemas.openxmlformats.org/officeDocument/2006/docPropsVTypes">
  <Template>Normal</Template>
  <Pages>136</Pages>
  <Words>72388</Words>
  <Characters>84733</Characters>
  <Lines>719</Lines>
  <Paragraphs>202</Paragraphs>
  <TotalTime>7651</TotalTime>
  <ScaleCrop>false</ScaleCrop>
  <LinksUpToDate>false</LinksUpToDate>
  <CharactersWithSpaces>85521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2022-09-02T04:51:00Z</dcterms:created>
  <dc:creator>hc</dc:creator>
  <cp:lastModifiedBy>weirdo</cp:lastModifiedBy>
  <cp:lastPrinted>2023-04-26T06:27:00Z</cp:lastPrinted>
  <dcterms:modified xsi:type="dcterms:W3CDTF">2023-11-27T01:48:13Z</dcterms:modified>
  <cp:revision>3272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1E97E32376D34F5BB6050EA41CCCE9CE_13</vt:lpwstr>
  </property>
</Properties>
</file>